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CCED2" w14:textId="77777777" w:rsidR="00E76BE5" w:rsidRDefault="00E76BE5" w:rsidP="00FB0D28">
      <w:pPr>
        <w:jc w:val="center"/>
        <w:rPr>
          <w:b/>
          <w:sz w:val="32"/>
          <w:szCs w:val="32"/>
        </w:rPr>
      </w:pPr>
    </w:p>
    <w:p w14:paraId="09327ADC" w14:textId="265FF669" w:rsidR="00FB0D28" w:rsidRPr="00FB0D28" w:rsidRDefault="00FB0D28" w:rsidP="00FB0D28">
      <w:pPr>
        <w:jc w:val="center"/>
        <w:rPr>
          <w:b/>
          <w:sz w:val="32"/>
          <w:szCs w:val="32"/>
        </w:rPr>
      </w:pPr>
      <w:r w:rsidRPr="00FB0D28">
        <w:rPr>
          <w:b/>
          <w:sz w:val="32"/>
          <w:szCs w:val="32"/>
        </w:rPr>
        <w:t>ANGLIA RUSKIN UNIVERSITY</w:t>
      </w:r>
    </w:p>
    <w:p w14:paraId="709FF5C1" w14:textId="1CFAF0C4" w:rsidR="00FB0D28" w:rsidRDefault="00FB0D28" w:rsidP="00FB0D28">
      <w:pPr>
        <w:jc w:val="center"/>
        <w:rPr>
          <w:b/>
          <w:sz w:val="32"/>
          <w:szCs w:val="32"/>
        </w:rPr>
      </w:pPr>
      <w:r w:rsidRPr="00FB0D28">
        <w:rPr>
          <w:b/>
          <w:sz w:val="32"/>
          <w:szCs w:val="32"/>
        </w:rPr>
        <w:t>FACULTY OF BUSINESS AND LAW</w:t>
      </w:r>
    </w:p>
    <w:p w14:paraId="43A3D0EB" w14:textId="77777777" w:rsidR="00FB0D28" w:rsidRDefault="00FB0D28" w:rsidP="00FB0D28">
      <w:pPr>
        <w:jc w:val="center"/>
        <w:rPr>
          <w:b/>
          <w:sz w:val="32"/>
          <w:szCs w:val="32"/>
        </w:rPr>
      </w:pPr>
    </w:p>
    <w:p w14:paraId="7E929F1C" w14:textId="77777777" w:rsidR="00FB0D28" w:rsidRPr="005725E4" w:rsidRDefault="00D21F46" w:rsidP="005725E4">
      <w:pPr>
        <w:pStyle w:val="Title"/>
      </w:pPr>
      <w:r w:rsidRPr="005725E4">
        <w:t>THE TREATMENT OF VICTIMS IN</w:t>
      </w:r>
      <w:r w:rsidR="00FB0D28" w:rsidRPr="005725E4">
        <w:t xml:space="preserve"> THE              INTERNATIONAL CRIMINAL COURT</w:t>
      </w:r>
      <w:r w:rsidRPr="005725E4">
        <w:t xml:space="preserve"> CASES OF LUBANGA AND KATANGA</w:t>
      </w:r>
    </w:p>
    <w:p w14:paraId="59EEE9E9" w14:textId="77777777" w:rsidR="00FB0D28" w:rsidRDefault="00FB0D28" w:rsidP="00FB0D28">
      <w:pPr>
        <w:rPr>
          <w:b/>
          <w:sz w:val="36"/>
          <w:szCs w:val="36"/>
        </w:rPr>
      </w:pPr>
    </w:p>
    <w:p w14:paraId="3D90697C" w14:textId="77777777" w:rsidR="00FB0D28" w:rsidRDefault="00FB0D28" w:rsidP="00FB0D28">
      <w:pPr>
        <w:rPr>
          <w:b/>
          <w:sz w:val="32"/>
          <w:szCs w:val="32"/>
        </w:rPr>
      </w:pPr>
      <w:r>
        <w:rPr>
          <w:b/>
          <w:sz w:val="36"/>
          <w:szCs w:val="36"/>
        </w:rPr>
        <w:t xml:space="preserve">                 </w:t>
      </w:r>
      <w:r w:rsidRPr="00FB0D28">
        <w:rPr>
          <w:b/>
          <w:sz w:val="32"/>
          <w:szCs w:val="32"/>
        </w:rPr>
        <w:t>ORIOLA OLUKEM</w:t>
      </w:r>
      <w:r>
        <w:rPr>
          <w:b/>
          <w:sz w:val="32"/>
          <w:szCs w:val="32"/>
        </w:rPr>
        <w:t>I</w:t>
      </w:r>
      <w:r w:rsidRPr="00FB0D28">
        <w:rPr>
          <w:b/>
          <w:sz w:val="32"/>
          <w:szCs w:val="32"/>
        </w:rPr>
        <w:t xml:space="preserve"> OYEWOLE</w:t>
      </w:r>
    </w:p>
    <w:p w14:paraId="682B8BB7" w14:textId="77777777" w:rsidR="00FB0D28" w:rsidRDefault="00FB0D28" w:rsidP="00FB0D28">
      <w:pPr>
        <w:jc w:val="center"/>
        <w:rPr>
          <w:b/>
          <w:sz w:val="32"/>
          <w:szCs w:val="32"/>
        </w:rPr>
      </w:pPr>
    </w:p>
    <w:p w14:paraId="699BEB3B" w14:textId="77777777" w:rsidR="00FB0D28" w:rsidRDefault="00FB0D28" w:rsidP="00FB0D28">
      <w:pPr>
        <w:jc w:val="center"/>
        <w:rPr>
          <w:b/>
          <w:sz w:val="32"/>
          <w:szCs w:val="32"/>
        </w:rPr>
      </w:pPr>
      <w:r>
        <w:rPr>
          <w:b/>
          <w:sz w:val="32"/>
          <w:szCs w:val="32"/>
        </w:rPr>
        <w:t>A THESIS IN PARTIAL FULFILMENT OF THE REQUIREMENT</w:t>
      </w:r>
    </w:p>
    <w:p w14:paraId="1D9C2B06" w14:textId="77777777" w:rsidR="00FB0D28" w:rsidRDefault="00FB0D28" w:rsidP="00FB0D28">
      <w:pPr>
        <w:jc w:val="center"/>
        <w:rPr>
          <w:b/>
          <w:sz w:val="32"/>
          <w:szCs w:val="32"/>
        </w:rPr>
      </w:pPr>
      <w:r w:rsidRPr="00FB0D28">
        <w:rPr>
          <w:b/>
          <w:sz w:val="32"/>
          <w:szCs w:val="32"/>
        </w:rPr>
        <w:t>OF</w:t>
      </w:r>
    </w:p>
    <w:p w14:paraId="0B2B50F0" w14:textId="61F350B0" w:rsidR="00FB0D28" w:rsidRDefault="00FB0D28" w:rsidP="00FB0D28">
      <w:pPr>
        <w:jc w:val="center"/>
        <w:rPr>
          <w:b/>
          <w:sz w:val="32"/>
          <w:szCs w:val="32"/>
        </w:rPr>
      </w:pPr>
      <w:r w:rsidRPr="00FB0D28">
        <w:rPr>
          <w:b/>
          <w:sz w:val="32"/>
          <w:szCs w:val="32"/>
        </w:rPr>
        <w:t>ANGLIA RUSKIN UNIVERSITY</w:t>
      </w:r>
    </w:p>
    <w:p w14:paraId="17CCACCE" w14:textId="77777777" w:rsidR="00FB0D28" w:rsidRPr="00FB0D28" w:rsidRDefault="00FB0D28" w:rsidP="00FB0D28">
      <w:pPr>
        <w:jc w:val="center"/>
        <w:rPr>
          <w:b/>
          <w:sz w:val="32"/>
          <w:szCs w:val="32"/>
        </w:rPr>
      </w:pPr>
      <w:r w:rsidRPr="00FB0D28">
        <w:rPr>
          <w:b/>
          <w:sz w:val="32"/>
          <w:szCs w:val="32"/>
        </w:rPr>
        <w:t>FOR THE DE</w:t>
      </w:r>
      <w:r>
        <w:rPr>
          <w:b/>
          <w:sz w:val="32"/>
          <w:szCs w:val="32"/>
        </w:rPr>
        <w:t xml:space="preserve">GREE </w:t>
      </w:r>
      <w:r w:rsidRPr="00FB0D28">
        <w:rPr>
          <w:b/>
          <w:sz w:val="32"/>
          <w:szCs w:val="32"/>
        </w:rPr>
        <w:t>OF DOCTOR OF PHILOSOPHY</w:t>
      </w:r>
    </w:p>
    <w:p w14:paraId="220E155B" w14:textId="77777777" w:rsidR="00FB0D28" w:rsidRDefault="00FB0D28" w:rsidP="00A57882">
      <w:pPr>
        <w:rPr>
          <w:b/>
          <w:sz w:val="32"/>
          <w:szCs w:val="32"/>
        </w:rPr>
      </w:pPr>
    </w:p>
    <w:p w14:paraId="11561895" w14:textId="77777777" w:rsidR="00FB0D28" w:rsidRPr="00FB0D28" w:rsidRDefault="00FB0D28" w:rsidP="00A57882">
      <w:pPr>
        <w:rPr>
          <w:b/>
          <w:sz w:val="32"/>
          <w:szCs w:val="32"/>
        </w:rPr>
      </w:pPr>
      <w:r>
        <w:rPr>
          <w:b/>
          <w:sz w:val="32"/>
          <w:szCs w:val="32"/>
        </w:rPr>
        <w:t xml:space="preserve">                     </w:t>
      </w:r>
      <w:r w:rsidRPr="00FB0D28">
        <w:rPr>
          <w:b/>
          <w:sz w:val="32"/>
          <w:szCs w:val="32"/>
        </w:rPr>
        <w:t>SUBMITTED:</w:t>
      </w:r>
      <w:r w:rsidR="00725B8C">
        <w:rPr>
          <w:b/>
          <w:sz w:val="32"/>
          <w:szCs w:val="32"/>
        </w:rPr>
        <w:t xml:space="preserve"> </w:t>
      </w:r>
      <w:r w:rsidRPr="00FB0D28">
        <w:rPr>
          <w:b/>
          <w:sz w:val="32"/>
          <w:szCs w:val="32"/>
        </w:rPr>
        <w:t>APRIL 2020</w:t>
      </w:r>
    </w:p>
    <w:p w14:paraId="769F42B1" w14:textId="77777777" w:rsidR="00FB0D28" w:rsidRPr="0047777C" w:rsidRDefault="00FB0D28" w:rsidP="00FB0D28">
      <w:pPr>
        <w:rPr>
          <w:rFonts w:ascii="Times New Roman" w:hAnsi="Times New Roman"/>
          <w:b/>
        </w:rPr>
      </w:pPr>
      <w:r w:rsidRPr="0047777C">
        <w:rPr>
          <w:rFonts w:ascii="Times New Roman" w:hAnsi="Times New Roman"/>
          <w:b/>
        </w:rPr>
        <w:lastRenderedPageBreak/>
        <w:t>Dedication</w:t>
      </w:r>
    </w:p>
    <w:p w14:paraId="56CE8646" w14:textId="511C9F97" w:rsidR="00FB0D28" w:rsidRPr="0047777C" w:rsidRDefault="00FB0D28" w:rsidP="00FB0D28">
      <w:pPr>
        <w:jc w:val="both"/>
        <w:rPr>
          <w:rFonts w:ascii="Times New Roman" w:hAnsi="Times New Roman"/>
        </w:rPr>
      </w:pPr>
      <w:r w:rsidRPr="0047777C">
        <w:rPr>
          <w:rFonts w:ascii="Times New Roman" w:hAnsi="Times New Roman"/>
        </w:rPr>
        <w:t>This the</w:t>
      </w:r>
      <w:r w:rsidR="00582C37">
        <w:rPr>
          <w:rFonts w:ascii="Times New Roman" w:hAnsi="Times New Roman"/>
        </w:rPr>
        <w:t>sis is dedicated to my parents,</w:t>
      </w:r>
      <w:r w:rsidR="00F72A5B">
        <w:rPr>
          <w:rFonts w:ascii="Times New Roman" w:hAnsi="Times New Roman"/>
        </w:rPr>
        <w:t xml:space="preserve"> Justice S.B Oyewole and Dr O.V Oyewole.</w:t>
      </w:r>
      <w:r w:rsidR="00517509">
        <w:rPr>
          <w:rFonts w:ascii="Times New Roman" w:hAnsi="Times New Roman"/>
        </w:rPr>
        <w:t xml:space="preserve">  </w:t>
      </w:r>
      <w:r w:rsidR="00F72A5B">
        <w:rPr>
          <w:rFonts w:ascii="Times New Roman" w:hAnsi="Times New Roman"/>
        </w:rPr>
        <w:t>Y</w:t>
      </w:r>
      <w:r w:rsidRPr="0047777C">
        <w:rPr>
          <w:rFonts w:ascii="Times New Roman" w:hAnsi="Times New Roman"/>
        </w:rPr>
        <w:t>ou have both inspired and supported me throughout this journey.</w:t>
      </w:r>
      <w:r>
        <w:rPr>
          <w:rFonts w:ascii="Times New Roman" w:hAnsi="Times New Roman"/>
        </w:rPr>
        <w:t xml:space="preserve"> </w:t>
      </w:r>
      <w:r w:rsidRPr="0047777C">
        <w:rPr>
          <w:rFonts w:ascii="Times New Roman" w:hAnsi="Times New Roman"/>
        </w:rPr>
        <w:t xml:space="preserve">I have always loved you and always will. Your kind and invaluable assistance </w:t>
      </w:r>
      <w:r>
        <w:rPr>
          <w:rFonts w:ascii="Times New Roman" w:hAnsi="Times New Roman"/>
        </w:rPr>
        <w:t>are</w:t>
      </w:r>
      <w:r w:rsidRPr="0047777C">
        <w:rPr>
          <w:rFonts w:ascii="Times New Roman" w:hAnsi="Times New Roman"/>
        </w:rPr>
        <w:t xml:space="preserve"> appreciated. I would also like to record my heartfelt thanks to </w:t>
      </w:r>
      <w:r w:rsidR="00F72A5B">
        <w:rPr>
          <w:rFonts w:ascii="Times New Roman" w:hAnsi="Times New Roman"/>
        </w:rPr>
        <w:t xml:space="preserve">my sisters, </w:t>
      </w:r>
      <w:r w:rsidRPr="0047777C">
        <w:rPr>
          <w:rFonts w:ascii="Times New Roman" w:hAnsi="Times New Roman"/>
        </w:rPr>
        <w:t>Toyin and Seun.</w:t>
      </w:r>
    </w:p>
    <w:p w14:paraId="4C01FC94" w14:textId="77777777" w:rsidR="00FB0D28" w:rsidRDefault="00FB0D28" w:rsidP="00FB0D28">
      <w:pPr>
        <w:spacing w:line="480" w:lineRule="auto"/>
        <w:ind w:firstLine="720"/>
        <w:jc w:val="both"/>
        <w:rPr>
          <w:rFonts w:ascii="Times New Roman" w:hAnsi="Times New Roman"/>
        </w:rPr>
      </w:pPr>
    </w:p>
    <w:p w14:paraId="034388BE" w14:textId="77777777" w:rsidR="00FB0D28" w:rsidRDefault="00FB0D28" w:rsidP="00FB0D28">
      <w:pPr>
        <w:spacing w:line="480" w:lineRule="auto"/>
        <w:ind w:firstLine="720"/>
        <w:jc w:val="both"/>
        <w:rPr>
          <w:rFonts w:ascii="Times New Roman" w:hAnsi="Times New Roman"/>
        </w:rPr>
      </w:pPr>
    </w:p>
    <w:p w14:paraId="50E1A5BB" w14:textId="77777777" w:rsidR="00FB0D28" w:rsidRDefault="00FB0D28" w:rsidP="00FB0D28">
      <w:pPr>
        <w:spacing w:line="480" w:lineRule="auto"/>
        <w:ind w:firstLine="720"/>
        <w:jc w:val="both"/>
        <w:rPr>
          <w:rFonts w:ascii="Times New Roman" w:hAnsi="Times New Roman"/>
        </w:rPr>
      </w:pPr>
    </w:p>
    <w:p w14:paraId="7B9FE66D" w14:textId="77777777" w:rsidR="00FB0D28" w:rsidRDefault="00FB0D28" w:rsidP="00FB0D28">
      <w:pPr>
        <w:spacing w:line="480" w:lineRule="auto"/>
        <w:ind w:firstLine="720"/>
        <w:jc w:val="both"/>
        <w:rPr>
          <w:rFonts w:ascii="Times New Roman" w:hAnsi="Times New Roman"/>
        </w:rPr>
      </w:pPr>
    </w:p>
    <w:p w14:paraId="4057DF3B" w14:textId="77777777" w:rsidR="00FB0D28" w:rsidRDefault="00FB0D28" w:rsidP="00FB0D28">
      <w:pPr>
        <w:spacing w:line="480" w:lineRule="auto"/>
        <w:ind w:firstLine="720"/>
        <w:jc w:val="both"/>
        <w:rPr>
          <w:rFonts w:ascii="Times New Roman" w:hAnsi="Times New Roman"/>
        </w:rPr>
      </w:pPr>
    </w:p>
    <w:p w14:paraId="061BA930" w14:textId="77777777" w:rsidR="00FB0D28" w:rsidRDefault="00FB0D28" w:rsidP="00FB0D28">
      <w:pPr>
        <w:spacing w:line="480" w:lineRule="auto"/>
        <w:ind w:firstLine="720"/>
        <w:jc w:val="both"/>
        <w:rPr>
          <w:rFonts w:ascii="Times New Roman" w:hAnsi="Times New Roman"/>
        </w:rPr>
      </w:pPr>
    </w:p>
    <w:p w14:paraId="6E36463D" w14:textId="77777777" w:rsidR="00FB0D28" w:rsidRDefault="00FB0D28" w:rsidP="00FB0D28">
      <w:pPr>
        <w:spacing w:line="480" w:lineRule="auto"/>
        <w:ind w:firstLine="720"/>
        <w:jc w:val="both"/>
        <w:rPr>
          <w:rFonts w:ascii="Times New Roman" w:hAnsi="Times New Roman"/>
        </w:rPr>
      </w:pPr>
    </w:p>
    <w:p w14:paraId="33318E05" w14:textId="77777777" w:rsidR="00FB0D28" w:rsidRDefault="00FB0D28" w:rsidP="00FB0D28">
      <w:pPr>
        <w:spacing w:line="480" w:lineRule="auto"/>
        <w:ind w:firstLine="720"/>
        <w:jc w:val="both"/>
        <w:rPr>
          <w:rFonts w:ascii="Times New Roman" w:hAnsi="Times New Roman"/>
        </w:rPr>
      </w:pPr>
    </w:p>
    <w:p w14:paraId="0F221309" w14:textId="77777777" w:rsidR="00725B8C" w:rsidRDefault="00725B8C" w:rsidP="00FB0D28">
      <w:pPr>
        <w:spacing w:line="480" w:lineRule="auto"/>
        <w:jc w:val="both"/>
        <w:rPr>
          <w:rFonts w:ascii="Times New Roman" w:hAnsi="Times New Roman"/>
        </w:rPr>
      </w:pPr>
    </w:p>
    <w:p w14:paraId="2941031B" w14:textId="77777777" w:rsidR="00725B8C" w:rsidRDefault="00725B8C" w:rsidP="00FB0D28">
      <w:pPr>
        <w:spacing w:line="480" w:lineRule="auto"/>
        <w:jc w:val="both"/>
        <w:rPr>
          <w:rFonts w:ascii="Times New Roman" w:hAnsi="Times New Roman"/>
          <w:b/>
        </w:rPr>
      </w:pPr>
    </w:p>
    <w:p w14:paraId="3E20FD8C" w14:textId="77777777" w:rsidR="00725B8C" w:rsidRDefault="00725B8C" w:rsidP="00FB0D28">
      <w:pPr>
        <w:spacing w:line="480" w:lineRule="auto"/>
        <w:jc w:val="both"/>
        <w:rPr>
          <w:rFonts w:ascii="Times New Roman" w:hAnsi="Times New Roman"/>
          <w:b/>
        </w:rPr>
      </w:pPr>
    </w:p>
    <w:p w14:paraId="12ABBC6D" w14:textId="77777777" w:rsidR="00725B8C" w:rsidRDefault="00725B8C" w:rsidP="00FB0D28">
      <w:pPr>
        <w:spacing w:line="480" w:lineRule="auto"/>
        <w:jc w:val="both"/>
        <w:rPr>
          <w:rFonts w:ascii="Times New Roman" w:hAnsi="Times New Roman"/>
          <w:b/>
        </w:rPr>
      </w:pPr>
    </w:p>
    <w:p w14:paraId="61686FE5" w14:textId="77777777" w:rsidR="00725B8C" w:rsidRDefault="00725B8C" w:rsidP="00FB0D28">
      <w:pPr>
        <w:spacing w:line="480" w:lineRule="auto"/>
        <w:jc w:val="both"/>
        <w:rPr>
          <w:rFonts w:ascii="Times New Roman" w:hAnsi="Times New Roman"/>
          <w:b/>
        </w:rPr>
      </w:pPr>
    </w:p>
    <w:p w14:paraId="7E999D46" w14:textId="77777777" w:rsidR="00FB0D28" w:rsidRPr="0047777C" w:rsidRDefault="00FB0D28" w:rsidP="00FB0D28">
      <w:pPr>
        <w:spacing w:line="480" w:lineRule="auto"/>
        <w:jc w:val="both"/>
        <w:rPr>
          <w:rFonts w:ascii="Times New Roman" w:hAnsi="Times New Roman"/>
          <w:b/>
        </w:rPr>
      </w:pPr>
      <w:r w:rsidRPr="0047777C">
        <w:rPr>
          <w:rFonts w:ascii="Times New Roman" w:hAnsi="Times New Roman"/>
          <w:b/>
        </w:rPr>
        <w:lastRenderedPageBreak/>
        <w:t>Acknowledgements</w:t>
      </w:r>
    </w:p>
    <w:p w14:paraId="663374A6" w14:textId="10DCB852" w:rsidR="00FB0D28" w:rsidRPr="0047777C" w:rsidRDefault="00FB0D28" w:rsidP="00FB0D28">
      <w:pPr>
        <w:jc w:val="both"/>
        <w:rPr>
          <w:rFonts w:ascii="Times New Roman" w:hAnsi="Times New Roman"/>
        </w:rPr>
      </w:pPr>
      <w:r w:rsidRPr="0047777C">
        <w:rPr>
          <w:rFonts w:ascii="Times New Roman" w:hAnsi="Times New Roman"/>
        </w:rPr>
        <w:t xml:space="preserve">Foremost, I would like to express my sincere gratitude to my first supervisor, </w:t>
      </w:r>
      <w:proofErr w:type="spellStart"/>
      <w:r w:rsidRPr="0047777C">
        <w:rPr>
          <w:rFonts w:ascii="Times New Roman" w:hAnsi="Times New Roman"/>
        </w:rPr>
        <w:t>Dr</w:t>
      </w:r>
      <w:r w:rsidR="004D0541">
        <w:rPr>
          <w:rFonts w:ascii="Times New Roman" w:hAnsi="Times New Roman"/>
        </w:rPr>
        <w:t>.</w:t>
      </w:r>
      <w:proofErr w:type="spellEnd"/>
      <w:r w:rsidRPr="0047777C">
        <w:rPr>
          <w:rFonts w:ascii="Times New Roman" w:hAnsi="Times New Roman"/>
        </w:rPr>
        <w:t xml:space="preserve"> Aldo  Zammit-Borda, for the continuous support of my Ph</w:t>
      </w:r>
      <w:r w:rsidR="004D0541">
        <w:rPr>
          <w:rFonts w:ascii="Times New Roman" w:hAnsi="Times New Roman"/>
        </w:rPr>
        <w:t>.D.</w:t>
      </w:r>
      <w:r w:rsidRPr="0047777C">
        <w:rPr>
          <w:rFonts w:ascii="Times New Roman" w:hAnsi="Times New Roman"/>
        </w:rPr>
        <w:t xml:space="preserve"> study and research.</w:t>
      </w:r>
      <w:r>
        <w:rPr>
          <w:rFonts w:ascii="Times New Roman" w:hAnsi="Times New Roman"/>
        </w:rPr>
        <w:t xml:space="preserve"> </w:t>
      </w:r>
      <w:r w:rsidRPr="0047777C">
        <w:rPr>
          <w:rFonts w:ascii="Times New Roman" w:hAnsi="Times New Roman"/>
        </w:rPr>
        <w:t>It is a great honour to work under his supervision.</w:t>
      </w:r>
    </w:p>
    <w:p w14:paraId="5F0EE5A3" w14:textId="77777777" w:rsidR="00FB0D28" w:rsidRPr="0047777C" w:rsidRDefault="00FB0D28" w:rsidP="00FB0D28">
      <w:pPr>
        <w:jc w:val="both"/>
        <w:rPr>
          <w:rFonts w:ascii="Times New Roman" w:hAnsi="Times New Roman"/>
        </w:rPr>
      </w:pPr>
      <w:r w:rsidRPr="0047777C">
        <w:rPr>
          <w:rFonts w:ascii="Times New Roman" w:hAnsi="Times New Roman"/>
        </w:rPr>
        <w:t xml:space="preserve">I thank my fellow researchers, Emmanuel </w:t>
      </w:r>
      <w:proofErr w:type="spellStart"/>
      <w:r w:rsidRPr="0047777C">
        <w:rPr>
          <w:rFonts w:ascii="Times New Roman" w:hAnsi="Times New Roman"/>
        </w:rPr>
        <w:t>Obikwu</w:t>
      </w:r>
      <w:proofErr w:type="spellEnd"/>
      <w:r w:rsidRPr="0047777C">
        <w:rPr>
          <w:rFonts w:ascii="Times New Roman" w:hAnsi="Times New Roman"/>
        </w:rPr>
        <w:t>, Kem</w:t>
      </w:r>
      <w:r>
        <w:rPr>
          <w:rFonts w:ascii="Times New Roman" w:hAnsi="Times New Roman"/>
        </w:rPr>
        <w:t xml:space="preserve">i </w:t>
      </w:r>
      <w:proofErr w:type="spellStart"/>
      <w:r>
        <w:rPr>
          <w:rFonts w:ascii="Times New Roman" w:hAnsi="Times New Roman"/>
        </w:rPr>
        <w:t>Falegan</w:t>
      </w:r>
      <w:proofErr w:type="spellEnd"/>
      <w:r w:rsidRPr="0047777C">
        <w:rPr>
          <w:rFonts w:ascii="Times New Roman" w:hAnsi="Times New Roman"/>
        </w:rPr>
        <w:t xml:space="preserve">, </w:t>
      </w:r>
      <w:proofErr w:type="spellStart"/>
      <w:r w:rsidRPr="0047777C">
        <w:rPr>
          <w:rFonts w:ascii="Times New Roman" w:hAnsi="Times New Roman"/>
        </w:rPr>
        <w:t>Osinachi</w:t>
      </w:r>
      <w:proofErr w:type="spellEnd"/>
      <w:r w:rsidRPr="0047777C">
        <w:rPr>
          <w:rFonts w:ascii="Times New Roman" w:hAnsi="Times New Roman"/>
        </w:rPr>
        <w:t xml:space="preserve"> </w:t>
      </w:r>
      <w:proofErr w:type="spellStart"/>
      <w:r w:rsidRPr="0047777C">
        <w:rPr>
          <w:rFonts w:ascii="Times New Roman" w:hAnsi="Times New Roman"/>
        </w:rPr>
        <w:t>Ekeagwu</w:t>
      </w:r>
      <w:proofErr w:type="spellEnd"/>
      <w:r w:rsidRPr="0047777C">
        <w:rPr>
          <w:rFonts w:ascii="Times New Roman" w:hAnsi="Times New Roman"/>
        </w:rPr>
        <w:t xml:space="preserve">, Gamze </w:t>
      </w:r>
      <w:proofErr w:type="spellStart"/>
      <w:r w:rsidRPr="0047777C">
        <w:rPr>
          <w:rFonts w:ascii="Times New Roman" w:hAnsi="Times New Roman"/>
        </w:rPr>
        <w:t>Saglam</w:t>
      </w:r>
      <w:proofErr w:type="spellEnd"/>
      <w:r w:rsidRPr="0047777C">
        <w:rPr>
          <w:rFonts w:ascii="Times New Roman" w:hAnsi="Times New Roman"/>
        </w:rPr>
        <w:t xml:space="preserve">, </w:t>
      </w:r>
      <w:proofErr w:type="spellStart"/>
      <w:r w:rsidRPr="0047777C">
        <w:rPr>
          <w:rFonts w:ascii="Times New Roman" w:hAnsi="Times New Roman"/>
        </w:rPr>
        <w:t>Hassiba</w:t>
      </w:r>
      <w:proofErr w:type="spellEnd"/>
      <w:r w:rsidRPr="0047777C">
        <w:rPr>
          <w:rFonts w:ascii="Times New Roman" w:hAnsi="Times New Roman"/>
        </w:rPr>
        <w:t xml:space="preserve"> </w:t>
      </w:r>
      <w:proofErr w:type="spellStart"/>
      <w:r w:rsidRPr="0047777C">
        <w:rPr>
          <w:rFonts w:ascii="Times New Roman" w:hAnsi="Times New Roman"/>
        </w:rPr>
        <w:t>Fadli</w:t>
      </w:r>
      <w:proofErr w:type="spellEnd"/>
      <w:r w:rsidRPr="0047777C">
        <w:rPr>
          <w:rFonts w:ascii="Times New Roman" w:hAnsi="Times New Roman"/>
        </w:rPr>
        <w:t>,</w:t>
      </w:r>
      <w:r>
        <w:rPr>
          <w:rFonts w:ascii="Times New Roman" w:hAnsi="Times New Roman"/>
        </w:rPr>
        <w:t xml:space="preserve"> </w:t>
      </w:r>
      <w:r w:rsidRPr="0047777C">
        <w:rPr>
          <w:rFonts w:ascii="Times New Roman" w:hAnsi="Times New Roman"/>
        </w:rPr>
        <w:t xml:space="preserve">Martins </w:t>
      </w:r>
      <w:proofErr w:type="spellStart"/>
      <w:r w:rsidRPr="0047777C">
        <w:rPr>
          <w:rFonts w:ascii="Times New Roman" w:hAnsi="Times New Roman"/>
        </w:rPr>
        <w:t>Mba</w:t>
      </w:r>
      <w:proofErr w:type="spellEnd"/>
      <w:r w:rsidRPr="0047777C">
        <w:rPr>
          <w:rFonts w:ascii="Times New Roman" w:hAnsi="Times New Roman"/>
        </w:rPr>
        <w:t xml:space="preserve">, </w:t>
      </w:r>
      <w:proofErr w:type="spellStart"/>
      <w:r w:rsidRPr="0047777C">
        <w:rPr>
          <w:rFonts w:ascii="Times New Roman" w:hAnsi="Times New Roman"/>
        </w:rPr>
        <w:t>JohnPaul</w:t>
      </w:r>
      <w:proofErr w:type="spellEnd"/>
      <w:r w:rsidRPr="0047777C">
        <w:rPr>
          <w:rFonts w:ascii="Times New Roman" w:hAnsi="Times New Roman"/>
        </w:rPr>
        <w:t xml:space="preserve"> Ogbonna,</w:t>
      </w:r>
      <w:r>
        <w:rPr>
          <w:rFonts w:ascii="Times New Roman" w:hAnsi="Times New Roman"/>
        </w:rPr>
        <w:t xml:space="preserve"> </w:t>
      </w:r>
      <w:r w:rsidRPr="0047777C">
        <w:rPr>
          <w:rFonts w:ascii="Times New Roman" w:hAnsi="Times New Roman"/>
        </w:rPr>
        <w:t xml:space="preserve">Suzy Trang. </w:t>
      </w:r>
      <w:proofErr w:type="spellStart"/>
      <w:r w:rsidRPr="0047777C">
        <w:rPr>
          <w:rFonts w:ascii="Times New Roman" w:hAnsi="Times New Roman"/>
        </w:rPr>
        <w:t>Sajib</w:t>
      </w:r>
      <w:proofErr w:type="spellEnd"/>
      <w:r w:rsidRPr="0047777C">
        <w:rPr>
          <w:rFonts w:ascii="Times New Roman" w:hAnsi="Times New Roman"/>
        </w:rPr>
        <w:t xml:space="preserve"> Hosen,</w:t>
      </w:r>
      <w:r w:rsidR="00725B8C">
        <w:rPr>
          <w:rFonts w:ascii="Times New Roman" w:hAnsi="Times New Roman"/>
        </w:rPr>
        <w:t xml:space="preserve"> y</w:t>
      </w:r>
      <w:r w:rsidRPr="0047777C">
        <w:rPr>
          <w:rFonts w:ascii="Times New Roman" w:hAnsi="Times New Roman"/>
        </w:rPr>
        <w:t>our motivation and encouragement made an impact.</w:t>
      </w:r>
    </w:p>
    <w:p w14:paraId="598C762E" w14:textId="7A0C47ED" w:rsidR="00FB0D28" w:rsidRPr="0047777C" w:rsidRDefault="00FB0D28" w:rsidP="00FB0D28">
      <w:pPr>
        <w:jc w:val="both"/>
        <w:rPr>
          <w:rFonts w:ascii="Times New Roman" w:hAnsi="Times New Roman"/>
        </w:rPr>
      </w:pPr>
      <w:r w:rsidRPr="0047777C">
        <w:rPr>
          <w:rFonts w:ascii="Times New Roman" w:hAnsi="Times New Roman"/>
        </w:rPr>
        <w:t>I would like to express my sincere gratitude and appreciation to Taiwo Conde</w:t>
      </w:r>
      <w:r w:rsidR="00725B8C">
        <w:rPr>
          <w:rFonts w:ascii="Times New Roman" w:hAnsi="Times New Roman"/>
        </w:rPr>
        <w:t>;</w:t>
      </w:r>
      <w:r w:rsidRPr="0047777C">
        <w:rPr>
          <w:rFonts w:ascii="Times New Roman" w:hAnsi="Times New Roman"/>
        </w:rPr>
        <w:t xml:space="preserve"> your support is invaluable.</w:t>
      </w:r>
    </w:p>
    <w:p w14:paraId="7C9EA5FD" w14:textId="77777777" w:rsidR="00FB0D28" w:rsidRPr="0047777C" w:rsidRDefault="00FB0D28" w:rsidP="00FB0D28">
      <w:pPr>
        <w:jc w:val="both"/>
        <w:rPr>
          <w:rFonts w:ascii="Times New Roman" w:hAnsi="Times New Roman"/>
        </w:rPr>
      </w:pPr>
      <w:r w:rsidRPr="0047777C">
        <w:rPr>
          <w:rFonts w:ascii="Times New Roman" w:hAnsi="Times New Roman"/>
        </w:rPr>
        <w:t xml:space="preserve">I am also thankful to  </w:t>
      </w:r>
      <w:proofErr w:type="spellStart"/>
      <w:r w:rsidRPr="0047777C">
        <w:rPr>
          <w:rFonts w:ascii="Times New Roman" w:hAnsi="Times New Roman"/>
        </w:rPr>
        <w:t>Monsurah</w:t>
      </w:r>
      <w:proofErr w:type="spellEnd"/>
      <w:r w:rsidRPr="0047777C">
        <w:rPr>
          <w:rFonts w:ascii="Times New Roman" w:hAnsi="Times New Roman"/>
        </w:rPr>
        <w:t xml:space="preserve"> Ibrahim, you have been there since my LLM program till now.</w:t>
      </w:r>
    </w:p>
    <w:p w14:paraId="6D52CE99" w14:textId="77777777" w:rsidR="00725B8C" w:rsidRDefault="00FB0D28" w:rsidP="00FB0D28">
      <w:pPr>
        <w:jc w:val="both"/>
        <w:rPr>
          <w:rFonts w:ascii="Times New Roman" w:hAnsi="Times New Roman"/>
        </w:rPr>
      </w:pPr>
      <w:r w:rsidRPr="0047777C">
        <w:rPr>
          <w:rFonts w:ascii="Times New Roman" w:hAnsi="Times New Roman"/>
        </w:rPr>
        <w:t>I would like to extend my sin</w:t>
      </w:r>
      <w:r>
        <w:rPr>
          <w:rFonts w:ascii="Times New Roman" w:hAnsi="Times New Roman"/>
        </w:rPr>
        <w:t xml:space="preserve">cere gratitude to </w:t>
      </w:r>
      <w:proofErr w:type="spellStart"/>
      <w:r>
        <w:rPr>
          <w:rFonts w:ascii="Times New Roman" w:hAnsi="Times New Roman"/>
        </w:rPr>
        <w:t>Lanre</w:t>
      </w:r>
      <w:proofErr w:type="spellEnd"/>
      <w:r>
        <w:rPr>
          <w:rFonts w:ascii="Times New Roman" w:hAnsi="Times New Roman"/>
        </w:rPr>
        <w:t xml:space="preserve"> Folarin</w:t>
      </w:r>
      <w:r w:rsidR="00725B8C">
        <w:rPr>
          <w:rFonts w:ascii="Times New Roman" w:hAnsi="Times New Roman"/>
        </w:rPr>
        <w:t>;</w:t>
      </w:r>
      <w:r>
        <w:rPr>
          <w:rFonts w:ascii="Times New Roman" w:hAnsi="Times New Roman"/>
        </w:rPr>
        <w:t xml:space="preserve"> y</w:t>
      </w:r>
      <w:r w:rsidRPr="0047777C">
        <w:rPr>
          <w:rFonts w:ascii="Times New Roman" w:hAnsi="Times New Roman"/>
        </w:rPr>
        <w:t>our positive reinforcements assisted me along the way</w:t>
      </w:r>
      <w:r w:rsidR="00725B8C">
        <w:rPr>
          <w:rFonts w:ascii="Times New Roman" w:hAnsi="Times New Roman"/>
        </w:rPr>
        <w:t>.</w:t>
      </w:r>
    </w:p>
    <w:p w14:paraId="1CCCAECF" w14:textId="674BEECE" w:rsidR="00FB0D28" w:rsidRDefault="00517509" w:rsidP="00FB0D28">
      <w:pPr>
        <w:jc w:val="both"/>
        <w:rPr>
          <w:rFonts w:ascii="Times New Roman" w:hAnsi="Times New Roman"/>
        </w:rPr>
      </w:pPr>
      <w:r>
        <w:rPr>
          <w:rFonts w:ascii="Times New Roman" w:hAnsi="Times New Roman"/>
        </w:rPr>
        <w:t xml:space="preserve">I would also like to appreciate </w:t>
      </w:r>
      <w:r w:rsidR="00FB0D28">
        <w:rPr>
          <w:rFonts w:ascii="Times New Roman" w:hAnsi="Times New Roman"/>
        </w:rPr>
        <w:t>Adam W</w:t>
      </w:r>
      <w:r w:rsidR="00FB0D28" w:rsidRPr="0047777C">
        <w:rPr>
          <w:rFonts w:ascii="Times New Roman" w:hAnsi="Times New Roman"/>
        </w:rPr>
        <w:t xml:space="preserve">ickes, Joshua </w:t>
      </w:r>
      <w:proofErr w:type="spellStart"/>
      <w:r w:rsidR="00FB0D28" w:rsidRPr="0047777C">
        <w:rPr>
          <w:rFonts w:ascii="Times New Roman" w:hAnsi="Times New Roman"/>
        </w:rPr>
        <w:t>Agbo</w:t>
      </w:r>
      <w:proofErr w:type="spellEnd"/>
      <w:r w:rsidR="00FB0D28" w:rsidRPr="0047777C">
        <w:rPr>
          <w:rFonts w:ascii="Times New Roman" w:hAnsi="Times New Roman"/>
        </w:rPr>
        <w:t>,</w:t>
      </w:r>
      <w:r w:rsidR="00FB0D28">
        <w:rPr>
          <w:rFonts w:ascii="Times New Roman" w:hAnsi="Times New Roman"/>
        </w:rPr>
        <w:t xml:space="preserve"> </w:t>
      </w:r>
      <w:proofErr w:type="spellStart"/>
      <w:r w:rsidR="00FB0D28">
        <w:rPr>
          <w:rFonts w:ascii="Times New Roman" w:hAnsi="Times New Roman"/>
        </w:rPr>
        <w:t>Ehimare</w:t>
      </w:r>
      <w:proofErr w:type="spellEnd"/>
      <w:r w:rsidR="00FB0D28">
        <w:rPr>
          <w:rFonts w:ascii="Times New Roman" w:hAnsi="Times New Roman"/>
        </w:rPr>
        <w:t xml:space="preserve"> Anderson, </w:t>
      </w:r>
      <w:proofErr w:type="spellStart"/>
      <w:r w:rsidR="00FB0D28">
        <w:rPr>
          <w:rFonts w:ascii="Times New Roman" w:hAnsi="Times New Roman"/>
        </w:rPr>
        <w:t>Kelcy</w:t>
      </w:r>
      <w:proofErr w:type="spellEnd"/>
      <w:r w:rsidR="00FB0D28" w:rsidRPr="0047777C">
        <w:rPr>
          <w:rFonts w:ascii="Times New Roman" w:hAnsi="Times New Roman"/>
        </w:rPr>
        <w:t xml:space="preserve"> Da</w:t>
      </w:r>
      <w:r w:rsidR="00725B8C">
        <w:rPr>
          <w:rFonts w:ascii="Times New Roman" w:hAnsi="Times New Roman"/>
        </w:rPr>
        <w:t>venport</w:t>
      </w:r>
      <w:r w:rsidR="00F72A5B">
        <w:rPr>
          <w:rFonts w:ascii="Times New Roman" w:hAnsi="Times New Roman"/>
        </w:rPr>
        <w:t>,</w:t>
      </w:r>
      <w:r w:rsidR="00FB0D28" w:rsidRPr="0047777C">
        <w:rPr>
          <w:rFonts w:ascii="Times New Roman" w:hAnsi="Times New Roman"/>
        </w:rPr>
        <w:t xml:space="preserve"> Bassey </w:t>
      </w:r>
      <w:proofErr w:type="spellStart"/>
      <w:r w:rsidR="00FB0D28" w:rsidRPr="0047777C">
        <w:rPr>
          <w:rFonts w:ascii="Times New Roman" w:hAnsi="Times New Roman"/>
        </w:rPr>
        <w:t>Ekpenyong</w:t>
      </w:r>
      <w:proofErr w:type="spellEnd"/>
      <w:r w:rsidR="00FB0D28" w:rsidRPr="0047777C">
        <w:rPr>
          <w:rFonts w:ascii="Times New Roman" w:hAnsi="Times New Roman"/>
        </w:rPr>
        <w:t>,</w:t>
      </w:r>
      <w:r w:rsidR="00F72A5B">
        <w:rPr>
          <w:rFonts w:ascii="Times New Roman" w:hAnsi="Times New Roman"/>
        </w:rPr>
        <w:t xml:space="preserve"> </w:t>
      </w:r>
      <w:proofErr w:type="spellStart"/>
      <w:r w:rsidR="00F72A5B">
        <w:rPr>
          <w:rFonts w:ascii="Times New Roman" w:hAnsi="Times New Roman"/>
        </w:rPr>
        <w:t>Benafa</w:t>
      </w:r>
      <w:proofErr w:type="spellEnd"/>
      <w:r w:rsidR="00F72A5B">
        <w:rPr>
          <w:rFonts w:ascii="Times New Roman" w:hAnsi="Times New Roman"/>
        </w:rPr>
        <w:t xml:space="preserve"> </w:t>
      </w:r>
      <w:proofErr w:type="spellStart"/>
      <w:r w:rsidR="00F72A5B">
        <w:rPr>
          <w:rFonts w:ascii="Times New Roman" w:hAnsi="Times New Roman"/>
        </w:rPr>
        <w:t>Oyinkuro</w:t>
      </w:r>
      <w:proofErr w:type="spellEnd"/>
      <w:r w:rsidR="00F72A5B">
        <w:rPr>
          <w:rFonts w:ascii="Times New Roman" w:hAnsi="Times New Roman"/>
        </w:rPr>
        <w:t>,</w:t>
      </w:r>
      <w:r w:rsidR="00FB0D28">
        <w:rPr>
          <w:rFonts w:ascii="Times New Roman" w:hAnsi="Times New Roman"/>
        </w:rPr>
        <w:t xml:space="preserve"> </w:t>
      </w:r>
      <w:proofErr w:type="spellStart"/>
      <w:r w:rsidR="00FB0D28" w:rsidRPr="0047777C">
        <w:rPr>
          <w:rFonts w:ascii="Times New Roman" w:hAnsi="Times New Roman"/>
        </w:rPr>
        <w:t>Bolade</w:t>
      </w:r>
      <w:proofErr w:type="spellEnd"/>
      <w:r w:rsidR="00FB0D28" w:rsidRPr="0047777C">
        <w:rPr>
          <w:rFonts w:ascii="Times New Roman" w:hAnsi="Times New Roman"/>
        </w:rPr>
        <w:t xml:space="preserve"> </w:t>
      </w:r>
      <w:proofErr w:type="spellStart"/>
      <w:r w:rsidR="00FB0D28" w:rsidRPr="0047777C">
        <w:rPr>
          <w:rFonts w:ascii="Times New Roman" w:hAnsi="Times New Roman"/>
        </w:rPr>
        <w:t>Oladumiye</w:t>
      </w:r>
      <w:proofErr w:type="spellEnd"/>
      <w:r w:rsidR="00FB0D28" w:rsidRPr="0047777C">
        <w:rPr>
          <w:rFonts w:ascii="Times New Roman" w:hAnsi="Times New Roman"/>
        </w:rPr>
        <w:t>,</w:t>
      </w:r>
      <w:r w:rsidR="00FB0D28">
        <w:rPr>
          <w:rFonts w:ascii="Times New Roman" w:hAnsi="Times New Roman"/>
        </w:rPr>
        <w:t xml:space="preserve"> </w:t>
      </w:r>
      <w:r w:rsidR="005256AC">
        <w:rPr>
          <w:rFonts w:ascii="Times New Roman" w:hAnsi="Times New Roman"/>
        </w:rPr>
        <w:t xml:space="preserve">Abiola </w:t>
      </w:r>
      <w:proofErr w:type="spellStart"/>
      <w:r w:rsidR="005256AC">
        <w:rPr>
          <w:rFonts w:ascii="Times New Roman" w:hAnsi="Times New Roman"/>
        </w:rPr>
        <w:t>Obanla</w:t>
      </w:r>
      <w:proofErr w:type="spellEnd"/>
      <w:r w:rsidR="005256AC">
        <w:rPr>
          <w:rFonts w:ascii="Times New Roman" w:hAnsi="Times New Roman"/>
        </w:rPr>
        <w:t>,</w:t>
      </w:r>
      <w:r w:rsidR="00437AAC">
        <w:rPr>
          <w:rFonts w:ascii="Times New Roman" w:hAnsi="Times New Roman"/>
        </w:rPr>
        <w:t xml:space="preserve"> </w:t>
      </w:r>
      <w:proofErr w:type="spellStart"/>
      <w:r w:rsidR="00FB0D28" w:rsidRPr="0047777C">
        <w:rPr>
          <w:rFonts w:ascii="Times New Roman" w:hAnsi="Times New Roman"/>
        </w:rPr>
        <w:t>Sethlina</w:t>
      </w:r>
      <w:proofErr w:type="spellEnd"/>
      <w:r w:rsidR="00FB0D28" w:rsidRPr="0047777C">
        <w:rPr>
          <w:rFonts w:ascii="Times New Roman" w:hAnsi="Times New Roman"/>
        </w:rPr>
        <w:t xml:space="preserve"> </w:t>
      </w:r>
      <w:proofErr w:type="spellStart"/>
      <w:r w:rsidR="00FB0D28" w:rsidRPr="0047777C">
        <w:rPr>
          <w:rFonts w:ascii="Times New Roman" w:hAnsi="Times New Roman"/>
        </w:rPr>
        <w:t>Aryee</w:t>
      </w:r>
      <w:proofErr w:type="spellEnd"/>
      <w:r w:rsidR="00FB0D28" w:rsidRPr="0047777C">
        <w:rPr>
          <w:rFonts w:ascii="Times New Roman" w:hAnsi="Times New Roman"/>
        </w:rPr>
        <w:t xml:space="preserve">, </w:t>
      </w:r>
      <w:proofErr w:type="spellStart"/>
      <w:r w:rsidR="00FB0D28" w:rsidRPr="0047777C">
        <w:rPr>
          <w:rFonts w:ascii="Times New Roman" w:hAnsi="Times New Roman"/>
        </w:rPr>
        <w:t>Washena</w:t>
      </w:r>
      <w:proofErr w:type="spellEnd"/>
      <w:r w:rsidR="00FB0D28" w:rsidRPr="0047777C">
        <w:rPr>
          <w:rFonts w:ascii="Times New Roman" w:hAnsi="Times New Roman"/>
        </w:rPr>
        <w:t xml:space="preserve"> Usman and others too many to mention.</w:t>
      </w:r>
    </w:p>
    <w:p w14:paraId="735AEBFA" w14:textId="77777777" w:rsidR="00FB0D28" w:rsidRDefault="00FB0D28" w:rsidP="00FB0D28">
      <w:pPr>
        <w:jc w:val="both"/>
        <w:rPr>
          <w:rFonts w:ascii="Times New Roman" w:hAnsi="Times New Roman"/>
        </w:rPr>
      </w:pPr>
    </w:p>
    <w:p w14:paraId="021BB92E" w14:textId="77777777" w:rsidR="00FB0D28" w:rsidRDefault="00FB0D28" w:rsidP="00FB0D28">
      <w:pPr>
        <w:jc w:val="both"/>
        <w:rPr>
          <w:rFonts w:ascii="Times New Roman" w:hAnsi="Times New Roman"/>
        </w:rPr>
      </w:pPr>
    </w:p>
    <w:p w14:paraId="7C9BC7CA" w14:textId="77777777" w:rsidR="00FB0D28" w:rsidRPr="0047777C" w:rsidRDefault="00FB0D28" w:rsidP="00FB0D28">
      <w:pPr>
        <w:jc w:val="both"/>
        <w:rPr>
          <w:rFonts w:ascii="Times New Roman" w:hAnsi="Times New Roman"/>
        </w:rPr>
      </w:pPr>
    </w:p>
    <w:p w14:paraId="7F4C856B" w14:textId="77777777" w:rsidR="00FB0D28" w:rsidRPr="0047777C" w:rsidRDefault="00FB0D28" w:rsidP="00FB0D28">
      <w:pPr>
        <w:spacing w:line="480" w:lineRule="auto"/>
        <w:jc w:val="both"/>
        <w:rPr>
          <w:rFonts w:ascii="Times New Roman" w:hAnsi="Times New Roman"/>
        </w:rPr>
      </w:pPr>
    </w:p>
    <w:p w14:paraId="35A76683" w14:textId="77777777" w:rsidR="00FB0D28" w:rsidRDefault="00FB0D28" w:rsidP="00FB0D28">
      <w:pPr>
        <w:spacing w:line="480" w:lineRule="auto"/>
        <w:jc w:val="both"/>
        <w:rPr>
          <w:rFonts w:ascii="Times New Roman" w:hAnsi="Times New Roman"/>
          <w:b/>
        </w:rPr>
      </w:pPr>
    </w:p>
    <w:p w14:paraId="7214872E" w14:textId="77777777" w:rsidR="00725B8C" w:rsidRDefault="00725B8C" w:rsidP="00FB0D28">
      <w:pPr>
        <w:spacing w:line="480" w:lineRule="auto"/>
        <w:jc w:val="both"/>
        <w:rPr>
          <w:rFonts w:ascii="Times New Roman" w:hAnsi="Times New Roman"/>
          <w:b/>
        </w:rPr>
      </w:pPr>
    </w:p>
    <w:p w14:paraId="1892D684" w14:textId="77777777" w:rsidR="00FB0D28" w:rsidRPr="0047777C" w:rsidRDefault="00FB0D28" w:rsidP="00FB0D28">
      <w:pPr>
        <w:spacing w:line="480" w:lineRule="auto"/>
        <w:jc w:val="both"/>
        <w:rPr>
          <w:rFonts w:ascii="Times New Roman" w:hAnsi="Times New Roman"/>
          <w:b/>
        </w:rPr>
      </w:pPr>
      <w:r w:rsidRPr="0047777C">
        <w:rPr>
          <w:rFonts w:ascii="Times New Roman" w:hAnsi="Times New Roman"/>
          <w:b/>
        </w:rPr>
        <w:lastRenderedPageBreak/>
        <w:t>List of Abbreviations</w:t>
      </w:r>
    </w:p>
    <w:p w14:paraId="543C4185" w14:textId="77777777" w:rsidR="00FB0D28" w:rsidRPr="0047777C" w:rsidRDefault="00FB0D28" w:rsidP="00FB0D28">
      <w:pPr>
        <w:jc w:val="both"/>
        <w:rPr>
          <w:rFonts w:ascii="Times New Roman" w:hAnsi="Times New Roman"/>
        </w:rPr>
      </w:pPr>
      <w:r w:rsidRPr="0047777C">
        <w:rPr>
          <w:rFonts w:ascii="Times New Roman" w:hAnsi="Times New Roman"/>
        </w:rPr>
        <w:t>Art.            Article(s)</w:t>
      </w:r>
    </w:p>
    <w:p w14:paraId="26AA74AB" w14:textId="77777777" w:rsidR="00FB0D28" w:rsidRPr="0047777C" w:rsidRDefault="00FB0D28" w:rsidP="00FB0D28">
      <w:pPr>
        <w:jc w:val="both"/>
        <w:rPr>
          <w:rFonts w:ascii="Times New Roman" w:hAnsi="Times New Roman"/>
        </w:rPr>
      </w:pPr>
      <w:r w:rsidRPr="0047777C">
        <w:rPr>
          <w:rFonts w:ascii="Times New Roman" w:hAnsi="Times New Roman"/>
        </w:rPr>
        <w:t>AC             Appeals Chamber</w:t>
      </w:r>
    </w:p>
    <w:p w14:paraId="744A866E" w14:textId="77777777" w:rsidR="00FB0D28" w:rsidRPr="0047777C" w:rsidRDefault="00FB0D28" w:rsidP="00FB0D28">
      <w:pPr>
        <w:jc w:val="both"/>
        <w:rPr>
          <w:rFonts w:ascii="Times New Roman" w:hAnsi="Times New Roman"/>
        </w:rPr>
      </w:pPr>
      <w:r w:rsidRPr="0047777C">
        <w:rPr>
          <w:rFonts w:ascii="Times New Roman" w:hAnsi="Times New Roman"/>
        </w:rPr>
        <w:t>DRC           Democratic Republic of Congo</w:t>
      </w:r>
    </w:p>
    <w:p w14:paraId="6A1420A5" w14:textId="77777777" w:rsidR="00FB0D28" w:rsidRPr="0047777C" w:rsidRDefault="00FB0D28" w:rsidP="00FB0D28">
      <w:pPr>
        <w:jc w:val="both"/>
        <w:rPr>
          <w:rFonts w:ascii="Times New Roman" w:hAnsi="Times New Roman"/>
        </w:rPr>
      </w:pPr>
      <w:r w:rsidRPr="0047777C">
        <w:rPr>
          <w:rFonts w:ascii="Times New Roman" w:hAnsi="Times New Roman"/>
        </w:rPr>
        <w:t>FPLC          Patriotic Forces for the Liberation of the Congo</w:t>
      </w:r>
    </w:p>
    <w:p w14:paraId="21354F5B" w14:textId="77777777" w:rsidR="00FB0D28" w:rsidRPr="00C310AB" w:rsidRDefault="00FB0D28" w:rsidP="00FB0D28">
      <w:pPr>
        <w:jc w:val="both"/>
        <w:rPr>
          <w:rFonts w:ascii="Times New Roman" w:hAnsi="Times New Roman"/>
          <w:lang w:val="fr-FR"/>
        </w:rPr>
      </w:pPr>
      <w:r w:rsidRPr="00C310AB">
        <w:rPr>
          <w:rFonts w:ascii="Times New Roman" w:hAnsi="Times New Roman"/>
          <w:lang w:val="fr-FR"/>
        </w:rPr>
        <w:t>FRPI            Force de Resistance  Patriotique en Ituri</w:t>
      </w:r>
    </w:p>
    <w:p w14:paraId="153221BD" w14:textId="77777777" w:rsidR="00FB0D28" w:rsidRPr="0047777C" w:rsidRDefault="00FB0D28" w:rsidP="00FB0D28">
      <w:pPr>
        <w:jc w:val="both"/>
        <w:rPr>
          <w:rFonts w:ascii="Times New Roman" w:hAnsi="Times New Roman"/>
        </w:rPr>
      </w:pPr>
      <w:r w:rsidRPr="0047777C">
        <w:rPr>
          <w:rFonts w:ascii="Times New Roman" w:hAnsi="Times New Roman"/>
        </w:rPr>
        <w:t>GA               General Assembly</w:t>
      </w:r>
    </w:p>
    <w:p w14:paraId="3F4514AB" w14:textId="77777777" w:rsidR="00FB0D28" w:rsidRPr="0047777C" w:rsidRDefault="00FB0D28" w:rsidP="00FB0D28">
      <w:pPr>
        <w:jc w:val="both"/>
        <w:rPr>
          <w:rFonts w:ascii="Times New Roman" w:hAnsi="Times New Roman"/>
        </w:rPr>
      </w:pPr>
      <w:r w:rsidRPr="0047777C">
        <w:rPr>
          <w:rFonts w:ascii="Times New Roman" w:hAnsi="Times New Roman"/>
        </w:rPr>
        <w:t xml:space="preserve">HRC             Human Rights </w:t>
      </w:r>
      <w:proofErr w:type="spellStart"/>
      <w:r w:rsidRPr="0047777C">
        <w:rPr>
          <w:rFonts w:ascii="Times New Roman" w:hAnsi="Times New Roman"/>
        </w:rPr>
        <w:t>Center</w:t>
      </w:r>
      <w:proofErr w:type="spellEnd"/>
      <w:r w:rsidRPr="0047777C">
        <w:rPr>
          <w:rFonts w:ascii="Times New Roman" w:hAnsi="Times New Roman"/>
        </w:rPr>
        <w:t>, University of California, Berkeley</w:t>
      </w:r>
    </w:p>
    <w:p w14:paraId="5836C920" w14:textId="77777777" w:rsidR="00FB0D28" w:rsidRPr="0047777C" w:rsidRDefault="00FB0D28" w:rsidP="00FB0D28">
      <w:pPr>
        <w:jc w:val="both"/>
        <w:rPr>
          <w:rFonts w:ascii="Times New Roman" w:hAnsi="Times New Roman"/>
        </w:rPr>
      </w:pPr>
      <w:r w:rsidRPr="0047777C">
        <w:rPr>
          <w:rFonts w:ascii="Times New Roman" w:hAnsi="Times New Roman"/>
        </w:rPr>
        <w:t>HRW           Human Rights Watch</w:t>
      </w:r>
    </w:p>
    <w:p w14:paraId="48CEA4C5" w14:textId="77777777" w:rsidR="00FB0D28" w:rsidRPr="0047777C" w:rsidRDefault="00FB0D28" w:rsidP="00FB0D28">
      <w:pPr>
        <w:jc w:val="both"/>
        <w:rPr>
          <w:rFonts w:ascii="Times New Roman" w:hAnsi="Times New Roman"/>
        </w:rPr>
      </w:pPr>
      <w:r w:rsidRPr="0047777C">
        <w:rPr>
          <w:rFonts w:ascii="Times New Roman" w:hAnsi="Times New Roman"/>
        </w:rPr>
        <w:t>ICC              International Criminal Court</w:t>
      </w:r>
    </w:p>
    <w:p w14:paraId="3A93F2BB" w14:textId="77777777" w:rsidR="00FB0D28" w:rsidRPr="0047777C" w:rsidRDefault="00FB0D28" w:rsidP="00FB0D28">
      <w:pPr>
        <w:jc w:val="both"/>
        <w:rPr>
          <w:rFonts w:ascii="Times New Roman" w:hAnsi="Times New Roman"/>
        </w:rPr>
      </w:pPr>
      <w:r w:rsidRPr="0047777C">
        <w:rPr>
          <w:rFonts w:ascii="Times New Roman" w:hAnsi="Times New Roman"/>
        </w:rPr>
        <w:t>Ibid               Ibidem</w:t>
      </w:r>
    </w:p>
    <w:p w14:paraId="58D3CF9E" w14:textId="77777777" w:rsidR="00FB0D28" w:rsidRPr="0047777C" w:rsidRDefault="00FB0D28" w:rsidP="00FB0D28">
      <w:pPr>
        <w:jc w:val="both"/>
        <w:rPr>
          <w:rFonts w:ascii="Times New Roman" w:hAnsi="Times New Roman"/>
        </w:rPr>
      </w:pPr>
      <w:r w:rsidRPr="0047777C">
        <w:rPr>
          <w:rFonts w:ascii="Times New Roman" w:hAnsi="Times New Roman"/>
        </w:rPr>
        <w:t>IW               Impunity Watch</w:t>
      </w:r>
    </w:p>
    <w:p w14:paraId="50D0B883" w14:textId="77777777" w:rsidR="00FB0D28" w:rsidRPr="0047777C" w:rsidRDefault="00FB0D28" w:rsidP="00FB0D28">
      <w:pPr>
        <w:jc w:val="both"/>
        <w:rPr>
          <w:rFonts w:ascii="Times New Roman" w:hAnsi="Times New Roman"/>
        </w:rPr>
      </w:pPr>
      <w:r w:rsidRPr="0047777C">
        <w:rPr>
          <w:rFonts w:ascii="Times New Roman" w:hAnsi="Times New Roman"/>
        </w:rPr>
        <w:t>LRA             Lord Resistance Army</w:t>
      </w:r>
    </w:p>
    <w:p w14:paraId="72436ACE" w14:textId="77777777" w:rsidR="00FB0D28" w:rsidRPr="0047777C" w:rsidRDefault="00FB0D28" w:rsidP="00FB0D28">
      <w:pPr>
        <w:jc w:val="both"/>
        <w:rPr>
          <w:rFonts w:ascii="Times New Roman" w:hAnsi="Times New Roman"/>
        </w:rPr>
      </w:pPr>
      <w:r w:rsidRPr="0047777C">
        <w:rPr>
          <w:rFonts w:ascii="Times New Roman" w:hAnsi="Times New Roman"/>
        </w:rPr>
        <w:t>LRVs            Legal Representatives of Victims</w:t>
      </w:r>
    </w:p>
    <w:p w14:paraId="1F654C49" w14:textId="77777777" w:rsidR="00FB0D28" w:rsidRPr="0047777C" w:rsidRDefault="00FB0D28" w:rsidP="00FB0D28">
      <w:pPr>
        <w:jc w:val="both"/>
        <w:rPr>
          <w:rFonts w:ascii="Times New Roman" w:hAnsi="Times New Roman"/>
        </w:rPr>
      </w:pPr>
      <w:r w:rsidRPr="0047777C">
        <w:rPr>
          <w:rFonts w:ascii="Times New Roman" w:hAnsi="Times New Roman"/>
        </w:rPr>
        <w:t>NGO            Non-Governmental Organisation</w:t>
      </w:r>
    </w:p>
    <w:p w14:paraId="0C2C5248" w14:textId="77777777" w:rsidR="00FB0D28" w:rsidRPr="0047777C" w:rsidRDefault="00FB0D28" w:rsidP="00FB0D28">
      <w:pPr>
        <w:jc w:val="both"/>
        <w:rPr>
          <w:rFonts w:ascii="Times New Roman" w:hAnsi="Times New Roman"/>
        </w:rPr>
      </w:pPr>
      <w:r w:rsidRPr="0047777C">
        <w:rPr>
          <w:rFonts w:ascii="Times New Roman" w:hAnsi="Times New Roman"/>
        </w:rPr>
        <w:t>OTP              Office of the Prosecutor</w:t>
      </w:r>
    </w:p>
    <w:p w14:paraId="1B5D4BC1" w14:textId="77777777" w:rsidR="00FB0D28" w:rsidRPr="0047777C" w:rsidRDefault="00FB0D28" w:rsidP="00FB0D28">
      <w:pPr>
        <w:jc w:val="both"/>
        <w:rPr>
          <w:rFonts w:ascii="Times New Roman" w:hAnsi="Times New Roman"/>
        </w:rPr>
      </w:pPr>
      <w:r w:rsidRPr="0047777C">
        <w:rPr>
          <w:rFonts w:ascii="Times New Roman" w:hAnsi="Times New Roman"/>
        </w:rPr>
        <w:t>OPCV          Office of Public Counsel for Victims</w:t>
      </w:r>
    </w:p>
    <w:p w14:paraId="652FFC69" w14:textId="233D197C" w:rsidR="00FB0D28" w:rsidRPr="0047777C" w:rsidRDefault="00FB0D28" w:rsidP="00FB0D28">
      <w:pPr>
        <w:jc w:val="both"/>
        <w:rPr>
          <w:rFonts w:ascii="Times New Roman" w:hAnsi="Times New Roman"/>
        </w:rPr>
      </w:pPr>
      <w:r w:rsidRPr="0047777C">
        <w:rPr>
          <w:rFonts w:ascii="Times New Roman" w:hAnsi="Times New Roman"/>
        </w:rPr>
        <w:t xml:space="preserve">OPCD          Office of the Public Counsel for </w:t>
      </w:r>
      <w:proofErr w:type="spellStart"/>
      <w:r w:rsidRPr="0047777C">
        <w:rPr>
          <w:rFonts w:ascii="Times New Roman" w:hAnsi="Times New Roman"/>
        </w:rPr>
        <w:t>Defense</w:t>
      </w:r>
      <w:proofErr w:type="spellEnd"/>
    </w:p>
    <w:p w14:paraId="7CF3250D" w14:textId="7A6C2E67" w:rsidR="00FB0D28" w:rsidRPr="00C310AB" w:rsidRDefault="00FB0D28" w:rsidP="00FB0D28">
      <w:pPr>
        <w:jc w:val="both"/>
        <w:rPr>
          <w:rFonts w:ascii="Times New Roman" w:hAnsi="Times New Roman"/>
          <w:lang w:val="fr-FR"/>
        </w:rPr>
      </w:pPr>
      <w:r w:rsidRPr="00C310AB">
        <w:rPr>
          <w:rFonts w:ascii="Times New Roman" w:hAnsi="Times New Roman"/>
          <w:lang w:val="fr-FR"/>
        </w:rPr>
        <w:t xml:space="preserve">Par.               </w:t>
      </w:r>
      <w:proofErr w:type="spellStart"/>
      <w:r w:rsidRPr="00C310AB">
        <w:rPr>
          <w:rFonts w:ascii="Times New Roman" w:hAnsi="Times New Roman"/>
          <w:lang w:val="fr-FR"/>
        </w:rPr>
        <w:t>Paragraph</w:t>
      </w:r>
      <w:proofErr w:type="spellEnd"/>
    </w:p>
    <w:p w14:paraId="16E16CEB" w14:textId="20FF3A4C" w:rsidR="00FB0D28" w:rsidRPr="00C310AB" w:rsidRDefault="00FB0D28" w:rsidP="00FB0D28">
      <w:pPr>
        <w:jc w:val="both"/>
        <w:rPr>
          <w:rFonts w:ascii="Times New Roman" w:hAnsi="Times New Roman"/>
          <w:lang w:val="fr-FR"/>
        </w:rPr>
      </w:pPr>
      <w:r w:rsidRPr="00C310AB">
        <w:rPr>
          <w:rFonts w:ascii="Times New Roman" w:hAnsi="Times New Roman"/>
          <w:lang w:val="fr-FR"/>
        </w:rPr>
        <w:lastRenderedPageBreak/>
        <w:t xml:space="preserve">Para.             </w:t>
      </w:r>
      <w:proofErr w:type="spellStart"/>
      <w:r w:rsidRPr="00C310AB">
        <w:rPr>
          <w:rFonts w:ascii="Times New Roman" w:hAnsi="Times New Roman"/>
          <w:lang w:val="fr-FR"/>
        </w:rPr>
        <w:t>Paragraphs</w:t>
      </w:r>
      <w:proofErr w:type="spellEnd"/>
    </w:p>
    <w:p w14:paraId="611C3D53" w14:textId="09ABDB0D" w:rsidR="00FB0D28" w:rsidRPr="00C310AB" w:rsidRDefault="00FB0D28" w:rsidP="00FB0D28">
      <w:pPr>
        <w:jc w:val="both"/>
        <w:rPr>
          <w:rFonts w:ascii="Times New Roman" w:hAnsi="Times New Roman"/>
          <w:lang w:val="fr-FR"/>
        </w:rPr>
      </w:pPr>
      <w:r w:rsidRPr="00C310AB">
        <w:rPr>
          <w:rFonts w:ascii="Times New Roman" w:hAnsi="Times New Roman"/>
          <w:lang w:val="fr-FR"/>
        </w:rPr>
        <w:t>P.                  Page</w:t>
      </w:r>
    </w:p>
    <w:p w14:paraId="13697DB6" w14:textId="77777777" w:rsidR="00FB0D28" w:rsidRPr="00C310AB" w:rsidRDefault="00FB0D28" w:rsidP="00FB0D28">
      <w:pPr>
        <w:jc w:val="both"/>
        <w:rPr>
          <w:rFonts w:ascii="Times New Roman" w:hAnsi="Times New Roman"/>
          <w:lang w:val="fr-FR"/>
        </w:rPr>
      </w:pPr>
      <w:r w:rsidRPr="00C310AB">
        <w:rPr>
          <w:rFonts w:ascii="Times New Roman" w:hAnsi="Times New Roman"/>
          <w:lang w:val="fr-FR"/>
        </w:rPr>
        <w:t>PP.               Pages</w:t>
      </w:r>
    </w:p>
    <w:p w14:paraId="51085973" w14:textId="77777777" w:rsidR="00FB0D28" w:rsidRPr="00C310AB" w:rsidRDefault="00FB0D28" w:rsidP="00FB0D28">
      <w:pPr>
        <w:jc w:val="both"/>
        <w:rPr>
          <w:rFonts w:ascii="Times New Roman" w:hAnsi="Times New Roman"/>
          <w:lang w:val="fr-FR"/>
        </w:rPr>
      </w:pPr>
      <w:r w:rsidRPr="00C310AB">
        <w:rPr>
          <w:rFonts w:ascii="Times New Roman" w:hAnsi="Times New Roman"/>
          <w:lang w:val="fr-FR"/>
        </w:rPr>
        <w:t xml:space="preserve">PTC             Pre-Trial </w:t>
      </w:r>
      <w:proofErr w:type="spellStart"/>
      <w:r w:rsidRPr="00C310AB">
        <w:rPr>
          <w:rFonts w:ascii="Times New Roman" w:hAnsi="Times New Roman"/>
          <w:lang w:val="fr-FR"/>
        </w:rPr>
        <w:t>Chamber</w:t>
      </w:r>
      <w:proofErr w:type="spellEnd"/>
    </w:p>
    <w:p w14:paraId="485C82AB" w14:textId="77777777" w:rsidR="00FB0D28" w:rsidRPr="0047777C" w:rsidRDefault="00FB0D28" w:rsidP="00FB0D28">
      <w:pPr>
        <w:jc w:val="both"/>
        <w:rPr>
          <w:rFonts w:ascii="Times New Roman" w:hAnsi="Times New Roman"/>
        </w:rPr>
      </w:pPr>
      <w:r w:rsidRPr="0047777C">
        <w:rPr>
          <w:rFonts w:ascii="Times New Roman" w:hAnsi="Times New Roman"/>
        </w:rPr>
        <w:t>TC                Trial Chamber</w:t>
      </w:r>
    </w:p>
    <w:p w14:paraId="200DB78F" w14:textId="77777777" w:rsidR="00FB0D28" w:rsidRPr="0047777C" w:rsidRDefault="00FB0D28" w:rsidP="00FB0D28">
      <w:pPr>
        <w:jc w:val="both"/>
        <w:rPr>
          <w:rFonts w:ascii="Times New Roman" w:hAnsi="Times New Roman"/>
        </w:rPr>
      </w:pPr>
      <w:r w:rsidRPr="0047777C">
        <w:rPr>
          <w:rFonts w:ascii="Times New Roman" w:hAnsi="Times New Roman"/>
        </w:rPr>
        <w:t>Reg.              Regulations of the Court</w:t>
      </w:r>
    </w:p>
    <w:p w14:paraId="4947AFD5" w14:textId="77777777" w:rsidR="00FB0D28" w:rsidRPr="0047777C" w:rsidRDefault="00FB0D28" w:rsidP="00FB0D28">
      <w:pPr>
        <w:jc w:val="both"/>
        <w:rPr>
          <w:rFonts w:ascii="Times New Roman" w:hAnsi="Times New Roman"/>
        </w:rPr>
      </w:pPr>
      <w:r w:rsidRPr="0047777C">
        <w:rPr>
          <w:rFonts w:ascii="Times New Roman" w:hAnsi="Times New Roman"/>
        </w:rPr>
        <w:t>RPE              Rules of Procedure and Evidence</w:t>
      </w:r>
    </w:p>
    <w:p w14:paraId="5E3151C6" w14:textId="3C4704EF" w:rsidR="00FB0D28" w:rsidRPr="0047777C" w:rsidRDefault="00FB0D28" w:rsidP="00FB0D28">
      <w:pPr>
        <w:jc w:val="both"/>
        <w:rPr>
          <w:rFonts w:ascii="Times New Roman" w:hAnsi="Times New Roman"/>
        </w:rPr>
      </w:pPr>
      <w:r w:rsidRPr="0047777C">
        <w:rPr>
          <w:rFonts w:ascii="Times New Roman" w:hAnsi="Times New Roman"/>
        </w:rPr>
        <w:t>SCSL           Special Court for Sierra Leone</w:t>
      </w:r>
    </w:p>
    <w:p w14:paraId="251AF924" w14:textId="19CBD8C0" w:rsidR="00FB0D28" w:rsidRDefault="00FB0D28" w:rsidP="00FB0D28">
      <w:pPr>
        <w:jc w:val="both"/>
        <w:rPr>
          <w:rFonts w:ascii="Times New Roman" w:hAnsi="Times New Roman"/>
        </w:rPr>
      </w:pPr>
      <w:r w:rsidRPr="0047777C">
        <w:rPr>
          <w:rFonts w:ascii="Times New Roman" w:hAnsi="Times New Roman"/>
        </w:rPr>
        <w:t>SGBV           Sexual and Gender-Based Violence</w:t>
      </w:r>
    </w:p>
    <w:p w14:paraId="16D49640" w14:textId="7A076B75" w:rsidR="00FB0D28" w:rsidRDefault="00FB0D28" w:rsidP="00FB0D28">
      <w:pPr>
        <w:jc w:val="both"/>
        <w:rPr>
          <w:rFonts w:ascii="Times New Roman" w:hAnsi="Times New Roman"/>
        </w:rPr>
      </w:pPr>
      <w:r w:rsidRPr="0047777C">
        <w:rPr>
          <w:rFonts w:ascii="Times New Roman" w:hAnsi="Times New Roman"/>
        </w:rPr>
        <w:t>UDHR           Universal Declaration of Human Rights</w:t>
      </w:r>
    </w:p>
    <w:p w14:paraId="7494C341" w14:textId="09B2574D" w:rsidR="00FB0D28" w:rsidRPr="0047777C" w:rsidRDefault="00582C37" w:rsidP="00FB0D28">
      <w:pPr>
        <w:jc w:val="both"/>
        <w:rPr>
          <w:rFonts w:ascii="Times New Roman" w:hAnsi="Times New Roman"/>
        </w:rPr>
      </w:pPr>
      <w:r>
        <w:rPr>
          <w:rFonts w:ascii="Times New Roman" w:hAnsi="Times New Roman"/>
        </w:rPr>
        <w:t xml:space="preserve">UK                 </w:t>
      </w:r>
      <w:r w:rsidR="00FB0D28">
        <w:rPr>
          <w:rFonts w:ascii="Times New Roman" w:hAnsi="Times New Roman"/>
        </w:rPr>
        <w:t>United Kingdom</w:t>
      </w:r>
      <w:r w:rsidR="00FB0D28" w:rsidRPr="0047777C">
        <w:rPr>
          <w:rFonts w:ascii="Times New Roman" w:hAnsi="Times New Roman"/>
        </w:rPr>
        <w:t xml:space="preserve"> </w:t>
      </w:r>
    </w:p>
    <w:p w14:paraId="0A1382B0" w14:textId="77777777" w:rsidR="00FB0D28" w:rsidRPr="0047777C" w:rsidRDefault="00FB0D28" w:rsidP="00FB0D28">
      <w:pPr>
        <w:jc w:val="both"/>
        <w:rPr>
          <w:rFonts w:ascii="Times New Roman" w:hAnsi="Times New Roman"/>
        </w:rPr>
      </w:pPr>
      <w:r w:rsidRPr="0047777C">
        <w:rPr>
          <w:rFonts w:ascii="Times New Roman" w:hAnsi="Times New Roman"/>
        </w:rPr>
        <w:t>UN                 United Nations</w:t>
      </w:r>
    </w:p>
    <w:p w14:paraId="298946F9" w14:textId="77777777" w:rsidR="00FB0D28" w:rsidRPr="00C310AB" w:rsidRDefault="00FB0D28" w:rsidP="00FB0D28">
      <w:pPr>
        <w:jc w:val="both"/>
        <w:rPr>
          <w:rFonts w:ascii="Times New Roman" w:hAnsi="Times New Roman"/>
          <w:lang w:val="fr-FR"/>
        </w:rPr>
      </w:pPr>
      <w:r w:rsidRPr="00C310AB">
        <w:rPr>
          <w:rFonts w:ascii="Times New Roman" w:hAnsi="Times New Roman"/>
          <w:lang w:val="fr-FR"/>
        </w:rPr>
        <w:t>UPC              Union des Patriotes Congolais</w:t>
      </w:r>
    </w:p>
    <w:p w14:paraId="1274784E" w14:textId="77777777" w:rsidR="00FB0D28" w:rsidRPr="00C310AB" w:rsidRDefault="00FB0D28" w:rsidP="00FB0D28">
      <w:pPr>
        <w:jc w:val="both"/>
        <w:rPr>
          <w:rFonts w:ascii="Times New Roman" w:hAnsi="Times New Roman"/>
          <w:lang w:val="fr-FR"/>
        </w:rPr>
      </w:pPr>
      <w:r w:rsidRPr="00C310AB">
        <w:rPr>
          <w:rFonts w:ascii="Times New Roman" w:hAnsi="Times New Roman"/>
          <w:lang w:val="fr-FR"/>
        </w:rPr>
        <w:t>VIS</w:t>
      </w:r>
      <w:r w:rsidR="00F95CCE" w:rsidRPr="00C310AB">
        <w:rPr>
          <w:rFonts w:ascii="Times New Roman" w:hAnsi="Times New Roman"/>
          <w:lang w:val="fr-FR"/>
        </w:rPr>
        <w:t xml:space="preserve">               </w:t>
      </w:r>
      <w:r w:rsidRPr="00C310AB">
        <w:rPr>
          <w:rFonts w:ascii="Times New Roman" w:hAnsi="Times New Roman"/>
          <w:lang w:val="fr-FR"/>
        </w:rPr>
        <w:t xml:space="preserve"> </w:t>
      </w:r>
      <w:proofErr w:type="spellStart"/>
      <w:r w:rsidRPr="00C310AB">
        <w:rPr>
          <w:rFonts w:ascii="Times New Roman" w:hAnsi="Times New Roman"/>
          <w:lang w:val="fr-FR"/>
        </w:rPr>
        <w:t>Victim</w:t>
      </w:r>
      <w:proofErr w:type="spellEnd"/>
      <w:r w:rsidRPr="00C310AB">
        <w:rPr>
          <w:rFonts w:ascii="Times New Roman" w:hAnsi="Times New Roman"/>
          <w:lang w:val="fr-FR"/>
        </w:rPr>
        <w:t xml:space="preserve"> Impact </w:t>
      </w:r>
      <w:proofErr w:type="spellStart"/>
      <w:r w:rsidRPr="00C310AB">
        <w:rPr>
          <w:rFonts w:ascii="Times New Roman" w:hAnsi="Times New Roman"/>
          <w:lang w:val="fr-FR"/>
        </w:rPr>
        <w:t>Statement</w:t>
      </w:r>
      <w:proofErr w:type="spellEnd"/>
    </w:p>
    <w:p w14:paraId="19380482" w14:textId="77777777" w:rsidR="00FB0D28" w:rsidRPr="0047777C" w:rsidRDefault="00FB0D28" w:rsidP="00FB0D28">
      <w:pPr>
        <w:jc w:val="both"/>
        <w:rPr>
          <w:rFonts w:ascii="Times New Roman" w:hAnsi="Times New Roman"/>
        </w:rPr>
      </w:pPr>
      <w:r>
        <w:rPr>
          <w:rFonts w:ascii="Times New Roman" w:hAnsi="Times New Roman"/>
        </w:rPr>
        <w:t>VOL              Volume</w:t>
      </w:r>
    </w:p>
    <w:p w14:paraId="15119D3C" w14:textId="77777777" w:rsidR="00FB0D28" w:rsidRPr="0047777C" w:rsidRDefault="00FB0D28" w:rsidP="00FB0D28">
      <w:pPr>
        <w:jc w:val="both"/>
        <w:rPr>
          <w:rFonts w:ascii="Times New Roman" w:hAnsi="Times New Roman"/>
        </w:rPr>
      </w:pPr>
      <w:r w:rsidRPr="0047777C">
        <w:rPr>
          <w:rFonts w:ascii="Times New Roman" w:hAnsi="Times New Roman"/>
        </w:rPr>
        <w:t>VPS                Victim Personal Statement</w:t>
      </w:r>
    </w:p>
    <w:p w14:paraId="5FC9CE80" w14:textId="77777777" w:rsidR="00FB0D28" w:rsidRPr="0047777C" w:rsidRDefault="00FB0D28" w:rsidP="00FB0D28">
      <w:pPr>
        <w:jc w:val="both"/>
        <w:rPr>
          <w:rFonts w:ascii="Times New Roman" w:hAnsi="Times New Roman"/>
        </w:rPr>
      </w:pPr>
      <w:r w:rsidRPr="0047777C">
        <w:rPr>
          <w:rFonts w:ascii="Times New Roman" w:hAnsi="Times New Roman"/>
        </w:rPr>
        <w:t>VPRS 1          Victims Participation and Reparations Section</w:t>
      </w:r>
    </w:p>
    <w:p w14:paraId="1127A57C" w14:textId="77777777" w:rsidR="00C310AB" w:rsidRDefault="00FB0D28" w:rsidP="00FB0D28">
      <w:pPr>
        <w:jc w:val="both"/>
        <w:rPr>
          <w:rFonts w:ascii="Times New Roman" w:hAnsi="Times New Roman"/>
        </w:rPr>
      </w:pPr>
      <w:r w:rsidRPr="0047777C">
        <w:rPr>
          <w:rFonts w:ascii="Times New Roman" w:hAnsi="Times New Roman"/>
        </w:rPr>
        <w:t>WIGJ            Wom</w:t>
      </w:r>
      <w:r>
        <w:rPr>
          <w:rFonts w:ascii="Times New Roman" w:hAnsi="Times New Roman"/>
        </w:rPr>
        <w:t>en Initiatives for Gender Justice</w:t>
      </w:r>
    </w:p>
    <w:p w14:paraId="7555B65D" w14:textId="77777777" w:rsidR="00C310AB" w:rsidRDefault="00C310AB" w:rsidP="00FB0D28">
      <w:pPr>
        <w:jc w:val="both"/>
        <w:rPr>
          <w:rFonts w:ascii="Times New Roman" w:hAnsi="Times New Roman"/>
        </w:rPr>
      </w:pPr>
    </w:p>
    <w:p w14:paraId="20E6A549" w14:textId="77777777" w:rsidR="00C310AB" w:rsidRDefault="00C310AB" w:rsidP="00FB0D28">
      <w:pPr>
        <w:jc w:val="both"/>
        <w:rPr>
          <w:rFonts w:ascii="Times New Roman" w:hAnsi="Times New Roman"/>
        </w:rPr>
      </w:pPr>
    </w:p>
    <w:p w14:paraId="18D325B8" w14:textId="7441F1D0" w:rsidR="00FB0D28" w:rsidRPr="008C23E8" w:rsidRDefault="008C23E8" w:rsidP="00C310AB">
      <w:pPr>
        <w:rPr>
          <w:rFonts w:ascii="Times New Roman" w:hAnsi="Times New Roman"/>
        </w:rPr>
      </w:pPr>
      <w:r>
        <w:rPr>
          <w:rFonts w:ascii="Times New Roman" w:hAnsi="Times New Roman"/>
          <w:b/>
        </w:rPr>
        <w:lastRenderedPageBreak/>
        <w:t>COPYRIGHT</w:t>
      </w:r>
      <w:r w:rsidR="00FB0D28" w:rsidRPr="0047777C">
        <w:rPr>
          <w:rFonts w:ascii="Times New Roman" w:hAnsi="Times New Roman"/>
          <w:b/>
        </w:rPr>
        <w:t xml:space="preserve"> D</w:t>
      </w:r>
      <w:r>
        <w:rPr>
          <w:rFonts w:ascii="Times New Roman" w:hAnsi="Times New Roman"/>
          <w:b/>
        </w:rPr>
        <w:t>ECLARATION</w:t>
      </w:r>
    </w:p>
    <w:p w14:paraId="775AB179" w14:textId="703C8EA8" w:rsidR="00FB0D28" w:rsidRDefault="00FB0D28" w:rsidP="00C310AB">
      <w:pPr>
        <w:jc w:val="both"/>
        <w:rPr>
          <w:rFonts w:ascii="Times New Roman" w:hAnsi="Times New Roman"/>
        </w:rPr>
      </w:pPr>
      <w:r>
        <w:rPr>
          <w:rFonts w:ascii="Times New Roman" w:hAnsi="Times New Roman"/>
        </w:rPr>
        <w:t>It is hereby stated that despite references to other works, research</w:t>
      </w:r>
      <w:r w:rsidR="006D3444">
        <w:rPr>
          <w:rFonts w:ascii="Times New Roman" w:hAnsi="Times New Roman"/>
        </w:rPr>
        <w:t xml:space="preserve">, journals, laws, and judicial decisions, which have been duly attributed, cited or referred herein, the </w:t>
      </w:r>
      <w:r w:rsidR="00F72A5B">
        <w:rPr>
          <w:rFonts w:ascii="Times New Roman" w:hAnsi="Times New Roman"/>
        </w:rPr>
        <w:t>study</w:t>
      </w:r>
      <w:r w:rsidR="006D3444">
        <w:rPr>
          <w:rFonts w:ascii="Times New Roman" w:hAnsi="Times New Roman"/>
        </w:rPr>
        <w:t xml:space="preserve"> is the researcher's work</w:t>
      </w:r>
      <w:r>
        <w:rPr>
          <w:rFonts w:ascii="Times New Roman" w:hAnsi="Times New Roman"/>
        </w:rPr>
        <w:t xml:space="preserve"> for the degree honour of Doctor of Philosophy in Law.</w:t>
      </w:r>
    </w:p>
    <w:p w14:paraId="6D57608C" w14:textId="77777777" w:rsidR="00FB0D28" w:rsidRDefault="00FB0D28" w:rsidP="00C310AB">
      <w:pPr>
        <w:jc w:val="both"/>
        <w:rPr>
          <w:rFonts w:ascii="Times New Roman" w:hAnsi="Times New Roman"/>
        </w:rPr>
      </w:pPr>
      <w:r>
        <w:rPr>
          <w:rFonts w:ascii="Times New Roman" w:hAnsi="Times New Roman"/>
        </w:rPr>
        <w:t xml:space="preserve">This is to draw attention to the fact that </w:t>
      </w:r>
      <w:r w:rsidR="008C23E8">
        <w:rPr>
          <w:rFonts w:ascii="Times New Roman" w:hAnsi="Times New Roman"/>
        </w:rPr>
        <w:t xml:space="preserve">the </w:t>
      </w:r>
      <w:r>
        <w:rPr>
          <w:rFonts w:ascii="Times New Roman" w:hAnsi="Times New Roman"/>
        </w:rPr>
        <w:t>copyright of this thesis vests with</w:t>
      </w:r>
      <w:r w:rsidR="00DA721E">
        <w:rPr>
          <w:rFonts w:ascii="Times New Roman" w:hAnsi="Times New Roman"/>
        </w:rPr>
        <w:t>:</w:t>
      </w:r>
    </w:p>
    <w:p w14:paraId="4C1FC2C9" w14:textId="4B5FAA93" w:rsidR="00FB0D28" w:rsidRDefault="00FB0D28" w:rsidP="00C310AB">
      <w:pPr>
        <w:jc w:val="both"/>
        <w:rPr>
          <w:rFonts w:ascii="Times New Roman" w:hAnsi="Times New Roman"/>
        </w:rPr>
      </w:pPr>
      <w:r>
        <w:rPr>
          <w:rFonts w:ascii="Times New Roman" w:hAnsi="Times New Roman"/>
        </w:rPr>
        <w:t>1.</w:t>
      </w:r>
      <w:r w:rsidR="00C310AB">
        <w:rPr>
          <w:rFonts w:ascii="Times New Roman" w:hAnsi="Times New Roman"/>
        </w:rPr>
        <w:tab/>
      </w:r>
      <w:r>
        <w:rPr>
          <w:rFonts w:ascii="Times New Roman" w:hAnsi="Times New Roman"/>
        </w:rPr>
        <w:t>Anglia Ruskin University for one year and thereafter with</w:t>
      </w:r>
    </w:p>
    <w:p w14:paraId="79807075" w14:textId="0879EC6F" w:rsidR="00FB0D28" w:rsidRPr="00C310AB" w:rsidRDefault="00FB0D28" w:rsidP="00C310AB">
      <w:pPr>
        <w:jc w:val="both"/>
        <w:rPr>
          <w:rFonts w:ascii="Times New Roman" w:hAnsi="Times New Roman"/>
          <w:lang w:val="it-IT"/>
        </w:rPr>
      </w:pPr>
      <w:r w:rsidRPr="00C310AB">
        <w:rPr>
          <w:rFonts w:ascii="Times New Roman" w:hAnsi="Times New Roman"/>
          <w:lang w:val="it-IT"/>
        </w:rPr>
        <w:t>2.</w:t>
      </w:r>
      <w:r w:rsidR="00C310AB">
        <w:rPr>
          <w:rFonts w:ascii="Times New Roman" w:hAnsi="Times New Roman"/>
          <w:lang w:val="it-IT"/>
        </w:rPr>
        <w:tab/>
      </w:r>
      <w:r w:rsidRPr="00C310AB">
        <w:rPr>
          <w:rFonts w:ascii="Times New Roman" w:hAnsi="Times New Roman"/>
          <w:lang w:val="it-IT"/>
        </w:rPr>
        <w:t>Oriola O</w:t>
      </w:r>
      <w:r w:rsidR="005256AC">
        <w:rPr>
          <w:rFonts w:ascii="Times New Roman" w:hAnsi="Times New Roman"/>
          <w:lang w:val="it-IT"/>
        </w:rPr>
        <w:t>.</w:t>
      </w:r>
      <w:r w:rsidRPr="00C310AB">
        <w:rPr>
          <w:rFonts w:ascii="Times New Roman" w:hAnsi="Times New Roman"/>
          <w:lang w:val="it-IT"/>
        </w:rPr>
        <w:t xml:space="preserve"> Oyewole.</w:t>
      </w:r>
    </w:p>
    <w:p w14:paraId="4F6737BB" w14:textId="77777777" w:rsidR="00FB0D28" w:rsidRPr="00C310AB" w:rsidRDefault="00FB0D28" w:rsidP="00FB0D28">
      <w:pPr>
        <w:spacing w:line="480" w:lineRule="auto"/>
        <w:jc w:val="both"/>
        <w:rPr>
          <w:rFonts w:ascii="Times New Roman" w:hAnsi="Times New Roman"/>
          <w:lang w:val="it-IT"/>
        </w:rPr>
      </w:pPr>
      <w:r w:rsidRPr="00C310AB">
        <w:rPr>
          <w:rFonts w:ascii="Times New Roman" w:hAnsi="Times New Roman"/>
          <w:b/>
          <w:lang w:val="it-IT"/>
        </w:rPr>
        <w:t xml:space="preserve"> </w:t>
      </w:r>
    </w:p>
    <w:p w14:paraId="45D1EB42" w14:textId="77777777" w:rsidR="00FB0D28" w:rsidRPr="00C310AB" w:rsidRDefault="00FB0D28" w:rsidP="00FB0D28">
      <w:pPr>
        <w:rPr>
          <w:lang w:val="it-IT"/>
        </w:rPr>
      </w:pPr>
    </w:p>
    <w:p w14:paraId="213B1327" w14:textId="77777777" w:rsidR="00FB0D28" w:rsidRPr="00C310AB" w:rsidRDefault="00FB0D28" w:rsidP="00FB0D28">
      <w:pPr>
        <w:rPr>
          <w:lang w:val="it-IT"/>
        </w:rPr>
      </w:pPr>
    </w:p>
    <w:p w14:paraId="725A8047" w14:textId="77777777" w:rsidR="00FB0D28" w:rsidRPr="00C310AB" w:rsidRDefault="00FB0D28" w:rsidP="00A57882">
      <w:pPr>
        <w:rPr>
          <w:b/>
          <w:sz w:val="36"/>
          <w:szCs w:val="36"/>
          <w:lang w:val="it-IT"/>
        </w:rPr>
      </w:pPr>
    </w:p>
    <w:p w14:paraId="14F81E14" w14:textId="77777777" w:rsidR="00FB0D28" w:rsidRPr="00C310AB" w:rsidRDefault="00FB0D28" w:rsidP="00A57882">
      <w:pPr>
        <w:rPr>
          <w:b/>
          <w:sz w:val="36"/>
          <w:szCs w:val="36"/>
          <w:lang w:val="it-IT"/>
        </w:rPr>
      </w:pPr>
    </w:p>
    <w:p w14:paraId="0DA6A987" w14:textId="77777777" w:rsidR="00FB0D28" w:rsidRPr="00C310AB" w:rsidRDefault="00FB0D28" w:rsidP="00A57882">
      <w:pPr>
        <w:rPr>
          <w:b/>
          <w:sz w:val="36"/>
          <w:szCs w:val="36"/>
          <w:lang w:val="it-IT"/>
        </w:rPr>
      </w:pPr>
    </w:p>
    <w:p w14:paraId="4DC265BA" w14:textId="77777777" w:rsidR="00FB0D28" w:rsidRPr="00C310AB" w:rsidRDefault="00FB0D28" w:rsidP="00A57882">
      <w:pPr>
        <w:rPr>
          <w:b/>
          <w:sz w:val="36"/>
          <w:szCs w:val="36"/>
          <w:lang w:val="it-IT"/>
        </w:rPr>
      </w:pPr>
    </w:p>
    <w:p w14:paraId="35C56790" w14:textId="77777777" w:rsidR="00FB0D28" w:rsidRPr="00C310AB" w:rsidRDefault="00FB0D28" w:rsidP="00A57882">
      <w:pPr>
        <w:rPr>
          <w:b/>
          <w:sz w:val="36"/>
          <w:szCs w:val="36"/>
          <w:lang w:val="it-IT"/>
        </w:rPr>
      </w:pPr>
    </w:p>
    <w:p w14:paraId="7122D4BA" w14:textId="77777777" w:rsidR="00FB0D28" w:rsidRPr="00C310AB" w:rsidRDefault="00FB0D28" w:rsidP="00A57882">
      <w:pPr>
        <w:rPr>
          <w:b/>
          <w:sz w:val="36"/>
          <w:szCs w:val="36"/>
          <w:lang w:val="it-IT"/>
        </w:rPr>
      </w:pPr>
    </w:p>
    <w:p w14:paraId="6047E678" w14:textId="77777777" w:rsidR="00FB0D28" w:rsidRPr="00C310AB" w:rsidRDefault="00FB0D28" w:rsidP="00A57882">
      <w:pPr>
        <w:rPr>
          <w:b/>
          <w:sz w:val="36"/>
          <w:szCs w:val="36"/>
          <w:lang w:val="it-IT"/>
        </w:rPr>
      </w:pPr>
    </w:p>
    <w:p w14:paraId="41617005" w14:textId="77777777" w:rsidR="00FB0D28" w:rsidRPr="00C310AB" w:rsidRDefault="00FB0D28" w:rsidP="00A57882">
      <w:pPr>
        <w:rPr>
          <w:b/>
          <w:sz w:val="36"/>
          <w:szCs w:val="36"/>
          <w:lang w:val="it-IT"/>
        </w:rPr>
      </w:pPr>
    </w:p>
    <w:p w14:paraId="52135545" w14:textId="77777777" w:rsidR="00A57882" w:rsidRPr="00C310AB" w:rsidRDefault="00A57882" w:rsidP="000543F0">
      <w:pPr>
        <w:jc w:val="center"/>
        <w:rPr>
          <w:rFonts w:ascii="Times New Roman" w:hAnsi="Times New Roman"/>
          <w:b/>
          <w:szCs w:val="24"/>
          <w:lang w:val="it-IT"/>
        </w:rPr>
      </w:pPr>
      <w:r w:rsidRPr="00C310AB">
        <w:rPr>
          <w:rFonts w:ascii="Times New Roman" w:hAnsi="Times New Roman"/>
          <w:b/>
          <w:szCs w:val="24"/>
          <w:lang w:val="it-IT"/>
        </w:rPr>
        <w:lastRenderedPageBreak/>
        <w:t>ANGLIA RUSKIN UNIVERSITY</w:t>
      </w:r>
    </w:p>
    <w:p w14:paraId="4ABB0FA8" w14:textId="77777777" w:rsidR="00A57882" w:rsidRPr="000543F0" w:rsidRDefault="00A57882" w:rsidP="000543F0">
      <w:pPr>
        <w:jc w:val="center"/>
        <w:rPr>
          <w:rFonts w:ascii="Times New Roman" w:hAnsi="Times New Roman"/>
          <w:b/>
        </w:rPr>
      </w:pPr>
      <w:r w:rsidRPr="000543F0">
        <w:rPr>
          <w:rFonts w:ascii="Times New Roman" w:hAnsi="Times New Roman"/>
          <w:b/>
        </w:rPr>
        <w:t>ABSTRACT</w:t>
      </w:r>
    </w:p>
    <w:p w14:paraId="055486D6" w14:textId="77777777" w:rsidR="00A57882" w:rsidRPr="000543F0" w:rsidRDefault="00A57882" w:rsidP="000543F0">
      <w:pPr>
        <w:jc w:val="center"/>
        <w:rPr>
          <w:rFonts w:ascii="Times New Roman" w:hAnsi="Times New Roman"/>
          <w:b/>
        </w:rPr>
      </w:pPr>
      <w:r w:rsidRPr="000543F0">
        <w:rPr>
          <w:rFonts w:ascii="Times New Roman" w:hAnsi="Times New Roman"/>
          <w:b/>
        </w:rPr>
        <w:t>FACULTY OF BUSINESS AND LAW</w:t>
      </w:r>
    </w:p>
    <w:p w14:paraId="16C57B50" w14:textId="77777777" w:rsidR="00A57882" w:rsidRPr="000543F0" w:rsidRDefault="00A57882" w:rsidP="000543F0">
      <w:pPr>
        <w:jc w:val="center"/>
        <w:rPr>
          <w:rFonts w:ascii="Times New Roman" w:hAnsi="Times New Roman"/>
          <w:b/>
        </w:rPr>
      </w:pPr>
      <w:r w:rsidRPr="000543F0">
        <w:rPr>
          <w:rFonts w:ascii="Times New Roman" w:hAnsi="Times New Roman"/>
          <w:b/>
        </w:rPr>
        <w:t>DOCTOR OF PHILOSOPHY</w:t>
      </w:r>
    </w:p>
    <w:p w14:paraId="31186F0D" w14:textId="77777777" w:rsidR="00A57882" w:rsidRPr="000543F0" w:rsidRDefault="00A57882" w:rsidP="000543F0">
      <w:pPr>
        <w:jc w:val="center"/>
        <w:rPr>
          <w:rFonts w:ascii="Times New Roman" w:hAnsi="Times New Roman"/>
          <w:b/>
        </w:rPr>
      </w:pPr>
      <w:r w:rsidRPr="000543F0">
        <w:rPr>
          <w:rFonts w:ascii="Times New Roman" w:hAnsi="Times New Roman"/>
          <w:b/>
        </w:rPr>
        <w:t>THE TREATMENT OF VICTIMS AT THE INTERNATIONAL CRIMINAL                   COURT</w:t>
      </w:r>
      <w:r w:rsidR="00D21F46" w:rsidRPr="000543F0">
        <w:rPr>
          <w:rFonts w:ascii="Times New Roman" w:hAnsi="Times New Roman"/>
          <w:b/>
        </w:rPr>
        <w:t xml:space="preserve"> CASES OF LUBANGA AND KATANGA</w:t>
      </w:r>
    </w:p>
    <w:p w14:paraId="1169080A" w14:textId="469A0981" w:rsidR="00A57882" w:rsidRDefault="00A57882" w:rsidP="000543F0">
      <w:pPr>
        <w:jc w:val="center"/>
        <w:rPr>
          <w:b/>
        </w:rPr>
      </w:pPr>
      <w:r>
        <w:rPr>
          <w:b/>
        </w:rPr>
        <w:t>ORIOLA O</w:t>
      </w:r>
      <w:r w:rsidR="005256AC">
        <w:rPr>
          <w:b/>
        </w:rPr>
        <w:t xml:space="preserve">. </w:t>
      </w:r>
      <w:r>
        <w:rPr>
          <w:b/>
        </w:rPr>
        <w:t>OYEWOLE</w:t>
      </w:r>
    </w:p>
    <w:p w14:paraId="05661199" w14:textId="77777777" w:rsidR="000543F0" w:rsidRPr="000543F0" w:rsidRDefault="000543F0" w:rsidP="000543F0">
      <w:pPr>
        <w:jc w:val="center"/>
        <w:rPr>
          <w:rFonts w:ascii="Times New Roman" w:hAnsi="Times New Roman"/>
          <w:b/>
        </w:rPr>
      </w:pPr>
      <w:r w:rsidRPr="000543F0">
        <w:rPr>
          <w:rFonts w:ascii="Times New Roman" w:hAnsi="Times New Roman"/>
          <w:b/>
        </w:rPr>
        <w:t>APRIL 2020</w:t>
      </w:r>
    </w:p>
    <w:p w14:paraId="1AD7DE67" w14:textId="5D5F4739" w:rsidR="00F817EB" w:rsidRPr="000543F0" w:rsidRDefault="00F817EB" w:rsidP="00F817EB">
      <w:pPr>
        <w:rPr>
          <w:rFonts w:ascii="Times New Roman" w:hAnsi="Times New Roman"/>
          <w:b/>
        </w:rPr>
      </w:pPr>
      <w:r w:rsidRPr="000543F0">
        <w:rPr>
          <w:rFonts w:ascii="Times New Roman" w:hAnsi="Times New Roman"/>
          <w:b/>
        </w:rPr>
        <w:t>Abstract</w:t>
      </w:r>
    </w:p>
    <w:p w14:paraId="37BDC345" w14:textId="476CD107" w:rsidR="0092720D" w:rsidRDefault="00A57882" w:rsidP="00582C37">
      <w:pPr>
        <w:spacing w:line="480" w:lineRule="auto"/>
        <w:jc w:val="both"/>
        <w:rPr>
          <w:rFonts w:ascii="Times New Roman" w:hAnsi="Times New Roman"/>
        </w:rPr>
      </w:pPr>
      <w:r w:rsidRPr="00167B4C">
        <w:rPr>
          <w:rFonts w:ascii="Times New Roman" w:hAnsi="Times New Roman"/>
        </w:rPr>
        <w:t xml:space="preserve">This thesis analyses the extent to which </w:t>
      </w:r>
      <w:r w:rsidR="006D3444">
        <w:rPr>
          <w:rFonts w:ascii="Times New Roman" w:hAnsi="Times New Roman"/>
        </w:rPr>
        <w:t>victims' rights and interest</w:t>
      </w:r>
      <w:r w:rsidRPr="00167B4C">
        <w:rPr>
          <w:rFonts w:ascii="Times New Roman" w:hAnsi="Times New Roman"/>
        </w:rPr>
        <w:t>s are respected at the International Criminal Court(ICC).</w:t>
      </w:r>
      <w:r w:rsidR="00A7439B">
        <w:rPr>
          <w:rFonts w:ascii="Times New Roman" w:hAnsi="Times New Roman"/>
        </w:rPr>
        <w:t xml:space="preserve"> </w:t>
      </w:r>
      <w:r w:rsidR="0092720D">
        <w:rPr>
          <w:rFonts w:ascii="Times New Roman" w:hAnsi="Times New Roman"/>
        </w:rPr>
        <w:t xml:space="preserve">It examines how such rights and interests operate at the ICC through the framework of three themes. </w:t>
      </w:r>
      <w:r w:rsidRPr="00167B4C">
        <w:rPr>
          <w:rFonts w:ascii="Times New Roman" w:hAnsi="Times New Roman"/>
        </w:rPr>
        <w:t xml:space="preserve">These themes are </w:t>
      </w:r>
      <w:r w:rsidR="0092720D">
        <w:rPr>
          <w:rFonts w:ascii="Times New Roman" w:hAnsi="Times New Roman"/>
        </w:rPr>
        <w:t>(1)</w:t>
      </w:r>
      <w:r w:rsidRPr="00167B4C">
        <w:rPr>
          <w:rFonts w:ascii="Times New Roman" w:hAnsi="Times New Roman"/>
        </w:rPr>
        <w:t>prosecutorial discretion,</w:t>
      </w:r>
      <w:r w:rsidR="0092720D">
        <w:rPr>
          <w:rFonts w:ascii="Times New Roman" w:hAnsi="Times New Roman"/>
        </w:rPr>
        <w:t>(2)</w:t>
      </w:r>
      <w:r w:rsidRPr="00167B4C">
        <w:rPr>
          <w:rFonts w:ascii="Times New Roman" w:hAnsi="Times New Roman"/>
        </w:rPr>
        <w:t xml:space="preserve"> trial process and</w:t>
      </w:r>
      <w:r w:rsidR="0092720D">
        <w:rPr>
          <w:rFonts w:ascii="Times New Roman" w:hAnsi="Times New Roman"/>
        </w:rPr>
        <w:t>(3)</w:t>
      </w:r>
      <w:r w:rsidRPr="00167B4C">
        <w:rPr>
          <w:rFonts w:ascii="Times New Roman" w:hAnsi="Times New Roman"/>
        </w:rPr>
        <w:t xml:space="preserve"> sentencing decisions.</w:t>
      </w:r>
      <w:r w:rsidR="007A7255">
        <w:rPr>
          <w:rFonts w:ascii="Times New Roman" w:hAnsi="Times New Roman"/>
        </w:rPr>
        <w:t xml:space="preserve"> </w:t>
      </w:r>
      <w:r w:rsidRPr="00167B4C">
        <w:rPr>
          <w:rFonts w:ascii="Times New Roman" w:hAnsi="Times New Roman"/>
        </w:rPr>
        <w:t>The</w:t>
      </w:r>
      <w:r w:rsidR="0092720D">
        <w:rPr>
          <w:rFonts w:ascii="Times New Roman" w:hAnsi="Times New Roman"/>
        </w:rPr>
        <w:t xml:space="preserve">se three themes are convenient as they enable an examination of </w:t>
      </w:r>
      <w:r w:rsidR="006D3444">
        <w:rPr>
          <w:rFonts w:ascii="Times New Roman" w:hAnsi="Times New Roman"/>
        </w:rPr>
        <w:t>victims' rights and interest</w:t>
      </w:r>
      <w:r w:rsidR="0092720D">
        <w:rPr>
          <w:rFonts w:ascii="Times New Roman" w:hAnsi="Times New Roman"/>
        </w:rPr>
        <w:t xml:space="preserve">s at the </w:t>
      </w:r>
      <w:r w:rsidRPr="00167B4C">
        <w:rPr>
          <w:rFonts w:ascii="Times New Roman" w:hAnsi="Times New Roman"/>
        </w:rPr>
        <w:t>different phases of criminal prosecution at the ICC.</w:t>
      </w:r>
    </w:p>
    <w:p w14:paraId="05F8F9BF" w14:textId="59F4DDAB" w:rsidR="00A57882" w:rsidRPr="00167B4C" w:rsidRDefault="0092720D" w:rsidP="00582C37">
      <w:pPr>
        <w:spacing w:line="480" w:lineRule="auto"/>
        <w:jc w:val="both"/>
        <w:rPr>
          <w:rFonts w:ascii="Times New Roman" w:hAnsi="Times New Roman"/>
        </w:rPr>
      </w:pPr>
      <w:r>
        <w:rPr>
          <w:rFonts w:ascii="Times New Roman" w:hAnsi="Times New Roman"/>
        </w:rPr>
        <w:t>In the available scholarship,</w:t>
      </w:r>
      <w:r w:rsidR="00A57882">
        <w:rPr>
          <w:rFonts w:ascii="Times New Roman" w:hAnsi="Times New Roman"/>
        </w:rPr>
        <w:t xml:space="preserve"> researchers have utilised qualitative interviews in assessing </w:t>
      </w:r>
      <w:r>
        <w:rPr>
          <w:rFonts w:ascii="Times New Roman" w:hAnsi="Times New Roman"/>
        </w:rPr>
        <w:t>victim participation at the ICC.</w:t>
      </w:r>
      <w:r w:rsidR="00CC6B3B">
        <w:rPr>
          <w:rFonts w:ascii="Times New Roman" w:hAnsi="Times New Roman"/>
        </w:rPr>
        <w:t xml:space="preserve"> </w:t>
      </w:r>
      <w:r>
        <w:rPr>
          <w:rFonts w:ascii="Times New Roman" w:hAnsi="Times New Roman"/>
        </w:rPr>
        <w:t>T</w:t>
      </w:r>
      <w:r w:rsidR="00A57882">
        <w:rPr>
          <w:rFonts w:ascii="Times New Roman" w:hAnsi="Times New Roman"/>
        </w:rPr>
        <w:t xml:space="preserve">his researcher </w:t>
      </w:r>
      <w:r w:rsidR="00CC6B3B">
        <w:rPr>
          <w:rFonts w:ascii="Times New Roman" w:hAnsi="Times New Roman"/>
        </w:rPr>
        <w:t xml:space="preserve">has decided to complement the available scholarship in this area by using a rarely-used and important </w:t>
      </w:r>
      <w:r w:rsidR="006D3444">
        <w:rPr>
          <w:rFonts w:ascii="Times New Roman" w:hAnsi="Times New Roman"/>
        </w:rPr>
        <w:t>data source</w:t>
      </w:r>
      <w:r w:rsidR="00CC6B3B">
        <w:rPr>
          <w:rFonts w:ascii="Times New Roman" w:hAnsi="Times New Roman"/>
        </w:rPr>
        <w:t xml:space="preserve"> for </w:t>
      </w:r>
      <w:r w:rsidR="00381455">
        <w:rPr>
          <w:rFonts w:ascii="Times New Roman" w:hAnsi="Times New Roman"/>
        </w:rPr>
        <w:t>evaluat</w:t>
      </w:r>
      <w:r w:rsidR="00CC6B3B">
        <w:rPr>
          <w:rFonts w:ascii="Times New Roman" w:hAnsi="Times New Roman"/>
        </w:rPr>
        <w:t xml:space="preserve">ing victim participation, namely, case transcripts. The research has undertaken a thematic analysis of the case transcripts to examine the extent to which these rights and </w:t>
      </w:r>
      <w:r w:rsidR="00A7439B">
        <w:rPr>
          <w:rFonts w:ascii="Times New Roman" w:hAnsi="Times New Roman"/>
        </w:rPr>
        <w:t>victims</w:t>
      </w:r>
      <w:r w:rsidR="00CC6B3B">
        <w:rPr>
          <w:rFonts w:ascii="Times New Roman" w:hAnsi="Times New Roman"/>
        </w:rPr>
        <w:t xml:space="preserve"> have been respected</w:t>
      </w:r>
      <w:r w:rsidR="00A57882">
        <w:rPr>
          <w:rFonts w:ascii="Times New Roman" w:hAnsi="Times New Roman"/>
        </w:rPr>
        <w:t>.</w:t>
      </w:r>
      <w:r w:rsidR="00CC6B3B">
        <w:rPr>
          <w:rFonts w:ascii="Times New Roman" w:hAnsi="Times New Roman"/>
        </w:rPr>
        <w:t xml:space="preserve"> </w:t>
      </w:r>
      <w:r w:rsidR="00A57882">
        <w:rPr>
          <w:rFonts w:ascii="Times New Roman" w:hAnsi="Times New Roman"/>
        </w:rPr>
        <w:t xml:space="preserve">In </w:t>
      </w:r>
      <w:r w:rsidR="007A7255">
        <w:rPr>
          <w:rFonts w:ascii="Times New Roman" w:hAnsi="Times New Roman"/>
        </w:rPr>
        <w:t>investigating</w:t>
      </w:r>
      <w:r w:rsidR="00A57882">
        <w:rPr>
          <w:rFonts w:ascii="Times New Roman" w:hAnsi="Times New Roman"/>
        </w:rPr>
        <w:t xml:space="preserve"> these questions, I used the decided cases of Lubanga and Katanga cases.</w:t>
      </w:r>
    </w:p>
    <w:p w14:paraId="3B91D965" w14:textId="165ADC05" w:rsidR="00A57882" w:rsidRPr="00167B4C" w:rsidRDefault="00A57882" w:rsidP="00582C37">
      <w:pPr>
        <w:spacing w:line="480" w:lineRule="auto"/>
        <w:jc w:val="both"/>
        <w:rPr>
          <w:rFonts w:ascii="Times New Roman" w:hAnsi="Times New Roman"/>
        </w:rPr>
      </w:pPr>
      <w:r w:rsidRPr="00167B4C">
        <w:rPr>
          <w:rFonts w:ascii="Times New Roman" w:hAnsi="Times New Roman"/>
        </w:rPr>
        <w:lastRenderedPageBreak/>
        <w:t>The literature on prosecutorial discretion has highlighted the</w:t>
      </w:r>
      <w:r w:rsidR="007A7255">
        <w:rPr>
          <w:rFonts w:ascii="Times New Roman" w:hAnsi="Times New Roman"/>
        </w:rPr>
        <w:t xml:space="preserve"> </w:t>
      </w:r>
      <w:r w:rsidR="006D3444">
        <w:rPr>
          <w:rFonts w:ascii="Times New Roman" w:hAnsi="Times New Roman"/>
        </w:rPr>
        <w:t>prosecutor's decision</w:t>
      </w:r>
      <w:r w:rsidRPr="00167B4C">
        <w:rPr>
          <w:rFonts w:ascii="Times New Roman" w:hAnsi="Times New Roman"/>
        </w:rPr>
        <w:t xml:space="preserve"> based on </w:t>
      </w:r>
      <w:r w:rsidR="00F72A5B">
        <w:rPr>
          <w:rFonts w:ascii="Times New Roman" w:hAnsi="Times New Roman"/>
        </w:rPr>
        <w:t>'</w:t>
      </w:r>
      <w:r w:rsidRPr="00167B4C">
        <w:rPr>
          <w:rFonts w:ascii="Times New Roman" w:hAnsi="Times New Roman"/>
        </w:rPr>
        <w:t>interests of justice</w:t>
      </w:r>
      <w:r w:rsidR="00F72A5B">
        <w:rPr>
          <w:rFonts w:ascii="Times New Roman" w:hAnsi="Times New Roman"/>
        </w:rPr>
        <w:t>'</w:t>
      </w:r>
      <w:r w:rsidRPr="00167B4C">
        <w:rPr>
          <w:rFonts w:ascii="Times New Roman" w:hAnsi="Times New Roman"/>
        </w:rPr>
        <w:t xml:space="preserve"> and </w:t>
      </w:r>
      <w:r w:rsidR="00F72A5B">
        <w:rPr>
          <w:rFonts w:ascii="Times New Roman" w:hAnsi="Times New Roman"/>
        </w:rPr>
        <w:t>'</w:t>
      </w:r>
      <w:r w:rsidRPr="00167B4C">
        <w:rPr>
          <w:rFonts w:ascii="Times New Roman" w:hAnsi="Times New Roman"/>
        </w:rPr>
        <w:t>gravity of crime</w:t>
      </w:r>
      <w:r w:rsidR="00F72A5B">
        <w:rPr>
          <w:rFonts w:ascii="Times New Roman" w:hAnsi="Times New Roman"/>
        </w:rPr>
        <w:t>'</w:t>
      </w:r>
      <w:r w:rsidR="007A7255">
        <w:rPr>
          <w:rFonts w:ascii="Times New Roman" w:hAnsi="Times New Roman"/>
        </w:rPr>
        <w:t xml:space="preserve">. </w:t>
      </w:r>
      <w:r w:rsidRPr="00167B4C">
        <w:rPr>
          <w:rFonts w:ascii="Times New Roman" w:hAnsi="Times New Roman"/>
        </w:rPr>
        <w:t xml:space="preserve">However, there are relatively few studies on </w:t>
      </w:r>
      <w:r w:rsidR="006D3444">
        <w:rPr>
          <w:rFonts w:ascii="Times New Roman" w:hAnsi="Times New Roman"/>
        </w:rPr>
        <w:t>prosecutorial discretion's impact</w:t>
      </w:r>
      <w:r w:rsidRPr="00167B4C">
        <w:rPr>
          <w:rFonts w:ascii="Times New Roman" w:hAnsi="Times New Roman"/>
        </w:rPr>
        <w:t xml:space="preserve"> on victims</w:t>
      </w:r>
      <w:r w:rsidR="00F72A5B">
        <w:rPr>
          <w:rFonts w:ascii="Times New Roman" w:hAnsi="Times New Roman"/>
        </w:rPr>
        <w:t>'</w:t>
      </w:r>
      <w:r w:rsidRPr="00167B4C">
        <w:rPr>
          <w:rFonts w:ascii="Times New Roman" w:hAnsi="Times New Roman"/>
        </w:rPr>
        <w:t xml:space="preserve"> rights and interests.</w:t>
      </w:r>
      <w:r w:rsidR="00E243C2">
        <w:rPr>
          <w:rFonts w:ascii="Times New Roman" w:hAnsi="Times New Roman"/>
        </w:rPr>
        <w:t xml:space="preserve"> This research, therefore, addresses this gap in the knowledge.</w:t>
      </w:r>
    </w:p>
    <w:p w14:paraId="654DDCB1" w14:textId="232FEE77" w:rsidR="00E243C2" w:rsidRDefault="00A57882" w:rsidP="00582C37">
      <w:pPr>
        <w:spacing w:line="480" w:lineRule="auto"/>
        <w:jc w:val="both"/>
        <w:rPr>
          <w:rFonts w:ascii="Times New Roman" w:hAnsi="Times New Roman"/>
        </w:rPr>
      </w:pPr>
      <w:r w:rsidRPr="00167B4C">
        <w:rPr>
          <w:rFonts w:ascii="Times New Roman" w:hAnsi="Times New Roman"/>
        </w:rPr>
        <w:t>While a large and growing body of literature has focused on victims</w:t>
      </w:r>
      <w:r w:rsidR="00F72A5B">
        <w:rPr>
          <w:rFonts w:ascii="Times New Roman" w:hAnsi="Times New Roman"/>
        </w:rPr>
        <w:t>'</w:t>
      </w:r>
      <w:r w:rsidRPr="00167B4C">
        <w:rPr>
          <w:rFonts w:ascii="Times New Roman" w:hAnsi="Times New Roman"/>
        </w:rPr>
        <w:t xml:space="preserve"> participation</w:t>
      </w:r>
      <w:r w:rsidR="00A7439B">
        <w:rPr>
          <w:rFonts w:ascii="Times New Roman" w:hAnsi="Times New Roman"/>
        </w:rPr>
        <w:t xml:space="preserve"> during the trial process, </w:t>
      </w:r>
      <w:r w:rsidR="006D3444">
        <w:rPr>
          <w:rFonts w:ascii="Times New Roman" w:hAnsi="Times New Roman"/>
        </w:rPr>
        <w:t>most</w:t>
      </w:r>
      <w:r w:rsidRPr="00167B4C">
        <w:rPr>
          <w:rFonts w:ascii="Times New Roman" w:hAnsi="Times New Roman"/>
        </w:rPr>
        <w:t xml:space="preserve"> of th</w:t>
      </w:r>
      <w:r w:rsidR="00A7439B">
        <w:rPr>
          <w:rFonts w:ascii="Times New Roman" w:hAnsi="Times New Roman"/>
        </w:rPr>
        <w:t>is literature focused on</w:t>
      </w:r>
      <w:r w:rsidR="00E243C2">
        <w:rPr>
          <w:rFonts w:ascii="Times New Roman" w:hAnsi="Times New Roman"/>
        </w:rPr>
        <w:t xml:space="preserve"> fair trial issues and a comparison of victims</w:t>
      </w:r>
      <w:r w:rsidR="00F72A5B">
        <w:rPr>
          <w:rFonts w:ascii="Times New Roman" w:hAnsi="Times New Roman"/>
        </w:rPr>
        <w:t>'</w:t>
      </w:r>
      <w:r w:rsidR="00E243C2">
        <w:rPr>
          <w:rFonts w:ascii="Times New Roman" w:hAnsi="Times New Roman"/>
        </w:rPr>
        <w:t xml:space="preserve"> rights with </w:t>
      </w:r>
      <w:proofErr w:type="spellStart"/>
      <w:r w:rsidR="00E243C2">
        <w:rPr>
          <w:rFonts w:ascii="Times New Roman" w:hAnsi="Times New Roman"/>
        </w:rPr>
        <w:t>defendants</w:t>
      </w:r>
      <w:proofErr w:type="spellEnd"/>
      <w:r w:rsidR="006D3444">
        <w:rPr>
          <w:rFonts w:ascii="Times New Roman" w:hAnsi="Times New Roman"/>
        </w:rPr>
        <w:t xml:space="preserve"> </w:t>
      </w:r>
      <w:r w:rsidR="00A7439B">
        <w:rPr>
          <w:rFonts w:ascii="Times New Roman" w:hAnsi="Times New Roman"/>
        </w:rPr>
        <w:t xml:space="preserve">rights. </w:t>
      </w:r>
      <w:r w:rsidR="00E243C2">
        <w:rPr>
          <w:rFonts w:ascii="Times New Roman" w:hAnsi="Times New Roman"/>
        </w:rPr>
        <w:t xml:space="preserve">Rather than focusing on </w:t>
      </w:r>
      <w:r w:rsidR="006D3444">
        <w:rPr>
          <w:rFonts w:ascii="Times New Roman" w:hAnsi="Times New Roman"/>
        </w:rPr>
        <w:t>a fair trial issue, this research adopts a more victims-focused approach and assesses the extent to which the rights and interests of victims-are respected during the trial process</w:t>
      </w:r>
      <w:r w:rsidR="00E243C2">
        <w:rPr>
          <w:rFonts w:ascii="Times New Roman" w:hAnsi="Times New Roman"/>
        </w:rPr>
        <w:t xml:space="preserve"> to access justice and express their concerns.</w:t>
      </w:r>
    </w:p>
    <w:p w14:paraId="77186CCE" w14:textId="673C2499" w:rsidR="00A57882" w:rsidRPr="00167B4C" w:rsidRDefault="00A57882" w:rsidP="00582C37">
      <w:pPr>
        <w:spacing w:line="480" w:lineRule="auto"/>
        <w:jc w:val="both"/>
        <w:rPr>
          <w:rFonts w:ascii="Times New Roman" w:hAnsi="Times New Roman"/>
        </w:rPr>
      </w:pPr>
      <w:r w:rsidRPr="00167B4C">
        <w:rPr>
          <w:rFonts w:ascii="Times New Roman" w:hAnsi="Times New Roman"/>
        </w:rPr>
        <w:t xml:space="preserve">Regarding the degree to which </w:t>
      </w:r>
      <w:r w:rsidR="006D3444">
        <w:rPr>
          <w:rFonts w:ascii="Times New Roman" w:hAnsi="Times New Roman"/>
        </w:rPr>
        <w:t>victims' rights and interest</w:t>
      </w:r>
      <w:r w:rsidRPr="00167B4C">
        <w:rPr>
          <w:rFonts w:ascii="Times New Roman" w:hAnsi="Times New Roman"/>
        </w:rPr>
        <w:t>s are respected in sentencing, to the researcher</w:t>
      </w:r>
      <w:r w:rsidR="00F72A5B">
        <w:rPr>
          <w:rFonts w:ascii="Times New Roman" w:hAnsi="Times New Roman"/>
        </w:rPr>
        <w:t>'</w:t>
      </w:r>
      <w:r w:rsidRPr="00167B4C">
        <w:rPr>
          <w:rFonts w:ascii="Times New Roman" w:hAnsi="Times New Roman"/>
        </w:rPr>
        <w:t>s best knowledge, very few publications are available in the literature that addres</w:t>
      </w:r>
      <w:r w:rsidR="00A7439B">
        <w:rPr>
          <w:rFonts w:ascii="Times New Roman" w:hAnsi="Times New Roman"/>
        </w:rPr>
        <w:t>se</w:t>
      </w:r>
      <w:r w:rsidR="00FE796B">
        <w:rPr>
          <w:rFonts w:ascii="Times New Roman" w:hAnsi="Times New Roman"/>
        </w:rPr>
        <w:t>s the issue of victims</w:t>
      </w:r>
      <w:r w:rsidR="00F72A5B">
        <w:rPr>
          <w:rFonts w:ascii="Times New Roman" w:hAnsi="Times New Roman"/>
        </w:rPr>
        <w:t>'</w:t>
      </w:r>
      <w:r w:rsidR="00FE796B">
        <w:rPr>
          <w:rFonts w:ascii="Times New Roman" w:hAnsi="Times New Roman"/>
        </w:rPr>
        <w:t xml:space="preserve"> rights and interests</w:t>
      </w:r>
      <w:r w:rsidRPr="00167B4C">
        <w:rPr>
          <w:rFonts w:ascii="Times New Roman" w:hAnsi="Times New Roman"/>
        </w:rPr>
        <w:t xml:space="preserve"> in the ICC sentencing decision.</w:t>
      </w:r>
      <w:r w:rsidR="00FE796B">
        <w:rPr>
          <w:rFonts w:ascii="Times New Roman" w:hAnsi="Times New Roman"/>
        </w:rPr>
        <w:t xml:space="preserve"> Here also, therefore, the research makes an </w:t>
      </w:r>
      <w:r w:rsidR="00517509">
        <w:rPr>
          <w:rFonts w:ascii="Times New Roman" w:hAnsi="Times New Roman"/>
        </w:rPr>
        <w:t>essential</w:t>
      </w:r>
      <w:r w:rsidR="00FE796B">
        <w:rPr>
          <w:rFonts w:ascii="Times New Roman" w:hAnsi="Times New Roman"/>
        </w:rPr>
        <w:t xml:space="preserve"> contribution to the available knowledge on this subject</w:t>
      </w:r>
      <w:r w:rsidR="00853E32">
        <w:rPr>
          <w:rFonts w:ascii="Times New Roman" w:hAnsi="Times New Roman"/>
        </w:rPr>
        <w:t>.</w:t>
      </w:r>
    </w:p>
    <w:p w14:paraId="7F131A5C" w14:textId="4B921B39" w:rsidR="00A57882" w:rsidRPr="00167B4C" w:rsidRDefault="00A57882" w:rsidP="00582C37">
      <w:pPr>
        <w:spacing w:line="480" w:lineRule="auto"/>
        <w:jc w:val="both"/>
        <w:rPr>
          <w:rFonts w:ascii="Times New Roman" w:hAnsi="Times New Roman"/>
        </w:rPr>
      </w:pPr>
      <w:r w:rsidRPr="00167B4C">
        <w:rPr>
          <w:rFonts w:ascii="Times New Roman" w:hAnsi="Times New Roman"/>
        </w:rPr>
        <w:t>T</w:t>
      </w:r>
      <w:r w:rsidR="007A7255">
        <w:rPr>
          <w:rFonts w:ascii="Times New Roman" w:hAnsi="Times New Roman"/>
        </w:rPr>
        <w:t xml:space="preserve">herefore, this thesis provides </w:t>
      </w:r>
      <w:r w:rsidRPr="00167B4C">
        <w:rPr>
          <w:rFonts w:ascii="Times New Roman" w:hAnsi="Times New Roman"/>
        </w:rPr>
        <w:t>an exciting opportunity to advance our knowledge on the degree to which the ICC  respects the ri</w:t>
      </w:r>
      <w:r w:rsidR="00A64D82">
        <w:rPr>
          <w:rFonts w:ascii="Times New Roman" w:hAnsi="Times New Roman"/>
        </w:rPr>
        <w:t>ghts and interests of victims by using</w:t>
      </w:r>
      <w:r w:rsidRPr="00167B4C">
        <w:rPr>
          <w:rFonts w:ascii="Times New Roman" w:hAnsi="Times New Roman"/>
        </w:rPr>
        <w:t xml:space="preserve"> the thematic analysis of prosecutorial discretion,</w:t>
      </w:r>
      <w:r w:rsidR="00A64D82">
        <w:rPr>
          <w:rFonts w:ascii="Times New Roman" w:hAnsi="Times New Roman"/>
        </w:rPr>
        <w:t xml:space="preserve"> </w:t>
      </w:r>
      <w:r w:rsidRPr="00167B4C">
        <w:rPr>
          <w:rFonts w:ascii="Times New Roman" w:hAnsi="Times New Roman"/>
        </w:rPr>
        <w:t xml:space="preserve">trial </w:t>
      </w:r>
      <w:r w:rsidR="00FE796B">
        <w:rPr>
          <w:rFonts w:ascii="Times New Roman" w:hAnsi="Times New Roman"/>
        </w:rPr>
        <w:t xml:space="preserve">process and sentencing decision, </w:t>
      </w:r>
      <w:r w:rsidR="00381455">
        <w:rPr>
          <w:rFonts w:ascii="Times New Roman" w:hAnsi="Times New Roman"/>
        </w:rPr>
        <w:t>based on</w:t>
      </w:r>
      <w:r w:rsidR="00FE796B">
        <w:rPr>
          <w:rFonts w:ascii="Times New Roman" w:hAnsi="Times New Roman"/>
        </w:rPr>
        <w:t xml:space="preserve"> a rarely-used and important source of data, namely, case transcripts.</w:t>
      </w:r>
    </w:p>
    <w:p w14:paraId="1AE7419F" w14:textId="3418A444" w:rsidR="00853E32" w:rsidRDefault="00A57882" w:rsidP="00582C37">
      <w:pPr>
        <w:spacing w:line="480" w:lineRule="auto"/>
        <w:jc w:val="both"/>
        <w:rPr>
          <w:rFonts w:ascii="Times New Roman" w:hAnsi="Times New Roman"/>
        </w:rPr>
      </w:pPr>
      <w:r w:rsidRPr="00167B4C">
        <w:rPr>
          <w:rFonts w:ascii="Times New Roman" w:hAnsi="Times New Roman"/>
        </w:rPr>
        <w:t xml:space="preserve">The </w:t>
      </w:r>
      <w:r>
        <w:rPr>
          <w:rFonts w:ascii="Times New Roman" w:hAnsi="Times New Roman"/>
        </w:rPr>
        <w:t xml:space="preserve">analysis indicates </w:t>
      </w:r>
      <w:r w:rsidRPr="00167B4C">
        <w:rPr>
          <w:rFonts w:ascii="Times New Roman" w:hAnsi="Times New Roman"/>
        </w:rPr>
        <w:t xml:space="preserve">that </w:t>
      </w:r>
      <w:r w:rsidR="006D3444">
        <w:rPr>
          <w:rFonts w:ascii="Times New Roman" w:hAnsi="Times New Roman"/>
        </w:rPr>
        <w:t>victims' rights and interest</w:t>
      </w:r>
      <w:r w:rsidRPr="00167B4C">
        <w:rPr>
          <w:rFonts w:ascii="Times New Roman" w:hAnsi="Times New Roman"/>
        </w:rPr>
        <w:t>s are</w:t>
      </w:r>
      <w:r w:rsidR="00853E32">
        <w:rPr>
          <w:rFonts w:ascii="Times New Roman" w:hAnsi="Times New Roman"/>
        </w:rPr>
        <w:t xml:space="preserve"> generally</w:t>
      </w:r>
      <w:r w:rsidRPr="00167B4C">
        <w:rPr>
          <w:rFonts w:ascii="Times New Roman" w:hAnsi="Times New Roman"/>
        </w:rPr>
        <w:t xml:space="preserve"> recognised</w:t>
      </w:r>
      <w:r w:rsidR="00853E32">
        <w:rPr>
          <w:rFonts w:ascii="Times New Roman" w:hAnsi="Times New Roman"/>
        </w:rPr>
        <w:t xml:space="preserve"> and given importance by the ICC.</w:t>
      </w:r>
      <w:r w:rsidR="00A7439B">
        <w:rPr>
          <w:rFonts w:ascii="Times New Roman" w:hAnsi="Times New Roman"/>
        </w:rPr>
        <w:t xml:space="preserve"> H</w:t>
      </w:r>
      <w:r w:rsidRPr="00167B4C">
        <w:rPr>
          <w:rFonts w:ascii="Times New Roman" w:hAnsi="Times New Roman"/>
        </w:rPr>
        <w:t xml:space="preserve">owever, the findings </w:t>
      </w:r>
      <w:r w:rsidR="00853E32">
        <w:rPr>
          <w:rFonts w:ascii="Times New Roman" w:hAnsi="Times New Roman"/>
        </w:rPr>
        <w:t xml:space="preserve">also </w:t>
      </w:r>
      <w:r w:rsidR="00517509">
        <w:rPr>
          <w:rFonts w:ascii="Times New Roman" w:hAnsi="Times New Roman"/>
        </w:rPr>
        <w:t>suggest</w:t>
      </w:r>
      <w:r w:rsidR="00853E32">
        <w:rPr>
          <w:rFonts w:ascii="Times New Roman" w:hAnsi="Times New Roman"/>
        </w:rPr>
        <w:t xml:space="preserve"> that</w:t>
      </w:r>
      <w:r w:rsidRPr="00167B4C">
        <w:rPr>
          <w:rFonts w:ascii="Times New Roman" w:hAnsi="Times New Roman"/>
        </w:rPr>
        <w:t xml:space="preserve"> prosecutorial </w:t>
      </w:r>
      <w:r w:rsidRPr="00167B4C">
        <w:rPr>
          <w:rFonts w:ascii="Times New Roman" w:hAnsi="Times New Roman"/>
        </w:rPr>
        <w:lastRenderedPageBreak/>
        <w:t xml:space="preserve">discretion has a </w:t>
      </w:r>
      <w:r w:rsidR="00517509">
        <w:rPr>
          <w:rFonts w:ascii="Times New Roman" w:hAnsi="Times New Roman"/>
        </w:rPr>
        <w:t>significant</w:t>
      </w:r>
      <w:r w:rsidRPr="00167B4C">
        <w:rPr>
          <w:rFonts w:ascii="Times New Roman" w:hAnsi="Times New Roman"/>
        </w:rPr>
        <w:t xml:space="preserve"> influence on victims</w:t>
      </w:r>
      <w:r w:rsidR="00F72A5B">
        <w:rPr>
          <w:rFonts w:ascii="Times New Roman" w:hAnsi="Times New Roman"/>
        </w:rPr>
        <w:t>'</w:t>
      </w:r>
      <w:r w:rsidRPr="00167B4C">
        <w:rPr>
          <w:rFonts w:ascii="Times New Roman" w:hAnsi="Times New Roman"/>
        </w:rPr>
        <w:t xml:space="preserve"> rights and interests from the early phase of selection of situations </w:t>
      </w:r>
      <w:r w:rsidR="00A64D82">
        <w:rPr>
          <w:rFonts w:ascii="Times New Roman" w:hAnsi="Times New Roman"/>
        </w:rPr>
        <w:t xml:space="preserve">through </w:t>
      </w:r>
      <w:r w:rsidR="00A7439B">
        <w:rPr>
          <w:rFonts w:ascii="Times New Roman" w:hAnsi="Times New Roman"/>
        </w:rPr>
        <w:t xml:space="preserve">the </w:t>
      </w:r>
      <w:r w:rsidR="00A64D82">
        <w:rPr>
          <w:rFonts w:ascii="Times New Roman" w:hAnsi="Times New Roman"/>
        </w:rPr>
        <w:t>commencement of</w:t>
      </w:r>
      <w:r w:rsidRPr="00167B4C">
        <w:rPr>
          <w:rFonts w:ascii="Times New Roman" w:hAnsi="Times New Roman"/>
        </w:rPr>
        <w:t xml:space="preserve"> cases to trial proceedings.</w:t>
      </w:r>
      <w:r w:rsidR="00A64D82">
        <w:rPr>
          <w:rFonts w:ascii="Times New Roman" w:hAnsi="Times New Roman"/>
        </w:rPr>
        <w:t xml:space="preserve"> </w:t>
      </w:r>
      <w:r w:rsidR="00853E32">
        <w:rPr>
          <w:rFonts w:ascii="Times New Roman" w:hAnsi="Times New Roman"/>
        </w:rPr>
        <w:t>In addition</w:t>
      </w:r>
      <w:r w:rsidR="00A7439B">
        <w:rPr>
          <w:rFonts w:ascii="Times New Roman" w:hAnsi="Times New Roman"/>
        </w:rPr>
        <w:t xml:space="preserve">, the thesis </w:t>
      </w:r>
      <w:r w:rsidRPr="00167B4C">
        <w:rPr>
          <w:rFonts w:ascii="Times New Roman" w:hAnsi="Times New Roman"/>
        </w:rPr>
        <w:t>found that the exercise of victims</w:t>
      </w:r>
      <w:r w:rsidR="00F72A5B">
        <w:rPr>
          <w:rFonts w:ascii="Times New Roman" w:hAnsi="Times New Roman"/>
        </w:rPr>
        <w:t>'</w:t>
      </w:r>
      <w:r w:rsidRPr="00167B4C">
        <w:rPr>
          <w:rFonts w:ascii="Times New Roman" w:hAnsi="Times New Roman"/>
        </w:rPr>
        <w:t xml:space="preserve"> rights and their interests during the trial</w:t>
      </w:r>
      <w:r w:rsidR="00853E32">
        <w:rPr>
          <w:rFonts w:ascii="Times New Roman" w:hAnsi="Times New Roman"/>
        </w:rPr>
        <w:t xml:space="preserve"> remains secondary and subordinate to the defendants</w:t>
      </w:r>
      <w:r w:rsidR="00F72A5B">
        <w:rPr>
          <w:rFonts w:ascii="Times New Roman" w:hAnsi="Times New Roman"/>
        </w:rPr>
        <w:t>'</w:t>
      </w:r>
      <w:r w:rsidR="00853E32">
        <w:rPr>
          <w:rFonts w:ascii="Times New Roman" w:hAnsi="Times New Roman"/>
        </w:rPr>
        <w:t xml:space="preserve"> rights</w:t>
      </w:r>
      <w:r w:rsidRPr="00167B4C">
        <w:rPr>
          <w:rFonts w:ascii="Times New Roman" w:hAnsi="Times New Roman"/>
        </w:rPr>
        <w:t xml:space="preserve">, </w:t>
      </w:r>
      <w:r w:rsidR="00853E32">
        <w:rPr>
          <w:rFonts w:ascii="Times New Roman" w:hAnsi="Times New Roman"/>
        </w:rPr>
        <w:t>rather than being on an equal stance with the rights of the defendant.</w:t>
      </w:r>
    </w:p>
    <w:p w14:paraId="7BFC4904" w14:textId="4B62692B" w:rsidR="006F694B" w:rsidRDefault="00853E32" w:rsidP="00582C37">
      <w:pPr>
        <w:spacing w:line="480" w:lineRule="auto"/>
        <w:jc w:val="both"/>
        <w:rPr>
          <w:rFonts w:ascii="Times New Roman" w:hAnsi="Times New Roman"/>
        </w:rPr>
      </w:pPr>
      <w:r w:rsidRPr="00167B4C">
        <w:rPr>
          <w:rFonts w:ascii="Times New Roman" w:hAnsi="Times New Roman"/>
        </w:rPr>
        <w:t xml:space="preserve"> </w:t>
      </w:r>
      <w:r w:rsidR="00A57882" w:rsidRPr="00167B4C">
        <w:rPr>
          <w:rFonts w:ascii="Times New Roman" w:hAnsi="Times New Roman"/>
        </w:rPr>
        <w:t xml:space="preserve">Concerning the third </w:t>
      </w:r>
      <w:r>
        <w:rPr>
          <w:rFonts w:ascii="Times New Roman" w:hAnsi="Times New Roman"/>
        </w:rPr>
        <w:t>theme, this thesis indicates</w:t>
      </w:r>
      <w:r w:rsidR="00C7720D">
        <w:rPr>
          <w:rFonts w:ascii="Times New Roman" w:hAnsi="Times New Roman"/>
        </w:rPr>
        <w:t xml:space="preserve"> that</w:t>
      </w:r>
      <w:r w:rsidR="00A57882" w:rsidRPr="00167B4C">
        <w:rPr>
          <w:rFonts w:ascii="Times New Roman" w:hAnsi="Times New Roman"/>
        </w:rPr>
        <w:t xml:space="preserve"> victims</w:t>
      </w:r>
      <w:r w:rsidR="00F72A5B">
        <w:rPr>
          <w:rFonts w:ascii="Times New Roman" w:hAnsi="Times New Roman"/>
        </w:rPr>
        <w:t>'</w:t>
      </w:r>
      <w:r w:rsidR="00A57882" w:rsidRPr="00167B4C">
        <w:rPr>
          <w:rFonts w:ascii="Times New Roman" w:hAnsi="Times New Roman"/>
        </w:rPr>
        <w:t xml:space="preserve"> rights</w:t>
      </w:r>
      <w:r>
        <w:rPr>
          <w:rFonts w:ascii="Times New Roman" w:hAnsi="Times New Roman"/>
        </w:rPr>
        <w:t xml:space="preserve"> and interests</w:t>
      </w:r>
      <w:r w:rsidR="00A57882" w:rsidRPr="00167B4C">
        <w:rPr>
          <w:rFonts w:ascii="Times New Roman" w:hAnsi="Times New Roman"/>
        </w:rPr>
        <w:t xml:space="preserve"> are respected during sentence hearing</w:t>
      </w:r>
      <w:r w:rsidR="00E93216">
        <w:rPr>
          <w:rFonts w:ascii="Times New Roman" w:hAnsi="Times New Roman"/>
        </w:rPr>
        <w:t>. H</w:t>
      </w:r>
      <w:r>
        <w:rPr>
          <w:rFonts w:ascii="Times New Roman" w:hAnsi="Times New Roman"/>
        </w:rPr>
        <w:t>owever, such rights and interests remain significantly influenced by judicial discretion and the approaches of different</w:t>
      </w:r>
      <w:r w:rsidR="00A57882" w:rsidRPr="00167B4C">
        <w:rPr>
          <w:rFonts w:ascii="Times New Roman" w:hAnsi="Times New Roman"/>
        </w:rPr>
        <w:t xml:space="preserve"> </w:t>
      </w:r>
      <w:r>
        <w:rPr>
          <w:rFonts w:ascii="Times New Roman" w:hAnsi="Times New Roman"/>
        </w:rPr>
        <w:t>decision-</w:t>
      </w:r>
      <w:proofErr w:type="spellStart"/>
      <w:r>
        <w:rPr>
          <w:rFonts w:ascii="Times New Roman" w:hAnsi="Times New Roman"/>
        </w:rPr>
        <w:t>makers.In</w:t>
      </w:r>
      <w:proofErr w:type="spellEnd"/>
      <w:r>
        <w:rPr>
          <w:rFonts w:ascii="Times New Roman" w:hAnsi="Times New Roman"/>
        </w:rPr>
        <w:t xml:space="preserve"> this context, the thesis makes an original and important contribution to knowledge </w:t>
      </w:r>
      <w:r w:rsidR="006D3444">
        <w:rPr>
          <w:rFonts w:ascii="Times New Roman" w:hAnsi="Times New Roman"/>
        </w:rPr>
        <w:t>for</w:t>
      </w:r>
      <w:r>
        <w:rPr>
          <w:rFonts w:ascii="Times New Roman" w:hAnsi="Times New Roman"/>
        </w:rPr>
        <w:t xml:space="preserve"> shedding more light on the operation of victims</w:t>
      </w:r>
      <w:r w:rsidR="00F72A5B">
        <w:rPr>
          <w:rFonts w:ascii="Times New Roman" w:hAnsi="Times New Roman"/>
        </w:rPr>
        <w:t>'</w:t>
      </w:r>
      <w:r>
        <w:rPr>
          <w:rFonts w:ascii="Times New Roman" w:hAnsi="Times New Roman"/>
        </w:rPr>
        <w:t xml:space="preserve"> rights and interests at the ICC.</w:t>
      </w:r>
    </w:p>
    <w:p w14:paraId="196961DA" w14:textId="32976072" w:rsidR="006F694B" w:rsidRPr="00167B4C" w:rsidRDefault="006F694B" w:rsidP="00582C37">
      <w:pPr>
        <w:spacing w:line="480" w:lineRule="auto"/>
        <w:jc w:val="both"/>
        <w:rPr>
          <w:rFonts w:ascii="Times New Roman" w:hAnsi="Times New Roman"/>
        </w:rPr>
      </w:pPr>
      <w:r>
        <w:rPr>
          <w:rFonts w:ascii="Times New Roman" w:hAnsi="Times New Roman"/>
        </w:rPr>
        <w:t>KEYWORDS: victims, international criminal justice, prosecutorial discretion, trial process, sentencing, restorative justice and retributive justice.</w:t>
      </w:r>
    </w:p>
    <w:p w14:paraId="3ECB749F" w14:textId="77777777" w:rsidR="00F10E25" w:rsidRDefault="00F10E25" w:rsidP="00D55500">
      <w:pPr>
        <w:pStyle w:val="TOCHeading"/>
      </w:pPr>
    </w:p>
    <w:p w14:paraId="1E45DFD7" w14:textId="77777777" w:rsidR="00F10E25" w:rsidRDefault="00F10E25" w:rsidP="00F10E25">
      <w:r>
        <w:br w:type="page"/>
      </w:r>
    </w:p>
    <w:sdt>
      <w:sdtPr>
        <w:rPr>
          <w:rFonts w:ascii="Arial" w:eastAsia="Times New Roman" w:hAnsi="Arial" w:cs="Times New Roman"/>
          <w:color w:val="auto"/>
          <w:sz w:val="24"/>
          <w:szCs w:val="22"/>
          <w:lang w:val="en-GB" w:eastAsia="en-GB"/>
        </w:rPr>
        <w:id w:val="-1874300229"/>
        <w:docPartObj>
          <w:docPartGallery w:val="Table of Contents"/>
          <w:docPartUnique/>
        </w:docPartObj>
      </w:sdtPr>
      <w:sdtEndPr>
        <w:rPr>
          <w:b/>
          <w:bCs/>
          <w:noProof/>
        </w:rPr>
      </w:sdtEndPr>
      <w:sdtContent>
        <w:p w14:paraId="628D6803" w14:textId="77777777" w:rsidR="00CC6776" w:rsidRDefault="00CC6776">
          <w:pPr>
            <w:pStyle w:val="TOCHeading"/>
          </w:pPr>
          <w:r>
            <w:t>Table of Contents</w:t>
          </w:r>
        </w:p>
        <w:p w14:paraId="1C31C658" w14:textId="4708D4A5" w:rsidR="00727033" w:rsidRDefault="00CC6776">
          <w:pPr>
            <w:pStyle w:val="TOC1"/>
            <w:tabs>
              <w:tab w:val="right" w:leader="dot" w:pos="8302"/>
            </w:tabs>
            <w:rPr>
              <w:rFonts w:eastAsiaTheme="minorEastAsia" w:cstheme="minorBidi"/>
              <w:b w:val="0"/>
              <w:noProof/>
              <w:sz w:val="22"/>
              <w:szCs w:val="22"/>
            </w:rPr>
          </w:pPr>
          <w:r>
            <w:rPr>
              <w:b w:val="0"/>
            </w:rPr>
            <w:fldChar w:fldCharType="begin"/>
          </w:r>
          <w:r>
            <w:instrText xml:space="preserve"> TOC \o "1-3" \h \z \u </w:instrText>
          </w:r>
          <w:r>
            <w:rPr>
              <w:b w:val="0"/>
            </w:rPr>
            <w:fldChar w:fldCharType="separate"/>
          </w:r>
          <w:hyperlink w:anchor="_Toc60235779" w:history="1">
            <w:r w:rsidR="00727033" w:rsidRPr="00CF090C">
              <w:rPr>
                <w:rStyle w:val="Hyperlink"/>
                <w:noProof/>
              </w:rPr>
              <w:t>Chapter 1. Introduction</w:t>
            </w:r>
            <w:r w:rsidR="00727033">
              <w:rPr>
                <w:noProof/>
                <w:webHidden/>
              </w:rPr>
              <w:tab/>
            </w:r>
            <w:r w:rsidR="00727033">
              <w:rPr>
                <w:noProof/>
                <w:webHidden/>
              </w:rPr>
              <w:fldChar w:fldCharType="begin"/>
            </w:r>
            <w:r w:rsidR="00727033">
              <w:rPr>
                <w:noProof/>
                <w:webHidden/>
              </w:rPr>
              <w:instrText xml:space="preserve"> PAGEREF _Toc60235779 \h </w:instrText>
            </w:r>
            <w:r w:rsidR="00727033">
              <w:rPr>
                <w:noProof/>
                <w:webHidden/>
              </w:rPr>
            </w:r>
            <w:r w:rsidR="00727033">
              <w:rPr>
                <w:noProof/>
                <w:webHidden/>
              </w:rPr>
              <w:fldChar w:fldCharType="separate"/>
            </w:r>
            <w:r w:rsidR="00727033">
              <w:rPr>
                <w:noProof/>
                <w:webHidden/>
              </w:rPr>
              <w:t>14</w:t>
            </w:r>
            <w:r w:rsidR="00727033">
              <w:rPr>
                <w:noProof/>
                <w:webHidden/>
              </w:rPr>
              <w:fldChar w:fldCharType="end"/>
            </w:r>
          </w:hyperlink>
        </w:p>
        <w:p w14:paraId="3C92E71A" w14:textId="30C132E9" w:rsidR="00727033" w:rsidRDefault="00BD7B40">
          <w:pPr>
            <w:pStyle w:val="TOC2"/>
            <w:tabs>
              <w:tab w:val="right" w:leader="dot" w:pos="8302"/>
            </w:tabs>
            <w:rPr>
              <w:rFonts w:eastAsiaTheme="minorEastAsia" w:cstheme="minorBidi"/>
              <w:b w:val="0"/>
              <w:noProof/>
            </w:rPr>
          </w:pPr>
          <w:hyperlink w:anchor="_Toc60235780" w:history="1">
            <w:r w:rsidR="00727033" w:rsidRPr="00CF090C">
              <w:rPr>
                <w:rStyle w:val="Hyperlink"/>
                <w:noProof/>
              </w:rPr>
              <w:t>1.1The Introduction</w:t>
            </w:r>
            <w:r w:rsidR="00727033">
              <w:rPr>
                <w:noProof/>
                <w:webHidden/>
              </w:rPr>
              <w:tab/>
            </w:r>
            <w:r w:rsidR="00727033">
              <w:rPr>
                <w:noProof/>
                <w:webHidden/>
              </w:rPr>
              <w:fldChar w:fldCharType="begin"/>
            </w:r>
            <w:r w:rsidR="00727033">
              <w:rPr>
                <w:noProof/>
                <w:webHidden/>
              </w:rPr>
              <w:instrText xml:space="preserve"> PAGEREF _Toc60235780 \h </w:instrText>
            </w:r>
            <w:r w:rsidR="00727033">
              <w:rPr>
                <w:noProof/>
                <w:webHidden/>
              </w:rPr>
            </w:r>
            <w:r w:rsidR="00727033">
              <w:rPr>
                <w:noProof/>
                <w:webHidden/>
              </w:rPr>
              <w:fldChar w:fldCharType="separate"/>
            </w:r>
            <w:r w:rsidR="00727033">
              <w:rPr>
                <w:noProof/>
                <w:webHidden/>
              </w:rPr>
              <w:t>14</w:t>
            </w:r>
            <w:r w:rsidR="00727033">
              <w:rPr>
                <w:noProof/>
                <w:webHidden/>
              </w:rPr>
              <w:fldChar w:fldCharType="end"/>
            </w:r>
          </w:hyperlink>
        </w:p>
        <w:p w14:paraId="6AB89D18" w14:textId="23CAC587" w:rsidR="00727033" w:rsidRDefault="00BD7B40">
          <w:pPr>
            <w:pStyle w:val="TOC2"/>
            <w:tabs>
              <w:tab w:val="right" w:leader="dot" w:pos="8302"/>
            </w:tabs>
            <w:rPr>
              <w:rFonts w:eastAsiaTheme="minorEastAsia" w:cstheme="minorBidi"/>
              <w:b w:val="0"/>
              <w:noProof/>
            </w:rPr>
          </w:pPr>
          <w:hyperlink w:anchor="_Toc60235781" w:history="1">
            <w:r w:rsidR="00727033" w:rsidRPr="00CF090C">
              <w:rPr>
                <w:rStyle w:val="Hyperlink"/>
                <w:noProof/>
              </w:rPr>
              <w:t>1.2.Background of the Study</w:t>
            </w:r>
            <w:r w:rsidR="00727033">
              <w:rPr>
                <w:noProof/>
                <w:webHidden/>
              </w:rPr>
              <w:tab/>
            </w:r>
            <w:r w:rsidR="00727033">
              <w:rPr>
                <w:noProof/>
                <w:webHidden/>
              </w:rPr>
              <w:fldChar w:fldCharType="begin"/>
            </w:r>
            <w:r w:rsidR="00727033">
              <w:rPr>
                <w:noProof/>
                <w:webHidden/>
              </w:rPr>
              <w:instrText xml:space="preserve"> PAGEREF _Toc60235781 \h </w:instrText>
            </w:r>
            <w:r w:rsidR="00727033">
              <w:rPr>
                <w:noProof/>
                <w:webHidden/>
              </w:rPr>
            </w:r>
            <w:r w:rsidR="00727033">
              <w:rPr>
                <w:noProof/>
                <w:webHidden/>
              </w:rPr>
              <w:fldChar w:fldCharType="separate"/>
            </w:r>
            <w:r w:rsidR="00727033">
              <w:rPr>
                <w:noProof/>
                <w:webHidden/>
              </w:rPr>
              <w:t>17</w:t>
            </w:r>
            <w:r w:rsidR="00727033">
              <w:rPr>
                <w:noProof/>
                <w:webHidden/>
              </w:rPr>
              <w:fldChar w:fldCharType="end"/>
            </w:r>
          </w:hyperlink>
        </w:p>
        <w:p w14:paraId="476F9AF4" w14:textId="71752B95" w:rsidR="00727033" w:rsidRDefault="00BD7B40">
          <w:pPr>
            <w:pStyle w:val="TOC2"/>
            <w:tabs>
              <w:tab w:val="right" w:leader="dot" w:pos="8302"/>
            </w:tabs>
            <w:rPr>
              <w:rFonts w:eastAsiaTheme="minorEastAsia" w:cstheme="minorBidi"/>
              <w:b w:val="0"/>
              <w:noProof/>
            </w:rPr>
          </w:pPr>
          <w:hyperlink w:anchor="_Toc60235782" w:history="1">
            <w:r w:rsidR="00727033" w:rsidRPr="00CF090C">
              <w:rPr>
                <w:rStyle w:val="Hyperlink"/>
                <w:noProof/>
              </w:rPr>
              <w:t>1.3  The research question, its aims and rationale</w:t>
            </w:r>
            <w:r w:rsidR="00727033">
              <w:rPr>
                <w:noProof/>
                <w:webHidden/>
              </w:rPr>
              <w:tab/>
            </w:r>
            <w:r w:rsidR="00727033">
              <w:rPr>
                <w:noProof/>
                <w:webHidden/>
              </w:rPr>
              <w:fldChar w:fldCharType="begin"/>
            </w:r>
            <w:r w:rsidR="00727033">
              <w:rPr>
                <w:noProof/>
                <w:webHidden/>
              </w:rPr>
              <w:instrText xml:space="preserve"> PAGEREF _Toc60235782 \h </w:instrText>
            </w:r>
            <w:r w:rsidR="00727033">
              <w:rPr>
                <w:noProof/>
                <w:webHidden/>
              </w:rPr>
            </w:r>
            <w:r w:rsidR="00727033">
              <w:rPr>
                <w:noProof/>
                <w:webHidden/>
              </w:rPr>
              <w:fldChar w:fldCharType="separate"/>
            </w:r>
            <w:r w:rsidR="00727033">
              <w:rPr>
                <w:noProof/>
                <w:webHidden/>
              </w:rPr>
              <w:t>27</w:t>
            </w:r>
            <w:r w:rsidR="00727033">
              <w:rPr>
                <w:noProof/>
                <w:webHidden/>
              </w:rPr>
              <w:fldChar w:fldCharType="end"/>
            </w:r>
          </w:hyperlink>
        </w:p>
        <w:p w14:paraId="1F985870" w14:textId="30F570D6" w:rsidR="00727033" w:rsidRDefault="00BD7B40">
          <w:pPr>
            <w:pStyle w:val="TOC2"/>
            <w:tabs>
              <w:tab w:val="right" w:leader="dot" w:pos="8302"/>
            </w:tabs>
            <w:rPr>
              <w:rFonts w:eastAsiaTheme="minorEastAsia" w:cstheme="minorBidi"/>
              <w:b w:val="0"/>
              <w:noProof/>
            </w:rPr>
          </w:pPr>
          <w:hyperlink w:anchor="_Toc60235783" w:history="1">
            <w:r w:rsidR="00727033" w:rsidRPr="00CF090C">
              <w:rPr>
                <w:rStyle w:val="Hyperlink"/>
                <w:noProof/>
              </w:rPr>
              <w:t>1.4 Significance of the study /original contribution to knowledge</w:t>
            </w:r>
            <w:r w:rsidR="00727033">
              <w:rPr>
                <w:noProof/>
                <w:webHidden/>
              </w:rPr>
              <w:tab/>
            </w:r>
            <w:r w:rsidR="00727033">
              <w:rPr>
                <w:noProof/>
                <w:webHidden/>
              </w:rPr>
              <w:fldChar w:fldCharType="begin"/>
            </w:r>
            <w:r w:rsidR="00727033">
              <w:rPr>
                <w:noProof/>
                <w:webHidden/>
              </w:rPr>
              <w:instrText xml:space="preserve"> PAGEREF _Toc60235783 \h </w:instrText>
            </w:r>
            <w:r w:rsidR="00727033">
              <w:rPr>
                <w:noProof/>
                <w:webHidden/>
              </w:rPr>
            </w:r>
            <w:r w:rsidR="00727033">
              <w:rPr>
                <w:noProof/>
                <w:webHidden/>
              </w:rPr>
              <w:fldChar w:fldCharType="separate"/>
            </w:r>
            <w:r w:rsidR="00727033">
              <w:rPr>
                <w:noProof/>
                <w:webHidden/>
              </w:rPr>
              <w:t>29</w:t>
            </w:r>
            <w:r w:rsidR="00727033">
              <w:rPr>
                <w:noProof/>
                <w:webHidden/>
              </w:rPr>
              <w:fldChar w:fldCharType="end"/>
            </w:r>
          </w:hyperlink>
        </w:p>
        <w:p w14:paraId="32857357" w14:textId="7628F156" w:rsidR="00727033" w:rsidRDefault="00BD7B40">
          <w:pPr>
            <w:pStyle w:val="TOC2"/>
            <w:tabs>
              <w:tab w:val="right" w:leader="dot" w:pos="8302"/>
            </w:tabs>
            <w:rPr>
              <w:rFonts w:eastAsiaTheme="minorEastAsia" w:cstheme="minorBidi"/>
              <w:b w:val="0"/>
              <w:noProof/>
            </w:rPr>
          </w:pPr>
          <w:hyperlink w:anchor="_Toc60235784" w:history="1">
            <w:r w:rsidR="00727033" w:rsidRPr="00CF090C">
              <w:rPr>
                <w:rStyle w:val="Hyperlink"/>
                <w:noProof/>
              </w:rPr>
              <w:t>1.5  Research Method</w:t>
            </w:r>
            <w:r w:rsidR="00727033">
              <w:rPr>
                <w:noProof/>
                <w:webHidden/>
              </w:rPr>
              <w:tab/>
            </w:r>
            <w:r w:rsidR="00727033">
              <w:rPr>
                <w:noProof/>
                <w:webHidden/>
              </w:rPr>
              <w:fldChar w:fldCharType="begin"/>
            </w:r>
            <w:r w:rsidR="00727033">
              <w:rPr>
                <w:noProof/>
                <w:webHidden/>
              </w:rPr>
              <w:instrText xml:space="preserve"> PAGEREF _Toc60235784 \h </w:instrText>
            </w:r>
            <w:r w:rsidR="00727033">
              <w:rPr>
                <w:noProof/>
                <w:webHidden/>
              </w:rPr>
            </w:r>
            <w:r w:rsidR="00727033">
              <w:rPr>
                <w:noProof/>
                <w:webHidden/>
              </w:rPr>
              <w:fldChar w:fldCharType="separate"/>
            </w:r>
            <w:r w:rsidR="00727033">
              <w:rPr>
                <w:noProof/>
                <w:webHidden/>
              </w:rPr>
              <w:t>32</w:t>
            </w:r>
            <w:r w:rsidR="00727033">
              <w:rPr>
                <w:noProof/>
                <w:webHidden/>
              </w:rPr>
              <w:fldChar w:fldCharType="end"/>
            </w:r>
          </w:hyperlink>
        </w:p>
        <w:p w14:paraId="44A6A25A" w14:textId="771C0402" w:rsidR="00727033" w:rsidRDefault="00BD7B40">
          <w:pPr>
            <w:pStyle w:val="TOC2"/>
            <w:tabs>
              <w:tab w:val="right" w:leader="dot" w:pos="8302"/>
            </w:tabs>
            <w:rPr>
              <w:rFonts w:eastAsiaTheme="minorEastAsia" w:cstheme="minorBidi"/>
              <w:b w:val="0"/>
              <w:noProof/>
            </w:rPr>
          </w:pPr>
          <w:hyperlink w:anchor="_Toc60235785" w:history="1">
            <w:r w:rsidR="00727033" w:rsidRPr="00CF090C">
              <w:rPr>
                <w:rStyle w:val="Hyperlink"/>
                <w:noProof/>
              </w:rPr>
              <w:t>1.6  Research Limitations</w:t>
            </w:r>
            <w:r w:rsidR="00727033">
              <w:rPr>
                <w:noProof/>
                <w:webHidden/>
              </w:rPr>
              <w:tab/>
            </w:r>
            <w:r w:rsidR="00727033">
              <w:rPr>
                <w:noProof/>
                <w:webHidden/>
              </w:rPr>
              <w:fldChar w:fldCharType="begin"/>
            </w:r>
            <w:r w:rsidR="00727033">
              <w:rPr>
                <w:noProof/>
                <w:webHidden/>
              </w:rPr>
              <w:instrText xml:space="preserve"> PAGEREF _Toc60235785 \h </w:instrText>
            </w:r>
            <w:r w:rsidR="00727033">
              <w:rPr>
                <w:noProof/>
                <w:webHidden/>
              </w:rPr>
            </w:r>
            <w:r w:rsidR="00727033">
              <w:rPr>
                <w:noProof/>
                <w:webHidden/>
              </w:rPr>
              <w:fldChar w:fldCharType="separate"/>
            </w:r>
            <w:r w:rsidR="00727033">
              <w:rPr>
                <w:noProof/>
                <w:webHidden/>
              </w:rPr>
              <w:t>39</w:t>
            </w:r>
            <w:r w:rsidR="00727033">
              <w:rPr>
                <w:noProof/>
                <w:webHidden/>
              </w:rPr>
              <w:fldChar w:fldCharType="end"/>
            </w:r>
          </w:hyperlink>
        </w:p>
        <w:p w14:paraId="47AF370E" w14:textId="2506310C" w:rsidR="00727033" w:rsidRDefault="00BD7B40">
          <w:pPr>
            <w:pStyle w:val="TOC2"/>
            <w:tabs>
              <w:tab w:val="right" w:leader="dot" w:pos="8302"/>
            </w:tabs>
            <w:rPr>
              <w:rFonts w:eastAsiaTheme="minorEastAsia" w:cstheme="minorBidi"/>
              <w:b w:val="0"/>
              <w:noProof/>
            </w:rPr>
          </w:pPr>
          <w:hyperlink w:anchor="_Toc60235786" w:history="1">
            <w:r w:rsidR="00727033" w:rsidRPr="00CF090C">
              <w:rPr>
                <w:rStyle w:val="Hyperlink"/>
                <w:noProof/>
              </w:rPr>
              <w:t>1.7.Literature Review</w:t>
            </w:r>
            <w:r w:rsidR="00727033">
              <w:rPr>
                <w:noProof/>
                <w:webHidden/>
              </w:rPr>
              <w:tab/>
            </w:r>
            <w:r w:rsidR="00727033">
              <w:rPr>
                <w:noProof/>
                <w:webHidden/>
              </w:rPr>
              <w:fldChar w:fldCharType="begin"/>
            </w:r>
            <w:r w:rsidR="00727033">
              <w:rPr>
                <w:noProof/>
                <w:webHidden/>
              </w:rPr>
              <w:instrText xml:space="preserve"> PAGEREF _Toc60235786 \h </w:instrText>
            </w:r>
            <w:r w:rsidR="00727033">
              <w:rPr>
                <w:noProof/>
                <w:webHidden/>
              </w:rPr>
            </w:r>
            <w:r w:rsidR="00727033">
              <w:rPr>
                <w:noProof/>
                <w:webHidden/>
              </w:rPr>
              <w:fldChar w:fldCharType="separate"/>
            </w:r>
            <w:r w:rsidR="00727033">
              <w:rPr>
                <w:noProof/>
                <w:webHidden/>
              </w:rPr>
              <w:t>41</w:t>
            </w:r>
            <w:r w:rsidR="00727033">
              <w:rPr>
                <w:noProof/>
                <w:webHidden/>
              </w:rPr>
              <w:fldChar w:fldCharType="end"/>
            </w:r>
          </w:hyperlink>
        </w:p>
        <w:p w14:paraId="27DFDE31" w14:textId="6A8D03E5" w:rsidR="00727033" w:rsidRDefault="00BD7B40">
          <w:pPr>
            <w:pStyle w:val="TOC2"/>
            <w:tabs>
              <w:tab w:val="right" w:leader="dot" w:pos="8302"/>
            </w:tabs>
            <w:rPr>
              <w:rFonts w:eastAsiaTheme="minorEastAsia" w:cstheme="minorBidi"/>
              <w:b w:val="0"/>
              <w:noProof/>
            </w:rPr>
          </w:pPr>
          <w:hyperlink w:anchor="_Toc60235787" w:history="1">
            <w:r w:rsidR="00727033" w:rsidRPr="00CF090C">
              <w:rPr>
                <w:rStyle w:val="Hyperlink"/>
                <w:noProof/>
              </w:rPr>
              <w:t>1.7.1 Victims and victimhood</w:t>
            </w:r>
            <w:r w:rsidR="00727033">
              <w:rPr>
                <w:noProof/>
                <w:webHidden/>
              </w:rPr>
              <w:tab/>
            </w:r>
            <w:r w:rsidR="00727033">
              <w:rPr>
                <w:noProof/>
                <w:webHidden/>
              </w:rPr>
              <w:fldChar w:fldCharType="begin"/>
            </w:r>
            <w:r w:rsidR="00727033">
              <w:rPr>
                <w:noProof/>
                <w:webHidden/>
              </w:rPr>
              <w:instrText xml:space="preserve"> PAGEREF _Toc60235787 \h </w:instrText>
            </w:r>
            <w:r w:rsidR="00727033">
              <w:rPr>
                <w:noProof/>
                <w:webHidden/>
              </w:rPr>
            </w:r>
            <w:r w:rsidR="00727033">
              <w:rPr>
                <w:noProof/>
                <w:webHidden/>
              </w:rPr>
              <w:fldChar w:fldCharType="separate"/>
            </w:r>
            <w:r w:rsidR="00727033">
              <w:rPr>
                <w:noProof/>
                <w:webHidden/>
              </w:rPr>
              <w:t>41</w:t>
            </w:r>
            <w:r w:rsidR="00727033">
              <w:rPr>
                <w:noProof/>
                <w:webHidden/>
              </w:rPr>
              <w:fldChar w:fldCharType="end"/>
            </w:r>
          </w:hyperlink>
        </w:p>
        <w:p w14:paraId="525BC9ED" w14:textId="404DBD45" w:rsidR="00727033" w:rsidRDefault="00BD7B40">
          <w:pPr>
            <w:pStyle w:val="TOC2"/>
            <w:tabs>
              <w:tab w:val="right" w:leader="dot" w:pos="8302"/>
            </w:tabs>
            <w:rPr>
              <w:rFonts w:eastAsiaTheme="minorEastAsia" w:cstheme="minorBidi"/>
              <w:b w:val="0"/>
              <w:noProof/>
            </w:rPr>
          </w:pPr>
          <w:hyperlink w:anchor="_Toc60235788" w:history="1">
            <w:r w:rsidR="00727033" w:rsidRPr="00CF090C">
              <w:rPr>
                <w:rStyle w:val="Hyperlink"/>
                <w:noProof/>
              </w:rPr>
              <w:t>1.8 Literature on the themes of this thesis</w:t>
            </w:r>
            <w:r w:rsidR="00727033">
              <w:rPr>
                <w:noProof/>
                <w:webHidden/>
              </w:rPr>
              <w:tab/>
            </w:r>
            <w:r w:rsidR="00727033">
              <w:rPr>
                <w:noProof/>
                <w:webHidden/>
              </w:rPr>
              <w:fldChar w:fldCharType="begin"/>
            </w:r>
            <w:r w:rsidR="00727033">
              <w:rPr>
                <w:noProof/>
                <w:webHidden/>
              </w:rPr>
              <w:instrText xml:space="preserve"> PAGEREF _Toc60235788 \h </w:instrText>
            </w:r>
            <w:r w:rsidR="00727033">
              <w:rPr>
                <w:noProof/>
                <w:webHidden/>
              </w:rPr>
            </w:r>
            <w:r w:rsidR="00727033">
              <w:rPr>
                <w:noProof/>
                <w:webHidden/>
              </w:rPr>
              <w:fldChar w:fldCharType="separate"/>
            </w:r>
            <w:r w:rsidR="00727033">
              <w:rPr>
                <w:noProof/>
                <w:webHidden/>
              </w:rPr>
              <w:t>48</w:t>
            </w:r>
            <w:r w:rsidR="00727033">
              <w:rPr>
                <w:noProof/>
                <w:webHidden/>
              </w:rPr>
              <w:fldChar w:fldCharType="end"/>
            </w:r>
          </w:hyperlink>
        </w:p>
        <w:p w14:paraId="265E77EB" w14:textId="5C6719F8" w:rsidR="00727033" w:rsidRDefault="00BD7B40">
          <w:pPr>
            <w:pStyle w:val="TOC2"/>
            <w:tabs>
              <w:tab w:val="right" w:leader="dot" w:pos="8302"/>
            </w:tabs>
            <w:rPr>
              <w:rFonts w:eastAsiaTheme="minorEastAsia" w:cstheme="minorBidi"/>
              <w:b w:val="0"/>
              <w:noProof/>
            </w:rPr>
          </w:pPr>
          <w:hyperlink w:anchor="_Toc60235789" w:history="1">
            <w:r w:rsidR="00727033" w:rsidRPr="00CF090C">
              <w:rPr>
                <w:rStyle w:val="Hyperlink"/>
                <w:noProof/>
              </w:rPr>
              <w:t>1.8.1 Prosecutorial discretion</w:t>
            </w:r>
            <w:r w:rsidR="00727033">
              <w:rPr>
                <w:noProof/>
                <w:webHidden/>
              </w:rPr>
              <w:tab/>
            </w:r>
            <w:r w:rsidR="00727033">
              <w:rPr>
                <w:noProof/>
                <w:webHidden/>
              </w:rPr>
              <w:fldChar w:fldCharType="begin"/>
            </w:r>
            <w:r w:rsidR="00727033">
              <w:rPr>
                <w:noProof/>
                <w:webHidden/>
              </w:rPr>
              <w:instrText xml:space="preserve"> PAGEREF _Toc60235789 \h </w:instrText>
            </w:r>
            <w:r w:rsidR="00727033">
              <w:rPr>
                <w:noProof/>
                <w:webHidden/>
              </w:rPr>
            </w:r>
            <w:r w:rsidR="00727033">
              <w:rPr>
                <w:noProof/>
                <w:webHidden/>
              </w:rPr>
              <w:fldChar w:fldCharType="separate"/>
            </w:r>
            <w:r w:rsidR="00727033">
              <w:rPr>
                <w:noProof/>
                <w:webHidden/>
              </w:rPr>
              <w:t>49</w:t>
            </w:r>
            <w:r w:rsidR="00727033">
              <w:rPr>
                <w:noProof/>
                <w:webHidden/>
              </w:rPr>
              <w:fldChar w:fldCharType="end"/>
            </w:r>
          </w:hyperlink>
        </w:p>
        <w:p w14:paraId="112B3EA7" w14:textId="732B042A" w:rsidR="00727033" w:rsidRDefault="00BD7B40">
          <w:pPr>
            <w:pStyle w:val="TOC2"/>
            <w:tabs>
              <w:tab w:val="right" w:leader="dot" w:pos="8302"/>
            </w:tabs>
            <w:rPr>
              <w:rFonts w:eastAsiaTheme="minorEastAsia" w:cstheme="minorBidi"/>
              <w:b w:val="0"/>
              <w:noProof/>
            </w:rPr>
          </w:pPr>
          <w:hyperlink w:anchor="_Toc60235790" w:history="1">
            <w:r w:rsidR="00727033" w:rsidRPr="00CF090C">
              <w:rPr>
                <w:rStyle w:val="Hyperlink"/>
                <w:noProof/>
              </w:rPr>
              <w:t>1.8.2 Trial Process</w:t>
            </w:r>
            <w:r w:rsidR="00727033">
              <w:rPr>
                <w:noProof/>
                <w:webHidden/>
              </w:rPr>
              <w:tab/>
            </w:r>
            <w:r w:rsidR="00727033">
              <w:rPr>
                <w:noProof/>
                <w:webHidden/>
              </w:rPr>
              <w:fldChar w:fldCharType="begin"/>
            </w:r>
            <w:r w:rsidR="00727033">
              <w:rPr>
                <w:noProof/>
                <w:webHidden/>
              </w:rPr>
              <w:instrText xml:space="preserve"> PAGEREF _Toc60235790 \h </w:instrText>
            </w:r>
            <w:r w:rsidR="00727033">
              <w:rPr>
                <w:noProof/>
                <w:webHidden/>
              </w:rPr>
            </w:r>
            <w:r w:rsidR="00727033">
              <w:rPr>
                <w:noProof/>
                <w:webHidden/>
              </w:rPr>
              <w:fldChar w:fldCharType="separate"/>
            </w:r>
            <w:r w:rsidR="00727033">
              <w:rPr>
                <w:noProof/>
                <w:webHidden/>
              </w:rPr>
              <w:t>52</w:t>
            </w:r>
            <w:r w:rsidR="00727033">
              <w:rPr>
                <w:noProof/>
                <w:webHidden/>
              </w:rPr>
              <w:fldChar w:fldCharType="end"/>
            </w:r>
          </w:hyperlink>
        </w:p>
        <w:p w14:paraId="430F3CB2" w14:textId="1B38F86E" w:rsidR="00727033" w:rsidRDefault="00BD7B40">
          <w:pPr>
            <w:pStyle w:val="TOC2"/>
            <w:tabs>
              <w:tab w:val="right" w:leader="dot" w:pos="8302"/>
            </w:tabs>
            <w:rPr>
              <w:rFonts w:eastAsiaTheme="minorEastAsia" w:cstheme="minorBidi"/>
              <w:b w:val="0"/>
              <w:noProof/>
            </w:rPr>
          </w:pPr>
          <w:hyperlink w:anchor="_Toc60235791" w:history="1">
            <w:r w:rsidR="00727033" w:rsidRPr="00CF090C">
              <w:rPr>
                <w:rStyle w:val="Hyperlink"/>
                <w:noProof/>
              </w:rPr>
              <w:t>1.8.3 Sentencing</w:t>
            </w:r>
            <w:r w:rsidR="00727033">
              <w:rPr>
                <w:noProof/>
                <w:webHidden/>
              </w:rPr>
              <w:tab/>
            </w:r>
            <w:r w:rsidR="00727033">
              <w:rPr>
                <w:noProof/>
                <w:webHidden/>
              </w:rPr>
              <w:fldChar w:fldCharType="begin"/>
            </w:r>
            <w:r w:rsidR="00727033">
              <w:rPr>
                <w:noProof/>
                <w:webHidden/>
              </w:rPr>
              <w:instrText xml:space="preserve"> PAGEREF _Toc60235791 \h </w:instrText>
            </w:r>
            <w:r w:rsidR="00727033">
              <w:rPr>
                <w:noProof/>
                <w:webHidden/>
              </w:rPr>
            </w:r>
            <w:r w:rsidR="00727033">
              <w:rPr>
                <w:noProof/>
                <w:webHidden/>
              </w:rPr>
              <w:fldChar w:fldCharType="separate"/>
            </w:r>
            <w:r w:rsidR="00727033">
              <w:rPr>
                <w:noProof/>
                <w:webHidden/>
              </w:rPr>
              <w:t>58</w:t>
            </w:r>
            <w:r w:rsidR="00727033">
              <w:rPr>
                <w:noProof/>
                <w:webHidden/>
              </w:rPr>
              <w:fldChar w:fldCharType="end"/>
            </w:r>
          </w:hyperlink>
        </w:p>
        <w:p w14:paraId="3A986310" w14:textId="781771B5" w:rsidR="00727033" w:rsidRDefault="00BD7B40">
          <w:pPr>
            <w:pStyle w:val="TOC2"/>
            <w:tabs>
              <w:tab w:val="right" w:leader="dot" w:pos="8302"/>
            </w:tabs>
            <w:rPr>
              <w:rFonts w:eastAsiaTheme="minorEastAsia" w:cstheme="minorBidi"/>
              <w:b w:val="0"/>
              <w:noProof/>
            </w:rPr>
          </w:pPr>
          <w:hyperlink w:anchor="_Toc60235792" w:history="1">
            <w:r w:rsidR="00727033" w:rsidRPr="00CF090C">
              <w:rPr>
                <w:rStyle w:val="Hyperlink"/>
                <w:noProof/>
              </w:rPr>
              <w:t>1.9Conclusion</w:t>
            </w:r>
            <w:r w:rsidR="00727033">
              <w:rPr>
                <w:noProof/>
                <w:webHidden/>
              </w:rPr>
              <w:tab/>
            </w:r>
            <w:r w:rsidR="00727033">
              <w:rPr>
                <w:noProof/>
                <w:webHidden/>
              </w:rPr>
              <w:fldChar w:fldCharType="begin"/>
            </w:r>
            <w:r w:rsidR="00727033">
              <w:rPr>
                <w:noProof/>
                <w:webHidden/>
              </w:rPr>
              <w:instrText xml:space="preserve"> PAGEREF _Toc60235792 \h </w:instrText>
            </w:r>
            <w:r w:rsidR="00727033">
              <w:rPr>
                <w:noProof/>
                <w:webHidden/>
              </w:rPr>
            </w:r>
            <w:r w:rsidR="00727033">
              <w:rPr>
                <w:noProof/>
                <w:webHidden/>
              </w:rPr>
              <w:fldChar w:fldCharType="separate"/>
            </w:r>
            <w:r w:rsidR="00727033">
              <w:rPr>
                <w:noProof/>
                <w:webHidden/>
              </w:rPr>
              <w:t>68</w:t>
            </w:r>
            <w:r w:rsidR="00727033">
              <w:rPr>
                <w:noProof/>
                <w:webHidden/>
              </w:rPr>
              <w:fldChar w:fldCharType="end"/>
            </w:r>
          </w:hyperlink>
        </w:p>
        <w:p w14:paraId="031D33F5" w14:textId="2914E74E" w:rsidR="00727033" w:rsidRDefault="00BD7B40">
          <w:pPr>
            <w:pStyle w:val="TOC1"/>
            <w:tabs>
              <w:tab w:val="right" w:leader="dot" w:pos="8302"/>
            </w:tabs>
            <w:rPr>
              <w:rFonts w:eastAsiaTheme="minorEastAsia" w:cstheme="minorBidi"/>
              <w:b w:val="0"/>
              <w:noProof/>
              <w:sz w:val="22"/>
              <w:szCs w:val="22"/>
            </w:rPr>
          </w:pPr>
          <w:hyperlink w:anchor="_Toc60235793" w:history="1">
            <w:r w:rsidR="00727033" w:rsidRPr="00CF090C">
              <w:rPr>
                <w:rStyle w:val="Hyperlink"/>
                <w:noProof/>
                <w:lang w:val="en-US"/>
              </w:rPr>
              <w:t>2.0 Chapter 2- Prosecutorial discretion</w:t>
            </w:r>
            <w:r w:rsidR="00727033">
              <w:rPr>
                <w:noProof/>
                <w:webHidden/>
              </w:rPr>
              <w:tab/>
            </w:r>
            <w:r w:rsidR="00727033">
              <w:rPr>
                <w:noProof/>
                <w:webHidden/>
              </w:rPr>
              <w:fldChar w:fldCharType="begin"/>
            </w:r>
            <w:r w:rsidR="00727033">
              <w:rPr>
                <w:noProof/>
                <w:webHidden/>
              </w:rPr>
              <w:instrText xml:space="preserve"> PAGEREF _Toc60235793 \h </w:instrText>
            </w:r>
            <w:r w:rsidR="00727033">
              <w:rPr>
                <w:noProof/>
                <w:webHidden/>
              </w:rPr>
            </w:r>
            <w:r w:rsidR="00727033">
              <w:rPr>
                <w:noProof/>
                <w:webHidden/>
              </w:rPr>
              <w:fldChar w:fldCharType="separate"/>
            </w:r>
            <w:r w:rsidR="00727033">
              <w:rPr>
                <w:noProof/>
                <w:webHidden/>
              </w:rPr>
              <w:t>69</w:t>
            </w:r>
            <w:r w:rsidR="00727033">
              <w:rPr>
                <w:noProof/>
                <w:webHidden/>
              </w:rPr>
              <w:fldChar w:fldCharType="end"/>
            </w:r>
          </w:hyperlink>
        </w:p>
        <w:p w14:paraId="125EFB00" w14:textId="1C3D9395" w:rsidR="00727033" w:rsidRDefault="00BD7B40">
          <w:pPr>
            <w:pStyle w:val="TOC2"/>
            <w:tabs>
              <w:tab w:val="right" w:leader="dot" w:pos="8302"/>
            </w:tabs>
            <w:rPr>
              <w:rFonts w:eastAsiaTheme="minorEastAsia" w:cstheme="minorBidi"/>
              <w:b w:val="0"/>
              <w:noProof/>
            </w:rPr>
          </w:pPr>
          <w:hyperlink w:anchor="_Toc60235794" w:history="1">
            <w:r w:rsidR="00727033" w:rsidRPr="00CF090C">
              <w:rPr>
                <w:rStyle w:val="Hyperlink"/>
                <w:noProof/>
              </w:rPr>
              <w:t>2.1 Introduction</w:t>
            </w:r>
            <w:r w:rsidR="00727033">
              <w:rPr>
                <w:noProof/>
                <w:webHidden/>
              </w:rPr>
              <w:tab/>
            </w:r>
            <w:r w:rsidR="00727033">
              <w:rPr>
                <w:noProof/>
                <w:webHidden/>
              </w:rPr>
              <w:fldChar w:fldCharType="begin"/>
            </w:r>
            <w:r w:rsidR="00727033">
              <w:rPr>
                <w:noProof/>
                <w:webHidden/>
              </w:rPr>
              <w:instrText xml:space="preserve"> PAGEREF _Toc60235794 \h </w:instrText>
            </w:r>
            <w:r w:rsidR="00727033">
              <w:rPr>
                <w:noProof/>
                <w:webHidden/>
              </w:rPr>
            </w:r>
            <w:r w:rsidR="00727033">
              <w:rPr>
                <w:noProof/>
                <w:webHidden/>
              </w:rPr>
              <w:fldChar w:fldCharType="separate"/>
            </w:r>
            <w:r w:rsidR="00727033">
              <w:rPr>
                <w:noProof/>
                <w:webHidden/>
              </w:rPr>
              <w:t>69</w:t>
            </w:r>
            <w:r w:rsidR="00727033">
              <w:rPr>
                <w:noProof/>
                <w:webHidden/>
              </w:rPr>
              <w:fldChar w:fldCharType="end"/>
            </w:r>
          </w:hyperlink>
        </w:p>
        <w:p w14:paraId="60CFDCEF" w14:textId="688EF295" w:rsidR="00727033" w:rsidRDefault="00BD7B40">
          <w:pPr>
            <w:pStyle w:val="TOC2"/>
            <w:tabs>
              <w:tab w:val="right" w:leader="dot" w:pos="8302"/>
            </w:tabs>
            <w:rPr>
              <w:rFonts w:eastAsiaTheme="minorEastAsia" w:cstheme="minorBidi"/>
              <w:b w:val="0"/>
              <w:noProof/>
            </w:rPr>
          </w:pPr>
          <w:hyperlink w:anchor="_Toc60235795" w:history="1">
            <w:r w:rsidR="00727033" w:rsidRPr="00CF090C">
              <w:rPr>
                <w:rStyle w:val="Hyperlink"/>
                <w:noProof/>
                <w:lang w:val="en-US"/>
              </w:rPr>
              <w:t>2.2The role of actors in the Rome Negotiations</w:t>
            </w:r>
            <w:r w:rsidR="00727033">
              <w:rPr>
                <w:noProof/>
                <w:webHidden/>
              </w:rPr>
              <w:tab/>
            </w:r>
            <w:r w:rsidR="00727033">
              <w:rPr>
                <w:noProof/>
                <w:webHidden/>
              </w:rPr>
              <w:fldChar w:fldCharType="begin"/>
            </w:r>
            <w:r w:rsidR="00727033">
              <w:rPr>
                <w:noProof/>
                <w:webHidden/>
              </w:rPr>
              <w:instrText xml:space="preserve"> PAGEREF _Toc60235795 \h </w:instrText>
            </w:r>
            <w:r w:rsidR="00727033">
              <w:rPr>
                <w:noProof/>
                <w:webHidden/>
              </w:rPr>
            </w:r>
            <w:r w:rsidR="00727033">
              <w:rPr>
                <w:noProof/>
                <w:webHidden/>
              </w:rPr>
              <w:fldChar w:fldCharType="separate"/>
            </w:r>
            <w:r w:rsidR="00727033">
              <w:rPr>
                <w:noProof/>
                <w:webHidden/>
              </w:rPr>
              <w:t>71</w:t>
            </w:r>
            <w:r w:rsidR="00727033">
              <w:rPr>
                <w:noProof/>
                <w:webHidden/>
              </w:rPr>
              <w:fldChar w:fldCharType="end"/>
            </w:r>
          </w:hyperlink>
        </w:p>
        <w:p w14:paraId="215B9491" w14:textId="5B2380C5" w:rsidR="00727033" w:rsidRDefault="00BD7B40">
          <w:pPr>
            <w:pStyle w:val="TOC2"/>
            <w:tabs>
              <w:tab w:val="right" w:leader="dot" w:pos="8302"/>
            </w:tabs>
            <w:rPr>
              <w:rFonts w:eastAsiaTheme="minorEastAsia" w:cstheme="minorBidi"/>
              <w:b w:val="0"/>
              <w:noProof/>
            </w:rPr>
          </w:pPr>
          <w:hyperlink w:anchor="_Toc60235796" w:history="1">
            <w:r w:rsidR="00727033" w:rsidRPr="00CF090C">
              <w:rPr>
                <w:rStyle w:val="Hyperlink"/>
                <w:noProof/>
              </w:rPr>
              <w:t>2.3 The Statutory powers of the Prosecutor.</w:t>
            </w:r>
            <w:r w:rsidR="00727033">
              <w:rPr>
                <w:noProof/>
                <w:webHidden/>
              </w:rPr>
              <w:tab/>
            </w:r>
            <w:r w:rsidR="00727033">
              <w:rPr>
                <w:noProof/>
                <w:webHidden/>
              </w:rPr>
              <w:fldChar w:fldCharType="begin"/>
            </w:r>
            <w:r w:rsidR="00727033">
              <w:rPr>
                <w:noProof/>
                <w:webHidden/>
              </w:rPr>
              <w:instrText xml:space="preserve"> PAGEREF _Toc60235796 \h </w:instrText>
            </w:r>
            <w:r w:rsidR="00727033">
              <w:rPr>
                <w:noProof/>
                <w:webHidden/>
              </w:rPr>
            </w:r>
            <w:r w:rsidR="00727033">
              <w:rPr>
                <w:noProof/>
                <w:webHidden/>
              </w:rPr>
              <w:fldChar w:fldCharType="separate"/>
            </w:r>
            <w:r w:rsidR="00727033">
              <w:rPr>
                <w:noProof/>
                <w:webHidden/>
              </w:rPr>
              <w:t>81</w:t>
            </w:r>
            <w:r w:rsidR="00727033">
              <w:rPr>
                <w:noProof/>
                <w:webHidden/>
              </w:rPr>
              <w:fldChar w:fldCharType="end"/>
            </w:r>
          </w:hyperlink>
        </w:p>
        <w:p w14:paraId="515F4D0D" w14:textId="712D18E3" w:rsidR="00727033" w:rsidRDefault="00BD7B40">
          <w:pPr>
            <w:pStyle w:val="TOC2"/>
            <w:tabs>
              <w:tab w:val="right" w:leader="dot" w:pos="8302"/>
            </w:tabs>
            <w:rPr>
              <w:rFonts w:eastAsiaTheme="minorEastAsia" w:cstheme="minorBidi"/>
              <w:b w:val="0"/>
              <w:noProof/>
            </w:rPr>
          </w:pPr>
          <w:hyperlink w:anchor="_Toc60235797" w:history="1">
            <w:r w:rsidR="00727033" w:rsidRPr="00CF090C">
              <w:rPr>
                <w:rStyle w:val="Hyperlink"/>
                <w:noProof/>
                <w:lang w:val="en-US"/>
              </w:rPr>
              <w:t>2.4 Victims’ interests versus the Prosecutor’s interests</w:t>
            </w:r>
            <w:r w:rsidR="00727033">
              <w:rPr>
                <w:noProof/>
                <w:webHidden/>
              </w:rPr>
              <w:tab/>
            </w:r>
            <w:r w:rsidR="00727033">
              <w:rPr>
                <w:noProof/>
                <w:webHidden/>
              </w:rPr>
              <w:fldChar w:fldCharType="begin"/>
            </w:r>
            <w:r w:rsidR="00727033">
              <w:rPr>
                <w:noProof/>
                <w:webHidden/>
              </w:rPr>
              <w:instrText xml:space="preserve"> PAGEREF _Toc60235797 \h </w:instrText>
            </w:r>
            <w:r w:rsidR="00727033">
              <w:rPr>
                <w:noProof/>
                <w:webHidden/>
              </w:rPr>
            </w:r>
            <w:r w:rsidR="00727033">
              <w:rPr>
                <w:noProof/>
                <w:webHidden/>
              </w:rPr>
              <w:fldChar w:fldCharType="separate"/>
            </w:r>
            <w:r w:rsidR="00727033">
              <w:rPr>
                <w:noProof/>
                <w:webHidden/>
              </w:rPr>
              <w:t>87</w:t>
            </w:r>
            <w:r w:rsidR="00727033">
              <w:rPr>
                <w:noProof/>
                <w:webHidden/>
              </w:rPr>
              <w:fldChar w:fldCharType="end"/>
            </w:r>
          </w:hyperlink>
        </w:p>
        <w:p w14:paraId="501BC569" w14:textId="02018665" w:rsidR="00727033" w:rsidRDefault="00BD7B40">
          <w:pPr>
            <w:pStyle w:val="TOC1"/>
            <w:tabs>
              <w:tab w:val="right" w:leader="dot" w:pos="8302"/>
            </w:tabs>
            <w:rPr>
              <w:rFonts w:eastAsiaTheme="minorEastAsia" w:cstheme="minorBidi"/>
              <w:b w:val="0"/>
              <w:noProof/>
              <w:sz w:val="22"/>
              <w:szCs w:val="22"/>
            </w:rPr>
          </w:pPr>
          <w:hyperlink w:anchor="_Toc60235798" w:history="1">
            <w:r w:rsidR="00727033" w:rsidRPr="00CF090C">
              <w:rPr>
                <w:rStyle w:val="Hyperlink"/>
                <w:noProof/>
              </w:rPr>
              <w:t>2.5 The Charging Document: Double-edged sword</w:t>
            </w:r>
            <w:r w:rsidR="00727033">
              <w:rPr>
                <w:noProof/>
                <w:webHidden/>
              </w:rPr>
              <w:tab/>
            </w:r>
            <w:r w:rsidR="00727033">
              <w:rPr>
                <w:noProof/>
                <w:webHidden/>
              </w:rPr>
              <w:fldChar w:fldCharType="begin"/>
            </w:r>
            <w:r w:rsidR="00727033">
              <w:rPr>
                <w:noProof/>
                <w:webHidden/>
              </w:rPr>
              <w:instrText xml:space="preserve"> PAGEREF _Toc60235798 \h </w:instrText>
            </w:r>
            <w:r w:rsidR="00727033">
              <w:rPr>
                <w:noProof/>
                <w:webHidden/>
              </w:rPr>
            </w:r>
            <w:r w:rsidR="00727033">
              <w:rPr>
                <w:noProof/>
                <w:webHidden/>
              </w:rPr>
              <w:fldChar w:fldCharType="separate"/>
            </w:r>
            <w:r w:rsidR="00727033">
              <w:rPr>
                <w:noProof/>
                <w:webHidden/>
              </w:rPr>
              <w:t>103</w:t>
            </w:r>
            <w:r w:rsidR="00727033">
              <w:rPr>
                <w:noProof/>
                <w:webHidden/>
              </w:rPr>
              <w:fldChar w:fldCharType="end"/>
            </w:r>
          </w:hyperlink>
        </w:p>
        <w:p w14:paraId="5471373E" w14:textId="070A7BFE" w:rsidR="00727033" w:rsidRDefault="00BD7B40">
          <w:pPr>
            <w:pStyle w:val="TOC1"/>
            <w:tabs>
              <w:tab w:val="right" w:leader="dot" w:pos="8302"/>
            </w:tabs>
            <w:rPr>
              <w:rFonts w:eastAsiaTheme="minorEastAsia" w:cstheme="minorBidi"/>
              <w:b w:val="0"/>
              <w:noProof/>
              <w:sz w:val="22"/>
              <w:szCs w:val="22"/>
            </w:rPr>
          </w:pPr>
          <w:hyperlink w:anchor="_Toc60235799" w:history="1">
            <w:r w:rsidR="00727033" w:rsidRPr="00CF090C">
              <w:rPr>
                <w:rStyle w:val="Hyperlink"/>
                <w:noProof/>
                <w:lang w:val="en-US"/>
              </w:rPr>
              <w:t>2.5.1Charging Document: Lubanga case</w:t>
            </w:r>
            <w:r w:rsidR="00727033">
              <w:rPr>
                <w:noProof/>
                <w:webHidden/>
              </w:rPr>
              <w:tab/>
            </w:r>
            <w:r w:rsidR="00727033">
              <w:rPr>
                <w:noProof/>
                <w:webHidden/>
              </w:rPr>
              <w:fldChar w:fldCharType="begin"/>
            </w:r>
            <w:r w:rsidR="00727033">
              <w:rPr>
                <w:noProof/>
                <w:webHidden/>
              </w:rPr>
              <w:instrText xml:space="preserve"> PAGEREF _Toc60235799 \h </w:instrText>
            </w:r>
            <w:r w:rsidR="00727033">
              <w:rPr>
                <w:noProof/>
                <w:webHidden/>
              </w:rPr>
            </w:r>
            <w:r w:rsidR="00727033">
              <w:rPr>
                <w:noProof/>
                <w:webHidden/>
              </w:rPr>
              <w:fldChar w:fldCharType="separate"/>
            </w:r>
            <w:r w:rsidR="00727033">
              <w:rPr>
                <w:noProof/>
                <w:webHidden/>
              </w:rPr>
              <w:t>110</w:t>
            </w:r>
            <w:r w:rsidR="00727033">
              <w:rPr>
                <w:noProof/>
                <w:webHidden/>
              </w:rPr>
              <w:fldChar w:fldCharType="end"/>
            </w:r>
          </w:hyperlink>
        </w:p>
        <w:p w14:paraId="16612728" w14:textId="542CE7F3" w:rsidR="00727033" w:rsidRDefault="00BD7B40">
          <w:pPr>
            <w:pStyle w:val="TOC2"/>
            <w:tabs>
              <w:tab w:val="right" w:leader="dot" w:pos="8302"/>
            </w:tabs>
            <w:rPr>
              <w:rFonts w:eastAsiaTheme="minorEastAsia" w:cstheme="minorBidi"/>
              <w:b w:val="0"/>
              <w:noProof/>
            </w:rPr>
          </w:pPr>
          <w:hyperlink w:anchor="_Toc60235800" w:history="1">
            <w:r w:rsidR="00727033" w:rsidRPr="00CF090C">
              <w:rPr>
                <w:rStyle w:val="Hyperlink"/>
                <w:noProof/>
                <w:lang w:val="en-US"/>
              </w:rPr>
              <w:t>2.5.2 Background to the Charges</w:t>
            </w:r>
            <w:r w:rsidR="00727033">
              <w:rPr>
                <w:noProof/>
                <w:webHidden/>
              </w:rPr>
              <w:tab/>
            </w:r>
            <w:r w:rsidR="00727033">
              <w:rPr>
                <w:noProof/>
                <w:webHidden/>
              </w:rPr>
              <w:fldChar w:fldCharType="begin"/>
            </w:r>
            <w:r w:rsidR="00727033">
              <w:rPr>
                <w:noProof/>
                <w:webHidden/>
              </w:rPr>
              <w:instrText xml:space="preserve"> PAGEREF _Toc60235800 \h </w:instrText>
            </w:r>
            <w:r w:rsidR="00727033">
              <w:rPr>
                <w:noProof/>
                <w:webHidden/>
              </w:rPr>
            </w:r>
            <w:r w:rsidR="00727033">
              <w:rPr>
                <w:noProof/>
                <w:webHidden/>
              </w:rPr>
              <w:fldChar w:fldCharType="separate"/>
            </w:r>
            <w:r w:rsidR="00727033">
              <w:rPr>
                <w:noProof/>
                <w:webHidden/>
              </w:rPr>
              <w:t>110</w:t>
            </w:r>
            <w:r w:rsidR="00727033">
              <w:rPr>
                <w:noProof/>
                <w:webHidden/>
              </w:rPr>
              <w:fldChar w:fldCharType="end"/>
            </w:r>
          </w:hyperlink>
        </w:p>
        <w:p w14:paraId="2827F702" w14:textId="0F5FD076" w:rsidR="00727033" w:rsidRDefault="00BD7B40">
          <w:pPr>
            <w:pStyle w:val="TOC2"/>
            <w:tabs>
              <w:tab w:val="right" w:leader="dot" w:pos="8302"/>
            </w:tabs>
            <w:rPr>
              <w:rFonts w:eastAsiaTheme="minorEastAsia" w:cstheme="minorBidi"/>
              <w:b w:val="0"/>
              <w:noProof/>
            </w:rPr>
          </w:pPr>
          <w:hyperlink w:anchor="_Toc60235801" w:history="1">
            <w:r w:rsidR="00727033" w:rsidRPr="00CF090C">
              <w:rPr>
                <w:rStyle w:val="Hyperlink"/>
                <w:noProof/>
              </w:rPr>
              <w:t>2.5.3 The charging document</w:t>
            </w:r>
            <w:r w:rsidR="00727033">
              <w:rPr>
                <w:noProof/>
                <w:webHidden/>
              </w:rPr>
              <w:tab/>
            </w:r>
            <w:r w:rsidR="00727033">
              <w:rPr>
                <w:noProof/>
                <w:webHidden/>
              </w:rPr>
              <w:fldChar w:fldCharType="begin"/>
            </w:r>
            <w:r w:rsidR="00727033">
              <w:rPr>
                <w:noProof/>
                <w:webHidden/>
              </w:rPr>
              <w:instrText xml:space="preserve"> PAGEREF _Toc60235801 \h </w:instrText>
            </w:r>
            <w:r w:rsidR="00727033">
              <w:rPr>
                <w:noProof/>
                <w:webHidden/>
              </w:rPr>
            </w:r>
            <w:r w:rsidR="00727033">
              <w:rPr>
                <w:noProof/>
                <w:webHidden/>
              </w:rPr>
              <w:fldChar w:fldCharType="separate"/>
            </w:r>
            <w:r w:rsidR="00727033">
              <w:rPr>
                <w:noProof/>
                <w:webHidden/>
              </w:rPr>
              <w:t>118</w:t>
            </w:r>
            <w:r w:rsidR="00727033">
              <w:rPr>
                <w:noProof/>
                <w:webHidden/>
              </w:rPr>
              <w:fldChar w:fldCharType="end"/>
            </w:r>
          </w:hyperlink>
        </w:p>
        <w:p w14:paraId="203BDA86" w14:textId="5AD2B236" w:rsidR="00727033" w:rsidRDefault="00BD7B40">
          <w:pPr>
            <w:pStyle w:val="TOC1"/>
            <w:tabs>
              <w:tab w:val="right" w:leader="dot" w:pos="8302"/>
            </w:tabs>
            <w:rPr>
              <w:rFonts w:eastAsiaTheme="minorEastAsia" w:cstheme="minorBidi"/>
              <w:b w:val="0"/>
              <w:noProof/>
              <w:sz w:val="22"/>
              <w:szCs w:val="22"/>
            </w:rPr>
          </w:pPr>
          <w:hyperlink w:anchor="_Toc60235802" w:history="1">
            <w:r w:rsidR="00727033" w:rsidRPr="00CF090C">
              <w:rPr>
                <w:rStyle w:val="Hyperlink"/>
                <w:noProof/>
                <w:lang w:val="en-US"/>
              </w:rPr>
              <w:t>2.6 Charging Document: Katanga</w:t>
            </w:r>
            <w:r w:rsidR="00727033">
              <w:rPr>
                <w:noProof/>
                <w:webHidden/>
              </w:rPr>
              <w:tab/>
            </w:r>
            <w:r w:rsidR="00727033">
              <w:rPr>
                <w:noProof/>
                <w:webHidden/>
              </w:rPr>
              <w:fldChar w:fldCharType="begin"/>
            </w:r>
            <w:r w:rsidR="00727033">
              <w:rPr>
                <w:noProof/>
                <w:webHidden/>
              </w:rPr>
              <w:instrText xml:space="preserve"> PAGEREF _Toc60235802 \h </w:instrText>
            </w:r>
            <w:r w:rsidR="00727033">
              <w:rPr>
                <w:noProof/>
                <w:webHidden/>
              </w:rPr>
            </w:r>
            <w:r w:rsidR="00727033">
              <w:rPr>
                <w:noProof/>
                <w:webHidden/>
              </w:rPr>
              <w:fldChar w:fldCharType="separate"/>
            </w:r>
            <w:r w:rsidR="00727033">
              <w:rPr>
                <w:noProof/>
                <w:webHidden/>
              </w:rPr>
              <w:t>120</w:t>
            </w:r>
            <w:r w:rsidR="00727033">
              <w:rPr>
                <w:noProof/>
                <w:webHidden/>
              </w:rPr>
              <w:fldChar w:fldCharType="end"/>
            </w:r>
          </w:hyperlink>
        </w:p>
        <w:p w14:paraId="333B1581" w14:textId="49A968E1" w:rsidR="00727033" w:rsidRDefault="00BD7B40">
          <w:pPr>
            <w:pStyle w:val="TOC1"/>
            <w:tabs>
              <w:tab w:val="right" w:leader="dot" w:pos="8302"/>
            </w:tabs>
            <w:rPr>
              <w:rFonts w:eastAsiaTheme="minorEastAsia" w:cstheme="minorBidi"/>
              <w:b w:val="0"/>
              <w:noProof/>
              <w:sz w:val="22"/>
              <w:szCs w:val="22"/>
            </w:rPr>
          </w:pPr>
          <w:hyperlink w:anchor="_Toc60235803" w:history="1">
            <w:r w:rsidR="00727033" w:rsidRPr="00CF090C">
              <w:rPr>
                <w:rStyle w:val="Hyperlink"/>
                <w:noProof/>
                <w:lang w:val="en-US"/>
              </w:rPr>
              <w:t>2.6.1Background to the case</w:t>
            </w:r>
            <w:r w:rsidR="00727033">
              <w:rPr>
                <w:noProof/>
                <w:webHidden/>
              </w:rPr>
              <w:tab/>
            </w:r>
            <w:r w:rsidR="00727033">
              <w:rPr>
                <w:noProof/>
                <w:webHidden/>
              </w:rPr>
              <w:fldChar w:fldCharType="begin"/>
            </w:r>
            <w:r w:rsidR="00727033">
              <w:rPr>
                <w:noProof/>
                <w:webHidden/>
              </w:rPr>
              <w:instrText xml:space="preserve"> PAGEREF _Toc60235803 \h </w:instrText>
            </w:r>
            <w:r w:rsidR="00727033">
              <w:rPr>
                <w:noProof/>
                <w:webHidden/>
              </w:rPr>
            </w:r>
            <w:r w:rsidR="00727033">
              <w:rPr>
                <w:noProof/>
                <w:webHidden/>
              </w:rPr>
              <w:fldChar w:fldCharType="separate"/>
            </w:r>
            <w:r w:rsidR="00727033">
              <w:rPr>
                <w:noProof/>
                <w:webHidden/>
              </w:rPr>
              <w:t>120</w:t>
            </w:r>
            <w:r w:rsidR="00727033">
              <w:rPr>
                <w:noProof/>
                <w:webHidden/>
              </w:rPr>
              <w:fldChar w:fldCharType="end"/>
            </w:r>
          </w:hyperlink>
        </w:p>
        <w:p w14:paraId="7CB4D2FF" w14:textId="2664E7BA" w:rsidR="00727033" w:rsidRDefault="00BD7B40">
          <w:pPr>
            <w:pStyle w:val="TOC1"/>
            <w:tabs>
              <w:tab w:val="right" w:leader="dot" w:pos="8302"/>
            </w:tabs>
            <w:rPr>
              <w:rFonts w:eastAsiaTheme="minorEastAsia" w:cstheme="minorBidi"/>
              <w:b w:val="0"/>
              <w:noProof/>
              <w:sz w:val="22"/>
              <w:szCs w:val="22"/>
            </w:rPr>
          </w:pPr>
          <w:hyperlink w:anchor="_Toc60235804" w:history="1">
            <w:r w:rsidR="00727033" w:rsidRPr="00CF090C">
              <w:rPr>
                <w:rStyle w:val="Hyperlink"/>
                <w:noProof/>
              </w:rPr>
              <w:t>2.7 Regulation 55</w:t>
            </w:r>
            <w:r w:rsidR="00727033">
              <w:rPr>
                <w:noProof/>
                <w:webHidden/>
              </w:rPr>
              <w:tab/>
            </w:r>
            <w:r w:rsidR="00727033">
              <w:rPr>
                <w:noProof/>
                <w:webHidden/>
              </w:rPr>
              <w:fldChar w:fldCharType="begin"/>
            </w:r>
            <w:r w:rsidR="00727033">
              <w:rPr>
                <w:noProof/>
                <w:webHidden/>
              </w:rPr>
              <w:instrText xml:space="preserve"> PAGEREF _Toc60235804 \h </w:instrText>
            </w:r>
            <w:r w:rsidR="00727033">
              <w:rPr>
                <w:noProof/>
                <w:webHidden/>
              </w:rPr>
            </w:r>
            <w:r w:rsidR="00727033">
              <w:rPr>
                <w:noProof/>
                <w:webHidden/>
              </w:rPr>
              <w:fldChar w:fldCharType="separate"/>
            </w:r>
            <w:r w:rsidR="00727033">
              <w:rPr>
                <w:noProof/>
                <w:webHidden/>
              </w:rPr>
              <w:t>126</w:t>
            </w:r>
            <w:r w:rsidR="00727033">
              <w:rPr>
                <w:noProof/>
                <w:webHidden/>
              </w:rPr>
              <w:fldChar w:fldCharType="end"/>
            </w:r>
          </w:hyperlink>
        </w:p>
        <w:p w14:paraId="400F785F" w14:textId="102D5D9F" w:rsidR="00727033" w:rsidRDefault="00BD7B40">
          <w:pPr>
            <w:pStyle w:val="TOC1"/>
            <w:tabs>
              <w:tab w:val="right" w:leader="dot" w:pos="8302"/>
            </w:tabs>
            <w:rPr>
              <w:rFonts w:eastAsiaTheme="minorEastAsia" w:cstheme="minorBidi"/>
              <w:b w:val="0"/>
              <w:noProof/>
              <w:sz w:val="22"/>
              <w:szCs w:val="22"/>
            </w:rPr>
          </w:pPr>
          <w:hyperlink w:anchor="_Toc60235805" w:history="1">
            <w:r w:rsidR="00727033" w:rsidRPr="00CF090C">
              <w:rPr>
                <w:rStyle w:val="Hyperlink"/>
                <w:noProof/>
              </w:rPr>
              <w:t xml:space="preserve">2.7.1 </w:t>
            </w:r>
            <w:r w:rsidR="00727033" w:rsidRPr="00CF090C">
              <w:rPr>
                <w:rStyle w:val="Hyperlink"/>
                <w:noProof/>
                <w:lang w:val="en-US"/>
              </w:rPr>
              <w:t>Legal re-characterisation of facts: Lubanga case visited</w:t>
            </w:r>
            <w:r w:rsidR="00727033">
              <w:rPr>
                <w:noProof/>
                <w:webHidden/>
              </w:rPr>
              <w:tab/>
            </w:r>
            <w:r w:rsidR="00727033">
              <w:rPr>
                <w:noProof/>
                <w:webHidden/>
              </w:rPr>
              <w:fldChar w:fldCharType="begin"/>
            </w:r>
            <w:r w:rsidR="00727033">
              <w:rPr>
                <w:noProof/>
                <w:webHidden/>
              </w:rPr>
              <w:instrText xml:space="preserve"> PAGEREF _Toc60235805 \h </w:instrText>
            </w:r>
            <w:r w:rsidR="00727033">
              <w:rPr>
                <w:noProof/>
                <w:webHidden/>
              </w:rPr>
            </w:r>
            <w:r w:rsidR="00727033">
              <w:rPr>
                <w:noProof/>
                <w:webHidden/>
              </w:rPr>
              <w:fldChar w:fldCharType="separate"/>
            </w:r>
            <w:r w:rsidR="00727033">
              <w:rPr>
                <w:noProof/>
                <w:webHidden/>
              </w:rPr>
              <w:t>128</w:t>
            </w:r>
            <w:r w:rsidR="00727033">
              <w:rPr>
                <w:noProof/>
                <w:webHidden/>
              </w:rPr>
              <w:fldChar w:fldCharType="end"/>
            </w:r>
          </w:hyperlink>
        </w:p>
        <w:p w14:paraId="2C89B88B" w14:textId="3F9749F4" w:rsidR="00727033" w:rsidRDefault="00BD7B40">
          <w:pPr>
            <w:pStyle w:val="TOC1"/>
            <w:tabs>
              <w:tab w:val="right" w:leader="dot" w:pos="8302"/>
            </w:tabs>
            <w:rPr>
              <w:rFonts w:eastAsiaTheme="minorEastAsia" w:cstheme="minorBidi"/>
              <w:b w:val="0"/>
              <w:noProof/>
              <w:sz w:val="22"/>
              <w:szCs w:val="22"/>
            </w:rPr>
          </w:pPr>
          <w:hyperlink w:anchor="_Toc60235806" w:history="1">
            <w:r w:rsidR="00727033" w:rsidRPr="00CF090C">
              <w:rPr>
                <w:rStyle w:val="Hyperlink"/>
                <w:noProof/>
                <w:lang w:val="en-US"/>
              </w:rPr>
              <w:t>2.7.2 Legal re-characterisation of facts-Katanga visited</w:t>
            </w:r>
            <w:r w:rsidR="00727033">
              <w:rPr>
                <w:noProof/>
                <w:webHidden/>
              </w:rPr>
              <w:tab/>
            </w:r>
            <w:r w:rsidR="00727033">
              <w:rPr>
                <w:noProof/>
                <w:webHidden/>
              </w:rPr>
              <w:fldChar w:fldCharType="begin"/>
            </w:r>
            <w:r w:rsidR="00727033">
              <w:rPr>
                <w:noProof/>
                <w:webHidden/>
              </w:rPr>
              <w:instrText xml:space="preserve"> PAGEREF _Toc60235806 \h </w:instrText>
            </w:r>
            <w:r w:rsidR="00727033">
              <w:rPr>
                <w:noProof/>
                <w:webHidden/>
              </w:rPr>
            </w:r>
            <w:r w:rsidR="00727033">
              <w:rPr>
                <w:noProof/>
                <w:webHidden/>
              </w:rPr>
              <w:fldChar w:fldCharType="separate"/>
            </w:r>
            <w:r w:rsidR="00727033">
              <w:rPr>
                <w:noProof/>
                <w:webHidden/>
              </w:rPr>
              <w:t>139</w:t>
            </w:r>
            <w:r w:rsidR="00727033">
              <w:rPr>
                <w:noProof/>
                <w:webHidden/>
              </w:rPr>
              <w:fldChar w:fldCharType="end"/>
            </w:r>
          </w:hyperlink>
        </w:p>
        <w:p w14:paraId="3A7972C8" w14:textId="2B96C8C3" w:rsidR="00727033" w:rsidRDefault="00BD7B40">
          <w:pPr>
            <w:pStyle w:val="TOC1"/>
            <w:tabs>
              <w:tab w:val="right" w:leader="dot" w:pos="8302"/>
            </w:tabs>
            <w:rPr>
              <w:rFonts w:eastAsiaTheme="minorEastAsia" w:cstheme="minorBidi"/>
              <w:b w:val="0"/>
              <w:noProof/>
              <w:sz w:val="22"/>
              <w:szCs w:val="22"/>
            </w:rPr>
          </w:pPr>
          <w:hyperlink w:anchor="_Toc60235807" w:history="1">
            <w:r w:rsidR="00727033" w:rsidRPr="00CF090C">
              <w:rPr>
                <w:rStyle w:val="Hyperlink"/>
                <w:noProof/>
              </w:rPr>
              <w:t>2.7.3The victims status before the initiation of the investigation</w:t>
            </w:r>
            <w:r w:rsidR="00727033">
              <w:rPr>
                <w:noProof/>
                <w:webHidden/>
              </w:rPr>
              <w:tab/>
            </w:r>
            <w:r w:rsidR="00727033">
              <w:rPr>
                <w:noProof/>
                <w:webHidden/>
              </w:rPr>
              <w:fldChar w:fldCharType="begin"/>
            </w:r>
            <w:r w:rsidR="00727033">
              <w:rPr>
                <w:noProof/>
                <w:webHidden/>
              </w:rPr>
              <w:instrText xml:space="preserve"> PAGEREF _Toc60235807 \h </w:instrText>
            </w:r>
            <w:r w:rsidR="00727033">
              <w:rPr>
                <w:noProof/>
                <w:webHidden/>
              </w:rPr>
            </w:r>
            <w:r w:rsidR="00727033">
              <w:rPr>
                <w:noProof/>
                <w:webHidden/>
              </w:rPr>
              <w:fldChar w:fldCharType="separate"/>
            </w:r>
            <w:r w:rsidR="00727033">
              <w:rPr>
                <w:noProof/>
                <w:webHidden/>
              </w:rPr>
              <w:t>147</w:t>
            </w:r>
            <w:r w:rsidR="00727033">
              <w:rPr>
                <w:noProof/>
                <w:webHidden/>
              </w:rPr>
              <w:fldChar w:fldCharType="end"/>
            </w:r>
          </w:hyperlink>
        </w:p>
        <w:p w14:paraId="603524AB" w14:textId="67B4542C" w:rsidR="00727033" w:rsidRDefault="00BD7B40">
          <w:pPr>
            <w:pStyle w:val="TOC1"/>
            <w:tabs>
              <w:tab w:val="right" w:leader="dot" w:pos="8302"/>
            </w:tabs>
            <w:rPr>
              <w:rFonts w:eastAsiaTheme="minorEastAsia" w:cstheme="minorBidi"/>
              <w:b w:val="0"/>
              <w:noProof/>
              <w:sz w:val="22"/>
              <w:szCs w:val="22"/>
            </w:rPr>
          </w:pPr>
          <w:hyperlink w:anchor="_Toc60235808" w:history="1">
            <w:r w:rsidR="00727033" w:rsidRPr="00CF090C">
              <w:rPr>
                <w:rStyle w:val="Hyperlink"/>
                <w:noProof/>
              </w:rPr>
              <w:t>2.7.4Victim and participation during the investigation</w:t>
            </w:r>
            <w:r w:rsidR="00727033">
              <w:rPr>
                <w:noProof/>
                <w:webHidden/>
              </w:rPr>
              <w:tab/>
            </w:r>
            <w:r w:rsidR="00727033">
              <w:rPr>
                <w:noProof/>
                <w:webHidden/>
              </w:rPr>
              <w:fldChar w:fldCharType="begin"/>
            </w:r>
            <w:r w:rsidR="00727033">
              <w:rPr>
                <w:noProof/>
                <w:webHidden/>
              </w:rPr>
              <w:instrText xml:space="preserve"> PAGEREF _Toc60235808 \h </w:instrText>
            </w:r>
            <w:r w:rsidR="00727033">
              <w:rPr>
                <w:noProof/>
                <w:webHidden/>
              </w:rPr>
            </w:r>
            <w:r w:rsidR="00727033">
              <w:rPr>
                <w:noProof/>
                <w:webHidden/>
              </w:rPr>
              <w:fldChar w:fldCharType="separate"/>
            </w:r>
            <w:r w:rsidR="00727033">
              <w:rPr>
                <w:noProof/>
                <w:webHidden/>
              </w:rPr>
              <w:t>149</w:t>
            </w:r>
            <w:r w:rsidR="00727033">
              <w:rPr>
                <w:noProof/>
                <w:webHidden/>
              </w:rPr>
              <w:fldChar w:fldCharType="end"/>
            </w:r>
          </w:hyperlink>
        </w:p>
        <w:p w14:paraId="71CC8EEE" w14:textId="479D803F" w:rsidR="00727033" w:rsidRDefault="00BD7B40">
          <w:pPr>
            <w:pStyle w:val="TOC1"/>
            <w:tabs>
              <w:tab w:val="right" w:leader="dot" w:pos="8302"/>
            </w:tabs>
            <w:rPr>
              <w:rFonts w:eastAsiaTheme="minorEastAsia" w:cstheme="minorBidi"/>
              <w:b w:val="0"/>
              <w:noProof/>
              <w:sz w:val="22"/>
              <w:szCs w:val="22"/>
            </w:rPr>
          </w:pPr>
          <w:hyperlink w:anchor="_Toc60235809" w:history="1">
            <w:r w:rsidR="00727033" w:rsidRPr="00CF090C">
              <w:rPr>
                <w:rStyle w:val="Hyperlink"/>
                <w:noProof/>
              </w:rPr>
              <w:t>2.8 Discussing findings</w:t>
            </w:r>
            <w:r w:rsidR="00727033">
              <w:rPr>
                <w:noProof/>
                <w:webHidden/>
              </w:rPr>
              <w:tab/>
            </w:r>
            <w:r w:rsidR="00727033">
              <w:rPr>
                <w:noProof/>
                <w:webHidden/>
              </w:rPr>
              <w:fldChar w:fldCharType="begin"/>
            </w:r>
            <w:r w:rsidR="00727033">
              <w:rPr>
                <w:noProof/>
                <w:webHidden/>
              </w:rPr>
              <w:instrText xml:space="preserve"> PAGEREF _Toc60235809 \h </w:instrText>
            </w:r>
            <w:r w:rsidR="00727033">
              <w:rPr>
                <w:noProof/>
                <w:webHidden/>
              </w:rPr>
            </w:r>
            <w:r w:rsidR="00727033">
              <w:rPr>
                <w:noProof/>
                <w:webHidden/>
              </w:rPr>
              <w:fldChar w:fldCharType="separate"/>
            </w:r>
            <w:r w:rsidR="00727033">
              <w:rPr>
                <w:noProof/>
                <w:webHidden/>
              </w:rPr>
              <w:t>163</w:t>
            </w:r>
            <w:r w:rsidR="00727033">
              <w:rPr>
                <w:noProof/>
                <w:webHidden/>
              </w:rPr>
              <w:fldChar w:fldCharType="end"/>
            </w:r>
          </w:hyperlink>
        </w:p>
        <w:p w14:paraId="4F94465B" w14:textId="02D4A9E5" w:rsidR="00727033" w:rsidRDefault="00BD7B40">
          <w:pPr>
            <w:pStyle w:val="TOC1"/>
            <w:tabs>
              <w:tab w:val="right" w:leader="dot" w:pos="8302"/>
            </w:tabs>
            <w:rPr>
              <w:rFonts w:eastAsiaTheme="minorEastAsia" w:cstheme="minorBidi"/>
              <w:b w:val="0"/>
              <w:noProof/>
              <w:sz w:val="22"/>
              <w:szCs w:val="22"/>
            </w:rPr>
          </w:pPr>
          <w:hyperlink w:anchor="_Toc60235810" w:history="1">
            <w:r w:rsidR="00727033" w:rsidRPr="00CF090C">
              <w:rPr>
                <w:rStyle w:val="Hyperlink"/>
                <w:noProof/>
              </w:rPr>
              <w:t>2.9.Conclusion.</w:t>
            </w:r>
            <w:r w:rsidR="00727033">
              <w:rPr>
                <w:noProof/>
                <w:webHidden/>
              </w:rPr>
              <w:tab/>
            </w:r>
            <w:r w:rsidR="00727033">
              <w:rPr>
                <w:noProof/>
                <w:webHidden/>
              </w:rPr>
              <w:fldChar w:fldCharType="begin"/>
            </w:r>
            <w:r w:rsidR="00727033">
              <w:rPr>
                <w:noProof/>
                <w:webHidden/>
              </w:rPr>
              <w:instrText xml:space="preserve"> PAGEREF _Toc60235810 \h </w:instrText>
            </w:r>
            <w:r w:rsidR="00727033">
              <w:rPr>
                <w:noProof/>
                <w:webHidden/>
              </w:rPr>
            </w:r>
            <w:r w:rsidR="00727033">
              <w:rPr>
                <w:noProof/>
                <w:webHidden/>
              </w:rPr>
              <w:fldChar w:fldCharType="separate"/>
            </w:r>
            <w:r w:rsidR="00727033">
              <w:rPr>
                <w:noProof/>
                <w:webHidden/>
              </w:rPr>
              <w:t>166</w:t>
            </w:r>
            <w:r w:rsidR="00727033">
              <w:rPr>
                <w:noProof/>
                <w:webHidden/>
              </w:rPr>
              <w:fldChar w:fldCharType="end"/>
            </w:r>
          </w:hyperlink>
        </w:p>
        <w:p w14:paraId="065C01AE" w14:textId="6FDDF24E" w:rsidR="00727033" w:rsidRDefault="00BD7B40">
          <w:pPr>
            <w:pStyle w:val="TOC1"/>
            <w:tabs>
              <w:tab w:val="right" w:leader="dot" w:pos="8302"/>
            </w:tabs>
            <w:rPr>
              <w:rFonts w:eastAsiaTheme="minorEastAsia" w:cstheme="minorBidi"/>
              <w:b w:val="0"/>
              <w:noProof/>
              <w:sz w:val="22"/>
              <w:szCs w:val="22"/>
            </w:rPr>
          </w:pPr>
          <w:hyperlink w:anchor="_Toc60235811" w:history="1">
            <w:r w:rsidR="00727033" w:rsidRPr="00CF090C">
              <w:rPr>
                <w:rStyle w:val="Hyperlink"/>
                <w:noProof/>
              </w:rPr>
              <w:t>3.0Chapter 3-Trial Process</w:t>
            </w:r>
            <w:r w:rsidR="00727033">
              <w:rPr>
                <w:noProof/>
                <w:webHidden/>
              </w:rPr>
              <w:tab/>
            </w:r>
            <w:r w:rsidR="00727033">
              <w:rPr>
                <w:noProof/>
                <w:webHidden/>
              </w:rPr>
              <w:fldChar w:fldCharType="begin"/>
            </w:r>
            <w:r w:rsidR="00727033">
              <w:rPr>
                <w:noProof/>
                <w:webHidden/>
              </w:rPr>
              <w:instrText xml:space="preserve"> PAGEREF _Toc60235811 \h </w:instrText>
            </w:r>
            <w:r w:rsidR="00727033">
              <w:rPr>
                <w:noProof/>
                <w:webHidden/>
              </w:rPr>
            </w:r>
            <w:r w:rsidR="00727033">
              <w:rPr>
                <w:noProof/>
                <w:webHidden/>
              </w:rPr>
              <w:fldChar w:fldCharType="separate"/>
            </w:r>
            <w:r w:rsidR="00727033">
              <w:rPr>
                <w:noProof/>
                <w:webHidden/>
              </w:rPr>
              <w:t>170</w:t>
            </w:r>
            <w:r w:rsidR="00727033">
              <w:rPr>
                <w:noProof/>
                <w:webHidden/>
              </w:rPr>
              <w:fldChar w:fldCharType="end"/>
            </w:r>
          </w:hyperlink>
        </w:p>
        <w:p w14:paraId="12B923EA" w14:textId="2D9F825D" w:rsidR="00727033" w:rsidRDefault="00BD7B40">
          <w:pPr>
            <w:pStyle w:val="TOC1"/>
            <w:tabs>
              <w:tab w:val="right" w:leader="dot" w:pos="8302"/>
            </w:tabs>
            <w:rPr>
              <w:rFonts w:eastAsiaTheme="minorEastAsia" w:cstheme="minorBidi"/>
              <w:b w:val="0"/>
              <w:noProof/>
              <w:sz w:val="22"/>
              <w:szCs w:val="22"/>
            </w:rPr>
          </w:pPr>
          <w:hyperlink w:anchor="_Toc60235812" w:history="1">
            <w:r w:rsidR="00727033" w:rsidRPr="00CF090C">
              <w:rPr>
                <w:rStyle w:val="Hyperlink"/>
                <w:rFonts w:ascii="Calibri" w:eastAsia="MS Gothic" w:hAnsi="Calibri"/>
                <w:noProof/>
                <w:lang w:eastAsia="ja-JP"/>
              </w:rPr>
              <w:t xml:space="preserve">3.1 </w:t>
            </w:r>
            <w:r w:rsidR="00727033" w:rsidRPr="00CF090C">
              <w:rPr>
                <w:rStyle w:val="Hyperlink"/>
                <w:rFonts w:ascii="Times New Roman" w:eastAsia="MS Gothic" w:hAnsi="Times New Roman"/>
                <w:noProof/>
                <w:lang w:eastAsia="ja-JP"/>
              </w:rPr>
              <w:t>Introduction</w:t>
            </w:r>
            <w:r w:rsidR="00727033" w:rsidRPr="00CF090C">
              <w:rPr>
                <w:rStyle w:val="Hyperlink"/>
                <w:rFonts w:ascii="Calibri" w:eastAsia="MS Gothic" w:hAnsi="Calibri"/>
                <w:noProof/>
                <w:lang w:eastAsia="ja-JP"/>
              </w:rPr>
              <w:t>.</w:t>
            </w:r>
            <w:r w:rsidR="00727033">
              <w:rPr>
                <w:noProof/>
                <w:webHidden/>
              </w:rPr>
              <w:tab/>
            </w:r>
            <w:r w:rsidR="00727033">
              <w:rPr>
                <w:noProof/>
                <w:webHidden/>
              </w:rPr>
              <w:fldChar w:fldCharType="begin"/>
            </w:r>
            <w:r w:rsidR="00727033">
              <w:rPr>
                <w:noProof/>
                <w:webHidden/>
              </w:rPr>
              <w:instrText xml:space="preserve"> PAGEREF _Toc60235812 \h </w:instrText>
            </w:r>
            <w:r w:rsidR="00727033">
              <w:rPr>
                <w:noProof/>
                <w:webHidden/>
              </w:rPr>
            </w:r>
            <w:r w:rsidR="00727033">
              <w:rPr>
                <w:noProof/>
                <w:webHidden/>
              </w:rPr>
              <w:fldChar w:fldCharType="separate"/>
            </w:r>
            <w:r w:rsidR="00727033">
              <w:rPr>
                <w:noProof/>
                <w:webHidden/>
              </w:rPr>
              <w:t>170</w:t>
            </w:r>
            <w:r w:rsidR="00727033">
              <w:rPr>
                <w:noProof/>
                <w:webHidden/>
              </w:rPr>
              <w:fldChar w:fldCharType="end"/>
            </w:r>
          </w:hyperlink>
        </w:p>
        <w:p w14:paraId="63A38838" w14:textId="6789E0B7" w:rsidR="00727033" w:rsidRDefault="00BD7B40">
          <w:pPr>
            <w:pStyle w:val="TOC2"/>
            <w:tabs>
              <w:tab w:val="right" w:leader="dot" w:pos="8302"/>
            </w:tabs>
            <w:rPr>
              <w:rFonts w:eastAsiaTheme="minorEastAsia" w:cstheme="minorBidi"/>
              <w:b w:val="0"/>
              <w:noProof/>
            </w:rPr>
          </w:pPr>
          <w:hyperlink w:anchor="_Toc60235813" w:history="1">
            <w:r w:rsidR="00727033" w:rsidRPr="00CF090C">
              <w:rPr>
                <w:rStyle w:val="Hyperlink"/>
                <w:rFonts w:eastAsia="Cambria"/>
                <w:noProof/>
                <w:lang w:eastAsia="ja-JP"/>
              </w:rPr>
              <w:t>3.2The criminal system of procedure and the ICC</w:t>
            </w:r>
            <w:r w:rsidR="00727033">
              <w:rPr>
                <w:noProof/>
                <w:webHidden/>
              </w:rPr>
              <w:tab/>
            </w:r>
            <w:r w:rsidR="00727033">
              <w:rPr>
                <w:noProof/>
                <w:webHidden/>
              </w:rPr>
              <w:fldChar w:fldCharType="begin"/>
            </w:r>
            <w:r w:rsidR="00727033">
              <w:rPr>
                <w:noProof/>
                <w:webHidden/>
              </w:rPr>
              <w:instrText xml:space="preserve"> PAGEREF _Toc60235813 \h </w:instrText>
            </w:r>
            <w:r w:rsidR="00727033">
              <w:rPr>
                <w:noProof/>
                <w:webHidden/>
              </w:rPr>
            </w:r>
            <w:r w:rsidR="00727033">
              <w:rPr>
                <w:noProof/>
                <w:webHidden/>
              </w:rPr>
              <w:fldChar w:fldCharType="separate"/>
            </w:r>
            <w:r w:rsidR="00727033">
              <w:rPr>
                <w:noProof/>
                <w:webHidden/>
              </w:rPr>
              <w:t>174</w:t>
            </w:r>
            <w:r w:rsidR="00727033">
              <w:rPr>
                <w:noProof/>
                <w:webHidden/>
              </w:rPr>
              <w:fldChar w:fldCharType="end"/>
            </w:r>
          </w:hyperlink>
        </w:p>
        <w:p w14:paraId="13ADBFBD" w14:textId="135C5C2D" w:rsidR="00727033" w:rsidRDefault="00BD7B40">
          <w:pPr>
            <w:pStyle w:val="TOC2"/>
            <w:tabs>
              <w:tab w:val="right" w:leader="dot" w:pos="8302"/>
            </w:tabs>
            <w:rPr>
              <w:rFonts w:eastAsiaTheme="minorEastAsia" w:cstheme="minorBidi"/>
              <w:b w:val="0"/>
              <w:noProof/>
            </w:rPr>
          </w:pPr>
          <w:hyperlink w:anchor="_Toc60235814" w:history="1">
            <w:r w:rsidR="00727033" w:rsidRPr="00CF090C">
              <w:rPr>
                <w:rStyle w:val="Hyperlink"/>
                <w:rFonts w:ascii="Times New Roman" w:eastAsia="MS Gothic" w:hAnsi="Times New Roman"/>
                <w:noProof/>
                <w:lang w:eastAsia="ja-JP"/>
              </w:rPr>
              <w:t>3.3The context of procedural fairness</w:t>
            </w:r>
            <w:r w:rsidR="00727033">
              <w:rPr>
                <w:noProof/>
                <w:webHidden/>
              </w:rPr>
              <w:tab/>
            </w:r>
            <w:r w:rsidR="00727033">
              <w:rPr>
                <w:noProof/>
                <w:webHidden/>
              </w:rPr>
              <w:fldChar w:fldCharType="begin"/>
            </w:r>
            <w:r w:rsidR="00727033">
              <w:rPr>
                <w:noProof/>
                <w:webHidden/>
              </w:rPr>
              <w:instrText xml:space="preserve"> PAGEREF _Toc60235814 \h </w:instrText>
            </w:r>
            <w:r w:rsidR="00727033">
              <w:rPr>
                <w:noProof/>
                <w:webHidden/>
              </w:rPr>
            </w:r>
            <w:r w:rsidR="00727033">
              <w:rPr>
                <w:noProof/>
                <w:webHidden/>
              </w:rPr>
              <w:fldChar w:fldCharType="separate"/>
            </w:r>
            <w:r w:rsidR="00727033">
              <w:rPr>
                <w:noProof/>
                <w:webHidden/>
              </w:rPr>
              <w:t>184</w:t>
            </w:r>
            <w:r w:rsidR="00727033">
              <w:rPr>
                <w:noProof/>
                <w:webHidden/>
              </w:rPr>
              <w:fldChar w:fldCharType="end"/>
            </w:r>
          </w:hyperlink>
        </w:p>
        <w:p w14:paraId="0BA15EA6" w14:textId="0A69C29F" w:rsidR="00727033" w:rsidRDefault="00BD7B40">
          <w:pPr>
            <w:pStyle w:val="TOC3"/>
            <w:tabs>
              <w:tab w:val="right" w:leader="dot" w:pos="8302"/>
            </w:tabs>
            <w:rPr>
              <w:rFonts w:eastAsiaTheme="minorEastAsia" w:cstheme="minorBidi"/>
              <w:noProof/>
            </w:rPr>
          </w:pPr>
          <w:hyperlink w:anchor="_Toc60235815" w:history="1">
            <w:r w:rsidR="00727033" w:rsidRPr="00CF090C">
              <w:rPr>
                <w:rStyle w:val="Hyperlink"/>
                <w:noProof/>
              </w:rPr>
              <w:t>3.3.3  Edwards’ form of participation</w:t>
            </w:r>
            <w:r w:rsidR="00727033">
              <w:rPr>
                <w:noProof/>
                <w:webHidden/>
              </w:rPr>
              <w:tab/>
            </w:r>
            <w:r w:rsidR="00727033">
              <w:rPr>
                <w:noProof/>
                <w:webHidden/>
              </w:rPr>
              <w:fldChar w:fldCharType="begin"/>
            </w:r>
            <w:r w:rsidR="00727033">
              <w:rPr>
                <w:noProof/>
                <w:webHidden/>
              </w:rPr>
              <w:instrText xml:space="preserve"> PAGEREF _Toc60235815 \h </w:instrText>
            </w:r>
            <w:r w:rsidR="00727033">
              <w:rPr>
                <w:noProof/>
                <w:webHidden/>
              </w:rPr>
            </w:r>
            <w:r w:rsidR="00727033">
              <w:rPr>
                <w:noProof/>
                <w:webHidden/>
              </w:rPr>
              <w:fldChar w:fldCharType="separate"/>
            </w:r>
            <w:r w:rsidR="00727033">
              <w:rPr>
                <w:noProof/>
                <w:webHidden/>
              </w:rPr>
              <w:t>192</w:t>
            </w:r>
            <w:r w:rsidR="00727033">
              <w:rPr>
                <w:noProof/>
                <w:webHidden/>
              </w:rPr>
              <w:fldChar w:fldCharType="end"/>
            </w:r>
          </w:hyperlink>
        </w:p>
        <w:p w14:paraId="48B8C77E" w14:textId="565E625C" w:rsidR="00727033" w:rsidRDefault="00BD7B40">
          <w:pPr>
            <w:pStyle w:val="TOC3"/>
            <w:tabs>
              <w:tab w:val="right" w:leader="dot" w:pos="8302"/>
            </w:tabs>
            <w:rPr>
              <w:rFonts w:eastAsiaTheme="minorEastAsia" w:cstheme="minorBidi"/>
              <w:noProof/>
            </w:rPr>
          </w:pPr>
          <w:hyperlink w:anchor="_Toc60235816" w:history="1">
            <w:r w:rsidR="00727033" w:rsidRPr="00CF090C">
              <w:rPr>
                <w:rStyle w:val="Hyperlink"/>
                <w:noProof/>
              </w:rPr>
              <w:t>3.4.1Procedural rights of victims.</w:t>
            </w:r>
            <w:r w:rsidR="00727033">
              <w:rPr>
                <w:noProof/>
                <w:webHidden/>
              </w:rPr>
              <w:tab/>
            </w:r>
            <w:r w:rsidR="00727033">
              <w:rPr>
                <w:noProof/>
                <w:webHidden/>
              </w:rPr>
              <w:fldChar w:fldCharType="begin"/>
            </w:r>
            <w:r w:rsidR="00727033">
              <w:rPr>
                <w:noProof/>
                <w:webHidden/>
              </w:rPr>
              <w:instrText xml:space="preserve"> PAGEREF _Toc60235816 \h </w:instrText>
            </w:r>
            <w:r w:rsidR="00727033">
              <w:rPr>
                <w:noProof/>
                <w:webHidden/>
              </w:rPr>
            </w:r>
            <w:r w:rsidR="00727033">
              <w:rPr>
                <w:noProof/>
                <w:webHidden/>
              </w:rPr>
              <w:fldChar w:fldCharType="separate"/>
            </w:r>
            <w:r w:rsidR="00727033">
              <w:rPr>
                <w:noProof/>
                <w:webHidden/>
              </w:rPr>
              <w:t>204</w:t>
            </w:r>
            <w:r w:rsidR="00727033">
              <w:rPr>
                <w:noProof/>
                <w:webHidden/>
              </w:rPr>
              <w:fldChar w:fldCharType="end"/>
            </w:r>
          </w:hyperlink>
        </w:p>
        <w:p w14:paraId="73CA07A9" w14:textId="50E8A4D4" w:rsidR="00727033" w:rsidRDefault="00BD7B40">
          <w:pPr>
            <w:pStyle w:val="TOC1"/>
            <w:tabs>
              <w:tab w:val="right" w:leader="dot" w:pos="8302"/>
            </w:tabs>
            <w:rPr>
              <w:rFonts w:eastAsiaTheme="minorEastAsia" w:cstheme="minorBidi"/>
              <w:b w:val="0"/>
              <w:noProof/>
              <w:sz w:val="22"/>
              <w:szCs w:val="22"/>
            </w:rPr>
          </w:pPr>
          <w:hyperlink w:anchor="_Toc60235817" w:history="1">
            <w:r w:rsidR="00727033" w:rsidRPr="00CF090C">
              <w:rPr>
                <w:rStyle w:val="Hyperlink"/>
                <w:rFonts w:ascii="Times New Roman" w:eastAsia="MS Gothic" w:hAnsi="Times New Roman"/>
                <w:noProof/>
                <w:lang w:eastAsia="ja-JP"/>
              </w:rPr>
              <w:t>3.5. Effectiveness of Victims’ right to legal representation</w:t>
            </w:r>
            <w:r w:rsidR="00727033">
              <w:rPr>
                <w:noProof/>
                <w:webHidden/>
              </w:rPr>
              <w:tab/>
            </w:r>
            <w:r w:rsidR="00727033">
              <w:rPr>
                <w:noProof/>
                <w:webHidden/>
              </w:rPr>
              <w:fldChar w:fldCharType="begin"/>
            </w:r>
            <w:r w:rsidR="00727033">
              <w:rPr>
                <w:noProof/>
                <w:webHidden/>
              </w:rPr>
              <w:instrText xml:space="preserve"> PAGEREF _Toc60235817 \h </w:instrText>
            </w:r>
            <w:r w:rsidR="00727033">
              <w:rPr>
                <w:noProof/>
                <w:webHidden/>
              </w:rPr>
            </w:r>
            <w:r w:rsidR="00727033">
              <w:rPr>
                <w:noProof/>
                <w:webHidden/>
              </w:rPr>
              <w:fldChar w:fldCharType="separate"/>
            </w:r>
            <w:r w:rsidR="00727033">
              <w:rPr>
                <w:noProof/>
                <w:webHidden/>
              </w:rPr>
              <w:t>214</w:t>
            </w:r>
            <w:r w:rsidR="00727033">
              <w:rPr>
                <w:noProof/>
                <w:webHidden/>
              </w:rPr>
              <w:fldChar w:fldCharType="end"/>
            </w:r>
          </w:hyperlink>
        </w:p>
        <w:p w14:paraId="2894C4E6" w14:textId="70BE9682" w:rsidR="00727033" w:rsidRDefault="00BD7B40">
          <w:pPr>
            <w:pStyle w:val="TOC1"/>
            <w:tabs>
              <w:tab w:val="right" w:leader="dot" w:pos="8302"/>
            </w:tabs>
            <w:rPr>
              <w:rFonts w:eastAsiaTheme="minorEastAsia" w:cstheme="minorBidi"/>
              <w:b w:val="0"/>
              <w:noProof/>
              <w:sz w:val="22"/>
              <w:szCs w:val="22"/>
            </w:rPr>
          </w:pPr>
          <w:hyperlink w:anchor="_Toc60235818" w:history="1">
            <w:r w:rsidR="00727033" w:rsidRPr="00CF090C">
              <w:rPr>
                <w:rStyle w:val="Hyperlink"/>
                <w:rFonts w:ascii="Calibri" w:eastAsia="MS Gothic" w:hAnsi="Calibri"/>
                <w:noProof/>
              </w:rPr>
              <w:t>3.5.1Dispositive category</w:t>
            </w:r>
            <w:r w:rsidR="00727033">
              <w:rPr>
                <w:noProof/>
                <w:webHidden/>
              </w:rPr>
              <w:tab/>
            </w:r>
            <w:r w:rsidR="00727033">
              <w:rPr>
                <w:noProof/>
                <w:webHidden/>
              </w:rPr>
              <w:fldChar w:fldCharType="begin"/>
            </w:r>
            <w:r w:rsidR="00727033">
              <w:rPr>
                <w:noProof/>
                <w:webHidden/>
              </w:rPr>
              <w:instrText xml:space="preserve"> PAGEREF _Toc60235818 \h </w:instrText>
            </w:r>
            <w:r w:rsidR="00727033">
              <w:rPr>
                <w:noProof/>
                <w:webHidden/>
              </w:rPr>
            </w:r>
            <w:r w:rsidR="00727033">
              <w:rPr>
                <w:noProof/>
                <w:webHidden/>
              </w:rPr>
              <w:fldChar w:fldCharType="separate"/>
            </w:r>
            <w:r w:rsidR="00727033">
              <w:rPr>
                <w:noProof/>
                <w:webHidden/>
              </w:rPr>
              <w:t>228</w:t>
            </w:r>
            <w:r w:rsidR="00727033">
              <w:rPr>
                <w:noProof/>
                <w:webHidden/>
              </w:rPr>
              <w:fldChar w:fldCharType="end"/>
            </w:r>
          </w:hyperlink>
        </w:p>
        <w:p w14:paraId="6E52719C" w14:textId="33587EFA" w:rsidR="00727033" w:rsidRDefault="00BD7B40">
          <w:pPr>
            <w:pStyle w:val="TOC1"/>
            <w:tabs>
              <w:tab w:val="right" w:leader="dot" w:pos="8302"/>
            </w:tabs>
            <w:rPr>
              <w:rFonts w:eastAsiaTheme="minorEastAsia" w:cstheme="minorBidi"/>
              <w:b w:val="0"/>
              <w:noProof/>
              <w:sz w:val="22"/>
              <w:szCs w:val="22"/>
            </w:rPr>
          </w:pPr>
          <w:hyperlink w:anchor="_Toc60235819" w:history="1">
            <w:r w:rsidR="00727033" w:rsidRPr="00CF090C">
              <w:rPr>
                <w:rStyle w:val="Hyperlink"/>
                <w:rFonts w:ascii="Times New Roman" w:eastAsia="MS Gothic" w:hAnsi="Times New Roman"/>
                <w:noProof/>
              </w:rPr>
              <w:t>3.5.2Non- dispositive category</w:t>
            </w:r>
            <w:r w:rsidR="00727033">
              <w:rPr>
                <w:noProof/>
                <w:webHidden/>
              </w:rPr>
              <w:tab/>
            </w:r>
            <w:r w:rsidR="00727033">
              <w:rPr>
                <w:noProof/>
                <w:webHidden/>
              </w:rPr>
              <w:fldChar w:fldCharType="begin"/>
            </w:r>
            <w:r w:rsidR="00727033">
              <w:rPr>
                <w:noProof/>
                <w:webHidden/>
              </w:rPr>
              <w:instrText xml:space="preserve"> PAGEREF _Toc60235819 \h </w:instrText>
            </w:r>
            <w:r w:rsidR="00727033">
              <w:rPr>
                <w:noProof/>
                <w:webHidden/>
              </w:rPr>
            </w:r>
            <w:r w:rsidR="00727033">
              <w:rPr>
                <w:noProof/>
                <w:webHidden/>
              </w:rPr>
              <w:fldChar w:fldCharType="separate"/>
            </w:r>
            <w:r w:rsidR="00727033">
              <w:rPr>
                <w:noProof/>
                <w:webHidden/>
              </w:rPr>
              <w:t>231</w:t>
            </w:r>
            <w:r w:rsidR="00727033">
              <w:rPr>
                <w:noProof/>
                <w:webHidden/>
              </w:rPr>
              <w:fldChar w:fldCharType="end"/>
            </w:r>
          </w:hyperlink>
        </w:p>
        <w:p w14:paraId="6BDD6781" w14:textId="13728C85" w:rsidR="00727033" w:rsidRDefault="00BD7B40">
          <w:pPr>
            <w:pStyle w:val="TOC3"/>
            <w:tabs>
              <w:tab w:val="right" w:leader="dot" w:pos="8302"/>
            </w:tabs>
            <w:rPr>
              <w:rFonts w:eastAsiaTheme="minorEastAsia" w:cstheme="minorBidi"/>
              <w:noProof/>
            </w:rPr>
          </w:pPr>
          <w:hyperlink w:anchor="_Toc60235820" w:history="1">
            <w:r w:rsidR="00727033" w:rsidRPr="00CF090C">
              <w:rPr>
                <w:rStyle w:val="Hyperlink"/>
                <w:noProof/>
              </w:rPr>
              <w:t>3.6 Discussing findings</w:t>
            </w:r>
            <w:r w:rsidR="00727033">
              <w:rPr>
                <w:noProof/>
                <w:webHidden/>
              </w:rPr>
              <w:tab/>
            </w:r>
            <w:r w:rsidR="00727033">
              <w:rPr>
                <w:noProof/>
                <w:webHidden/>
              </w:rPr>
              <w:fldChar w:fldCharType="begin"/>
            </w:r>
            <w:r w:rsidR="00727033">
              <w:rPr>
                <w:noProof/>
                <w:webHidden/>
              </w:rPr>
              <w:instrText xml:space="preserve"> PAGEREF _Toc60235820 \h </w:instrText>
            </w:r>
            <w:r w:rsidR="00727033">
              <w:rPr>
                <w:noProof/>
                <w:webHidden/>
              </w:rPr>
            </w:r>
            <w:r w:rsidR="00727033">
              <w:rPr>
                <w:noProof/>
                <w:webHidden/>
              </w:rPr>
              <w:fldChar w:fldCharType="separate"/>
            </w:r>
            <w:r w:rsidR="00727033">
              <w:rPr>
                <w:noProof/>
                <w:webHidden/>
              </w:rPr>
              <w:t>260</w:t>
            </w:r>
            <w:r w:rsidR="00727033">
              <w:rPr>
                <w:noProof/>
                <w:webHidden/>
              </w:rPr>
              <w:fldChar w:fldCharType="end"/>
            </w:r>
          </w:hyperlink>
        </w:p>
        <w:p w14:paraId="27D8A731" w14:textId="7EC027D3" w:rsidR="00727033" w:rsidRDefault="00BD7B40">
          <w:pPr>
            <w:pStyle w:val="TOC1"/>
            <w:tabs>
              <w:tab w:val="right" w:leader="dot" w:pos="8302"/>
            </w:tabs>
            <w:rPr>
              <w:rFonts w:eastAsiaTheme="minorEastAsia" w:cstheme="minorBidi"/>
              <w:b w:val="0"/>
              <w:noProof/>
              <w:sz w:val="22"/>
              <w:szCs w:val="22"/>
            </w:rPr>
          </w:pPr>
          <w:hyperlink w:anchor="_Toc60235821" w:history="1">
            <w:r w:rsidR="00727033" w:rsidRPr="00CF090C">
              <w:rPr>
                <w:rStyle w:val="Hyperlink"/>
                <w:noProof/>
              </w:rPr>
              <w:t>3.7. Conclusion</w:t>
            </w:r>
            <w:r w:rsidR="00727033">
              <w:rPr>
                <w:noProof/>
                <w:webHidden/>
              </w:rPr>
              <w:tab/>
            </w:r>
            <w:r w:rsidR="00727033">
              <w:rPr>
                <w:noProof/>
                <w:webHidden/>
              </w:rPr>
              <w:fldChar w:fldCharType="begin"/>
            </w:r>
            <w:r w:rsidR="00727033">
              <w:rPr>
                <w:noProof/>
                <w:webHidden/>
              </w:rPr>
              <w:instrText xml:space="preserve"> PAGEREF _Toc60235821 \h </w:instrText>
            </w:r>
            <w:r w:rsidR="00727033">
              <w:rPr>
                <w:noProof/>
                <w:webHidden/>
              </w:rPr>
            </w:r>
            <w:r w:rsidR="00727033">
              <w:rPr>
                <w:noProof/>
                <w:webHidden/>
              </w:rPr>
              <w:fldChar w:fldCharType="separate"/>
            </w:r>
            <w:r w:rsidR="00727033">
              <w:rPr>
                <w:noProof/>
                <w:webHidden/>
              </w:rPr>
              <w:t>267</w:t>
            </w:r>
            <w:r w:rsidR="00727033">
              <w:rPr>
                <w:noProof/>
                <w:webHidden/>
              </w:rPr>
              <w:fldChar w:fldCharType="end"/>
            </w:r>
          </w:hyperlink>
        </w:p>
        <w:p w14:paraId="3D92C8DC" w14:textId="12808FAD" w:rsidR="00727033" w:rsidRDefault="00BD7B40">
          <w:pPr>
            <w:pStyle w:val="TOC2"/>
            <w:tabs>
              <w:tab w:val="right" w:leader="dot" w:pos="8302"/>
            </w:tabs>
            <w:rPr>
              <w:rFonts w:eastAsiaTheme="minorEastAsia" w:cstheme="minorBidi"/>
              <w:b w:val="0"/>
              <w:noProof/>
            </w:rPr>
          </w:pPr>
          <w:hyperlink w:anchor="_Toc60235822" w:history="1">
            <w:r w:rsidR="00727033" w:rsidRPr="00CF090C">
              <w:rPr>
                <w:rStyle w:val="Hyperlink"/>
                <w:noProof/>
              </w:rPr>
              <w:t>Chapter 4</w:t>
            </w:r>
            <w:r w:rsidR="00727033">
              <w:rPr>
                <w:noProof/>
                <w:webHidden/>
              </w:rPr>
              <w:tab/>
            </w:r>
            <w:r w:rsidR="00727033">
              <w:rPr>
                <w:noProof/>
                <w:webHidden/>
              </w:rPr>
              <w:fldChar w:fldCharType="begin"/>
            </w:r>
            <w:r w:rsidR="00727033">
              <w:rPr>
                <w:noProof/>
                <w:webHidden/>
              </w:rPr>
              <w:instrText xml:space="preserve"> PAGEREF _Toc60235822 \h </w:instrText>
            </w:r>
            <w:r w:rsidR="00727033">
              <w:rPr>
                <w:noProof/>
                <w:webHidden/>
              </w:rPr>
            </w:r>
            <w:r w:rsidR="00727033">
              <w:rPr>
                <w:noProof/>
                <w:webHidden/>
              </w:rPr>
              <w:fldChar w:fldCharType="separate"/>
            </w:r>
            <w:r w:rsidR="00727033">
              <w:rPr>
                <w:noProof/>
                <w:webHidden/>
              </w:rPr>
              <w:t>270</w:t>
            </w:r>
            <w:r w:rsidR="00727033">
              <w:rPr>
                <w:noProof/>
                <w:webHidden/>
              </w:rPr>
              <w:fldChar w:fldCharType="end"/>
            </w:r>
          </w:hyperlink>
        </w:p>
        <w:p w14:paraId="43307364" w14:textId="7B747857" w:rsidR="00727033" w:rsidRDefault="00BD7B40">
          <w:pPr>
            <w:pStyle w:val="TOC1"/>
            <w:tabs>
              <w:tab w:val="right" w:leader="dot" w:pos="8302"/>
            </w:tabs>
            <w:rPr>
              <w:rFonts w:eastAsiaTheme="minorEastAsia" w:cstheme="minorBidi"/>
              <w:b w:val="0"/>
              <w:noProof/>
              <w:sz w:val="22"/>
              <w:szCs w:val="22"/>
            </w:rPr>
          </w:pPr>
          <w:hyperlink w:anchor="_Toc60235823" w:history="1">
            <w:r w:rsidR="00727033" w:rsidRPr="00CF090C">
              <w:rPr>
                <w:rStyle w:val="Hyperlink"/>
                <w:noProof/>
              </w:rPr>
              <w:t>4.0Introduction</w:t>
            </w:r>
            <w:r w:rsidR="00727033">
              <w:rPr>
                <w:noProof/>
                <w:webHidden/>
              </w:rPr>
              <w:tab/>
            </w:r>
            <w:r w:rsidR="00727033">
              <w:rPr>
                <w:noProof/>
                <w:webHidden/>
              </w:rPr>
              <w:fldChar w:fldCharType="begin"/>
            </w:r>
            <w:r w:rsidR="00727033">
              <w:rPr>
                <w:noProof/>
                <w:webHidden/>
              </w:rPr>
              <w:instrText xml:space="preserve"> PAGEREF _Toc60235823 \h </w:instrText>
            </w:r>
            <w:r w:rsidR="00727033">
              <w:rPr>
                <w:noProof/>
                <w:webHidden/>
              </w:rPr>
            </w:r>
            <w:r w:rsidR="00727033">
              <w:rPr>
                <w:noProof/>
                <w:webHidden/>
              </w:rPr>
              <w:fldChar w:fldCharType="separate"/>
            </w:r>
            <w:r w:rsidR="00727033">
              <w:rPr>
                <w:noProof/>
                <w:webHidden/>
              </w:rPr>
              <w:t>270</w:t>
            </w:r>
            <w:r w:rsidR="00727033">
              <w:rPr>
                <w:noProof/>
                <w:webHidden/>
              </w:rPr>
              <w:fldChar w:fldCharType="end"/>
            </w:r>
          </w:hyperlink>
        </w:p>
        <w:p w14:paraId="34C7AA81" w14:textId="777E2150" w:rsidR="00727033" w:rsidRDefault="00BD7B40">
          <w:pPr>
            <w:pStyle w:val="TOC2"/>
            <w:tabs>
              <w:tab w:val="right" w:leader="dot" w:pos="8302"/>
            </w:tabs>
            <w:rPr>
              <w:rFonts w:eastAsiaTheme="minorEastAsia" w:cstheme="minorBidi"/>
              <w:b w:val="0"/>
              <w:noProof/>
            </w:rPr>
          </w:pPr>
          <w:hyperlink w:anchor="_Toc60235824" w:history="1">
            <w:r w:rsidR="00727033" w:rsidRPr="00CF090C">
              <w:rPr>
                <w:rStyle w:val="Hyperlink"/>
                <w:noProof/>
              </w:rPr>
              <w:t>4.1. Retributive Justice</w:t>
            </w:r>
            <w:r w:rsidR="00727033">
              <w:rPr>
                <w:noProof/>
                <w:webHidden/>
              </w:rPr>
              <w:tab/>
            </w:r>
            <w:r w:rsidR="00727033">
              <w:rPr>
                <w:noProof/>
                <w:webHidden/>
              </w:rPr>
              <w:fldChar w:fldCharType="begin"/>
            </w:r>
            <w:r w:rsidR="00727033">
              <w:rPr>
                <w:noProof/>
                <w:webHidden/>
              </w:rPr>
              <w:instrText xml:space="preserve"> PAGEREF _Toc60235824 \h </w:instrText>
            </w:r>
            <w:r w:rsidR="00727033">
              <w:rPr>
                <w:noProof/>
                <w:webHidden/>
              </w:rPr>
            </w:r>
            <w:r w:rsidR="00727033">
              <w:rPr>
                <w:noProof/>
                <w:webHidden/>
              </w:rPr>
              <w:fldChar w:fldCharType="separate"/>
            </w:r>
            <w:r w:rsidR="00727033">
              <w:rPr>
                <w:noProof/>
                <w:webHidden/>
              </w:rPr>
              <w:t>272</w:t>
            </w:r>
            <w:r w:rsidR="00727033">
              <w:rPr>
                <w:noProof/>
                <w:webHidden/>
              </w:rPr>
              <w:fldChar w:fldCharType="end"/>
            </w:r>
          </w:hyperlink>
        </w:p>
        <w:p w14:paraId="6AE4F545" w14:textId="66B51753" w:rsidR="00727033" w:rsidRDefault="00BD7B40">
          <w:pPr>
            <w:pStyle w:val="TOC3"/>
            <w:tabs>
              <w:tab w:val="right" w:leader="dot" w:pos="8302"/>
            </w:tabs>
            <w:rPr>
              <w:rFonts w:eastAsiaTheme="minorEastAsia" w:cstheme="minorBidi"/>
              <w:noProof/>
            </w:rPr>
          </w:pPr>
          <w:hyperlink w:anchor="_Toc60235825" w:history="1">
            <w:r w:rsidR="00727033" w:rsidRPr="00CF090C">
              <w:rPr>
                <w:rStyle w:val="Hyperlink"/>
                <w:noProof/>
              </w:rPr>
              <w:t>4.1.1  Deterrence</w:t>
            </w:r>
            <w:r w:rsidR="00727033">
              <w:rPr>
                <w:noProof/>
                <w:webHidden/>
              </w:rPr>
              <w:tab/>
            </w:r>
            <w:r w:rsidR="00727033">
              <w:rPr>
                <w:noProof/>
                <w:webHidden/>
              </w:rPr>
              <w:fldChar w:fldCharType="begin"/>
            </w:r>
            <w:r w:rsidR="00727033">
              <w:rPr>
                <w:noProof/>
                <w:webHidden/>
              </w:rPr>
              <w:instrText xml:space="preserve"> PAGEREF _Toc60235825 \h </w:instrText>
            </w:r>
            <w:r w:rsidR="00727033">
              <w:rPr>
                <w:noProof/>
                <w:webHidden/>
              </w:rPr>
            </w:r>
            <w:r w:rsidR="00727033">
              <w:rPr>
                <w:noProof/>
                <w:webHidden/>
              </w:rPr>
              <w:fldChar w:fldCharType="separate"/>
            </w:r>
            <w:r w:rsidR="00727033">
              <w:rPr>
                <w:noProof/>
                <w:webHidden/>
              </w:rPr>
              <w:t>280</w:t>
            </w:r>
            <w:r w:rsidR="00727033">
              <w:rPr>
                <w:noProof/>
                <w:webHidden/>
              </w:rPr>
              <w:fldChar w:fldCharType="end"/>
            </w:r>
          </w:hyperlink>
        </w:p>
        <w:p w14:paraId="6CA2532C" w14:textId="1EA77D5A" w:rsidR="00727033" w:rsidRDefault="00BD7B40">
          <w:pPr>
            <w:pStyle w:val="TOC3"/>
            <w:tabs>
              <w:tab w:val="right" w:leader="dot" w:pos="8302"/>
            </w:tabs>
            <w:rPr>
              <w:rFonts w:eastAsiaTheme="minorEastAsia" w:cstheme="minorBidi"/>
              <w:noProof/>
            </w:rPr>
          </w:pPr>
          <w:hyperlink w:anchor="_Toc60235826" w:history="1">
            <w:r w:rsidR="00727033" w:rsidRPr="00CF090C">
              <w:rPr>
                <w:rStyle w:val="Hyperlink"/>
                <w:noProof/>
              </w:rPr>
              <w:t>4.1.2  Retribution</w:t>
            </w:r>
            <w:r w:rsidR="00727033">
              <w:rPr>
                <w:noProof/>
                <w:webHidden/>
              </w:rPr>
              <w:tab/>
            </w:r>
            <w:r w:rsidR="00727033">
              <w:rPr>
                <w:noProof/>
                <w:webHidden/>
              </w:rPr>
              <w:fldChar w:fldCharType="begin"/>
            </w:r>
            <w:r w:rsidR="00727033">
              <w:rPr>
                <w:noProof/>
                <w:webHidden/>
              </w:rPr>
              <w:instrText xml:space="preserve"> PAGEREF _Toc60235826 \h </w:instrText>
            </w:r>
            <w:r w:rsidR="00727033">
              <w:rPr>
                <w:noProof/>
                <w:webHidden/>
              </w:rPr>
            </w:r>
            <w:r w:rsidR="00727033">
              <w:rPr>
                <w:noProof/>
                <w:webHidden/>
              </w:rPr>
              <w:fldChar w:fldCharType="separate"/>
            </w:r>
            <w:r w:rsidR="00727033">
              <w:rPr>
                <w:noProof/>
                <w:webHidden/>
              </w:rPr>
              <w:t>282</w:t>
            </w:r>
            <w:r w:rsidR="00727033">
              <w:rPr>
                <w:noProof/>
                <w:webHidden/>
              </w:rPr>
              <w:fldChar w:fldCharType="end"/>
            </w:r>
          </w:hyperlink>
        </w:p>
        <w:p w14:paraId="2A5DA99C" w14:textId="5FD475E3" w:rsidR="00727033" w:rsidRDefault="00BD7B40">
          <w:pPr>
            <w:pStyle w:val="TOC3"/>
            <w:tabs>
              <w:tab w:val="right" w:leader="dot" w:pos="8302"/>
            </w:tabs>
            <w:rPr>
              <w:rFonts w:eastAsiaTheme="minorEastAsia" w:cstheme="minorBidi"/>
              <w:noProof/>
            </w:rPr>
          </w:pPr>
          <w:hyperlink w:anchor="_Toc60235827" w:history="1">
            <w:r w:rsidR="00727033" w:rsidRPr="00CF090C">
              <w:rPr>
                <w:rStyle w:val="Hyperlink"/>
                <w:noProof/>
              </w:rPr>
              <w:t>4.1.3. Rehabilitation</w:t>
            </w:r>
            <w:r w:rsidR="00727033">
              <w:rPr>
                <w:noProof/>
                <w:webHidden/>
              </w:rPr>
              <w:tab/>
            </w:r>
            <w:r w:rsidR="00727033">
              <w:rPr>
                <w:noProof/>
                <w:webHidden/>
              </w:rPr>
              <w:fldChar w:fldCharType="begin"/>
            </w:r>
            <w:r w:rsidR="00727033">
              <w:rPr>
                <w:noProof/>
                <w:webHidden/>
              </w:rPr>
              <w:instrText xml:space="preserve"> PAGEREF _Toc60235827 \h </w:instrText>
            </w:r>
            <w:r w:rsidR="00727033">
              <w:rPr>
                <w:noProof/>
                <w:webHidden/>
              </w:rPr>
            </w:r>
            <w:r w:rsidR="00727033">
              <w:rPr>
                <w:noProof/>
                <w:webHidden/>
              </w:rPr>
              <w:fldChar w:fldCharType="separate"/>
            </w:r>
            <w:r w:rsidR="00727033">
              <w:rPr>
                <w:noProof/>
                <w:webHidden/>
              </w:rPr>
              <w:t>288</w:t>
            </w:r>
            <w:r w:rsidR="00727033">
              <w:rPr>
                <w:noProof/>
                <w:webHidden/>
              </w:rPr>
              <w:fldChar w:fldCharType="end"/>
            </w:r>
          </w:hyperlink>
        </w:p>
        <w:p w14:paraId="66408B6E" w14:textId="2880B9A6" w:rsidR="00727033" w:rsidRDefault="00BD7B40">
          <w:pPr>
            <w:pStyle w:val="TOC2"/>
            <w:tabs>
              <w:tab w:val="right" w:leader="dot" w:pos="8302"/>
            </w:tabs>
            <w:rPr>
              <w:rFonts w:eastAsiaTheme="minorEastAsia" w:cstheme="minorBidi"/>
              <w:b w:val="0"/>
              <w:noProof/>
            </w:rPr>
          </w:pPr>
          <w:hyperlink w:anchor="_Toc60235828" w:history="1">
            <w:r w:rsidR="00727033" w:rsidRPr="00CF090C">
              <w:rPr>
                <w:rStyle w:val="Hyperlink"/>
                <w:noProof/>
              </w:rPr>
              <w:t>4.2   Restorative Justice</w:t>
            </w:r>
            <w:r w:rsidR="00727033">
              <w:rPr>
                <w:noProof/>
                <w:webHidden/>
              </w:rPr>
              <w:tab/>
            </w:r>
            <w:r w:rsidR="00727033">
              <w:rPr>
                <w:noProof/>
                <w:webHidden/>
              </w:rPr>
              <w:fldChar w:fldCharType="begin"/>
            </w:r>
            <w:r w:rsidR="00727033">
              <w:rPr>
                <w:noProof/>
                <w:webHidden/>
              </w:rPr>
              <w:instrText xml:space="preserve"> PAGEREF _Toc60235828 \h </w:instrText>
            </w:r>
            <w:r w:rsidR="00727033">
              <w:rPr>
                <w:noProof/>
                <w:webHidden/>
              </w:rPr>
            </w:r>
            <w:r w:rsidR="00727033">
              <w:rPr>
                <w:noProof/>
                <w:webHidden/>
              </w:rPr>
              <w:fldChar w:fldCharType="separate"/>
            </w:r>
            <w:r w:rsidR="00727033">
              <w:rPr>
                <w:noProof/>
                <w:webHidden/>
              </w:rPr>
              <w:t>291</w:t>
            </w:r>
            <w:r w:rsidR="00727033">
              <w:rPr>
                <w:noProof/>
                <w:webHidden/>
              </w:rPr>
              <w:fldChar w:fldCharType="end"/>
            </w:r>
          </w:hyperlink>
        </w:p>
        <w:p w14:paraId="5531D8EC" w14:textId="5022F454" w:rsidR="00727033" w:rsidRDefault="00BD7B40">
          <w:pPr>
            <w:pStyle w:val="TOC3"/>
            <w:tabs>
              <w:tab w:val="right" w:leader="dot" w:pos="8302"/>
            </w:tabs>
            <w:rPr>
              <w:rFonts w:eastAsiaTheme="minorEastAsia" w:cstheme="minorBidi"/>
              <w:noProof/>
            </w:rPr>
          </w:pPr>
          <w:hyperlink w:anchor="_Toc60235829" w:history="1">
            <w:r w:rsidR="00727033" w:rsidRPr="00CF090C">
              <w:rPr>
                <w:rStyle w:val="Hyperlink"/>
                <w:noProof/>
              </w:rPr>
              <w:t>4.2.1 Encounter</w:t>
            </w:r>
            <w:r w:rsidR="00727033">
              <w:rPr>
                <w:noProof/>
                <w:webHidden/>
              </w:rPr>
              <w:tab/>
            </w:r>
            <w:r w:rsidR="00727033">
              <w:rPr>
                <w:noProof/>
                <w:webHidden/>
              </w:rPr>
              <w:fldChar w:fldCharType="begin"/>
            </w:r>
            <w:r w:rsidR="00727033">
              <w:rPr>
                <w:noProof/>
                <w:webHidden/>
              </w:rPr>
              <w:instrText xml:space="preserve"> PAGEREF _Toc60235829 \h </w:instrText>
            </w:r>
            <w:r w:rsidR="00727033">
              <w:rPr>
                <w:noProof/>
                <w:webHidden/>
              </w:rPr>
            </w:r>
            <w:r w:rsidR="00727033">
              <w:rPr>
                <w:noProof/>
                <w:webHidden/>
              </w:rPr>
              <w:fldChar w:fldCharType="separate"/>
            </w:r>
            <w:r w:rsidR="00727033">
              <w:rPr>
                <w:noProof/>
                <w:webHidden/>
              </w:rPr>
              <w:t>294</w:t>
            </w:r>
            <w:r w:rsidR="00727033">
              <w:rPr>
                <w:noProof/>
                <w:webHidden/>
              </w:rPr>
              <w:fldChar w:fldCharType="end"/>
            </w:r>
          </w:hyperlink>
        </w:p>
        <w:p w14:paraId="745BA707" w14:textId="78ACCF07" w:rsidR="00727033" w:rsidRDefault="00BD7B40">
          <w:pPr>
            <w:pStyle w:val="TOC3"/>
            <w:tabs>
              <w:tab w:val="right" w:leader="dot" w:pos="8302"/>
            </w:tabs>
            <w:rPr>
              <w:rFonts w:eastAsiaTheme="minorEastAsia" w:cstheme="minorBidi"/>
              <w:noProof/>
            </w:rPr>
          </w:pPr>
          <w:hyperlink w:anchor="_Toc60235830" w:history="1">
            <w:r w:rsidR="00727033" w:rsidRPr="00CF090C">
              <w:rPr>
                <w:rStyle w:val="Hyperlink"/>
                <w:noProof/>
              </w:rPr>
              <w:t>4.2.2  Amends</w:t>
            </w:r>
            <w:r w:rsidR="00727033">
              <w:rPr>
                <w:noProof/>
                <w:webHidden/>
              </w:rPr>
              <w:tab/>
            </w:r>
            <w:r w:rsidR="00727033">
              <w:rPr>
                <w:noProof/>
                <w:webHidden/>
              </w:rPr>
              <w:fldChar w:fldCharType="begin"/>
            </w:r>
            <w:r w:rsidR="00727033">
              <w:rPr>
                <w:noProof/>
                <w:webHidden/>
              </w:rPr>
              <w:instrText xml:space="preserve"> PAGEREF _Toc60235830 \h </w:instrText>
            </w:r>
            <w:r w:rsidR="00727033">
              <w:rPr>
                <w:noProof/>
                <w:webHidden/>
              </w:rPr>
            </w:r>
            <w:r w:rsidR="00727033">
              <w:rPr>
                <w:noProof/>
                <w:webHidden/>
              </w:rPr>
              <w:fldChar w:fldCharType="separate"/>
            </w:r>
            <w:r w:rsidR="00727033">
              <w:rPr>
                <w:noProof/>
                <w:webHidden/>
              </w:rPr>
              <w:t>296</w:t>
            </w:r>
            <w:r w:rsidR="00727033">
              <w:rPr>
                <w:noProof/>
                <w:webHidden/>
              </w:rPr>
              <w:fldChar w:fldCharType="end"/>
            </w:r>
          </w:hyperlink>
        </w:p>
        <w:p w14:paraId="7B23BAD0" w14:textId="1A52B166" w:rsidR="00727033" w:rsidRDefault="00BD7B40">
          <w:pPr>
            <w:pStyle w:val="TOC3"/>
            <w:tabs>
              <w:tab w:val="right" w:leader="dot" w:pos="8302"/>
            </w:tabs>
            <w:rPr>
              <w:rFonts w:eastAsiaTheme="minorEastAsia" w:cstheme="minorBidi"/>
              <w:noProof/>
            </w:rPr>
          </w:pPr>
          <w:hyperlink w:anchor="_Toc60235831" w:history="1">
            <w:r w:rsidR="00727033" w:rsidRPr="00CF090C">
              <w:rPr>
                <w:rStyle w:val="Hyperlink"/>
                <w:noProof/>
              </w:rPr>
              <w:t>4.2.3 Re-integration</w:t>
            </w:r>
            <w:r w:rsidR="00727033">
              <w:rPr>
                <w:noProof/>
                <w:webHidden/>
              </w:rPr>
              <w:tab/>
            </w:r>
            <w:r w:rsidR="00727033">
              <w:rPr>
                <w:noProof/>
                <w:webHidden/>
              </w:rPr>
              <w:fldChar w:fldCharType="begin"/>
            </w:r>
            <w:r w:rsidR="00727033">
              <w:rPr>
                <w:noProof/>
                <w:webHidden/>
              </w:rPr>
              <w:instrText xml:space="preserve"> PAGEREF _Toc60235831 \h </w:instrText>
            </w:r>
            <w:r w:rsidR="00727033">
              <w:rPr>
                <w:noProof/>
                <w:webHidden/>
              </w:rPr>
            </w:r>
            <w:r w:rsidR="00727033">
              <w:rPr>
                <w:noProof/>
                <w:webHidden/>
              </w:rPr>
              <w:fldChar w:fldCharType="separate"/>
            </w:r>
            <w:r w:rsidR="00727033">
              <w:rPr>
                <w:noProof/>
                <w:webHidden/>
              </w:rPr>
              <w:t>298</w:t>
            </w:r>
            <w:r w:rsidR="00727033">
              <w:rPr>
                <w:noProof/>
                <w:webHidden/>
              </w:rPr>
              <w:fldChar w:fldCharType="end"/>
            </w:r>
          </w:hyperlink>
        </w:p>
        <w:p w14:paraId="24C2C6C2" w14:textId="5F83A6EB" w:rsidR="00727033" w:rsidRDefault="00BD7B40">
          <w:pPr>
            <w:pStyle w:val="TOC1"/>
            <w:tabs>
              <w:tab w:val="right" w:leader="dot" w:pos="8302"/>
            </w:tabs>
            <w:rPr>
              <w:rFonts w:eastAsiaTheme="minorEastAsia" w:cstheme="minorBidi"/>
              <w:b w:val="0"/>
              <w:noProof/>
              <w:sz w:val="22"/>
              <w:szCs w:val="22"/>
            </w:rPr>
          </w:pPr>
          <w:hyperlink w:anchor="_Toc60235832" w:history="1">
            <w:r w:rsidR="00727033" w:rsidRPr="00CF090C">
              <w:rPr>
                <w:rStyle w:val="Hyperlink"/>
                <w:noProof/>
              </w:rPr>
              <w:t>4.3.0 Retributive justice and restorative justice: Two sides of a coin?</w:t>
            </w:r>
            <w:r w:rsidR="00727033">
              <w:rPr>
                <w:noProof/>
                <w:webHidden/>
              </w:rPr>
              <w:tab/>
            </w:r>
            <w:r w:rsidR="00727033">
              <w:rPr>
                <w:noProof/>
                <w:webHidden/>
              </w:rPr>
              <w:fldChar w:fldCharType="begin"/>
            </w:r>
            <w:r w:rsidR="00727033">
              <w:rPr>
                <w:noProof/>
                <w:webHidden/>
              </w:rPr>
              <w:instrText xml:space="preserve"> PAGEREF _Toc60235832 \h </w:instrText>
            </w:r>
            <w:r w:rsidR="00727033">
              <w:rPr>
                <w:noProof/>
                <w:webHidden/>
              </w:rPr>
            </w:r>
            <w:r w:rsidR="00727033">
              <w:rPr>
                <w:noProof/>
                <w:webHidden/>
              </w:rPr>
              <w:fldChar w:fldCharType="separate"/>
            </w:r>
            <w:r w:rsidR="00727033">
              <w:rPr>
                <w:noProof/>
                <w:webHidden/>
              </w:rPr>
              <w:t>300</w:t>
            </w:r>
            <w:r w:rsidR="00727033">
              <w:rPr>
                <w:noProof/>
                <w:webHidden/>
              </w:rPr>
              <w:fldChar w:fldCharType="end"/>
            </w:r>
          </w:hyperlink>
        </w:p>
        <w:p w14:paraId="5F4FCA6E" w14:textId="47684B5F" w:rsidR="00727033" w:rsidRDefault="00BD7B40">
          <w:pPr>
            <w:pStyle w:val="TOC1"/>
            <w:tabs>
              <w:tab w:val="right" w:leader="dot" w:pos="8302"/>
            </w:tabs>
            <w:rPr>
              <w:rFonts w:eastAsiaTheme="minorEastAsia" w:cstheme="minorBidi"/>
              <w:b w:val="0"/>
              <w:noProof/>
              <w:sz w:val="22"/>
              <w:szCs w:val="22"/>
            </w:rPr>
          </w:pPr>
          <w:hyperlink w:anchor="_Toc60235833" w:history="1">
            <w:r w:rsidR="00727033" w:rsidRPr="00CF090C">
              <w:rPr>
                <w:rStyle w:val="Hyperlink"/>
                <w:noProof/>
              </w:rPr>
              <w:t>4.4.0 Victims in sentencing-The Prosecutor v. Lubanga</w:t>
            </w:r>
            <w:r w:rsidR="00727033">
              <w:rPr>
                <w:noProof/>
                <w:webHidden/>
              </w:rPr>
              <w:tab/>
            </w:r>
            <w:r w:rsidR="00727033">
              <w:rPr>
                <w:noProof/>
                <w:webHidden/>
              </w:rPr>
              <w:fldChar w:fldCharType="begin"/>
            </w:r>
            <w:r w:rsidR="00727033">
              <w:rPr>
                <w:noProof/>
                <w:webHidden/>
              </w:rPr>
              <w:instrText xml:space="preserve"> PAGEREF _Toc60235833 \h </w:instrText>
            </w:r>
            <w:r w:rsidR="00727033">
              <w:rPr>
                <w:noProof/>
                <w:webHidden/>
              </w:rPr>
            </w:r>
            <w:r w:rsidR="00727033">
              <w:rPr>
                <w:noProof/>
                <w:webHidden/>
              </w:rPr>
              <w:fldChar w:fldCharType="separate"/>
            </w:r>
            <w:r w:rsidR="00727033">
              <w:rPr>
                <w:noProof/>
                <w:webHidden/>
              </w:rPr>
              <w:t>302</w:t>
            </w:r>
            <w:r w:rsidR="00727033">
              <w:rPr>
                <w:noProof/>
                <w:webHidden/>
              </w:rPr>
              <w:fldChar w:fldCharType="end"/>
            </w:r>
          </w:hyperlink>
        </w:p>
        <w:p w14:paraId="1315C285" w14:textId="3C54130C" w:rsidR="00727033" w:rsidRDefault="00BD7B40">
          <w:pPr>
            <w:pStyle w:val="TOC1"/>
            <w:tabs>
              <w:tab w:val="right" w:leader="dot" w:pos="8302"/>
            </w:tabs>
            <w:rPr>
              <w:rFonts w:eastAsiaTheme="minorEastAsia" w:cstheme="minorBidi"/>
              <w:b w:val="0"/>
              <w:noProof/>
              <w:sz w:val="22"/>
              <w:szCs w:val="22"/>
            </w:rPr>
          </w:pPr>
          <w:hyperlink w:anchor="_Toc60235834" w:history="1">
            <w:r w:rsidR="00727033" w:rsidRPr="00CF090C">
              <w:rPr>
                <w:rStyle w:val="Hyperlink"/>
                <w:noProof/>
              </w:rPr>
              <w:t>4.4.1.Overview of the Lubanga judgment</w:t>
            </w:r>
            <w:r w:rsidR="00727033">
              <w:rPr>
                <w:noProof/>
                <w:webHidden/>
              </w:rPr>
              <w:tab/>
            </w:r>
            <w:r w:rsidR="00727033">
              <w:rPr>
                <w:noProof/>
                <w:webHidden/>
              </w:rPr>
              <w:fldChar w:fldCharType="begin"/>
            </w:r>
            <w:r w:rsidR="00727033">
              <w:rPr>
                <w:noProof/>
                <w:webHidden/>
              </w:rPr>
              <w:instrText xml:space="preserve"> PAGEREF _Toc60235834 \h </w:instrText>
            </w:r>
            <w:r w:rsidR="00727033">
              <w:rPr>
                <w:noProof/>
                <w:webHidden/>
              </w:rPr>
            </w:r>
            <w:r w:rsidR="00727033">
              <w:rPr>
                <w:noProof/>
                <w:webHidden/>
              </w:rPr>
              <w:fldChar w:fldCharType="separate"/>
            </w:r>
            <w:r w:rsidR="00727033">
              <w:rPr>
                <w:noProof/>
                <w:webHidden/>
              </w:rPr>
              <w:t>302</w:t>
            </w:r>
            <w:r w:rsidR="00727033">
              <w:rPr>
                <w:noProof/>
                <w:webHidden/>
              </w:rPr>
              <w:fldChar w:fldCharType="end"/>
            </w:r>
          </w:hyperlink>
        </w:p>
        <w:p w14:paraId="44D412A7" w14:textId="10BFFDFE" w:rsidR="00727033" w:rsidRDefault="00BD7B40">
          <w:pPr>
            <w:pStyle w:val="TOC2"/>
            <w:tabs>
              <w:tab w:val="right" w:leader="dot" w:pos="8302"/>
            </w:tabs>
            <w:rPr>
              <w:rFonts w:eastAsiaTheme="minorEastAsia" w:cstheme="minorBidi"/>
              <w:b w:val="0"/>
              <w:noProof/>
            </w:rPr>
          </w:pPr>
          <w:hyperlink w:anchor="_Toc60235835" w:history="1">
            <w:r w:rsidR="00727033" w:rsidRPr="00CF090C">
              <w:rPr>
                <w:rStyle w:val="Hyperlink"/>
                <w:noProof/>
              </w:rPr>
              <w:t>4.4.2.0The Sentencing Hearing</w:t>
            </w:r>
            <w:r w:rsidR="00727033">
              <w:rPr>
                <w:noProof/>
                <w:webHidden/>
              </w:rPr>
              <w:tab/>
            </w:r>
            <w:r w:rsidR="00727033">
              <w:rPr>
                <w:noProof/>
                <w:webHidden/>
              </w:rPr>
              <w:fldChar w:fldCharType="begin"/>
            </w:r>
            <w:r w:rsidR="00727033">
              <w:rPr>
                <w:noProof/>
                <w:webHidden/>
              </w:rPr>
              <w:instrText xml:space="preserve"> PAGEREF _Toc60235835 \h </w:instrText>
            </w:r>
            <w:r w:rsidR="00727033">
              <w:rPr>
                <w:noProof/>
                <w:webHidden/>
              </w:rPr>
            </w:r>
            <w:r w:rsidR="00727033">
              <w:rPr>
                <w:noProof/>
                <w:webHidden/>
              </w:rPr>
              <w:fldChar w:fldCharType="separate"/>
            </w:r>
            <w:r w:rsidR="00727033">
              <w:rPr>
                <w:noProof/>
                <w:webHidden/>
              </w:rPr>
              <w:t>304</w:t>
            </w:r>
            <w:r w:rsidR="00727033">
              <w:rPr>
                <w:noProof/>
                <w:webHidden/>
              </w:rPr>
              <w:fldChar w:fldCharType="end"/>
            </w:r>
          </w:hyperlink>
        </w:p>
        <w:p w14:paraId="16DC5C33" w14:textId="0240B41E" w:rsidR="00727033" w:rsidRDefault="00BD7B40">
          <w:pPr>
            <w:pStyle w:val="TOC2"/>
            <w:tabs>
              <w:tab w:val="right" w:leader="dot" w:pos="8302"/>
            </w:tabs>
            <w:rPr>
              <w:rFonts w:eastAsiaTheme="minorEastAsia" w:cstheme="minorBidi"/>
              <w:b w:val="0"/>
              <w:noProof/>
            </w:rPr>
          </w:pPr>
          <w:hyperlink w:anchor="_Toc60235836" w:history="1">
            <w:r w:rsidR="00727033" w:rsidRPr="00CF090C">
              <w:rPr>
                <w:rStyle w:val="Hyperlink"/>
                <w:noProof/>
              </w:rPr>
              <w:t>4.4.2.1 Victims’ Observations</w:t>
            </w:r>
            <w:r w:rsidR="00727033">
              <w:rPr>
                <w:noProof/>
                <w:webHidden/>
              </w:rPr>
              <w:tab/>
            </w:r>
            <w:r w:rsidR="00727033">
              <w:rPr>
                <w:noProof/>
                <w:webHidden/>
              </w:rPr>
              <w:fldChar w:fldCharType="begin"/>
            </w:r>
            <w:r w:rsidR="00727033">
              <w:rPr>
                <w:noProof/>
                <w:webHidden/>
              </w:rPr>
              <w:instrText xml:space="preserve"> PAGEREF _Toc60235836 \h </w:instrText>
            </w:r>
            <w:r w:rsidR="00727033">
              <w:rPr>
                <w:noProof/>
                <w:webHidden/>
              </w:rPr>
            </w:r>
            <w:r w:rsidR="00727033">
              <w:rPr>
                <w:noProof/>
                <w:webHidden/>
              </w:rPr>
              <w:fldChar w:fldCharType="separate"/>
            </w:r>
            <w:r w:rsidR="00727033">
              <w:rPr>
                <w:noProof/>
                <w:webHidden/>
              </w:rPr>
              <w:t>304</w:t>
            </w:r>
            <w:r w:rsidR="00727033">
              <w:rPr>
                <w:noProof/>
                <w:webHidden/>
              </w:rPr>
              <w:fldChar w:fldCharType="end"/>
            </w:r>
          </w:hyperlink>
        </w:p>
        <w:p w14:paraId="1EC9C79A" w14:textId="7003844B" w:rsidR="00727033" w:rsidRDefault="00BD7B40">
          <w:pPr>
            <w:pStyle w:val="TOC2"/>
            <w:tabs>
              <w:tab w:val="right" w:leader="dot" w:pos="8302"/>
            </w:tabs>
            <w:rPr>
              <w:rFonts w:eastAsiaTheme="minorEastAsia" w:cstheme="minorBidi"/>
              <w:b w:val="0"/>
              <w:noProof/>
            </w:rPr>
          </w:pPr>
          <w:hyperlink w:anchor="_Toc60235837" w:history="1">
            <w:r w:rsidR="00727033" w:rsidRPr="00CF090C">
              <w:rPr>
                <w:rStyle w:val="Hyperlink"/>
                <w:noProof/>
              </w:rPr>
              <w:t>4.4.2.2The Prosecutor’s request; aggravating circumstances</w:t>
            </w:r>
            <w:r w:rsidR="00727033">
              <w:rPr>
                <w:noProof/>
                <w:webHidden/>
              </w:rPr>
              <w:tab/>
            </w:r>
            <w:r w:rsidR="00727033">
              <w:rPr>
                <w:noProof/>
                <w:webHidden/>
              </w:rPr>
              <w:fldChar w:fldCharType="begin"/>
            </w:r>
            <w:r w:rsidR="00727033">
              <w:rPr>
                <w:noProof/>
                <w:webHidden/>
              </w:rPr>
              <w:instrText xml:space="preserve"> PAGEREF _Toc60235837 \h </w:instrText>
            </w:r>
            <w:r w:rsidR="00727033">
              <w:rPr>
                <w:noProof/>
                <w:webHidden/>
              </w:rPr>
            </w:r>
            <w:r w:rsidR="00727033">
              <w:rPr>
                <w:noProof/>
                <w:webHidden/>
              </w:rPr>
              <w:fldChar w:fldCharType="separate"/>
            </w:r>
            <w:r w:rsidR="00727033">
              <w:rPr>
                <w:noProof/>
                <w:webHidden/>
              </w:rPr>
              <w:t>305</w:t>
            </w:r>
            <w:r w:rsidR="00727033">
              <w:rPr>
                <w:noProof/>
                <w:webHidden/>
              </w:rPr>
              <w:fldChar w:fldCharType="end"/>
            </w:r>
          </w:hyperlink>
        </w:p>
        <w:p w14:paraId="3DFB25D4" w14:textId="3D06AC4E" w:rsidR="00727033" w:rsidRDefault="00BD7B40">
          <w:pPr>
            <w:pStyle w:val="TOC2"/>
            <w:tabs>
              <w:tab w:val="right" w:leader="dot" w:pos="8302"/>
            </w:tabs>
            <w:rPr>
              <w:rFonts w:eastAsiaTheme="minorEastAsia" w:cstheme="minorBidi"/>
              <w:b w:val="0"/>
              <w:noProof/>
            </w:rPr>
          </w:pPr>
          <w:hyperlink w:anchor="_Toc60235838" w:history="1">
            <w:r w:rsidR="00727033" w:rsidRPr="00CF090C">
              <w:rPr>
                <w:rStyle w:val="Hyperlink"/>
                <w:noProof/>
              </w:rPr>
              <w:t>4.4.2.3 Victims’ Aggravating Circumstances</w:t>
            </w:r>
            <w:r w:rsidR="00727033">
              <w:rPr>
                <w:noProof/>
                <w:webHidden/>
              </w:rPr>
              <w:tab/>
            </w:r>
            <w:r w:rsidR="00727033">
              <w:rPr>
                <w:noProof/>
                <w:webHidden/>
              </w:rPr>
              <w:fldChar w:fldCharType="begin"/>
            </w:r>
            <w:r w:rsidR="00727033">
              <w:rPr>
                <w:noProof/>
                <w:webHidden/>
              </w:rPr>
              <w:instrText xml:space="preserve"> PAGEREF _Toc60235838 \h </w:instrText>
            </w:r>
            <w:r w:rsidR="00727033">
              <w:rPr>
                <w:noProof/>
                <w:webHidden/>
              </w:rPr>
            </w:r>
            <w:r w:rsidR="00727033">
              <w:rPr>
                <w:noProof/>
                <w:webHidden/>
              </w:rPr>
              <w:fldChar w:fldCharType="separate"/>
            </w:r>
            <w:r w:rsidR="00727033">
              <w:rPr>
                <w:noProof/>
                <w:webHidden/>
              </w:rPr>
              <w:t>306</w:t>
            </w:r>
            <w:r w:rsidR="00727033">
              <w:rPr>
                <w:noProof/>
                <w:webHidden/>
              </w:rPr>
              <w:fldChar w:fldCharType="end"/>
            </w:r>
          </w:hyperlink>
        </w:p>
        <w:p w14:paraId="66E70969" w14:textId="49C88BE0" w:rsidR="00727033" w:rsidRDefault="00BD7B40">
          <w:pPr>
            <w:pStyle w:val="TOC2"/>
            <w:tabs>
              <w:tab w:val="right" w:leader="dot" w:pos="8302"/>
            </w:tabs>
            <w:rPr>
              <w:rFonts w:eastAsiaTheme="minorEastAsia" w:cstheme="minorBidi"/>
              <w:b w:val="0"/>
              <w:noProof/>
            </w:rPr>
          </w:pPr>
          <w:hyperlink w:anchor="_Toc60235839" w:history="1">
            <w:r w:rsidR="00727033" w:rsidRPr="00CF090C">
              <w:rPr>
                <w:rStyle w:val="Hyperlink"/>
                <w:noProof/>
              </w:rPr>
              <w:t>4.4.2.4.Mitigating Circumstances</w:t>
            </w:r>
            <w:r w:rsidR="00727033">
              <w:rPr>
                <w:noProof/>
                <w:webHidden/>
              </w:rPr>
              <w:tab/>
            </w:r>
            <w:r w:rsidR="00727033">
              <w:rPr>
                <w:noProof/>
                <w:webHidden/>
              </w:rPr>
              <w:fldChar w:fldCharType="begin"/>
            </w:r>
            <w:r w:rsidR="00727033">
              <w:rPr>
                <w:noProof/>
                <w:webHidden/>
              </w:rPr>
              <w:instrText xml:space="preserve"> PAGEREF _Toc60235839 \h </w:instrText>
            </w:r>
            <w:r w:rsidR="00727033">
              <w:rPr>
                <w:noProof/>
                <w:webHidden/>
              </w:rPr>
            </w:r>
            <w:r w:rsidR="00727033">
              <w:rPr>
                <w:noProof/>
                <w:webHidden/>
              </w:rPr>
              <w:fldChar w:fldCharType="separate"/>
            </w:r>
            <w:r w:rsidR="00727033">
              <w:rPr>
                <w:noProof/>
                <w:webHidden/>
              </w:rPr>
              <w:t>307</w:t>
            </w:r>
            <w:r w:rsidR="00727033">
              <w:rPr>
                <w:noProof/>
                <w:webHidden/>
              </w:rPr>
              <w:fldChar w:fldCharType="end"/>
            </w:r>
          </w:hyperlink>
        </w:p>
        <w:p w14:paraId="4860E15A" w14:textId="776535EA" w:rsidR="00727033" w:rsidRDefault="00BD7B40">
          <w:pPr>
            <w:pStyle w:val="TOC2"/>
            <w:tabs>
              <w:tab w:val="right" w:leader="dot" w:pos="8302"/>
            </w:tabs>
            <w:rPr>
              <w:rFonts w:eastAsiaTheme="minorEastAsia" w:cstheme="minorBidi"/>
              <w:b w:val="0"/>
              <w:noProof/>
            </w:rPr>
          </w:pPr>
          <w:hyperlink w:anchor="_Toc60235840" w:history="1">
            <w:r w:rsidR="00727033" w:rsidRPr="00CF090C">
              <w:rPr>
                <w:rStyle w:val="Hyperlink"/>
                <w:noProof/>
              </w:rPr>
              <w:t>4.4.2.5.The Chamber’s response to the aggravating circumstances</w:t>
            </w:r>
            <w:r w:rsidR="00727033">
              <w:rPr>
                <w:noProof/>
                <w:webHidden/>
              </w:rPr>
              <w:tab/>
            </w:r>
            <w:r w:rsidR="00727033">
              <w:rPr>
                <w:noProof/>
                <w:webHidden/>
              </w:rPr>
              <w:fldChar w:fldCharType="begin"/>
            </w:r>
            <w:r w:rsidR="00727033">
              <w:rPr>
                <w:noProof/>
                <w:webHidden/>
              </w:rPr>
              <w:instrText xml:space="preserve"> PAGEREF _Toc60235840 \h </w:instrText>
            </w:r>
            <w:r w:rsidR="00727033">
              <w:rPr>
                <w:noProof/>
                <w:webHidden/>
              </w:rPr>
            </w:r>
            <w:r w:rsidR="00727033">
              <w:rPr>
                <w:noProof/>
                <w:webHidden/>
              </w:rPr>
              <w:fldChar w:fldCharType="separate"/>
            </w:r>
            <w:r w:rsidR="00727033">
              <w:rPr>
                <w:noProof/>
                <w:webHidden/>
              </w:rPr>
              <w:t>310</w:t>
            </w:r>
            <w:r w:rsidR="00727033">
              <w:rPr>
                <w:noProof/>
                <w:webHidden/>
              </w:rPr>
              <w:fldChar w:fldCharType="end"/>
            </w:r>
          </w:hyperlink>
        </w:p>
        <w:p w14:paraId="47B21C3A" w14:textId="324E6268" w:rsidR="00727033" w:rsidRDefault="00BD7B40">
          <w:pPr>
            <w:pStyle w:val="TOC2"/>
            <w:tabs>
              <w:tab w:val="right" w:leader="dot" w:pos="8302"/>
            </w:tabs>
            <w:rPr>
              <w:rFonts w:eastAsiaTheme="minorEastAsia" w:cstheme="minorBidi"/>
              <w:b w:val="0"/>
              <w:noProof/>
            </w:rPr>
          </w:pPr>
          <w:hyperlink w:anchor="_Toc60235841" w:history="1">
            <w:r w:rsidR="00727033" w:rsidRPr="00CF090C">
              <w:rPr>
                <w:rStyle w:val="Hyperlink"/>
                <w:noProof/>
              </w:rPr>
              <w:t>4.4.2.6.The Chamber’s response to mitigating circumstances</w:t>
            </w:r>
            <w:r w:rsidR="00727033">
              <w:rPr>
                <w:noProof/>
                <w:webHidden/>
              </w:rPr>
              <w:tab/>
            </w:r>
            <w:r w:rsidR="00727033">
              <w:rPr>
                <w:noProof/>
                <w:webHidden/>
              </w:rPr>
              <w:fldChar w:fldCharType="begin"/>
            </w:r>
            <w:r w:rsidR="00727033">
              <w:rPr>
                <w:noProof/>
                <w:webHidden/>
              </w:rPr>
              <w:instrText xml:space="preserve"> PAGEREF _Toc60235841 \h </w:instrText>
            </w:r>
            <w:r w:rsidR="00727033">
              <w:rPr>
                <w:noProof/>
                <w:webHidden/>
              </w:rPr>
            </w:r>
            <w:r w:rsidR="00727033">
              <w:rPr>
                <w:noProof/>
                <w:webHidden/>
              </w:rPr>
              <w:fldChar w:fldCharType="separate"/>
            </w:r>
            <w:r w:rsidR="00727033">
              <w:rPr>
                <w:noProof/>
                <w:webHidden/>
              </w:rPr>
              <w:t>312</w:t>
            </w:r>
            <w:r w:rsidR="00727033">
              <w:rPr>
                <w:noProof/>
                <w:webHidden/>
              </w:rPr>
              <w:fldChar w:fldCharType="end"/>
            </w:r>
          </w:hyperlink>
        </w:p>
        <w:p w14:paraId="16F1B171" w14:textId="23DA04DC" w:rsidR="00727033" w:rsidRDefault="00BD7B40">
          <w:pPr>
            <w:pStyle w:val="TOC2"/>
            <w:tabs>
              <w:tab w:val="right" w:leader="dot" w:pos="8302"/>
            </w:tabs>
            <w:rPr>
              <w:rFonts w:eastAsiaTheme="minorEastAsia" w:cstheme="minorBidi"/>
              <w:b w:val="0"/>
              <w:noProof/>
            </w:rPr>
          </w:pPr>
          <w:hyperlink w:anchor="_Toc60235842" w:history="1">
            <w:r w:rsidR="00727033" w:rsidRPr="00CF090C">
              <w:rPr>
                <w:rStyle w:val="Hyperlink"/>
                <w:noProof/>
              </w:rPr>
              <w:t>4.4 2.7.The Sentence</w:t>
            </w:r>
            <w:r w:rsidR="00727033">
              <w:rPr>
                <w:noProof/>
                <w:webHidden/>
              </w:rPr>
              <w:tab/>
            </w:r>
            <w:r w:rsidR="00727033">
              <w:rPr>
                <w:noProof/>
                <w:webHidden/>
              </w:rPr>
              <w:fldChar w:fldCharType="begin"/>
            </w:r>
            <w:r w:rsidR="00727033">
              <w:rPr>
                <w:noProof/>
                <w:webHidden/>
              </w:rPr>
              <w:instrText xml:space="preserve"> PAGEREF _Toc60235842 \h </w:instrText>
            </w:r>
            <w:r w:rsidR="00727033">
              <w:rPr>
                <w:noProof/>
                <w:webHidden/>
              </w:rPr>
            </w:r>
            <w:r w:rsidR="00727033">
              <w:rPr>
                <w:noProof/>
                <w:webHidden/>
              </w:rPr>
              <w:fldChar w:fldCharType="separate"/>
            </w:r>
            <w:r w:rsidR="00727033">
              <w:rPr>
                <w:noProof/>
                <w:webHidden/>
              </w:rPr>
              <w:t>312</w:t>
            </w:r>
            <w:r w:rsidR="00727033">
              <w:rPr>
                <w:noProof/>
                <w:webHidden/>
              </w:rPr>
              <w:fldChar w:fldCharType="end"/>
            </w:r>
          </w:hyperlink>
        </w:p>
        <w:p w14:paraId="513103C2" w14:textId="2F44180A" w:rsidR="00727033" w:rsidRDefault="00BD7B40">
          <w:pPr>
            <w:pStyle w:val="TOC2"/>
            <w:tabs>
              <w:tab w:val="right" w:leader="dot" w:pos="8302"/>
            </w:tabs>
            <w:rPr>
              <w:rFonts w:eastAsiaTheme="minorEastAsia" w:cstheme="minorBidi"/>
              <w:b w:val="0"/>
              <w:noProof/>
            </w:rPr>
          </w:pPr>
          <w:hyperlink w:anchor="_Toc60235843" w:history="1">
            <w:r w:rsidR="00727033" w:rsidRPr="00CF090C">
              <w:rPr>
                <w:rStyle w:val="Hyperlink"/>
                <w:rFonts w:eastAsia="MS Gothic"/>
                <w:noProof/>
                <w:spacing w:val="10"/>
                <w:lang w:val="en-US" w:eastAsia="ja-JP"/>
              </w:rPr>
              <w:t>4.5.0 The first sentence review</w:t>
            </w:r>
            <w:r w:rsidR="00727033">
              <w:rPr>
                <w:noProof/>
                <w:webHidden/>
              </w:rPr>
              <w:tab/>
            </w:r>
            <w:r w:rsidR="00727033">
              <w:rPr>
                <w:noProof/>
                <w:webHidden/>
              </w:rPr>
              <w:fldChar w:fldCharType="begin"/>
            </w:r>
            <w:r w:rsidR="00727033">
              <w:rPr>
                <w:noProof/>
                <w:webHidden/>
              </w:rPr>
              <w:instrText xml:space="preserve"> PAGEREF _Toc60235843 \h </w:instrText>
            </w:r>
            <w:r w:rsidR="00727033">
              <w:rPr>
                <w:noProof/>
                <w:webHidden/>
              </w:rPr>
            </w:r>
            <w:r w:rsidR="00727033">
              <w:rPr>
                <w:noProof/>
                <w:webHidden/>
              </w:rPr>
              <w:fldChar w:fldCharType="separate"/>
            </w:r>
            <w:r w:rsidR="00727033">
              <w:rPr>
                <w:noProof/>
                <w:webHidden/>
              </w:rPr>
              <w:t>316</w:t>
            </w:r>
            <w:r w:rsidR="00727033">
              <w:rPr>
                <w:noProof/>
                <w:webHidden/>
              </w:rPr>
              <w:fldChar w:fldCharType="end"/>
            </w:r>
          </w:hyperlink>
        </w:p>
        <w:p w14:paraId="6069FCCC" w14:textId="58515471" w:rsidR="00727033" w:rsidRDefault="00BD7B40">
          <w:pPr>
            <w:pStyle w:val="TOC2"/>
            <w:tabs>
              <w:tab w:val="right" w:leader="dot" w:pos="8302"/>
            </w:tabs>
            <w:rPr>
              <w:rFonts w:eastAsiaTheme="minorEastAsia" w:cstheme="minorBidi"/>
              <w:b w:val="0"/>
              <w:noProof/>
            </w:rPr>
          </w:pPr>
          <w:hyperlink w:anchor="_Toc60235844" w:history="1">
            <w:r w:rsidR="00727033" w:rsidRPr="00CF090C">
              <w:rPr>
                <w:rStyle w:val="Hyperlink"/>
                <w:noProof/>
              </w:rPr>
              <w:t>4.5.1 Overview of sentence Reduction and its provisions.</w:t>
            </w:r>
            <w:r w:rsidR="00727033">
              <w:rPr>
                <w:noProof/>
                <w:webHidden/>
              </w:rPr>
              <w:tab/>
            </w:r>
            <w:r w:rsidR="00727033">
              <w:rPr>
                <w:noProof/>
                <w:webHidden/>
              </w:rPr>
              <w:fldChar w:fldCharType="begin"/>
            </w:r>
            <w:r w:rsidR="00727033">
              <w:rPr>
                <w:noProof/>
                <w:webHidden/>
              </w:rPr>
              <w:instrText xml:space="preserve"> PAGEREF _Toc60235844 \h </w:instrText>
            </w:r>
            <w:r w:rsidR="00727033">
              <w:rPr>
                <w:noProof/>
                <w:webHidden/>
              </w:rPr>
            </w:r>
            <w:r w:rsidR="00727033">
              <w:rPr>
                <w:noProof/>
                <w:webHidden/>
              </w:rPr>
              <w:fldChar w:fldCharType="separate"/>
            </w:r>
            <w:r w:rsidR="00727033">
              <w:rPr>
                <w:noProof/>
                <w:webHidden/>
              </w:rPr>
              <w:t>316</w:t>
            </w:r>
            <w:r w:rsidR="00727033">
              <w:rPr>
                <w:noProof/>
                <w:webHidden/>
              </w:rPr>
              <w:fldChar w:fldCharType="end"/>
            </w:r>
          </w:hyperlink>
        </w:p>
        <w:p w14:paraId="5D13F759" w14:textId="6C7EBA0A" w:rsidR="00727033" w:rsidRDefault="00BD7B40">
          <w:pPr>
            <w:pStyle w:val="TOC2"/>
            <w:tabs>
              <w:tab w:val="right" w:leader="dot" w:pos="8302"/>
            </w:tabs>
            <w:rPr>
              <w:rFonts w:eastAsiaTheme="minorEastAsia" w:cstheme="minorBidi"/>
              <w:b w:val="0"/>
              <w:noProof/>
            </w:rPr>
          </w:pPr>
          <w:hyperlink w:anchor="_Toc60235845" w:history="1">
            <w:r w:rsidR="00727033" w:rsidRPr="00CF090C">
              <w:rPr>
                <w:rStyle w:val="Hyperlink"/>
                <w:noProof/>
              </w:rPr>
              <w:t>4.5.2 Preliminary issue: request to postpone the second review.</w:t>
            </w:r>
            <w:r w:rsidR="00727033">
              <w:rPr>
                <w:noProof/>
                <w:webHidden/>
              </w:rPr>
              <w:tab/>
            </w:r>
            <w:r w:rsidR="00727033">
              <w:rPr>
                <w:noProof/>
                <w:webHidden/>
              </w:rPr>
              <w:fldChar w:fldCharType="begin"/>
            </w:r>
            <w:r w:rsidR="00727033">
              <w:rPr>
                <w:noProof/>
                <w:webHidden/>
              </w:rPr>
              <w:instrText xml:space="preserve"> PAGEREF _Toc60235845 \h </w:instrText>
            </w:r>
            <w:r w:rsidR="00727033">
              <w:rPr>
                <w:noProof/>
                <w:webHidden/>
              </w:rPr>
            </w:r>
            <w:r w:rsidR="00727033">
              <w:rPr>
                <w:noProof/>
                <w:webHidden/>
              </w:rPr>
              <w:fldChar w:fldCharType="separate"/>
            </w:r>
            <w:r w:rsidR="00727033">
              <w:rPr>
                <w:noProof/>
                <w:webHidden/>
              </w:rPr>
              <w:t>324</w:t>
            </w:r>
            <w:r w:rsidR="00727033">
              <w:rPr>
                <w:noProof/>
                <w:webHidden/>
              </w:rPr>
              <w:fldChar w:fldCharType="end"/>
            </w:r>
          </w:hyperlink>
        </w:p>
        <w:p w14:paraId="6204F7FB" w14:textId="516687F1" w:rsidR="00727033" w:rsidRDefault="00BD7B40">
          <w:pPr>
            <w:pStyle w:val="TOC2"/>
            <w:tabs>
              <w:tab w:val="right" w:leader="dot" w:pos="8302"/>
            </w:tabs>
            <w:rPr>
              <w:rFonts w:eastAsiaTheme="minorEastAsia" w:cstheme="minorBidi"/>
              <w:b w:val="0"/>
              <w:noProof/>
            </w:rPr>
          </w:pPr>
          <w:hyperlink w:anchor="_Toc60235846" w:history="1">
            <w:r w:rsidR="00727033" w:rsidRPr="00CF090C">
              <w:rPr>
                <w:rStyle w:val="Hyperlink"/>
                <w:noProof/>
              </w:rPr>
              <w:t>4.5.3 The second review for reduction of sentence.</w:t>
            </w:r>
            <w:r w:rsidR="00727033">
              <w:rPr>
                <w:noProof/>
                <w:webHidden/>
              </w:rPr>
              <w:tab/>
            </w:r>
            <w:r w:rsidR="00727033">
              <w:rPr>
                <w:noProof/>
                <w:webHidden/>
              </w:rPr>
              <w:fldChar w:fldCharType="begin"/>
            </w:r>
            <w:r w:rsidR="00727033">
              <w:rPr>
                <w:noProof/>
                <w:webHidden/>
              </w:rPr>
              <w:instrText xml:space="preserve"> PAGEREF _Toc60235846 \h </w:instrText>
            </w:r>
            <w:r w:rsidR="00727033">
              <w:rPr>
                <w:noProof/>
                <w:webHidden/>
              </w:rPr>
            </w:r>
            <w:r w:rsidR="00727033">
              <w:rPr>
                <w:noProof/>
                <w:webHidden/>
              </w:rPr>
              <w:fldChar w:fldCharType="separate"/>
            </w:r>
            <w:r w:rsidR="00727033">
              <w:rPr>
                <w:noProof/>
                <w:webHidden/>
              </w:rPr>
              <w:t>327</w:t>
            </w:r>
            <w:r w:rsidR="00727033">
              <w:rPr>
                <w:noProof/>
                <w:webHidden/>
              </w:rPr>
              <w:fldChar w:fldCharType="end"/>
            </w:r>
          </w:hyperlink>
        </w:p>
        <w:p w14:paraId="73AA528A" w14:textId="1C7F8BB1" w:rsidR="00727033" w:rsidRDefault="00BD7B40">
          <w:pPr>
            <w:pStyle w:val="TOC1"/>
            <w:tabs>
              <w:tab w:val="right" w:leader="dot" w:pos="8302"/>
            </w:tabs>
            <w:rPr>
              <w:rFonts w:eastAsiaTheme="minorEastAsia" w:cstheme="minorBidi"/>
              <w:b w:val="0"/>
              <w:noProof/>
              <w:sz w:val="22"/>
              <w:szCs w:val="22"/>
            </w:rPr>
          </w:pPr>
          <w:hyperlink w:anchor="_Toc60235847" w:history="1">
            <w:r w:rsidR="00727033" w:rsidRPr="00CF090C">
              <w:rPr>
                <w:rStyle w:val="Hyperlink"/>
                <w:noProof/>
              </w:rPr>
              <w:t>4.6.0 Discussing findings.</w:t>
            </w:r>
            <w:r w:rsidR="00727033">
              <w:rPr>
                <w:noProof/>
                <w:webHidden/>
              </w:rPr>
              <w:tab/>
            </w:r>
            <w:r w:rsidR="00727033">
              <w:rPr>
                <w:noProof/>
                <w:webHidden/>
              </w:rPr>
              <w:fldChar w:fldCharType="begin"/>
            </w:r>
            <w:r w:rsidR="00727033">
              <w:rPr>
                <w:noProof/>
                <w:webHidden/>
              </w:rPr>
              <w:instrText xml:space="preserve"> PAGEREF _Toc60235847 \h </w:instrText>
            </w:r>
            <w:r w:rsidR="00727033">
              <w:rPr>
                <w:noProof/>
                <w:webHidden/>
              </w:rPr>
            </w:r>
            <w:r w:rsidR="00727033">
              <w:rPr>
                <w:noProof/>
                <w:webHidden/>
              </w:rPr>
              <w:fldChar w:fldCharType="separate"/>
            </w:r>
            <w:r w:rsidR="00727033">
              <w:rPr>
                <w:noProof/>
                <w:webHidden/>
              </w:rPr>
              <w:t>330</w:t>
            </w:r>
            <w:r w:rsidR="00727033">
              <w:rPr>
                <w:noProof/>
                <w:webHidden/>
              </w:rPr>
              <w:fldChar w:fldCharType="end"/>
            </w:r>
          </w:hyperlink>
        </w:p>
        <w:p w14:paraId="682D69B9" w14:textId="036E3DCC" w:rsidR="00727033" w:rsidRDefault="00BD7B40">
          <w:pPr>
            <w:pStyle w:val="TOC1"/>
            <w:tabs>
              <w:tab w:val="right" w:leader="dot" w:pos="8302"/>
            </w:tabs>
            <w:rPr>
              <w:rFonts w:eastAsiaTheme="minorEastAsia" w:cstheme="minorBidi"/>
              <w:b w:val="0"/>
              <w:noProof/>
              <w:sz w:val="22"/>
              <w:szCs w:val="22"/>
            </w:rPr>
          </w:pPr>
          <w:hyperlink w:anchor="_Toc60235848" w:history="1">
            <w:r w:rsidR="00727033" w:rsidRPr="00CF090C">
              <w:rPr>
                <w:rStyle w:val="Hyperlink"/>
                <w:noProof/>
              </w:rPr>
              <w:t>4.7.0</w:t>
            </w:r>
            <w:r w:rsidR="00F817EB">
              <w:rPr>
                <w:rStyle w:val="Hyperlink"/>
                <w:noProof/>
              </w:rPr>
              <w:t xml:space="preserve"> </w:t>
            </w:r>
            <w:r w:rsidR="00727033" w:rsidRPr="00CF090C">
              <w:rPr>
                <w:rStyle w:val="Hyperlink"/>
                <w:noProof/>
              </w:rPr>
              <w:t>Victims’role in sentencing: The Prosecutor v.Katanga.</w:t>
            </w:r>
            <w:r w:rsidR="00727033">
              <w:rPr>
                <w:noProof/>
                <w:webHidden/>
              </w:rPr>
              <w:tab/>
            </w:r>
            <w:r w:rsidR="00727033">
              <w:rPr>
                <w:noProof/>
                <w:webHidden/>
              </w:rPr>
              <w:fldChar w:fldCharType="begin"/>
            </w:r>
            <w:r w:rsidR="00727033">
              <w:rPr>
                <w:noProof/>
                <w:webHidden/>
              </w:rPr>
              <w:instrText xml:space="preserve"> PAGEREF _Toc60235848 \h </w:instrText>
            </w:r>
            <w:r w:rsidR="00727033">
              <w:rPr>
                <w:noProof/>
                <w:webHidden/>
              </w:rPr>
            </w:r>
            <w:r w:rsidR="00727033">
              <w:rPr>
                <w:noProof/>
                <w:webHidden/>
              </w:rPr>
              <w:fldChar w:fldCharType="separate"/>
            </w:r>
            <w:r w:rsidR="00727033">
              <w:rPr>
                <w:noProof/>
                <w:webHidden/>
              </w:rPr>
              <w:t>342</w:t>
            </w:r>
            <w:r w:rsidR="00727033">
              <w:rPr>
                <w:noProof/>
                <w:webHidden/>
              </w:rPr>
              <w:fldChar w:fldCharType="end"/>
            </w:r>
          </w:hyperlink>
        </w:p>
        <w:p w14:paraId="313DC622" w14:textId="50A9A1F5" w:rsidR="00727033" w:rsidRDefault="00BD7B40">
          <w:pPr>
            <w:pStyle w:val="TOC2"/>
            <w:tabs>
              <w:tab w:val="right" w:leader="dot" w:pos="8302"/>
            </w:tabs>
            <w:rPr>
              <w:rFonts w:eastAsiaTheme="minorEastAsia" w:cstheme="minorBidi"/>
              <w:b w:val="0"/>
              <w:noProof/>
            </w:rPr>
          </w:pPr>
          <w:hyperlink w:anchor="_Toc60235849" w:history="1">
            <w:r w:rsidR="00727033" w:rsidRPr="00CF090C">
              <w:rPr>
                <w:rStyle w:val="Hyperlink"/>
                <w:noProof/>
              </w:rPr>
              <w:t>4.7.1.Overview.</w:t>
            </w:r>
            <w:r w:rsidR="00727033">
              <w:rPr>
                <w:noProof/>
                <w:webHidden/>
              </w:rPr>
              <w:tab/>
            </w:r>
            <w:r w:rsidR="00727033">
              <w:rPr>
                <w:noProof/>
                <w:webHidden/>
              </w:rPr>
              <w:fldChar w:fldCharType="begin"/>
            </w:r>
            <w:r w:rsidR="00727033">
              <w:rPr>
                <w:noProof/>
                <w:webHidden/>
              </w:rPr>
              <w:instrText xml:space="preserve"> PAGEREF _Toc60235849 \h </w:instrText>
            </w:r>
            <w:r w:rsidR="00727033">
              <w:rPr>
                <w:noProof/>
                <w:webHidden/>
              </w:rPr>
            </w:r>
            <w:r w:rsidR="00727033">
              <w:rPr>
                <w:noProof/>
                <w:webHidden/>
              </w:rPr>
              <w:fldChar w:fldCharType="separate"/>
            </w:r>
            <w:r w:rsidR="00727033">
              <w:rPr>
                <w:noProof/>
                <w:webHidden/>
              </w:rPr>
              <w:t>343</w:t>
            </w:r>
            <w:r w:rsidR="00727033">
              <w:rPr>
                <w:noProof/>
                <w:webHidden/>
              </w:rPr>
              <w:fldChar w:fldCharType="end"/>
            </w:r>
          </w:hyperlink>
        </w:p>
        <w:p w14:paraId="29E6DDB8" w14:textId="43CC8D02" w:rsidR="00727033" w:rsidRDefault="00BD7B40">
          <w:pPr>
            <w:pStyle w:val="TOC2"/>
            <w:tabs>
              <w:tab w:val="right" w:leader="dot" w:pos="8302"/>
            </w:tabs>
            <w:rPr>
              <w:rFonts w:eastAsiaTheme="minorEastAsia" w:cstheme="minorBidi"/>
              <w:b w:val="0"/>
              <w:noProof/>
            </w:rPr>
          </w:pPr>
          <w:hyperlink w:anchor="_Toc60235850" w:history="1">
            <w:r w:rsidR="00727033" w:rsidRPr="00CF090C">
              <w:rPr>
                <w:rStyle w:val="Hyperlink"/>
                <w:noProof/>
              </w:rPr>
              <w:t>4.7.2 Gravity of the crimes committed</w:t>
            </w:r>
            <w:r w:rsidR="00727033">
              <w:rPr>
                <w:noProof/>
                <w:webHidden/>
              </w:rPr>
              <w:tab/>
            </w:r>
            <w:r w:rsidR="00727033">
              <w:rPr>
                <w:noProof/>
                <w:webHidden/>
              </w:rPr>
              <w:fldChar w:fldCharType="begin"/>
            </w:r>
            <w:r w:rsidR="00727033">
              <w:rPr>
                <w:noProof/>
                <w:webHidden/>
              </w:rPr>
              <w:instrText xml:space="preserve"> PAGEREF _Toc60235850 \h </w:instrText>
            </w:r>
            <w:r w:rsidR="00727033">
              <w:rPr>
                <w:noProof/>
                <w:webHidden/>
              </w:rPr>
            </w:r>
            <w:r w:rsidR="00727033">
              <w:rPr>
                <w:noProof/>
                <w:webHidden/>
              </w:rPr>
              <w:fldChar w:fldCharType="separate"/>
            </w:r>
            <w:r w:rsidR="00727033">
              <w:rPr>
                <w:noProof/>
                <w:webHidden/>
              </w:rPr>
              <w:t>346</w:t>
            </w:r>
            <w:r w:rsidR="00727033">
              <w:rPr>
                <w:noProof/>
                <w:webHidden/>
              </w:rPr>
              <w:fldChar w:fldCharType="end"/>
            </w:r>
          </w:hyperlink>
        </w:p>
        <w:p w14:paraId="18D4ADBE" w14:textId="01BD44F6" w:rsidR="00727033" w:rsidRDefault="00BD7B40">
          <w:pPr>
            <w:pStyle w:val="TOC2"/>
            <w:tabs>
              <w:tab w:val="right" w:leader="dot" w:pos="8302"/>
            </w:tabs>
            <w:rPr>
              <w:rFonts w:eastAsiaTheme="minorEastAsia" w:cstheme="minorBidi"/>
              <w:b w:val="0"/>
              <w:noProof/>
            </w:rPr>
          </w:pPr>
          <w:hyperlink w:anchor="_Toc60235851" w:history="1">
            <w:r w:rsidR="00727033" w:rsidRPr="00CF090C">
              <w:rPr>
                <w:rStyle w:val="Hyperlink"/>
                <w:noProof/>
              </w:rPr>
              <w:t>4.7.3 Aggravating circumstances</w:t>
            </w:r>
            <w:r w:rsidR="00727033">
              <w:rPr>
                <w:noProof/>
                <w:webHidden/>
              </w:rPr>
              <w:tab/>
            </w:r>
            <w:r w:rsidR="00727033">
              <w:rPr>
                <w:noProof/>
                <w:webHidden/>
              </w:rPr>
              <w:fldChar w:fldCharType="begin"/>
            </w:r>
            <w:r w:rsidR="00727033">
              <w:rPr>
                <w:noProof/>
                <w:webHidden/>
              </w:rPr>
              <w:instrText xml:space="preserve"> PAGEREF _Toc60235851 \h </w:instrText>
            </w:r>
            <w:r w:rsidR="00727033">
              <w:rPr>
                <w:noProof/>
                <w:webHidden/>
              </w:rPr>
            </w:r>
            <w:r w:rsidR="00727033">
              <w:rPr>
                <w:noProof/>
                <w:webHidden/>
              </w:rPr>
              <w:fldChar w:fldCharType="separate"/>
            </w:r>
            <w:r w:rsidR="00727033">
              <w:rPr>
                <w:noProof/>
                <w:webHidden/>
              </w:rPr>
              <w:t>347</w:t>
            </w:r>
            <w:r w:rsidR="00727033">
              <w:rPr>
                <w:noProof/>
                <w:webHidden/>
              </w:rPr>
              <w:fldChar w:fldCharType="end"/>
            </w:r>
          </w:hyperlink>
        </w:p>
        <w:p w14:paraId="321A19F5" w14:textId="066DDB7C" w:rsidR="00727033" w:rsidRDefault="00BD7B40">
          <w:pPr>
            <w:pStyle w:val="TOC2"/>
            <w:tabs>
              <w:tab w:val="right" w:leader="dot" w:pos="8302"/>
            </w:tabs>
            <w:rPr>
              <w:rFonts w:eastAsiaTheme="minorEastAsia" w:cstheme="minorBidi"/>
              <w:b w:val="0"/>
              <w:noProof/>
            </w:rPr>
          </w:pPr>
          <w:hyperlink w:anchor="_Toc60235852" w:history="1">
            <w:r w:rsidR="00727033" w:rsidRPr="00CF090C">
              <w:rPr>
                <w:rStyle w:val="Hyperlink"/>
                <w:noProof/>
              </w:rPr>
              <w:t>4.7.4 Mitigating circumstances</w:t>
            </w:r>
            <w:r w:rsidR="00727033">
              <w:rPr>
                <w:noProof/>
                <w:webHidden/>
              </w:rPr>
              <w:tab/>
            </w:r>
            <w:r w:rsidR="00727033">
              <w:rPr>
                <w:noProof/>
                <w:webHidden/>
              </w:rPr>
              <w:fldChar w:fldCharType="begin"/>
            </w:r>
            <w:r w:rsidR="00727033">
              <w:rPr>
                <w:noProof/>
                <w:webHidden/>
              </w:rPr>
              <w:instrText xml:space="preserve"> PAGEREF _Toc60235852 \h </w:instrText>
            </w:r>
            <w:r w:rsidR="00727033">
              <w:rPr>
                <w:noProof/>
                <w:webHidden/>
              </w:rPr>
            </w:r>
            <w:r w:rsidR="00727033">
              <w:rPr>
                <w:noProof/>
                <w:webHidden/>
              </w:rPr>
              <w:fldChar w:fldCharType="separate"/>
            </w:r>
            <w:r w:rsidR="00727033">
              <w:rPr>
                <w:noProof/>
                <w:webHidden/>
              </w:rPr>
              <w:t>348</w:t>
            </w:r>
            <w:r w:rsidR="00727033">
              <w:rPr>
                <w:noProof/>
                <w:webHidden/>
              </w:rPr>
              <w:fldChar w:fldCharType="end"/>
            </w:r>
          </w:hyperlink>
        </w:p>
        <w:p w14:paraId="2E628DDE" w14:textId="51C78695" w:rsidR="00727033" w:rsidRDefault="00BD7B40">
          <w:pPr>
            <w:pStyle w:val="TOC1"/>
            <w:tabs>
              <w:tab w:val="right" w:leader="dot" w:pos="8302"/>
            </w:tabs>
            <w:rPr>
              <w:rFonts w:eastAsiaTheme="minorEastAsia" w:cstheme="minorBidi"/>
              <w:b w:val="0"/>
              <w:noProof/>
              <w:sz w:val="22"/>
              <w:szCs w:val="22"/>
            </w:rPr>
          </w:pPr>
          <w:hyperlink w:anchor="_Toc60235853" w:history="1">
            <w:r w:rsidR="00727033" w:rsidRPr="00CF090C">
              <w:rPr>
                <w:rStyle w:val="Hyperlink"/>
                <w:noProof/>
              </w:rPr>
              <w:t>4.7.5. Katanga case: Victims role in sentencing</w:t>
            </w:r>
            <w:r w:rsidR="00727033">
              <w:rPr>
                <w:noProof/>
                <w:webHidden/>
              </w:rPr>
              <w:tab/>
            </w:r>
            <w:r w:rsidR="00727033">
              <w:rPr>
                <w:noProof/>
                <w:webHidden/>
              </w:rPr>
              <w:fldChar w:fldCharType="begin"/>
            </w:r>
            <w:r w:rsidR="00727033">
              <w:rPr>
                <w:noProof/>
                <w:webHidden/>
              </w:rPr>
              <w:instrText xml:space="preserve"> PAGEREF _Toc60235853 \h </w:instrText>
            </w:r>
            <w:r w:rsidR="00727033">
              <w:rPr>
                <w:noProof/>
                <w:webHidden/>
              </w:rPr>
            </w:r>
            <w:r w:rsidR="00727033">
              <w:rPr>
                <w:noProof/>
                <w:webHidden/>
              </w:rPr>
              <w:fldChar w:fldCharType="separate"/>
            </w:r>
            <w:r w:rsidR="00727033">
              <w:rPr>
                <w:noProof/>
                <w:webHidden/>
              </w:rPr>
              <w:t>350</w:t>
            </w:r>
            <w:r w:rsidR="00727033">
              <w:rPr>
                <w:noProof/>
                <w:webHidden/>
              </w:rPr>
              <w:fldChar w:fldCharType="end"/>
            </w:r>
          </w:hyperlink>
        </w:p>
        <w:p w14:paraId="15E94A87" w14:textId="7E2BDC99" w:rsidR="00727033" w:rsidRDefault="00BD7B40">
          <w:pPr>
            <w:pStyle w:val="TOC2"/>
            <w:tabs>
              <w:tab w:val="right" w:leader="dot" w:pos="8302"/>
            </w:tabs>
            <w:rPr>
              <w:rFonts w:eastAsiaTheme="minorEastAsia" w:cstheme="minorBidi"/>
              <w:b w:val="0"/>
              <w:noProof/>
            </w:rPr>
          </w:pPr>
          <w:hyperlink w:anchor="_Toc60235854" w:history="1">
            <w:r w:rsidR="00727033" w:rsidRPr="00CF090C">
              <w:rPr>
                <w:rStyle w:val="Hyperlink"/>
                <w:noProof/>
              </w:rPr>
              <w:t>4.7.6.</w:t>
            </w:r>
            <w:r w:rsidR="00F817EB">
              <w:rPr>
                <w:rStyle w:val="Hyperlink"/>
                <w:noProof/>
              </w:rPr>
              <w:t xml:space="preserve"> </w:t>
            </w:r>
            <w:r w:rsidR="00727033" w:rsidRPr="00CF090C">
              <w:rPr>
                <w:rStyle w:val="Hyperlink"/>
                <w:noProof/>
              </w:rPr>
              <w:t>Review on sentence reduction-Katanga case</w:t>
            </w:r>
            <w:r w:rsidR="00727033">
              <w:rPr>
                <w:noProof/>
                <w:webHidden/>
              </w:rPr>
              <w:tab/>
            </w:r>
            <w:r w:rsidR="00727033">
              <w:rPr>
                <w:noProof/>
                <w:webHidden/>
              </w:rPr>
              <w:fldChar w:fldCharType="begin"/>
            </w:r>
            <w:r w:rsidR="00727033">
              <w:rPr>
                <w:noProof/>
                <w:webHidden/>
              </w:rPr>
              <w:instrText xml:space="preserve"> PAGEREF _Toc60235854 \h </w:instrText>
            </w:r>
            <w:r w:rsidR="00727033">
              <w:rPr>
                <w:noProof/>
                <w:webHidden/>
              </w:rPr>
            </w:r>
            <w:r w:rsidR="00727033">
              <w:rPr>
                <w:noProof/>
                <w:webHidden/>
              </w:rPr>
              <w:fldChar w:fldCharType="separate"/>
            </w:r>
            <w:r w:rsidR="00727033">
              <w:rPr>
                <w:noProof/>
                <w:webHidden/>
              </w:rPr>
              <w:t>355</w:t>
            </w:r>
            <w:r w:rsidR="00727033">
              <w:rPr>
                <w:noProof/>
                <w:webHidden/>
              </w:rPr>
              <w:fldChar w:fldCharType="end"/>
            </w:r>
          </w:hyperlink>
        </w:p>
        <w:p w14:paraId="31DCDE75" w14:textId="374571CF" w:rsidR="00727033" w:rsidRDefault="00BD7B40">
          <w:pPr>
            <w:pStyle w:val="TOC2"/>
            <w:tabs>
              <w:tab w:val="right" w:leader="dot" w:pos="8302"/>
            </w:tabs>
            <w:rPr>
              <w:rFonts w:eastAsiaTheme="minorEastAsia" w:cstheme="minorBidi"/>
              <w:b w:val="0"/>
              <w:noProof/>
            </w:rPr>
          </w:pPr>
          <w:hyperlink w:anchor="_Toc60235855" w:history="1">
            <w:r w:rsidR="00727033" w:rsidRPr="00CF090C">
              <w:rPr>
                <w:rStyle w:val="Hyperlink"/>
                <w:noProof/>
              </w:rPr>
              <w:t>4.7.7</w:t>
            </w:r>
            <w:r w:rsidR="00F817EB">
              <w:rPr>
                <w:rStyle w:val="Hyperlink"/>
                <w:noProof/>
              </w:rPr>
              <w:t xml:space="preserve"> </w:t>
            </w:r>
            <w:r w:rsidR="00727033" w:rsidRPr="00CF090C">
              <w:rPr>
                <w:rStyle w:val="Hyperlink"/>
                <w:noProof/>
              </w:rPr>
              <w:t>Discussing findings.</w:t>
            </w:r>
            <w:r w:rsidR="00727033">
              <w:rPr>
                <w:noProof/>
                <w:webHidden/>
              </w:rPr>
              <w:tab/>
            </w:r>
            <w:r w:rsidR="00727033">
              <w:rPr>
                <w:noProof/>
                <w:webHidden/>
              </w:rPr>
              <w:fldChar w:fldCharType="begin"/>
            </w:r>
            <w:r w:rsidR="00727033">
              <w:rPr>
                <w:noProof/>
                <w:webHidden/>
              </w:rPr>
              <w:instrText xml:space="preserve"> PAGEREF _Toc60235855 \h </w:instrText>
            </w:r>
            <w:r w:rsidR="00727033">
              <w:rPr>
                <w:noProof/>
                <w:webHidden/>
              </w:rPr>
            </w:r>
            <w:r w:rsidR="00727033">
              <w:rPr>
                <w:noProof/>
                <w:webHidden/>
              </w:rPr>
              <w:fldChar w:fldCharType="separate"/>
            </w:r>
            <w:r w:rsidR="00727033">
              <w:rPr>
                <w:noProof/>
                <w:webHidden/>
              </w:rPr>
              <w:t>363</w:t>
            </w:r>
            <w:r w:rsidR="00727033">
              <w:rPr>
                <w:noProof/>
                <w:webHidden/>
              </w:rPr>
              <w:fldChar w:fldCharType="end"/>
            </w:r>
          </w:hyperlink>
        </w:p>
        <w:p w14:paraId="014EF7F0" w14:textId="4E65C93B" w:rsidR="00727033" w:rsidRDefault="00BD7B40">
          <w:pPr>
            <w:pStyle w:val="TOC2"/>
            <w:tabs>
              <w:tab w:val="right" w:leader="dot" w:pos="8302"/>
            </w:tabs>
            <w:rPr>
              <w:rFonts w:eastAsiaTheme="minorEastAsia" w:cstheme="minorBidi"/>
              <w:b w:val="0"/>
              <w:noProof/>
            </w:rPr>
          </w:pPr>
          <w:hyperlink w:anchor="_Toc60235856" w:history="1">
            <w:r w:rsidR="00727033" w:rsidRPr="00CF090C">
              <w:rPr>
                <w:rStyle w:val="Hyperlink"/>
                <w:noProof/>
              </w:rPr>
              <w:t>4.7.8 Procedural and Restorative justice: A viable way to enhance victims' impact on the sentencing outcome?</w:t>
            </w:r>
            <w:r w:rsidR="00727033">
              <w:rPr>
                <w:noProof/>
                <w:webHidden/>
              </w:rPr>
              <w:tab/>
            </w:r>
            <w:r w:rsidR="00727033">
              <w:rPr>
                <w:noProof/>
                <w:webHidden/>
              </w:rPr>
              <w:fldChar w:fldCharType="begin"/>
            </w:r>
            <w:r w:rsidR="00727033">
              <w:rPr>
                <w:noProof/>
                <w:webHidden/>
              </w:rPr>
              <w:instrText xml:space="preserve"> PAGEREF _Toc60235856 \h </w:instrText>
            </w:r>
            <w:r w:rsidR="00727033">
              <w:rPr>
                <w:noProof/>
                <w:webHidden/>
              </w:rPr>
            </w:r>
            <w:r w:rsidR="00727033">
              <w:rPr>
                <w:noProof/>
                <w:webHidden/>
              </w:rPr>
              <w:fldChar w:fldCharType="separate"/>
            </w:r>
            <w:r w:rsidR="00727033">
              <w:rPr>
                <w:noProof/>
                <w:webHidden/>
              </w:rPr>
              <w:t>371</w:t>
            </w:r>
            <w:r w:rsidR="00727033">
              <w:rPr>
                <w:noProof/>
                <w:webHidden/>
              </w:rPr>
              <w:fldChar w:fldCharType="end"/>
            </w:r>
          </w:hyperlink>
        </w:p>
        <w:p w14:paraId="4D8A65F6" w14:textId="737E2072" w:rsidR="00727033" w:rsidRDefault="00BD7B40">
          <w:pPr>
            <w:pStyle w:val="TOC3"/>
            <w:tabs>
              <w:tab w:val="right" w:leader="dot" w:pos="8302"/>
            </w:tabs>
            <w:rPr>
              <w:rFonts w:eastAsiaTheme="minorEastAsia" w:cstheme="minorBidi"/>
              <w:noProof/>
            </w:rPr>
          </w:pPr>
          <w:hyperlink w:anchor="_Toc60235857" w:history="1">
            <w:r w:rsidR="00727033" w:rsidRPr="00CF090C">
              <w:rPr>
                <w:rStyle w:val="Hyperlink"/>
                <w:noProof/>
              </w:rPr>
              <w:t>4.7.8.1. Encounter</w:t>
            </w:r>
            <w:r w:rsidR="00727033">
              <w:rPr>
                <w:noProof/>
                <w:webHidden/>
              </w:rPr>
              <w:tab/>
            </w:r>
            <w:r w:rsidR="00727033">
              <w:rPr>
                <w:noProof/>
                <w:webHidden/>
              </w:rPr>
              <w:fldChar w:fldCharType="begin"/>
            </w:r>
            <w:r w:rsidR="00727033">
              <w:rPr>
                <w:noProof/>
                <w:webHidden/>
              </w:rPr>
              <w:instrText xml:space="preserve"> PAGEREF _Toc60235857 \h </w:instrText>
            </w:r>
            <w:r w:rsidR="00727033">
              <w:rPr>
                <w:noProof/>
                <w:webHidden/>
              </w:rPr>
            </w:r>
            <w:r w:rsidR="00727033">
              <w:rPr>
                <w:noProof/>
                <w:webHidden/>
              </w:rPr>
              <w:fldChar w:fldCharType="separate"/>
            </w:r>
            <w:r w:rsidR="00727033">
              <w:rPr>
                <w:noProof/>
                <w:webHidden/>
              </w:rPr>
              <w:t>379</w:t>
            </w:r>
            <w:r w:rsidR="00727033">
              <w:rPr>
                <w:noProof/>
                <w:webHidden/>
              </w:rPr>
              <w:fldChar w:fldCharType="end"/>
            </w:r>
          </w:hyperlink>
        </w:p>
        <w:p w14:paraId="51767BEA" w14:textId="58ECEB7D" w:rsidR="00727033" w:rsidRDefault="00BD7B40">
          <w:pPr>
            <w:pStyle w:val="TOC3"/>
            <w:tabs>
              <w:tab w:val="right" w:leader="dot" w:pos="8302"/>
            </w:tabs>
            <w:rPr>
              <w:rFonts w:eastAsiaTheme="minorEastAsia" w:cstheme="minorBidi"/>
              <w:noProof/>
            </w:rPr>
          </w:pPr>
          <w:hyperlink w:anchor="_Toc60235858" w:history="1">
            <w:r w:rsidR="00727033" w:rsidRPr="00CF090C">
              <w:rPr>
                <w:rStyle w:val="Hyperlink"/>
                <w:noProof/>
              </w:rPr>
              <w:t>4.7.8.2 Amends</w:t>
            </w:r>
            <w:r w:rsidR="00727033">
              <w:rPr>
                <w:noProof/>
                <w:webHidden/>
              </w:rPr>
              <w:tab/>
            </w:r>
            <w:r w:rsidR="00727033">
              <w:rPr>
                <w:noProof/>
                <w:webHidden/>
              </w:rPr>
              <w:fldChar w:fldCharType="begin"/>
            </w:r>
            <w:r w:rsidR="00727033">
              <w:rPr>
                <w:noProof/>
                <w:webHidden/>
              </w:rPr>
              <w:instrText xml:space="preserve"> PAGEREF _Toc60235858 \h </w:instrText>
            </w:r>
            <w:r w:rsidR="00727033">
              <w:rPr>
                <w:noProof/>
                <w:webHidden/>
              </w:rPr>
            </w:r>
            <w:r w:rsidR="00727033">
              <w:rPr>
                <w:noProof/>
                <w:webHidden/>
              </w:rPr>
              <w:fldChar w:fldCharType="separate"/>
            </w:r>
            <w:r w:rsidR="00727033">
              <w:rPr>
                <w:noProof/>
                <w:webHidden/>
              </w:rPr>
              <w:t>381</w:t>
            </w:r>
            <w:r w:rsidR="00727033">
              <w:rPr>
                <w:noProof/>
                <w:webHidden/>
              </w:rPr>
              <w:fldChar w:fldCharType="end"/>
            </w:r>
          </w:hyperlink>
        </w:p>
        <w:p w14:paraId="497C9460" w14:textId="1520AD08" w:rsidR="00727033" w:rsidRDefault="00BD7B40">
          <w:pPr>
            <w:pStyle w:val="TOC3"/>
            <w:tabs>
              <w:tab w:val="right" w:leader="dot" w:pos="8302"/>
            </w:tabs>
            <w:rPr>
              <w:rFonts w:eastAsiaTheme="minorEastAsia" w:cstheme="minorBidi"/>
              <w:noProof/>
            </w:rPr>
          </w:pPr>
          <w:hyperlink w:anchor="_Toc60235859" w:history="1">
            <w:r w:rsidR="00727033" w:rsidRPr="00CF090C">
              <w:rPr>
                <w:rStyle w:val="Hyperlink"/>
                <w:noProof/>
              </w:rPr>
              <w:t>4.7.8.3. Re-integration</w:t>
            </w:r>
            <w:r w:rsidR="00727033">
              <w:rPr>
                <w:noProof/>
                <w:webHidden/>
              </w:rPr>
              <w:tab/>
            </w:r>
            <w:r w:rsidR="00727033">
              <w:rPr>
                <w:noProof/>
                <w:webHidden/>
              </w:rPr>
              <w:fldChar w:fldCharType="begin"/>
            </w:r>
            <w:r w:rsidR="00727033">
              <w:rPr>
                <w:noProof/>
                <w:webHidden/>
              </w:rPr>
              <w:instrText xml:space="preserve"> PAGEREF _Toc60235859 \h </w:instrText>
            </w:r>
            <w:r w:rsidR="00727033">
              <w:rPr>
                <w:noProof/>
                <w:webHidden/>
              </w:rPr>
            </w:r>
            <w:r w:rsidR="00727033">
              <w:rPr>
                <w:noProof/>
                <w:webHidden/>
              </w:rPr>
              <w:fldChar w:fldCharType="separate"/>
            </w:r>
            <w:r w:rsidR="00727033">
              <w:rPr>
                <w:noProof/>
                <w:webHidden/>
              </w:rPr>
              <w:t>385</w:t>
            </w:r>
            <w:r w:rsidR="00727033">
              <w:rPr>
                <w:noProof/>
                <w:webHidden/>
              </w:rPr>
              <w:fldChar w:fldCharType="end"/>
            </w:r>
          </w:hyperlink>
        </w:p>
        <w:p w14:paraId="4B5514F2" w14:textId="0486076E" w:rsidR="00727033" w:rsidRDefault="00BD7B40">
          <w:pPr>
            <w:pStyle w:val="TOC1"/>
            <w:tabs>
              <w:tab w:val="right" w:leader="dot" w:pos="8302"/>
            </w:tabs>
            <w:rPr>
              <w:rFonts w:eastAsiaTheme="minorEastAsia" w:cstheme="minorBidi"/>
              <w:b w:val="0"/>
              <w:noProof/>
              <w:sz w:val="22"/>
              <w:szCs w:val="22"/>
            </w:rPr>
          </w:pPr>
          <w:hyperlink w:anchor="_Toc60235860" w:history="1">
            <w:r w:rsidR="00727033" w:rsidRPr="00CF090C">
              <w:rPr>
                <w:rStyle w:val="Hyperlink"/>
                <w:noProof/>
              </w:rPr>
              <w:t>4.8. Conclusion</w:t>
            </w:r>
            <w:r w:rsidR="00727033">
              <w:rPr>
                <w:noProof/>
                <w:webHidden/>
              </w:rPr>
              <w:tab/>
            </w:r>
            <w:r w:rsidR="00727033">
              <w:rPr>
                <w:noProof/>
                <w:webHidden/>
              </w:rPr>
              <w:fldChar w:fldCharType="begin"/>
            </w:r>
            <w:r w:rsidR="00727033">
              <w:rPr>
                <w:noProof/>
                <w:webHidden/>
              </w:rPr>
              <w:instrText xml:space="preserve"> PAGEREF _Toc60235860 \h </w:instrText>
            </w:r>
            <w:r w:rsidR="00727033">
              <w:rPr>
                <w:noProof/>
                <w:webHidden/>
              </w:rPr>
            </w:r>
            <w:r w:rsidR="00727033">
              <w:rPr>
                <w:noProof/>
                <w:webHidden/>
              </w:rPr>
              <w:fldChar w:fldCharType="separate"/>
            </w:r>
            <w:r w:rsidR="00727033">
              <w:rPr>
                <w:noProof/>
                <w:webHidden/>
              </w:rPr>
              <w:t>389</w:t>
            </w:r>
            <w:r w:rsidR="00727033">
              <w:rPr>
                <w:noProof/>
                <w:webHidden/>
              </w:rPr>
              <w:fldChar w:fldCharType="end"/>
            </w:r>
          </w:hyperlink>
        </w:p>
        <w:p w14:paraId="1A115B3D" w14:textId="3DFE1E7B" w:rsidR="00727033" w:rsidRDefault="00BD7B40">
          <w:pPr>
            <w:pStyle w:val="TOC1"/>
            <w:tabs>
              <w:tab w:val="right" w:leader="dot" w:pos="8302"/>
            </w:tabs>
            <w:rPr>
              <w:rFonts w:eastAsiaTheme="minorEastAsia" w:cstheme="minorBidi"/>
              <w:b w:val="0"/>
              <w:noProof/>
              <w:sz w:val="22"/>
              <w:szCs w:val="22"/>
            </w:rPr>
          </w:pPr>
          <w:hyperlink w:anchor="_Toc60235861" w:history="1">
            <w:r w:rsidR="00727033" w:rsidRPr="00CF090C">
              <w:rPr>
                <w:rStyle w:val="Hyperlink"/>
                <w:noProof/>
              </w:rPr>
              <w:t>5.0 Chapter 5</w:t>
            </w:r>
            <w:r w:rsidR="00727033">
              <w:rPr>
                <w:noProof/>
                <w:webHidden/>
              </w:rPr>
              <w:tab/>
            </w:r>
            <w:r w:rsidR="00727033">
              <w:rPr>
                <w:noProof/>
                <w:webHidden/>
              </w:rPr>
              <w:fldChar w:fldCharType="begin"/>
            </w:r>
            <w:r w:rsidR="00727033">
              <w:rPr>
                <w:noProof/>
                <w:webHidden/>
              </w:rPr>
              <w:instrText xml:space="preserve"> PAGEREF _Toc60235861 \h </w:instrText>
            </w:r>
            <w:r w:rsidR="00727033">
              <w:rPr>
                <w:noProof/>
                <w:webHidden/>
              </w:rPr>
            </w:r>
            <w:r w:rsidR="00727033">
              <w:rPr>
                <w:noProof/>
                <w:webHidden/>
              </w:rPr>
              <w:fldChar w:fldCharType="separate"/>
            </w:r>
            <w:r w:rsidR="00727033">
              <w:rPr>
                <w:noProof/>
                <w:webHidden/>
              </w:rPr>
              <w:t>395</w:t>
            </w:r>
            <w:r w:rsidR="00727033">
              <w:rPr>
                <w:noProof/>
                <w:webHidden/>
              </w:rPr>
              <w:fldChar w:fldCharType="end"/>
            </w:r>
          </w:hyperlink>
        </w:p>
        <w:p w14:paraId="26E5E60A" w14:textId="1E5167B6" w:rsidR="00727033" w:rsidRDefault="00BD7B40">
          <w:pPr>
            <w:pStyle w:val="TOC2"/>
            <w:tabs>
              <w:tab w:val="right" w:leader="dot" w:pos="8302"/>
            </w:tabs>
            <w:rPr>
              <w:rFonts w:eastAsiaTheme="minorEastAsia" w:cstheme="minorBidi"/>
              <w:b w:val="0"/>
              <w:noProof/>
            </w:rPr>
          </w:pPr>
          <w:hyperlink w:anchor="_Toc60235862" w:history="1">
            <w:r w:rsidR="00727033" w:rsidRPr="00CF090C">
              <w:rPr>
                <w:rStyle w:val="Hyperlink"/>
                <w:rFonts w:eastAsia="Cambria"/>
                <w:noProof/>
                <w:lang w:eastAsia="ja-JP"/>
              </w:rPr>
              <w:t>5.1.Conclusion</w:t>
            </w:r>
            <w:r w:rsidR="00727033">
              <w:rPr>
                <w:noProof/>
                <w:webHidden/>
              </w:rPr>
              <w:tab/>
            </w:r>
            <w:r w:rsidR="00727033">
              <w:rPr>
                <w:noProof/>
                <w:webHidden/>
              </w:rPr>
              <w:fldChar w:fldCharType="begin"/>
            </w:r>
            <w:r w:rsidR="00727033">
              <w:rPr>
                <w:noProof/>
                <w:webHidden/>
              </w:rPr>
              <w:instrText xml:space="preserve"> PAGEREF _Toc60235862 \h </w:instrText>
            </w:r>
            <w:r w:rsidR="00727033">
              <w:rPr>
                <w:noProof/>
                <w:webHidden/>
              </w:rPr>
            </w:r>
            <w:r w:rsidR="00727033">
              <w:rPr>
                <w:noProof/>
                <w:webHidden/>
              </w:rPr>
              <w:fldChar w:fldCharType="separate"/>
            </w:r>
            <w:r w:rsidR="00727033">
              <w:rPr>
                <w:noProof/>
                <w:webHidden/>
              </w:rPr>
              <w:t>395</w:t>
            </w:r>
            <w:r w:rsidR="00727033">
              <w:rPr>
                <w:noProof/>
                <w:webHidden/>
              </w:rPr>
              <w:fldChar w:fldCharType="end"/>
            </w:r>
          </w:hyperlink>
        </w:p>
        <w:p w14:paraId="5CB6CDEB" w14:textId="65E1D818" w:rsidR="00727033" w:rsidRDefault="00BD7B40">
          <w:pPr>
            <w:pStyle w:val="TOC2"/>
            <w:tabs>
              <w:tab w:val="right" w:leader="dot" w:pos="8302"/>
            </w:tabs>
            <w:rPr>
              <w:rFonts w:eastAsiaTheme="minorEastAsia" w:cstheme="minorBidi"/>
              <w:b w:val="0"/>
              <w:noProof/>
            </w:rPr>
          </w:pPr>
          <w:hyperlink w:anchor="_Toc60235863" w:history="1">
            <w:r w:rsidR="00727033" w:rsidRPr="00CF090C">
              <w:rPr>
                <w:rStyle w:val="Hyperlink"/>
                <w:noProof/>
              </w:rPr>
              <w:t>5.2 Recommendation</w:t>
            </w:r>
            <w:r w:rsidR="00727033">
              <w:rPr>
                <w:noProof/>
                <w:webHidden/>
              </w:rPr>
              <w:tab/>
            </w:r>
            <w:r w:rsidR="00727033">
              <w:rPr>
                <w:noProof/>
                <w:webHidden/>
              </w:rPr>
              <w:fldChar w:fldCharType="begin"/>
            </w:r>
            <w:r w:rsidR="00727033">
              <w:rPr>
                <w:noProof/>
                <w:webHidden/>
              </w:rPr>
              <w:instrText xml:space="preserve"> PAGEREF _Toc60235863 \h </w:instrText>
            </w:r>
            <w:r w:rsidR="00727033">
              <w:rPr>
                <w:noProof/>
                <w:webHidden/>
              </w:rPr>
            </w:r>
            <w:r w:rsidR="00727033">
              <w:rPr>
                <w:noProof/>
                <w:webHidden/>
              </w:rPr>
              <w:fldChar w:fldCharType="separate"/>
            </w:r>
            <w:r w:rsidR="00727033">
              <w:rPr>
                <w:noProof/>
                <w:webHidden/>
              </w:rPr>
              <w:t>406</w:t>
            </w:r>
            <w:r w:rsidR="00727033">
              <w:rPr>
                <w:noProof/>
                <w:webHidden/>
              </w:rPr>
              <w:fldChar w:fldCharType="end"/>
            </w:r>
          </w:hyperlink>
        </w:p>
        <w:p w14:paraId="6C06AABA" w14:textId="2A0ECE14" w:rsidR="00727033" w:rsidRDefault="00BD7B40">
          <w:pPr>
            <w:pStyle w:val="TOC1"/>
            <w:tabs>
              <w:tab w:val="right" w:leader="dot" w:pos="8302"/>
            </w:tabs>
            <w:rPr>
              <w:rFonts w:eastAsiaTheme="minorEastAsia" w:cstheme="minorBidi"/>
              <w:b w:val="0"/>
              <w:noProof/>
              <w:sz w:val="22"/>
              <w:szCs w:val="22"/>
            </w:rPr>
          </w:pPr>
          <w:hyperlink w:anchor="_Toc60235864" w:history="1">
            <w:r w:rsidR="00727033" w:rsidRPr="00CF090C">
              <w:rPr>
                <w:rStyle w:val="Hyperlink"/>
                <w:noProof/>
              </w:rPr>
              <w:t>Bibliography</w:t>
            </w:r>
            <w:r w:rsidR="00727033">
              <w:rPr>
                <w:noProof/>
                <w:webHidden/>
              </w:rPr>
              <w:tab/>
            </w:r>
            <w:r w:rsidR="00727033">
              <w:rPr>
                <w:noProof/>
                <w:webHidden/>
              </w:rPr>
              <w:fldChar w:fldCharType="begin"/>
            </w:r>
            <w:r w:rsidR="00727033">
              <w:rPr>
                <w:noProof/>
                <w:webHidden/>
              </w:rPr>
              <w:instrText xml:space="preserve"> PAGEREF _Toc60235864 \h </w:instrText>
            </w:r>
            <w:r w:rsidR="00727033">
              <w:rPr>
                <w:noProof/>
                <w:webHidden/>
              </w:rPr>
            </w:r>
            <w:r w:rsidR="00727033">
              <w:rPr>
                <w:noProof/>
                <w:webHidden/>
              </w:rPr>
              <w:fldChar w:fldCharType="separate"/>
            </w:r>
            <w:r w:rsidR="00727033">
              <w:rPr>
                <w:noProof/>
                <w:webHidden/>
              </w:rPr>
              <w:t>411</w:t>
            </w:r>
            <w:r w:rsidR="00727033">
              <w:rPr>
                <w:noProof/>
                <w:webHidden/>
              </w:rPr>
              <w:fldChar w:fldCharType="end"/>
            </w:r>
          </w:hyperlink>
        </w:p>
        <w:p w14:paraId="56D09329" w14:textId="449CA9A2" w:rsidR="00727033" w:rsidRDefault="00BD7B40">
          <w:pPr>
            <w:pStyle w:val="TOC1"/>
            <w:tabs>
              <w:tab w:val="right" w:leader="dot" w:pos="8302"/>
            </w:tabs>
            <w:rPr>
              <w:rFonts w:eastAsiaTheme="minorEastAsia" w:cstheme="minorBidi"/>
              <w:b w:val="0"/>
              <w:noProof/>
              <w:sz w:val="22"/>
              <w:szCs w:val="22"/>
            </w:rPr>
          </w:pPr>
          <w:hyperlink w:anchor="_Toc60235865" w:history="1">
            <w:r w:rsidR="00727033" w:rsidRPr="00CF090C">
              <w:rPr>
                <w:rStyle w:val="Hyperlink"/>
                <w:noProof/>
              </w:rPr>
              <w:t>Appendix</w:t>
            </w:r>
            <w:r w:rsidR="00727033">
              <w:rPr>
                <w:noProof/>
                <w:webHidden/>
              </w:rPr>
              <w:tab/>
            </w:r>
            <w:r w:rsidR="00727033">
              <w:rPr>
                <w:noProof/>
                <w:webHidden/>
              </w:rPr>
              <w:fldChar w:fldCharType="begin"/>
            </w:r>
            <w:r w:rsidR="00727033">
              <w:rPr>
                <w:noProof/>
                <w:webHidden/>
              </w:rPr>
              <w:instrText xml:space="preserve"> PAGEREF _Toc60235865 \h </w:instrText>
            </w:r>
            <w:r w:rsidR="00727033">
              <w:rPr>
                <w:noProof/>
                <w:webHidden/>
              </w:rPr>
            </w:r>
            <w:r w:rsidR="00727033">
              <w:rPr>
                <w:noProof/>
                <w:webHidden/>
              </w:rPr>
              <w:fldChar w:fldCharType="separate"/>
            </w:r>
            <w:r w:rsidR="00727033">
              <w:rPr>
                <w:noProof/>
                <w:webHidden/>
              </w:rPr>
              <w:t>441</w:t>
            </w:r>
            <w:r w:rsidR="00727033">
              <w:rPr>
                <w:noProof/>
                <w:webHidden/>
              </w:rPr>
              <w:fldChar w:fldCharType="end"/>
            </w:r>
          </w:hyperlink>
        </w:p>
        <w:p w14:paraId="1AAA73D3" w14:textId="3D422558" w:rsidR="00727033" w:rsidRDefault="00BD7B40">
          <w:pPr>
            <w:pStyle w:val="TOC3"/>
            <w:tabs>
              <w:tab w:val="right" w:leader="dot" w:pos="8302"/>
            </w:tabs>
            <w:rPr>
              <w:rFonts w:eastAsiaTheme="minorEastAsia" w:cstheme="minorBidi"/>
              <w:noProof/>
            </w:rPr>
          </w:pPr>
          <w:hyperlink w:anchor="_Toc60235866" w:history="1">
            <w:r w:rsidR="00727033" w:rsidRPr="00CF090C">
              <w:rPr>
                <w:rStyle w:val="Hyperlink"/>
                <w:noProof/>
              </w:rPr>
              <w:t>Victims’ needs</w:t>
            </w:r>
            <w:r w:rsidR="00727033">
              <w:rPr>
                <w:noProof/>
                <w:webHidden/>
              </w:rPr>
              <w:tab/>
            </w:r>
            <w:r w:rsidR="00727033">
              <w:rPr>
                <w:noProof/>
                <w:webHidden/>
              </w:rPr>
              <w:fldChar w:fldCharType="begin"/>
            </w:r>
            <w:r w:rsidR="00727033">
              <w:rPr>
                <w:noProof/>
                <w:webHidden/>
              </w:rPr>
              <w:instrText xml:space="preserve"> PAGEREF _Toc60235866 \h </w:instrText>
            </w:r>
            <w:r w:rsidR="00727033">
              <w:rPr>
                <w:noProof/>
                <w:webHidden/>
              </w:rPr>
            </w:r>
            <w:r w:rsidR="00727033">
              <w:rPr>
                <w:noProof/>
                <w:webHidden/>
              </w:rPr>
              <w:fldChar w:fldCharType="separate"/>
            </w:r>
            <w:r w:rsidR="00727033">
              <w:rPr>
                <w:noProof/>
                <w:webHidden/>
              </w:rPr>
              <w:t>441</w:t>
            </w:r>
            <w:r w:rsidR="00727033">
              <w:rPr>
                <w:noProof/>
                <w:webHidden/>
              </w:rPr>
              <w:fldChar w:fldCharType="end"/>
            </w:r>
          </w:hyperlink>
        </w:p>
        <w:p w14:paraId="2AE6FD04" w14:textId="7F211B41" w:rsidR="00090102" w:rsidRDefault="00CC6776" w:rsidP="005725E4">
          <w:r>
            <w:rPr>
              <w:b/>
              <w:bCs/>
              <w:noProof/>
            </w:rPr>
            <w:fldChar w:fldCharType="end"/>
          </w:r>
        </w:p>
      </w:sdtContent>
    </w:sdt>
    <w:p w14:paraId="7A85564B" w14:textId="77777777" w:rsidR="00090102" w:rsidRDefault="00090102" w:rsidP="00090102">
      <w:pPr>
        <w:rPr>
          <w:rFonts w:cs="Arial"/>
          <w:color w:val="1F4E79" w:themeColor="accent1" w:themeShade="80"/>
          <w:kern w:val="32"/>
          <w:sz w:val="36"/>
          <w:szCs w:val="32"/>
        </w:rPr>
      </w:pPr>
      <w:r>
        <w:br w:type="page"/>
      </w:r>
    </w:p>
    <w:p w14:paraId="684C8543" w14:textId="77777777" w:rsidR="00532A17" w:rsidRPr="00090102" w:rsidRDefault="000943DD" w:rsidP="00D55500">
      <w:pPr>
        <w:pStyle w:val="Heading1"/>
      </w:pPr>
      <w:bookmarkStart w:id="0" w:name="_Toc60235779"/>
      <w:r w:rsidRPr="00090102">
        <w:lastRenderedPageBreak/>
        <w:t xml:space="preserve">Chapter 1. </w:t>
      </w:r>
      <w:r w:rsidR="00E93216">
        <w:t>Introduction</w:t>
      </w:r>
      <w:bookmarkEnd w:id="0"/>
    </w:p>
    <w:p w14:paraId="5AA14BA8" w14:textId="77777777" w:rsidR="0028736A" w:rsidRPr="00693DE6" w:rsidRDefault="000943DD" w:rsidP="000C4174">
      <w:pPr>
        <w:pStyle w:val="Heading2"/>
      </w:pPr>
      <w:bookmarkStart w:id="1" w:name="_Toc60235780"/>
      <w:r w:rsidRPr="00693DE6">
        <w:t>1.1</w:t>
      </w:r>
      <w:r w:rsidR="00DA1068" w:rsidRPr="00693DE6">
        <w:t>The Introduction</w:t>
      </w:r>
      <w:bookmarkEnd w:id="1"/>
    </w:p>
    <w:p w14:paraId="78E05095" w14:textId="4E20F23B" w:rsidR="006B206B" w:rsidRPr="00693DE6" w:rsidRDefault="00770702" w:rsidP="00077F47">
      <w:pPr>
        <w:spacing w:line="480" w:lineRule="auto"/>
        <w:jc w:val="both"/>
        <w:rPr>
          <w:rFonts w:ascii="Times New Roman" w:hAnsi="Times New Roman"/>
          <w:szCs w:val="24"/>
        </w:rPr>
      </w:pPr>
      <w:r w:rsidRPr="00693DE6">
        <w:rPr>
          <w:rFonts w:ascii="Times New Roman" w:hAnsi="Times New Roman"/>
          <w:szCs w:val="24"/>
        </w:rPr>
        <w:t>This chapter will</w:t>
      </w:r>
      <w:r w:rsidR="0078540C" w:rsidRPr="00693DE6">
        <w:rPr>
          <w:rFonts w:ascii="Times New Roman" w:hAnsi="Times New Roman"/>
          <w:szCs w:val="24"/>
        </w:rPr>
        <w:t xml:space="preserve"> cover the </w:t>
      </w:r>
      <w:r w:rsidR="006D3444">
        <w:rPr>
          <w:rFonts w:ascii="Times New Roman" w:hAnsi="Times New Roman"/>
          <w:szCs w:val="24"/>
        </w:rPr>
        <w:t>study's background</w:t>
      </w:r>
      <w:r w:rsidR="0078540C" w:rsidRPr="00693DE6">
        <w:rPr>
          <w:rFonts w:ascii="Times New Roman" w:hAnsi="Times New Roman"/>
          <w:szCs w:val="24"/>
        </w:rPr>
        <w:t>,</w:t>
      </w:r>
      <w:r w:rsidR="00480D4A" w:rsidRPr="00693DE6">
        <w:rPr>
          <w:rFonts w:ascii="Times New Roman" w:hAnsi="Times New Roman"/>
          <w:szCs w:val="24"/>
        </w:rPr>
        <w:t xml:space="preserve"> </w:t>
      </w:r>
      <w:r w:rsidR="0078540C" w:rsidRPr="00693DE6">
        <w:rPr>
          <w:rFonts w:ascii="Times New Roman" w:hAnsi="Times New Roman"/>
          <w:szCs w:val="24"/>
        </w:rPr>
        <w:t>the research question,</w:t>
      </w:r>
      <w:r w:rsidR="006B206B" w:rsidRPr="00693DE6">
        <w:rPr>
          <w:rFonts w:ascii="Times New Roman" w:hAnsi="Times New Roman"/>
          <w:szCs w:val="24"/>
        </w:rPr>
        <w:t xml:space="preserve"> </w:t>
      </w:r>
      <w:r w:rsidR="0078540C" w:rsidRPr="00693DE6">
        <w:rPr>
          <w:rFonts w:ascii="Times New Roman" w:hAnsi="Times New Roman"/>
          <w:szCs w:val="24"/>
        </w:rPr>
        <w:t>significance of the study, research methods and research limitations.</w:t>
      </w:r>
      <w:r w:rsidR="00480D4A" w:rsidRPr="00693DE6">
        <w:rPr>
          <w:rFonts w:ascii="Times New Roman" w:hAnsi="Times New Roman"/>
          <w:szCs w:val="24"/>
        </w:rPr>
        <w:t xml:space="preserve"> </w:t>
      </w:r>
      <w:r w:rsidR="00381455">
        <w:rPr>
          <w:rFonts w:ascii="Times New Roman" w:hAnsi="Times New Roman"/>
          <w:szCs w:val="24"/>
        </w:rPr>
        <w:t>Chapter 1</w:t>
      </w:r>
      <w:r w:rsidR="00480D4A" w:rsidRPr="00693DE6">
        <w:rPr>
          <w:rFonts w:ascii="Times New Roman" w:hAnsi="Times New Roman"/>
          <w:szCs w:val="24"/>
        </w:rPr>
        <w:t xml:space="preserve"> explores these topics because it will help the researcher to lay a foundation for this thesis </w:t>
      </w:r>
      <w:r w:rsidR="006B206B" w:rsidRPr="00693DE6">
        <w:rPr>
          <w:rFonts w:ascii="Times New Roman" w:hAnsi="Times New Roman"/>
          <w:szCs w:val="24"/>
        </w:rPr>
        <w:t>to address</w:t>
      </w:r>
      <w:r w:rsidR="00480D4A" w:rsidRPr="00693DE6">
        <w:rPr>
          <w:rFonts w:ascii="Times New Roman" w:hAnsi="Times New Roman"/>
          <w:szCs w:val="24"/>
        </w:rPr>
        <w:t xml:space="preserve"> the research questions.</w:t>
      </w:r>
      <w:r w:rsidR="006B206B" w:rsidRPr="00693DE6">
        <w:rPr>
          <w:rFonts w:ascii="Times New Roman" w:hAnsi="Times New Roman"/>
          <w:szCs w:val="24"/>
        </w:rPr>
        <w:t xml:space="preserve"> </w:t>
      </w:r>
      <w:r w:rsidR="001C53B7" w:rsidRPr="00693DE6">
        <w:rPr>
          <w:rFonts w:ascii="Times New Roman" w:hAnsi="Times New Roman"/>
          <w:szCs w:val="24"/>
        </w:rPr>
        <w:t xml:space="preserve">This thesis intends to examine the consideration </w:t>
      </w:r>
      <w:r w:rsidR="00E93216">
        <w:rPr>
          <w:rFonts w:ascii="Times New Roman" w:hAnsi="Times New Roman"/>
          <w:szCs w:val="24"/>
        </w:rPr>
        <w:t>of victims</w:t>
      </w:r>
      <w:r w:rsidR="00F72A5B">
        <w:rPr>
          <w:rFonts w:ascii="Times New Roman" w:hAnsi="Times New Roman"/>
          <w:szCs w:val="24"/>
        </w:rPr>
        <w:t>'</w:t>
      </w:r>
      <w:r w:rsidR="00E93216">
        <w:rPr>
          <w:rFonts w:ascii="Times New Roman" w:hAnsi="Times New Roman"/>
          <w:szCs w:val="24"/>
        </w:rPr>
        <w:t xml:space="preserve"> rights and interests</w:t>
      </w:r>
      <w:r w:rsidR="001C53B7" w:rsidRPr="00693DE6">
        <w:rPr>
          <w:rFonts w:ascii="Times New Roman" w:hAnsi="Times New Roman"/>
          <w:szCs w:val="24"/>
        </w:rPr>
        <w:t xml:space="preserve"> at the ICC.</w:t>
      </w:r>
      <w:r w:rsidR="006B206B" w:rsidRPr="00693DE6">
        <w:rPr>
          <w:rFonts w:ascii="Times New Roman" w:hAnsi="Times New Roman"/>
          <w:szCs w:val="24"/>
        </w:rPr>
        <w:t xml:space="preserve"> I</w:t>
      </w:r>
      <w:r w:rsidR="00E93216">
        <w:rPr>
          <w:rFonts w:ascii="Times New Roman" w:hAnsi="Times New Roman"/>
          <w:szCs w:val="24"/>
        </w:rPr>
        <w:t>t is structured</w:t>
      </w:r>
      <w:r w:rsidR="006B206B" w:rsidRPr="00693DE6">
        <w:rPr>
          <w:rFonts w:ascii="Times New Roman" w:hAnsi="Times New Roman"/>
          <w:szCs w:val="24"/>
        </w:rPr>
        <w:t xml:space="preserve"> </w:t>
      </w:r>
      <w:r w:rsidR="001C53B7" w:rsidRPr="00693DE6">
        <w:rPr>
          <w:rFonts w:ascii="Times New Roman" w:hAnsi="Times New Roman"/>
          <w:szCs w:val="24"/>
        </w:rPr>
        <w:t>into three themes</w:t>
      </w:r>
      <w:r w:rsidR="00E93216">
        <w:rPr>
          <w:rFonts w:ascii="Times New Roman" w:hAnsi="Times New Roman"/>
          <w:szCs w:val="24"/>
        </w:rPr>
        <w:t xml:space="preserve"> or frameworks within which the analysis is undertaken, namely,(1)</w:t>
      </w:r>
      <w:r w:rsidR="001C53B7" w:rsidRPr="00693DE6">
        <w:rPr>
          <w:rFonts w:ascii="Times New Roman" w:hAnsi="Times New Roman"/>
          <w:szCs w:val="24"/>
        </w:rPr>
        <w:t>prosecutorial discretio</w:t>
      </w:r>
      <w:r w:rsidR="00E93216">
        <w:rPr>
          <w:rFonts w:ascii="Times New Roman" w:hAnsi="Times New Roman"/>
          <w:szCs w:val="24"/>
        </w:rPr>
        <w:t>n, (2)trial process</w:t>
      </w:r>
      <w:r w:rsidR="001C53B7" w:rsidRPr="00693DE6">
        <w:rPr>
          <w:rFonts w:ascii="Times New Roman" w:hAnsi="Times New Roman"/>
          <w:szCs w:val="24"/>
        </w:rPr>
        <w:t xml:space="preserve"> and </w:t>
      </w:r>
      <w:r w:rsidR="00E93216">
        <w:rPr>
          <w:rFonts w:ascii="Times New Roman" w:hAnsi="Times New Roman"/>
          <w:szCs w:val="24"/>
        </w:rPr>
        <w:t>(3)</w:t>
      </w:r>
      <w:r w:rsidR="001C53B7" w:rsidRPr="00693DE6">
        <w:rPr>
          <w:rFonts w:ascii="Times New Roman" w:hAnsi="Times New Roman"/>
          <w:szCs w:val="24"/>
        </w:rPr>
        <w:t>sentencing.</w:t>
      </w:r>
    </w:p>
    <w:p w14:paraId="50805B30" w14:textId="03942B49" w:rsidR="00655893" w:rsidRPr="00693DE6" w:rsidRDefault="00BA4A39" w:rsidP="00077F47">
      <w:pPr>
        <w:spacing w:line="480" w:lineRule="auto"/>
        <w:jc w:val="both"/>
        <w:rPr>
          <w:rFonts w:ascii="Times New Roman" w:hAnsi="Times New Roman"/>
          <w:szCs w:val="24"/>
        </w:rPr>
      </w:pPr>
      <w:r w:rsidRPr="00693DE6">
        <w:rPr>
          <w:rFonts w:ascii="Times New Roman" w:hAnsi="Times New Roman"/>
          <w:szCs w:val="24"/>
        </w:rPr>
        <w:t>T</w:t>
      </w:r>
      <w:r w:rsidR="00356124" w:rsidRPr="00693DE6">
        <w:rPr>
          <w:rFonts w:ascii="Times New Roman" w:hAnsi="Times New Roman"/>
          <w:szCs w:val="24"/>
        </w:rPr>
        <w:t xml:space="preserve">he international criminal justice system has witnessed a significant change </w:t>
      </w:r>
      <w:r w:rsidR="00517509">
        <w:rPr>
          <w:rFonts w:ascii="Times New Roman" w:hAnsi="Times New Roman"/>
          <w:szCs w:val="24"/>
        </w:rPr>
        <w:t>concerning</w:t>
      </w:r>
      <w:r w:rsidR="00077F47">
        <w:rPr>
          <w:rFonts w:ascii="Times New Roman" w:hAnsi="Times New Roman"/>
          <w:szCs w:val="24"/>
        </w:rPr>
        <w:t xml:space="preserve"> victim involvement during criminal trial proceedings. </w:t>
      </w:r>
      <w:r w:rsidR="00356124" w:rsidRPr="00693DE6">
        <w:rPr>
          <w:rFonts w:ascii="Times New Roman" w:hAnsi="Times New Roman"/>
          <w:szCs w:val="24"/>
        </w:rPr>
        <w:t>I</w:t>
      </w:r>
      <w:r w:rsidR="00336874" w:rsidRPr="00693DE6">
        <w:rPr>
          <w:rFonts w:ascii="Times New Roman" w:hAnsi="Times New Roman"/>
          <w:szCs w:val="24"/>
        </w:rPr>
        <w:t>nitially, victims</w:t>
      </w:r>
      <w:r w:rsidR="00F72A5B">
        <w:rPr>
          <w:rFonts w:ascii="Times New Roman" w:hAnsi="Times New Roman"/>
          <w:szCs w:val="24"/>
        </w:rPr>
        <w:t>'</w:t>
      </w:r>
      <w:r w:rsidR="00336874" w:rsidRPr="00693DE6">
        <w:rPr>
          <w:rFonts w:ascii="Times New Roman" w:hAnsi="Times New Roman"/>
          <w:szCs w:val="24"/>
        </w:rPr>
        <w:t xml:space="preserve"> </w:t>
      </w:r>
      <w:r w:rsidR="00381455">
        <w:rPr>
          <w:rFonts w:ascii="Times New Roman" w:hAnsi="Times New Roman"/>
          <w:szCs w:val="24"/>
        </w:rPr>
        <w:t>participation</w:t>
      </w:r>
      <w:r w:rsidR="00336874" w:rsidRPr="00693DE6">
        <w:rPr>
          <w:rFonts w:ascii="Times New Roman" w:hAnsi="Times New Roman"/>
          <w:szCs w:val="24"/>
        </w:rPr>
        <w:t xml:space="preserve"> i</w:t>
      </w:r>
      <w:r w:rsidR="00356124" w:rsidRPr="00693DE6">
        <w:rPr>
          <w:rFonts w:ascii="Times New Roman" w:hAnsi="Times New Roman"/>
          <w:szCs w:val="24"/>
        </w:rPr>
        <w:t>n criminal tria</w:t>
      </w:r>
      <w:r w:rsidR="00077F47">
        <w:rPr>
          <w:rFonts w:ascii="Times New Roman" w:hAnsi="Times New Roman"/>
          <w:szCs w:val="24"/>
        </w:rPr>
        <w:t>ls was</w:t>
      </w:r>
      <w:r w:rsidR="00336874" w:rsidRPr="00693DE6">
        <w:rPr>
          <w:rFonts w:ascii="Times New Roman" w:hAnsi="Times New Roman"/>
          <w:szCs w:val="24"/>
        </w:rPr>
        <w:t xml:space="preserve"> restricted to </w:t>
      </w:r>
      <w:r w:rsidR="00077F47">
        <w:rPr>
          <w:rFonts w:ascii="Times New Roman" w:hAnsi="Times New Roman"/>
          <w:szCs w:val="24"/>
        </w:rPr>
        <w:t>-participation</w:t>
      </w:r>
      <w:r w:rsidR="00356124" w:rsidRPr="00693DE6">
        <w:rPr>
          <w:rFonts w:ascii="Times New Roman" w:hAnsi="Times New Roman"/>
          <w:szCs w:val="24"/>
        </w:rPr>
        <w:t xml:space="preserve"> as witnesses.</w:t>
      </w:r>
      <w:r w:rsidR="00356124" w:rsidRPr="00693DE6">
        <w:rPr>
          <w:rStyle w:val="FootnoteReference"/>
          <w:rFonts w:ascii="Times New Roman" w:hAnsi="Times New Roman"/>
          <w:szCs w:val="24"/>
        </w:rPr>
        <w:footnoteReference w:id="2"/>
      </w:r>
      <w:r w:rsidR="006B206B" w:rsidRPr="00693DE6">
        <w:rPr>
          <w:rFonts w:ascii="Times New Roman" w:hAnsi="Times New Roman"/>
          <w:szCs w:val="24"/>
        </w:rPr>
        <w:t xml:space="preserve"> Christie</w:t>
      </w:r>
      <w:r w:rsidR="00381455">
        <w:rPr>
          <w:rFonts w:ascii="Times New Roman" w:hAnsi="Times New Roman"/>
          <w:szCs w:val="24"/>
        </w:rPr>
        <w:t>, in his article,</w:t>
      </w:r>
      <w:r w:rsidR="006B206B" w:rsidRPr="00693DE6">
        <w:rPr>
          <w:rFonts w:ascii="Times New Roman" w:hAnsi="Times New Roman"/>
          <w:szCs w:val="24"/>
        </w:rPr>
        <w:t xml:space="preserve"> </w:t>
      </w:r>
      <w:r w:rsidR="00FA5A15">
        <w:rPr>
          <w:rFonts w:ascii="Times New Roman" w:hAnsi="Times New Roman"/>
          <w:szCs w:val="24"/>
        </w:rPr>
        <w:t>draws our attention</w:t>
      </w:r>
      <w:r w:rsidR="00381455">
        <w:rPr>
          <w:rFonts w:ascii="Times New Roman" w:hAnsi="Times New Roman"/>
          <w:szCs w:val="24"/>
        </w:rPr>
        <w:t xml:space="preserve"> to the passive role of victims in criminal trials.</w:t>
      </w:r>
      <w:r w:rsidR="00FA5A15">
        <w:rPr>
          <w:rFonts w:ascii="Times New Roman" w:hAnsi="Times New Roman"/>
          <w:szCs w:val="24"/>
        </w:rPr>
        <w:t xml:space="preserve"> </w:t>
      </w:r>
      <w:r w:rsidR="00381455">
        <w:rPr>
          <w:rFonts w:ascii="Times New Roman" w:hAnsi="Times New Roman"/>
          <w:szCs w:val="24"/>
        </w:rPr>
        <w:t>H</w:t>
      </w:r>
      <w:r w:rsidR="00FA5A15">
        <w:rPr>
          <w:rFonts w:ascii="Times New Roman" w:hAnsi="Times New Roman"/>
          <w:szCs w:val="24"/>
        </w:rPr>
        <w:t xml:space="preserve">e argued that the State and </w:t>
      </w:r>
      <w:r w:rsidR="00BF790B">
        <w:rPr>
          <w:rFonts w:ascii="Times New Roman" w:hAnsi="Times New Roman"/>
          <w:szCs w:val="24"/>
        </w:rPr>
        <w:t>P</w:t>
      </w:r>
      <w:r w:rsidR="00FA5A15">
        <w:rPr>
          <w:rFonts w:ascii="Times New Roman" w:hAnsi="Times New Roman"/>
          <w:szCs w:val="24"/>
        </w:rPr>
        <w:t>rosecutor had stolen the property from the victim</w:t>
      </w:r>
      <w:r w:rsidR="00356124" w:rsidRPr="00693DE6">
        <w:rPr>
          <w:rFonts w:ascii="Times New Roman" w:hAnsi="Times New Roman"/>
          <w:szCs w:val="24"/>
        </w:rPr>
        <w:t>.</w:t>
      </w:r>
      <w:r w:rsidR="00356124" w:rsidRPr="00693DE6">
        <w:rPr>
          <w:rStyle w:val="FootnoteReference"/>
          <w:rFonts w:ascii="Times New Roman" w:hAnsi="Times New Roman"/>
          <w:szCs w:val="24"/>
        </w:rPr>
        <w:footnoteReference w:id="3"/>
      </w:r>
      <w:r w:rsidR="00FA5A15" w:rsidRPr="00FA5A15">
        <w:rPr>
          <w:rFonts w:ascii="Times New Roman" w:hAnsi="Times New Roman"/>
          <w:szCs w:val="24"/>
        </w:rPr>
        <w:t xml:space="preserve"> </w:t>
      </w:r>
      <w:r w:rsidR="00381455">
        <w:rPr>
          <w:rFonts w:ascii="Times New Roman" w:hAnsi="Times New Roman"/>
          <w:szCs w:val="24"/>
        </w:rPr>
        <w:t>Christie</w:t>
      </w:r>
      <w:r w:rsidR="00FA5A15">
        <w:rPr>
          <w:rFonts w:ascii="Times New Roman" w:hAnsi="Times New Roman"/>
          <w:szCs w:val="24"/>
        </w:rPr>
        <w:t xml:space="preserve"> </w:t>
      </w:r>
      <w:r w:rsidR="00FA5A15" w:rsidRPr="00693DE6">
        <w:rPr>
          <w:rFonts w:ascii="Times New Roman" w:hAnsi="Times New Roman"/>
          <w:szCs w:val="24"/>
        </w:rPr>
        <w:t>believes the conflict belongs to the victim. However, it has been stolen by the State and</w:t>
      </w:r>
      <w:r w:rsidR="00FA5A15">
        <w:rPr>
          <w:rFonts w:ascii="Times New Roman" w:hAnsi="Times New Roman"/>
          <w:szCs w:val="24"/>
        </w:rPr>
        <w:t xml:space="preserve"> the</w:t>
      </w:r>
      <w:r w:rsidR="00FA5A15" w:rsidRPr="00693DE6">
        <w:rPr>
          <w:rFonts w:ascii="Times New Roman" w:hAnsi="Times New Roman"/>
          <w:szCs w:val="24"/>
        </w:rPr>
        <w:t xml:space="preserve"> </w:t>
      </w:r>
      <w:r w:rsidR="00BF790B">
        <w:rPr>
          <w:rFonts w:ascii="Times New Roman" w:hAnsi="Times New Roman"/>
          <w:szCs w:val="24"/>
        </w:rPr>
        <w:t>P</w:t>
      </w:r>
      <w:r w:rsidR="00FA5A15" w:rsidRPr="00693DE6">
        <w:rPr>
          <w:rFonts w:ascii="Times New Roman" w:hAnsi="Times New Roman"/>
          <w:szCs w:val="24"/>
        </w:rPr>
        <w:t>rosecuto</w:t>
      </w:r>
      <w:r w:rsidR="00FA5A15">
        <w:rPr>
          <w:rFonts w:ascii="Times New Roman" w:hAnsi="Times New Roman"/>
          <w:szCs w:val="24"/>
        </w:rPr>
        <w:t xml:space="preserve">r. </w:t>
      </w:r>
      <w:r w:rsidR="00B10094" w:rsidRPr="00693DE6">
        <w:rPr>
          <w:rFonts w:ascii="Times New Roman" w:hAnsi="Times New Roman"/>
          <w:szCs w:val="24"/>
        </w:rPr>
        <w:t>He submitted</w:t>
      </w:r>
      <w:r w:rsidR="00356124" w:rsidRPr="00693DE6">
        <w:rPr>
          <w:rFonts w:ascii="Times New Roman" w:hAnsi="Times New Roman"/>
          <w:szCs w:val="24"/>
        </w:rPr>
        <w:t xml:space="preserve"> </w:t>
      </w:r>
      <w:r w:rsidRPr="00693DE6">
        <w:rPr>
          <w:rFonts w:ascii="Times New Roman" w:hAnsi="Times New Roman"/>
          <w:szCs w:val="24"/>
        </w:rPr>
        <w:t xml:space="preserve">that </w:t>
      </w:r>
      <w:r w:rsidR="00381455">
        <w:rPr>
          <w:rFonts w:ascii="Times New Roman" w:hAnsi="Times New Roman"/>
          <w:szCs w:val="24"/>
        </w:rPr>
        <w:t xml:space="preserve">the courts had instrumentalised </w:t>
      </w:r>
      <w:r w:rsidRPr="00693DE6">
        <w:rPr>
          <w:rFonts w:ascii="Times New Roman" w:hAnsi="Times New Roman"/>
          <w:szCs w:val="24"/>
        </w:rPr>
        <w:t>victims of cri</w:t>
      </w:r>
      <w:r w:rsidR="00381455">
        <w:rPr>
          <w:rFonts w:ascii="Times New Roman" w:hAnsi="Times New Roman"/>
          <w:szCs w:val="24"/>
        </w:rPr>
        <w:t>mes.</w:t>
      </w:r>
      <w:r w:rsidR="00DA1068" w:rsidRPr="00693DE6">
        <w:rPr>
          <w:rFonts w:ascii="Times New Roman" w:hAnsi="Times New Roman"/>
          <w:szCs w:val="24"/>
        </w:rPr>
        <w:t xml:space="preserve"> </w:t>
      </w:r>
      <w:r w:rsidRPr="00693DE6">
        <w:rPr>
          <w:rFonts w:ascii="Times New Roman" w:hAnsi="Times New Roman"/>
          <w:szCs w:val="24"/>
        </w:rPr>
        <w:t xml:space="preserve">From his perspective, the conflict </w:t>
      </w:r>
      <w:r w:rsidR="00FA5A15">
        <w:rPr>
          <w:rFonts w:ascii="Times New Roman" w:hAnsi="Times New Roman"/>
          <w:szCs w:val="24"/>
        </w:rPr>
        <w:t>(and resultant criminal trial)</w:t>
      </w:r>
      <w:r w:rsidRPr="00693DE6">
        <w:rPr>
          <w:rFonts w:ascii="Times New Roman" w:hAnsi="Times New Roman"/>
          <w:szCs w:val="24"/>
        </w:rPr>
        <w:t xml:space="preserve">ought to be the </w:t>
      </w:r>
      <w:r w:rsidR="006D3444">
        <w:rPr>
          <w:rFonts w:ascii="Times New Roman" w:hAnsi="Times New Roman"/>
          <w:szCs w:val="24"/>
        </w:rPr>
        <w:t>victims' property</w:t>
      </w:r>
      <w:r w:rsidR="00FA5A15">
        <w:rPr>
          <w:rFonts w:ascii="Times New Roman" w:hAnsi="Times New Roman"/>
          <w:szCs w:val="24"/>
        </w:rPr>
        <w:t>. However, th</w:t>
      </w:r>
      <w:r w:rsidR="006D3444">
        <w:rPr>
          <w:rFonts w:ascii="Times New Roman" w:hAnsi="Times New Roman"/>
          <w:szCs w:val="24"/>
        </w:rPr>
        <w:t>e prosecutor has taken over this</w:t>
      </w:r>
      <w:r w:rsidRPr="00693DE6">
        <w:rPr>
          <w:rFonts w:ascii="Times New Roman" w:hAnsi="Times New Roman"/>
          <w:szCs w:val="24"/>
        </w:rPr>
        <w:t xml:space="preserve"> while the victims are considered</w:t>
      </w:r>
      <w:r w:rsidR="00FA5A15">
        <w:rPr>
          <w:rFonts w:ascii="Times New Roman" w:hAnsi="Times New Roman"/>
          <w:szCs w:val="24"/>
        </w:rPr>
        <w:t xml:space="preserve"> </w:t>
      </w:r>
      <w:r w:rsidR="00FA5A15">
        <w:rPr>
          <w:rFonts w:ascii="Times New Roman" w:hAnsi="Times New Roman"/>
          <w:szCs w:val="24"/>
        </w:rPr>
        <w:lastRenderedPageBreak/>
        <w:t>instrumentally, merely</w:t>
      </w:r>
      <w:r w:rsidRPr="00693DE6">
        <w:rPr>
          <w:rFonts w:ascii="Times New Roman" w:hAnsi="Times New Roman"/>
          <w:szCs w:val="24"/>
        </w:rPr>
        <w:t xml:space="preserve"> as witnesses</w:t>
      </w:r>
      <w:r w:rsidR="00B10094" w:rsidRPr="00693DE6">
        <w:rPr>
          <w:rFonts w:ascii="Times New Roman" w:hAnsi="Times New Roman"/>
          <w:szCs w:val="24"/>
        </w:rPr>
        <w:t>.</w:t>
      </w:r>
      <w:r w:rsidRPr="00693DE6">
        <w:rPr>
          <w:rFonts w:ascii="Times New Roman" w:hAnsi="Times New Roman"/>
          <w:szCs w:val="24"/>
        </w:rPr>
        <w:t xml:space="preserve"> In his words</w:t>
      </w:r>
      <w:r w:rsidR="00336874" w:rsidRPr="00693DE6">
        <w:rPr>
          <w:rFonts w:ascii="Times New Roman" w:hAnsi="Times New Roman"/>
          <w:szCs w:val="24"/>
        </w:rPr>
        <w:t xml:space="preserve">, </w:t>
      </w:r>
      <w:r w:rsidR="00F72A5B">
        <w:rPr>
          <w:rFonts w:ascii="Times New Roman" w:hAnsi="Times New Roman"/>
          <w:szCs w:val="24"/>
        </w:rPr>
        <w:t>'</w:t>
      </w:r>
      <w:r w:rsidR="00336874" w:rsidRPr="00693DE6">
        <w:rPr>
          <w:rFonts w:ascii="Times New Roman" w:hAnsi="Times New Roman"/>
          <w:szCs w:val="24"/>
        </w:rPr>
        <w:t>the conflict</w:t>
      </w:r>
      <w:r w:rsidR="00F72A5B">
        <w:rPr>
          <w:rFonts w:ascii="Times New Roman" w:hAnsi="Times New Roman"/>
          <w:szCs w:val="24"/>
        </w:rPr>
        <w:t>'</w:t>
      </w:r>
      <w:r w:rsidR="00336874" w:rsidRPr="00693DE6">
        <w:rPr>
          <w:rFonts w:ascii="Times New Roman" w:hAnsi="Times New Roman"/>
          <w:szCs w:val="24"/>
        </w:rPr>
        <w:t xml:space="preserve"> belongs to the victim.</w:t>
      </w:r>
      <w:r w:rsidR="00423FF9" w:rsidRPr="00693DE6">
        <w:rPr>
          <w:rFonts w:ascii="Times New Roman" w:hAnsi="Times New Roman"/>
          <w:szCs w:val="24"/>
        </w:rPr>
        <w:t xml:space="preserve"> </w:t>
      </w:r>
      <w:r w:rsidR="00B10094" w:rsidRPr="00693DE6">
        <w:rPr>
          <w:rFonts w:ascii="Times New Roman" w:hAnsi="Times New Roman"/>
          <w:szCs w:val="24"/>
        </w:rPr>
        <w:t>One of the</w:t>
      </w:r>
      <w:r w:rsidR="00FA5A15">
        <w:rPr>
          <w:rFonts w:ascii="Times New Roman" w:hAnsi="Times New Roman"/>
          <w:szCs w:val="24"/>
        </w:rPr>
        <w:t xml:space="preserve"> significant</w:t>
      </w:r>
      <w:r w:rsidR="00B10094" w:rsidRPr="00693DE6">
        <w:rPr>
          <w:rFonts w:ascii="Times New Roman" w:hAnsi="Times New Roman"/>
          <w:szCs w:val="24"/>
        </w:rPr>
        <w:t xml:space="preserve"> implications of this </w:t>
      </w:r>
      <w:r w:rsidR="00041F0C" w:rsidRPr="00693DE6">
        <w:rPr>
          <w:rFonts w:ascii="Times New Roman" w:hAnsi="Times New Roman"/>
          <w:szCs w:val="24"/>
        </w:rPr>
        <w:t>is the preclusion of victims</w:t>
      </w:r>
      <w:r w:rsidR="00F72A5B">
        <w:rPr>
          <w:rFonts w:ascii="Times New Roman" w:hAnsi="Times New Roman"/>
          <w:szCs w:val="24"/>
        </w:rPr>
        <w:t>'</w:t>
      </w:r>
      <w:r w:rsidR="00041F0C" w:rsidRPr="00693DE6">
        <w:rPr>
          <w:rFonts w:ascii="Times New Roman" w:hAnsi="Times New Roman"/>
          <w:szCs w:val="24"/>
        </w:rPr>
        <w:t xml:space="preserve"> access to justice.</w:t>
      </w:r>
    </w:p>
    <w:p w14:paraId="4B957DD2" w14:textId="36B6B0DB" w:rsidR="00423FF9" w:rsidRDefault="006A6D1C" w:rsidP="00693DE6">
      <w:pPr>
        <w:spacing w:line="480" w:lineRule="auto"/>
        <w:jc w:val="both"/>
        <w:rPr>
          <w:rFonts w:ascii="Times New Roman" w:hAnsi="Times New Roman"/>
          <w:szCs w:val="24"/>
        </w:rPr>
      </w:pPr>
      <w:r>
        <w:rPr>
          <w:rFonts w:ascii="Times New Roman" w:hAnsi="Times New Roman"/>
          <w:szCs w:val="24"/>
        </w:rPr>
        <w:t>The international c</w:t>
      </w:r>
      <w:r w:rsidR="0028736A" w:rsidRPr="00693DE6">
        <w:rPr>
          <w:rFonts w:ascii="Times New Roman" w:hAnsi="Times New Roman"/>
          <w:szCs w:val="24"/>
        </w:rPr>
        <w:t>ri</w:t>
      </w:r>
      <w:r>
        <w:rPr>
          <w:rFonts w:ascii="Times New Roman" w:hAnsi="Times New Roman"/>
          <w:szCs w:val="24"/>
        </w:rPr>
        <w:t>minal j</w:t>
      </w:r>
      <w:r w:rsidR="00BA4A39" w:rsidRPr="00693DE6">
        <w:rPr>
          <w:rFonts w:ascii="Times New Roman" w:hAnsi="Times New Roman"/>
          <w:szCs w:val="24"/>
        </w:rPr>
        <w:t>ustice system</w:t>
      </w:r>
      <w:r>
        <w:rPr>
          <w:rFonts w:ascii="Times New Roman" w:hAnsi="Times New Roman"/>
          <w:szCs w:val="24"/>
        </w:rPr>
        <w:t>(ICJ)</w:t>
      </w:r>
      <w:r w:rsidR="0028736A" w:rsidRPr="00693DE6">
        <w:rPr>
          <w:rFonts w:ascii="Times New Roman" w:hAnsi="Times New Roman"/>
          <w:szCs w:val="24"/>
        </w:rPr>
        <w:t xml:space="preserve"> is at the heart of our understanding of access to justice for </w:t>
      </w:r>
      <w:r w:rsidR="006D3444">
        <w:rPr>
          <w:rFonts w:ascii="Times New Roman" w:hAnsi="Times New Roman"/>
          <w:szCs w:val="24"/>
        </w:rPr>
        <w:t>international crimes victim</w:t>
      </w:r>
      <w:r w:rsidR="0028736A" w:rsidRPr="00693DE6">
        <w:rPr>
          <w:rFonts w:ascii="Times New Roman" w:hAnsi="Times New Roman"/>
          <w:szCs w:val="24"/>
        </w:rPr>
        <w:t>s. It also plays a</w:t>
      </w:r>
      <w:r w:rsidR="00EE460F">
        <w:rPr>
          <w:rFonts w:ascii="Times New Roman" w:hAnsi="Times New Roman"/>
          <w:szCs w:val="24"/>
        </w:rPr>
        <w:t xml:space="preserve"> vital</w:t>
      </w:r>
      <w:r w:rsidR="0028736A" w:rsidRPr="00693DE6">
        <w:rPr>
          <w:rFonts w:ascii="Times New Roman" w:hAnsi="Times New Roman"/>
          <w:szCs w:val="24"/>
        </w:rPr>
        <w:t xml:space="preserve"> role in the administration of justice in the international community. Some of the institutions of the ICJ include the Ad hoc tribunals; the International Criminal Tribun</w:t>
      </w:r>
      <w:r w:rsidR="00496B95">
        <w:rPr>
          <w:rFonts w:ascii="Times New Roman" w:hAnsi="Times New Roman"/>
          <w:szCs w:val="24"/>
        </w:rPr>
        <w:t xml:space="preserve">al for Former Yugoslavia(ICTY) </w:t>
      </w:r>
      <w:r w:rsidR="0028736A" w:rsidRPr="00693DE6">
        <w:rPr>
          <w:rFonts w:ascii="Times New Roman" w:hAnsi="Times New Roman"/>
          <w:szCs w:val="24"/>
        </w:rPr>
        <w:t>and</w:t>
      </w:r>
      <w:r w:rsidR="00496B95">
        <w:rPr>
          <w:rFonts w:ascii="Times New Roman" w:hAnsi="Times New Roman"/>
          <w:szCs w:val="24"/>
        </w:rPr>
        <w:t>,</w:t>
      </w:r>
      <w:r w:rsidR="0028736A" w:rsidRPr="00693DE6">
        <w:rPr>
          <w:rFonts w:ascii="Times New Roman" w:hAnsi="Times New Roman"/>
          <w:szCs w:val="24"/>
        </w:rPr>
        <w:t xml:space="preserve"> the International Criminal Tribunal for Rwanda</w:t>
      </w:r>
      <w:r>
        <w:rPr>
          <w:rFonts w:ascii="Times New Roman" w:hAnsi="Times New Roman"/>
          <w:szCs w:val="24"/>
        </w:rPr>
        <w:t>(ICTR)</w:t>
      </w:r>
      <w:r w:rsidR="0028736A" w:rsidRPr="00693DE6">
        <w:rPr>
          <w:rFonts w:ascii="Times New Roman" w:hAnsi="Times New Roman"/>
          <w:szCs w:val="24"/>
        </w:rPr>
        <w:t>, the Special Court for Sierra Leone(SCSL) and the International Criminal Court(ICC). Historically, the advent of the ICJ is traceable to the Nuremberg and Tokyo tribunals.</w:t>
      </w:r>
      <w:r w:rsidR="0028736A" w:rsidRPr="00693DE6">
        <w:rPr>
          <w:rStyle w:val="FootnoteReference"/>
          <w:rFonts w:ascii="Times New Roman" w:hAnsi="Times New Roman"/>
          <w:szCs w:val="24"/>
        </w:rPr>
        <w:footnoteReference w:id="4"/>
      </w:r>
      <w:r w:rsidR="0028736A" w:rsidRPr="00693DE6">
        <w:rPr>
          <w:rFonts w:ascii="Times New Roman" w:hAnsi="Times New Roman"/>
          <w:szCs w:val="24"/>
        </w:rPr>
        <w:t xml:space="preserve"> However, these tribunals were faulted because they excluded victims from trials.</w:t>
      </w:r>
      <w:r w:rsidR="00372669">
        <w:rPr>
          <w:rFonts w:ascii="Times New Roman" w:hAnsi="Times New Roman"/>
          <w:szCs w:val="24"/>
        </w:rPr>
        <w:t xml:space="preserve"> </w:t>
      </w:r>
      <w:r>
        <w:rPr>
          <w:rFonts w:ascii="Times New Roman" w:hAnsi="Times New Roman"/>
          <w:szCs w:val="24"/>
        </w:rPr>
        <w:t xml:space="preserve">The trial at Nuremberg and Tokyo relied mainly on </w:t>
      </w:r>
      <w:r w:rsidR="0028736A" w:rsidRPr="00693DE6">
        <w:rPr>
          <w:rFonts w:ascii="Times New Roman" w:hAnsi="Times New Roman"/>
          <w:szCs w:val="24"/>
        </w:rPr>
        <w:t>documentary evidence</w:t>
      </w:r>
      <w:r>
        <w:rPr>
          <w:rFonts w:ascii="Times New Roman" w:hAnsi="Times New Roman"/>
          <w:szCs w:val="24"/>
        </w:rPr>
        <w:t>, which led to</w:t>
      </w:r>
      <w:r w:rsidR="00423FF9" w:rsidRPr="00693DE6">
        <w:rPr>
          <w:rFonts w:ascii="Times New Roman" w:hAnsi="Times New Roman"/>
          <w:szCs w:val="24"/>
        </w:rPr>
        <w:t xml:space="preserve"> </w:t>
      </w:r>
      <w:r w:rsidR="0028736A" w:rsidRPr="00693DE6">
        <w:rPr>
          <w:rFonts w:ascii="Times New Roman" w:hAnsi="Times New Roman"/>
          <w:szCs w:val="24"/>
        </w:rPr>
        <w:t>the marginalisation of victims</w:t>
      </w:r>
      <w:r>
        <w:rPr>
          <w:rFonts w:ascii="Times New Roman" w:hAnsi="Times New Roman"/>
          <w:szCs w:val="24"/>
        </w:rPr>
        <w:t xml:space="preserve"> and their </w:t>
      </w:r>
      <w:r w:rsidR="006D3444">
        <w:rPr>
          <w:rFonts w:ascii="Times New Roman" w:hAnsi="Times New Roman"/>
          <w:szCs w:val="24"/>
        </w:rPr>
        <w:t>conflict experiences</w:t>
      </w:r>
      <w:r w:rsidR="0028736A" w:rsidRPr="00693DE6">
        <w:rPr>
          <w:rFonts w:ascii="Times New Roman" w:hAnsi="Times New Roman"/>
          <w:szCs w:val="24"/>
        </w:rPr>
        <w:t>.</w:t>
      </w:r>
      <w:r w:rsidR="0028736A" w:rsidRPr="00693DE6">
        <w:rPr>
          <w:rStyle w:val="FootnoteReference"/>
          <w:rFonts w:ascii="Times New Roman" w:hAnsi="Times New Roman"/>
          <w:szCs w:val="24"/>
        </w:rPr>
        <w:footnoteReference w:id="5"/>
      </w:r>
      <w:r w:rsidR="0028736A" w:rsidRPr="00693DE6">
        <w:rPr>
          <w:rFonts w:ascii="Times New Roman" w:hAnsi="Times New Roman"/>
          <w:szCs w:val="24"/>
        </w:rPr>
        <w:t xml:space="preserve"> </w:t>
      </w:r>
    </w:p>
    <w:p w14:paraId="715305C8" w14:textId="3ABFDCF3" w:rsidR="00EE460F" w:rsidRPr="00693DE6" w:rsidRDefault="00EE460F" w:rsidP="00EE460F">
      <w:pPr>
        <w:spacing w:line="480" w:lineRule="auto"/>
        <w:jc w:val="both"/>
        <w:rPr>
          <w:rFonts w:ascii="Times New Roman" w:hAnsi="Times New Roman"/>
          <w:szCs w:val="24"/>
        </w:rPr>
      </w:pPr>
      <w:r w:rsidRPr="00693DE6">
        <w:rPr>
          <w:rFonts w:ascii="Times New Roman" w:hAnsi="Times New Roman"/>
          <w:szCs w:val="24"/>
        </w:rPr>
        <w:t xml:space="preserve">Following the first generation of </w:t>
      </w:r>
      <w:r>
        <w:rPr>
          <w:rFonts w:ascii="Times New Roman" w:hAnsi="Times New Roman"/>
          <w:szCs w:val="24"/>
        </w:rPr>
        <w:t xml:space="preserve">international </w:t>
      </w:r>
      <w:r w:rsidRPr="00693DE6">
        <w:rPr>
          <w:rFonts w:ascii="Times New Roman" w:hAnsi="Times New Roman"/>
          <w:szCs w:val="24"/>
        </w:rPr>
        <w:t xml:space="preserve">tribunals(Nuremberg and Tokyo) and the second generation of international tribunals and courts(the ICTR and the ICTY), </w:t>
      </w:r>
      <w:r>
        <w:rPr>
          <w:rFonts w:ascii="Times New Roman" w:hAnsi="Times New Roman"/>
          <w:szCs w:val="24"/>
        </w:rPr>
        <w:t xml:space="preserve">the </w:t>
      </w:r>
      <w:r w:rsidRPr="00693DE6">
        <w:rPr>
          <w:rFonts w:ascii="Times New Roman" w:hAnsi="Times New Roman"/>
          <w:szCs w:val="24"/>
        </w:rPr>
        <w:t xml:space="preserve">third generation of international criminal tribunals, represented by the ICC, brought about a shift from the </w:t>
      </w:r>
      <w:r>
        <w:rPr>
          <w:rFonts w:ascii="Times New Roman" w:hAnsi="Times New Roman"/>
          <w:szCs w:val="24"/>
        </w:rPr>
        <w:t xml:space="preserve">role of victims </w:t>
      </w:r>
      <w:r w:rsidRPr="00693DE6">
        <w:rPr>
          <w:rFonts w:ascii="Times New Roman" w:hAnsi="Times New Roman"/>
          <w:szCs w:val="24"/>
        </w:rPr>
        <w:t>in criminal proceedings to a</w:t>
      </w:r>
      <w:r>
        <w:rPr>
          <w:rFonts w:ascii="Times New Roman" w:hAnsi="Times New Roman"/>
          <w:szCs w:val="24"/>
        </w:rPr>
        <w:t xml:space="preserve"> more active, restricted</w:t>
      </w:r>
      <w:r w:rsidRPr="00693DE6">
        <w:rPr>
          <w:rFonts w:ascii="Times New Roman" w:hAnsi="Times New Roman"/>
          <w:szCs w:val="24"/>
        </w:rPr>
        <w:t xml:space="preserve"> participation of victims in criminal proceedings. </w:t>
      </w:r>
      <w:r>
        <w:rPr>
          <w:rFonts w:ascii="Times New Roman" w:hAnsi="Times New Roman"/>
          <w:szCs w:val="24"/>
        </w:rPr>
        <w:t>The new approach enhanced victims</w:t>
      </w:r>
      <w:r w:rsidR="00F72A5B">
        <w:rPr>
          <w:rFonts w:ascii="Times New Roman" w:hAnsi="Times New Roman"/>
          <w:szCs w:val="24"/>
        </w:rPr>
        <w:t>'</w:t>
      </w:r>
      <w:r>
        <w:rPr>
          <w:rFonts w:ascii="Times New Roman" w:hAnsi="Times New Roman"/>
          <w:szCs w:val="24"/>
        </w:rPr>
        <w:t xml:space="preserve"> access to justice.</w:t>
      </w:r>
    </w:p>
    <w:p w14:paraId="4108CA6A" w14:textId="56242818" w:rsidR="00372669" w:rsidRDefault="006D3444" w:rsidP="00372669">
      <w:pPr>
        <w:spacing w:line="480" w:lineRule="auto"/>
        <w:jc w:val="both"/>
        <w:rPr>
          <w:rFonts w:ascii="Times New Roman" w:hAnsi="Times New Roman"/>
          <w:szCs w:val="24"/>
        </w:rPr>
      </w:pPr>
      <w:r>
        <w:rPr>
          <w:rFonts w:ascii="Times New Roman" w:hAnsi="Times New Roman"/>
          <w:szCs w:val="24"/>
        </w:rPr>
        <w:lastRenderedPageBreak/>
        <w:t>Victims</w:t>
      </w:r>
      <w:r w:rsidR="00F72A5B">
        <w:rPr>
          <w:rFonts w:ascii="Times New Roman" w:hAnsi="Times New Roman"/>
          <w:szCs w:val="24"/>
        </w:rPr>
        <w:t>'</w:t>
      </w:r>
      <w:r>
        <w:rPr>
          <w:rFonts w:ascii="Times New Roman" w:hAnsi="Times New Roman"/>
          <w:szCs w:val="24"/>
        </w:rPr>
        <w:t xml:space="preserve"> rights are</w:t>
      </w:r>
      <w:r w:rsidR="00DA1068" w:rsidRPr="00693DE6">
        <w:rPr>
          <w:rFonts w:ascii="Times New Roman" w:hAnsi="Times New Roman"/>
          <w:szCs w:val="24"/>
        </w:rPr>
        <w:t xml:space="preserve"> fast becoming a central issue in the international criminal justice system</w:t>
      </w:r>
      <w:r w:rsidR="00372669">
        <w:rPr>
          <w:rFonts w:ascii="Times New Roman" w:hAnsi="Times New Roman"/>
          <w:szCs w:val="24"/>
        </w:rPr>
        <w:t xml:space="preserve">, being influenced in this area by developments in </w:t>
      </w:r>
      <w:r w:rsidR="00DA1068" w:rsidRPr="00693DE6">
        <w:rPr>
          <w:rFonts w:ascii="Times New Roman" w:hAnsi="Times New Roman"/>
          <w:szCs w:val="24"/>
        </w:rPr>
        <w:t>some domestic jurisdictions.</w:t>
      </w:r>
      <w:r w:rsidR="00DA1068" w:rsidRPr="00693DE6">
        <w:rPr>
          <w:rStyle w:val="FootnoteReference"/>
          <w:rFonts w:ascii="Times New Roman" w:hAnsi="Times New Roman"/>
          <w:szCs w:val="24"/>
        </w:rPr>
        <w:footnoteReference w:id="6"/>
      </w:r>
      <w:r w:rsidR="00DA1068" w:rsidRPr="00693DE6">
        <w:rPr>
          <w:rFonts w:ascii="Times New Roman" w:hAnsi="Times New Roman"/>
          <w:szCs w:val="24"/>
        </w:rPr>
        <w:t>These rights are a reflection of the needs and interest of victims. Some of these rights grant victims the platform to participate in criminal trials. This shift is a gradual development</w:t>
      </w:r>
      <w:r w:rsidR="00423FF9" w:rsidRPr="00693DE6">
        <w:rPr>
          <w:rFonts w:ascii="Times New Roman" w:hAnsi="Times New Roman"/>
          <w:szCs w:val="24"/>
        </w:rPr>
        <w:t xml:space="preserve"> </w:t>
      </w:r>
      <w:r>
        <w:rPr>
          <w:rFonts w:ascii="Times New Roman" w:hAnsi="Times New Roman"/>
          <w:szCs w:val="24"/>
        </w:rPr>
        <w:t>that is evident in the success of domestic victims</w:t>
      </w:r>
      <w:r w:rsidR="00F72A5B">
        <w:rPr>
          <w:rFonts w:ascii="Times New Roman" w:hAnsi="Times New Roman"/>
          <w:szCs w:val="24"/>
        </w:rPr>
        <w:t>'</w:t>
      </w:r>
      <w:r>
        <w:rPr>
          <w:rFonts w:ascii="Times New Roman" w:hAnsi="Times New Roman"/>
          <w:szCs w:val="24"/>
        </w:rPr>
        <w:t xml:space="preserve"> rights movement, the emergence of human rights norms, and an international consensus that victim participation is essential to international criminal proceedings' legitimacy and effectivenes</w:t>
      </w:r>
      <w:r w:rsidR="00DA1068" w:rsidRPr="00693DE6">
        <w:rPr>
          <w:rFonts w:ascii="Times New Roman" w:hAnsi="Times New Roman"/>
          <w:szCs w:val="24"/>
        </w:rPr>
        <w:t>s.</w:t>
      </w:r>
      <w:r w:rsidR="00DA1068" w:rsidRPr="00693DE6">
        <w:rPr>
          <w:rStyle w:val="FootnoteReference"/>
          <w:rFonts w:ascii="Times New Roman" w:hAnsi="Times New Roman"/>
          <w:szCs w:val="24"/>
        </w:rPr>
        <w:footnoteReference w:id="7"/>
      </w:r>
      <w:r w:rsidR="0053115B" w:rsidRPr="00693DE6">
        <w:rPr>
          <w:rFonts w:ascii="Times New Roman" w:hAnsi="Times New Roman"/>
          <w:szCs w:val="24"/>
        </w:rPr>
        <w:t xml:space="preserve"> This thesis will</w:t>
      </w:r>
      <w:r w:rsidR="000415C2" w:rsidRPr="00693DE6">
        <w:rPr>
          <w:rFonts w:ascii="Times New Roman" w:hAnsi="Times New Roman"/>
          <w:szCs w:val="24"/>
        </w:rPr>
        <w:t xml:space="preserve"> focus on </w:t>
      </w:r>
      <w:r>
        <w:rPr>
          <w:rFonts w:ascii="Times New Roman" w:hAnsi="Times New Roman"/>
          <w:szCs w:val="24"/>
        </w:rPr>
        <w:t>victims' rights and interest</w:t>
      </w:r>
      <w:r w:rsidR="0053115B" w:rsidRPr="00693DE6">
        <w:rPr>
          <w:rFonts w:ascii="Times New Roman" w:hAnsi="Times New Roman"/>
          <w:szCs w:val="24"/>
        </w:rPr>
        <w:t>s because of</w:t>
      </w:r>
      <w:r w:rsidR="000415C2" w:rsidRPr="00693DE6">
        <w:rPr>
          <w:rFonts w:ascii="Times New Roman" w:hAnsi="Times New Roman"/>
          <w:szCs w:val="24"/>
        </w:rPr>
        <w:t xml:space="preserve"> the </w:t>
      </w:r>
      <w:r w:rsidR="0053115B" w:rsidRPr="00693DE6">
        <w:rPr>
          <w:rFonts w:ascii="Times New Roman" w:hAnsi="Times New Roman"/>
          <w:szCs w:val="24"/>
        </w:rPr>
        <w:t>growing role that victims have gained in national and</w:t>
      </w:r>
      <w:r w:rsidR="00372669">
        <w:rPr>
          <w:rFonts w:ascii="Times New Roman" w:hAnsi="Times New Roman"/>
          <w:szCs w:val="24"/>
        </w:rPr>
        <w:t xml:space="preserve"> international criminal justice. Which,</w:t>
      </w:r>
      <w:r w:rsidR="0053115B" w:rsidRPr="00693DE6">
        <w:rPr>
          <w:rFonts w:ascii="Times New Roman" w:hAnsi="Times New Roman"/>
          <w:szCs w:val="24"/>
        </w:rPr>
        <w:t xml:space="preserve"> is also the rationale behind their involvement in the ICC.</w:t>
      </w:r>
    </w:p>
    <w:p w14:paraId="094A1848" w14:textId="4BA5DC3B" w:rsidR="00DA1068" w:rsidRPr="00693DE6" w:rsidRDefault="006B206B" w:rsidP="00372669">
      <w:pPr>
        <w:spacing w:line="480" w:lineRule="auto"/>
        <w:jc w:val="both"/>
        <w:rPr>
          <w:rFonts w:ascii="Times New Roman" w:hAnsi="Times New Roman"/>
          <w:szCs w:val="24"/>
        </w:rPr>
      </w:pPr>
      <w:r w:rsidRPr="00693DE6">
        <w:rPr>
          <w:rFonts w:ascii="Times New Roman" w:hAnsi="Times New Roman"/>
          <w:szCs w:val="24"/>
        </w:rPr>
        <w:t xml:space="preserve"> </w:t>
      </w:r>
      <w:r w:rsidR="00293966" w:rsidRPr="00693DE6">
        <w:rPr>
          <w:rFonts w:ascii="Times New Roman" w:hAnsi="Times New Roman"/>
          <w:szCs w:val="24"/>
        </w:rPr>
        <w:t>Victims</w:t>
      </w:r>
      <w:r w:rsidR="00372669">
        <w:rPr>
          <w:rFonts w:ascii="Times New Roman" w:hAnsi="Times New Roman"/>
          <w:szCs w:val="24"/>
        </w:rPr>
        <w:t>,</w:t>
      </w:r>
      <w:r w:rsidR="00293966" w:rsidRPr="00693DE6">
        <w:rPr>
          <w:rFonts w:ascii="Times New Roman" w:hAnsi="Times New Roman"/>
          <w:szCs w:val="24"/>
        </w:rPr>
        <w:t xml:space="preserve"> as stakeholders in the criminal justice system</w:t>
      </w:r>
      <w:r w:rsidR="00372669">
        <w:rPr>
          <w:rFonts w:ascii="Times New Roman" w:hAnsi="Times New Roman"/>
          <w:szCs w:val="24"/>
        </w:rPr>
        <w:t>,</w:t>
      </w:r>
      <w:r w:rsidR="00293966" w:rsidRPr="00693DE6">
        <w:rPr>
          <w:rFonts w:ascii="Times New Roman" w:hAnsi="Times New Roman"/>
          <w:szCs w:val="24"/>
        </w:rPr>
        <w:t xml:space="preserve"> require rights to access justice. These rights may be described as a means to an end for them</w:t>
      </w:r>
      <w:r w:rsidR="00EE460F">
        <w:rPr>
          <w:rFonts w:ascii="Times New Roman" w:hAnsi="Times New Roman"/>
          <w:szCs w:val="24"/>
        </w:rPr>
        <w:t>; a</w:t>
      </w:r>
      <w:r w:rsidR="00293966" w:rsidRPr="00693DE6">
        <w:rPr>
          <w:rFonts w:ascii="Times New Roman" w:hAnsi="Times New Roman"/>
          <w:szCs w:val="24"/>
        </w:rPr>
        <w:t xml:space="preserve"> tool that empowers them in the criminal process. Their interests also lie in criminal proceedings.</w:t>
      </w:r>
      <w:r w:rsidRPr="00693DE6">
        <w:rPr>
          <w:rFonts w:ascii="Times New Roman" w:hAnsi="Times New Roman"/>
          <w:szCs w:val="24"/>
        </w:rPr>
        <w:t xml:space="preserve"> </w:t>
      </w:r>
      <w:r w:rsidR="006D3444">
        <w:rPr>
          <w:rFonts w:ascii="Times New Roman" w:hAnsi="Times New Roman"/>
          <w:szCs w:val="24"/>
        </w:rPr>
        <w:t>Victims' rights and interest</w:t>
      </w:r>
      <w:r w:rsidR="00C519D6" w:rsidRPr="00693DE6">
        <w:rPr>
          <w:rFonts w:ascii="Times New Roman" w:hAnsi="Times New Roman"/>
          <w:szCs w:val="24"/>
        </w:rPr>
        <w:t>s could be used to determine what victims want from the criminal justice system. It may also set out their expectations.</w:t>
      </w:r>
      <w:r w:rsidR="00167C84" w:rsidRPr="00693DE6">
        <w:rPr>
          <w:rFonts w:ascii="Times New Roman" w:hAnsi="Times New Roman"/>
          <w:szCs w:val="24"/>
        </w:rPr>
        <w:t xml:space="preserve"> </w:t>
      </w:r>
      <w:r w:rsidR="00372669">
        <w:rPr>
          <w:rFonts w:ascii="Times New Roman" w:hAnsi="Times New Roman"/>
          <w:szCs w:val="24"/>
        </w:rPr>
        <w:t>Studies have shown that i</w:t>
      </w:r>
      <w:r w:rsidR="00167C84" w:rsidRPr="00693DE6">
        <w:rPr>
          <w:rFonts w:ascii="Times New Roman" w:hAnsi="Times New Roman"/>
          <w:szCs w:val="24"/>
        </w:rPr>
        <w:t>f victims were given ri</w:t>
      </w:r>
      <w:r w:rsidR="00372669">
        <w:rPr>
          <w:rFonts w:ascii="Times New Roman" w:hAnsi="Times New Roman"/>
          <w:szCs w:val="24"/>
        </w:rPr>
        <w:t>ghts as entitlements</w:t>
      </w:r>
      <w:r w:rsidR="00167C84" w:rsidRPr="00693DE6">
        <w:rPr>
          <w:rFonts w:ascii="Times New Roman" w:hAnsi="Times New Roman"/>
          <w:szCs w:val="24"/>
        </w:rPr>
        <w:t>, th</w:t>
      </w:r>
      <w:r w:rsidR="00EE460F">
        <w:rPr>
          <w:rFonts w:ascii="Times New Roman" w:hAnsi="Times New Roman"/>
          <w:szCs w:val="24"/>
        </w:rPr>
        <w:t>ese rights</w:t>
      </w:r>
      <w:r w:rsidR="00167C84" w:rsidRPr="00693DE6">
        <w:rPr>
          <w:rFonts w:ascii="Times New Roman" w:hAnsi="Times New Roman"/>
          <w:szCs w:val="24"/>
        </w:rPr>
        <w:t xml:space="preserve"> </w:t>
      </w:r>
      <w:r w:rsidR="00372669">
        <w:rPr>
          <w:rFonts w:ascii="Times New Roman" w:hAnsi="Times New Roman"/>
          <w:szCs w:val="24"/>
        </w:rPr>
        <w:t>m</w:t>
      </w:r>
      <w:r w:rsidR="00EE460F">
        <w:rPr>
          <w:rFonts w:ascii="Times New Roman" w:hAnsi="Times New Roman"/>
          <w:szCs w:val="24"/>
        </w:rPr>
        <w:t>ight</w:t>
      </w:r>
      <w:r w:rsidR="00372669">
        <w:rPr>
          <w:rFonts w:ascii="Times New Roman" w:hAnsi="Times New Roman"/>
          <w:szCs w:val="24"/>
        </w:rPr>
        <w:t xml:space="preserve"> enhance</w:t>
      </w:r>
      <w:r w:rsidR="00167C84" w:rsidRPr="00693DE6">
        <w:rPr>
          <w:rFonts w:ascii="Times New Roman" w:hAnsi="Times New Roman"/>
          <w:szCs w:val="24"/>
        </w:rPr>
        <w:t xml:space="preserve"> their access to justice.</w:t>
      </w:r>
      <w:r w:rsidR="00167C84" w:rsidRPr="00693DE6">
        <w:rPr>
          <w:rStyle w:val="FootnoteReference"/>
          <w:rFonts w:ascii="Times New Roman" w:hAnsi="Times New Roman"/>
          <w:szCs w:val="24"/>
        </w:rPr>
        <w:footnoteReference w:id="8"/>
      </w:r>
      <w:r w:rsidR="00167C84" w:rsidRPr="00693DE6">
        <w:rPr>
          <w:rFonts w:ascii="Times New Roman" w:hAnsi="Times New Roman"/>
          <w:szCs w:val="24"/>
        </w:rPr>
        <w:t xml:space="preserve"> However, we should bear in mind that the purpose of these rights is not to create a balance or </w:t>
      </w:r>
      <w:r w:rsidR="00372669">
        <w:rPr>
          <w:rFonts w:ascii="Times New Roman" w:hAnsi="Times New Roman"/>
          <w:szCs w:val="24"/>
        </w:rPr>
        <w:t xml:space="preserve">parity of rights with the </w:t>
      </w:r>
      <w:r w:rsidR="006D3444">
        <w:rPr>
          <w:rFonts w:ascii="Times New Roman" w:hAnsi="Times New Roman"/>
          <w:szCs w:val="24"/>
        </w:rPr>
        <w:t>defendant's position</w:t>
      </w:r>
      <w:r w:rsidR="00167C84" w:rsidRPr="00693DE6">
        <w:rPr>
          <w:rFonts w:ascii="Times New Roman" w:hAnsi="Times New Roman"/>
          <w:szCs w:val="24"/>
        </w:rPr>
        <w:t xml:space="preserve"> within sentencing or criminal </w:t>
      </w:r>
      <w:r w:rsidR="00167C84" w:rsidRPr="00693DE6">
        <w:rPr>
          <w:rFonts w:ascii="Times New Roman" w:hAnsi="Times New Roman"/>
          <w:szCs w:val="24"/>
        </w:rPr>
        <w:lastRenderedPageBreak/>
        <w:t>justice in general, but rather these rights are needed to access justice and express their concerns.</w:t>
      </w:r>
    </w:p>
    <w:p w14:paraId="7A92387A" w14:textId="4190F505" w:rsidR="0028736A" w:rsidRPr="00693DE6" w:rsidRDefault="00971F73" w:rsidP="00693DE6">
      <w:pPr>
        <w:spacing w:line="480" w:lineRule="auto"/>
        <w:jc w:val="both"/>
        <w:rPr>
          <w:rFonts w:ascii="Times New Roman" w:hAnsi="Times New Roman"/>
          <w:szCs w:val="24"/>
        </w:rPr>
      </w:pPr>
      <w:r w:rsidRPr="00693DE6">
        <w:rPr>
          <w:rFonts w:ascii="Times New Roman" w:hAnsi="Times New Roman"/>
          <w:szCs w:val="24"/>
        </w:rPr>
        <w:t>For</w:t>
      </w:r>
      <w:r w:rsidR="00EE460F">
        <w:rPr>
          <w:rFonts w:ascii="Times New Roman" w:hAnsi="Times New Roman"/>
          <w:szCs w:val="24"/>
        </w:rPr>
        <w:t xml:space="preserve"> </w:t>
      </w:r>
      <w:r w:rsidRPr="00693DE6">
        <w:rPr>
          <w:rFonts w:ascii="Times New Roman" w:hAnsi="Times New Roman"/>
          <w:szCs w:val="24"/>
        </w:rPr>
        <w:t xml:space="preserve">this thesis, the </w:t>
      </w:r>
      <w:r w:rsidR="006D3444">
        <w:rPr>
          <w:rFonts w:ascii="Times New Roman" w:hAnsi="Times New Roman"/>
          <w:szCs w:val="24"/>
        </w:rPr>
        <w:t>ICC's jurisprudence</w:t>
      </w:r>
      <w:r w:rsidR="008E5D3B" w:rsidRPr="00693DE6">
        <w:rPr>
          <w:rFonts w:ascii="Times New Roman" w:hAnsi="Times New Roman"/>
          <w:szCs w:val="24"/>
        </w:rPr>
        <w:t>,</w:t>
      </w:r>
      <w:r w:rsidR="005260DE" w:rsidRPr="00693DE6">
        <w:rPr>
          <w:rFonts w:ascii="Times New Roman" w:hAnsi="Times New Roman"/>
          <w:szCs w:val="24"/>
        </w:rPr>
        <w:t xml:space="preserve"> </w:t>
      </w:r>
      <w:r w:rsidR="008E5D3B" w:rsidRPr="00693DE6">
        <w:rPr>
          <w:rFonts w:ascii="Times New Roman" w:hAnsi="Times New Roman"/>
          <w:szCs w:val="24"/>
        </w:rPr>
        <w:t>including court judgements and trial transcripts</w:t>
      </w:r>
      <w:r w:rsidR="009906D0">
        <w:rPr>
          <w:rFonts w:ascii="Times New Roman" w:hAnsi="Times New Roman"/>
          <w:szCs w:val="24"/>
        </w:rPr>
        <w:t>, shall be accessed and analysed, focusing particularly on two completed cases relating to the DRC situation</w:t>
      </w:r>
      <w:r w:rsidR="008E5D3B" w:rsidRPr="00693DE6">
        <w:rPr>
          <w:rFonts w:ascii="Times New Roman" w:hAnsi="Times New Roman"/>
          <w:szCs w:val="24"/>
        </w:rPr>
        <w:t>,</w:t>
      </w:r>
      <w:r w:rsidR="00142141" w:rsidRPr="00693DE6">
        <w:rPr>
          <w:rFonts w:ascii="Times New Roman" w:hAnsi="Times New Roman"/>
          <w:szCs w:val="24"/>
        </w:rPr>
        <w:t xml:space="preserve"> </w:t>
      </w:r>
      <w:r w:rsidR="008E5D3B" w:rsidRPr="00693DE6">
        <w:rPr>
          <w:rFonts w:ascii="Times New Roman" w:hAnsi="Times New Roman"/>
          <w:szCs w:val="24"/>
        </w:rPr>
        <w:t xml:space="preserve">namely </w:t>
      </w:r>
      <w:r w:rsidR="008E5D3B" w:rsidRPr="00693DE6">
        <w:rPr>
          <w:rFonts w:ascii="Times New Roman" w:hAnsi="Times New Roman"/>
          <w:i/>
          <w:szCs w:val="24"/>
        </w:rPr>
        <w:t>Lubanga</w:t>
      </w:r>
      <w:r w:rsidR="008E5D3B" w:rsidRPr="00693DE6">
        <w:rPr>
          <w:rFonts w:ascii="Times New Roman" w:hAnsi="Times New Roman"/>
          <w:szCs w:val="24"/>
        </w:rPr>
        <w:t xml:space="preserve"> and </w:t>
      </w:r>
      <w:r w:rsidR="008E5D3B" w:rsidRPr="00693DE6">
        <w:rPr>
          <w:rFonts w:ascii="Times New Roman" w:hAnsi="Times New Roman"/>
          <w:i/>
          <w:szCs w:val="24"/>
        </w:rPr>
        <w:t>Katanga</w:t>
      </w:r>
      <w:r w:rsidR="00EE460F">
        <w:rPr>
          <w:rFonts w:ascii="Times New Roman" w:hAnsi="Times New Roman"/>
          <w:i/>
          <w:szCs w:val="24"/>
        </w:rPr>
        <w:t>.</w:t>
      </w:r>
      <w:r w:rsidR="00423FF9" w:rsidRPr="00693DE6">
        <w:rPr>
          <w:rFonts w:ascii="Times New Roman" w:hAnsi="Times New Roman"/>
          <w:szCs w:val="24"/>
        </w:rPr>
        <w:t xml:space="preserve"> </w:t>
      </w:r>
      <w:r w:rsidRPr="00693DE6">
        <w:rPr>
          <w:rFonts w:ascii="Times New Roman" w:hAnsi="Times New Roman"/>
          <w:szCs w:val="24"/>
        </w:rPr>
        <w:t>This is necessary because</w:t>
      </w:r>
      <w:r w:rsidR="00372669">
        <w:rPr>
          <w:rFonts w:ascii="Times New Roman" w:hAnsi="Times New Roman"/>
          <w:szCs w:val="24"/>
        </w:rPr>
        <w:t>, since the entry into force of the Rome Statute in 1998, the ICC has been hailed as the benchmark for victims</w:t>
      </w:r>
      <w:r w:rsidR="00F72A5B">
        <w:rPr>
          <w:rFonts w:ascii="Times New Roman" w:hAnsi="Times New Roman"/>
          <w:szCs w:val="24"/>
        </w:rPr>
        <w:t>'</w:t>
      </w:r>
      <w:r w:rsidR="00372669">
        <w:rPr>
          <w:rFonts w:ascii="Times New Roman" w:hAnsi="Times New Roman"/>
          <w:szCs w:val="24"/>
        </w:rPr>
        <w:t xml:space="preserve"> rights and interests in the arena of international criminal justice.</w:t>
      </w:r>
      <w:r w:rsidRPr="00693DE6">
        <w:rPr>
          <w:rFonts w:ascii="Times New Roman" w:hAnsi="Times New Roman"/>
          <w:szCs w:val="24"/>
        </w:rPr>
        <w:t xml:space="preserve"> </w:t>
      </w:r>
    </w:p>
    <w:p w14:paraId="108AFAEB" w14:textId="4C1E3051" w:rsidR="001C53B7" w:rsidRPr="00693DE6" w:rsidRDefault="00726852" w:rsidP="000C4174">
      <w:pPr>
        <w:pStyle w:val="Heading2"/>
      </w:pPr>
      <w:bookmarkStart w:id="2" w:name="_Toc60235781"/>
      <w:r w:rsidRPr="00693DE6">
        <w:t>1.2.</w:t>
      </w:r>
      <w:r w:rsidR="00E322AE" w:rsidRPr="00693DE6">
        <w:t xml:space="preserve">Background </w:t>
      </w:r>
      <w:r w:rsidR="00142141" w:rsidRPr="00693DE6">
        <w:t>of</w:t>
      </w:r>
      <w:r w:rsidR="00E322AE" w:rsidRPr="00693DE6">
        <w:t xml:space="preserve"> the </w:t>
      </w:r>
      <w:r w:rsidR="00174D58">
        <w:t>s</w:t>
      </w:r>
      <w:r w:rsidR="00E322AE" w:rsidRPr="00693DE6">
        <w:t>tudy</w:t>
      </w:r>
      <w:bookmarkEnd w:id="2"/>
    </w:p>
    <w:p w14:paraId="3EC8BF78" w14:textId="79418919" w:rsidR="00221F28" w:rsidRPr="00693DE6" w:rsidRDefault="00EE460F" w:rsidP="00693DE6">
      <w:pPr>
        <w:spacing w:line="480" w:lineRule="auto"/>
        <w:jc w:val="both"/>
        <w:rPr>
          <w:rFonts w:ascii="Times New Roman" w:hAnsi="Times New Roman"/>
          <w:szCs w:val="24"/>
        </w:rPr>
      </w:pPr>
      <w:r>
        <w:rPr>
          <w:rFonts w:ascii="Times New Roman" w:hAnsi="Times New Roman"/>
          <w:szCs w:val="24"/>
        </w:rPr>
        <w:t>This section</w:t>
      </w:r>
      <w:r w:rsidR="00221F28" w:rsidRPr="00693DE6">
        <w:rPr>
          <w:rFonts w:ascii="Times New Roman" w:hAnsi="Times New Roman"/>
          <w:szCs w:val="24"/>
        </w:rPr>
        <w:t xml:space="preserve"> shall be discussing the backgro</w:t>
      </w:r>
      <w:r w:rsidR="00372669">
        <w:rPr>
          <w:rFonts w:ascii="Times New Roman" w:hAnsi="Times New Roman"/>
          <w:szCs w:val="24"/>
        </w:rPr>
        <w:t xml:space="preserve">und to the study </w:t>
      </w:r>
      <w:r w:rsidR="00221F28" w:rsidRPr="00693DE6">
        <w:rPr>
          <w:rFonts w:ascii="Times New Roman" w:hAnsi="Times New Roman"/>
          <w:szCs w:val="24"/>
        </w:rPr>
        <w:t>to provide</w:t>
      </w:r>
      <w:r w:rsidR="00142141" w:rsidRPr="00693DE6">
        <w:rPr>
          <w:rFonts w:ascii="Times New Roman" w:hAnsi="Times New Roman"/>
          <w:szCs w:val="24"/>
        </w:rPr>
        <w:t xml:space="preserve"> </w:t>
      </w:r>
      <w:r w:rsidR="00221F28" w:rsidRPr="00693DE6">
        <w:rPr>
          <w:rFonts w:ascii="Times New Roman" w:hAnsi="Times New Roman"/>
          <w:szCs w:val="24"/>
        </w:rPr>
        <w:t>the co</w:t>
      </w:r>
      <w:r w:rsidR="00372669">
        <w:rPr>
          <w:rFonts w:ascii="Times New Roman" w:hAnsi="Times New Roman"/>
          <w:szCs w:val="24"/>
        </w:rPr>
        <w:t xml:space="preserve">ntext to the information of the </w:t>
      </w:r>
      <w:r>
        <w:rPr>
          <w:rFonts w:ascii="Times New Roman" w:hAnsi="Times New Roman"/>
          <w:szCs w:val="24"/>
        </w:rPr>
        <w:t>subsequent</w:t>
      </w:r>
      <w:r w:rsidR="00372669">
        <w:rPr>
          <w:rFonts w:ascii="Times New Roman" w:hAnsi="Times New Roman"/>
          <w:szCs w:val="24"/>
        </w:rPr>
        <w:t xml:space="preserve"> analysis.</w:t>
      </w:r>
      <w:r w:rsidR="00142141" w:rsidRPr="00693DE6">
        <w:rPr>
          <w:rFonts w:ascii="Times New Roman" w:hAnsi="Times New Roman"/>
          <w:szCs w:val="24"/>
        </w:rPr>
        <w:t xml:space="preserve"> </w:t>
      </w:r>
      <w:r w:rsidR="00221F28" w:rsidRPr="00693DE6">
        <w:rPr>
          <w:rFonts w:ascii="Times New Roman" w:hAnsi="Times New Roman"/>
          <w:szCs w:val="24"/>
        </w:rPr>
        <w:t>This background also reviews the previous studies about the topic a</w:t>
      </w:r>
      <w:r w:rsidR="006D3444">
        <w:rPr>
          <w:rFonts w:ascii="Times New Roman" w:hAnsi="Times New Roman"/>
          <w:szCs w:val="24"/>
        </w:rPr>
        <w:t>nd</w:t>
      </w:r>
      <w:r w:rsidR="00221F28" w:rsidRPr="00693DE6">
        <w:rPr>
          <w:rFonts w:ascii="Times New Roman" w:hAnsi="Times New Roman"/>
          <w:szCs w:val="24"/>
        </w:rPr>
        <w:t xml:space="preserve"> the </w:t>
      </w:r>
      <w:r w:rsidR="00372669">
        <w:rPr>
          <w:rFonts w:ascii="Times New Roman" w:hAnsi="Times New Roman"/>
          <w:szCs w:val="24"/>
        </w:rPr>
        <w:t>recent developments in the area</w:t>
      </w:r>
      <w:r w:rsidR="00221F28" w:rsidRPr="00693DE6">
        <w:rPr>
          <w:rFonts w:ascii="Times New Roman" w:hAnsi="Times New Roman"/>
          <w:szCs w:val="24"/>
        </w:rPr>
        <w:t>.</w:t>
      </w:r>
    </w:p>
    <w:p w14:paraId="36663DFA" w14:textId="1EC26F11" w:rsidR="003B1EC1" w:rsidRPr="00693DE6" w:rsidRDefault="006D1A4C" w:rsidP="00693DE6">
      <w:pPr>
        <w:spacing w:line="480" w:lineRule="auto"/>
        <w:jc w:val="both"/>
        <w:rPr>
          <w:rFonts w:ascii="Times New Roman" w:hAnsi="Times New Roman"/>
          <w:szCs w:val="24"/>
        </w:rPr>
      </w:pPr>
      <w:r w:rsidRPr="00693DE6">
        <w:rPr>
          <w:rFonts w:ascii="Times New Roman" w:hAnsi="Times New Roman"/>
          <w:szCs w:val="24"/>
        </w:rPr>
        <w:t>Over the years, soft laws like the United Natio</w:t>
      </w:r>
      <w:r w:rsidR="0060557B" w:rsidRPr="00693DE6">
        <w:rPr>
          <w:rFonts w:ascii="Times New Roman" w:hAnsi="Times New Roman"/>
          <w:szCs w:val="24"/>
        </w:rPr>
        <w:t>ns Declaration on Basic</w:t>
      </w:r>
      <w:r w:rsidRPr="00693DE6">
        <w:rPr>
          <w:rFonts w:ascii="Times New Roman" w:hAnsi="Times New Roman"/>
          <w:szCs w:val="24"/>
        </w:rPr>
        <w:t xml:space="preserve"> Principles </w:t>
      </w:r>
      <w:r w:rsidR="0060557B" w:rsidRPr="00693DE6">
        <w:rPr>
          <w:rFonts w:ascii="Times New Roman" w:hAnsi="Times New Roman"/>
          <w:szCs w:val="24"/>
        </w:rPr>
        <w:t xml:space="preserve">of justice for victims of crime and abuse of power 1985(herein referred to as 1985 UN Declaration) and the Basic Principles and </w:t>
      </w:r>
      <w:r w:rsidR="00EE460F">
        <w:rPr>
          <w:rFonts w:ascii="Times New Roman" w:hAnsi="Times New Roman"/>
          <w:szCs w:val="24"/>
        </w:rPr>
        <w:t>G</w:t>
      </w:r>
      <w:r w:rsidR="0060557B" w:rsidRPr="00693DE6">
        <w:rPr>
          <w:rFonts w:ascii="Times New Roman" w:hAnsi="Times New Roman"/>
          <w:szCs w:val="24"/>
        </w:rPr>
        <w:t>uidelines on the right to a remedy and reparations 2005(2005 Basic Principles.) have influenced the rec</w:t>
      </w:r>
      <w:r w:rsidR="00764C65" w:rsidRPr="00693DE6">
        <w:rPr>
          <w:rFonts w:ascii="Times New Roman" w:hAnsi="Times New Roman"/>
          <w:szCs w:val="24"/>
        </w:rPr>
        <w:t>ognition of victims within the international criminal justice</w:t>
      </w:r>
      <w:r w:rsidR="0060557B" w:rsidRPr="00693DE6">
        <w:rPr>
          <w:rFonts w:ascii="Times New Roman" w:hAnsi="Times New Roman"/>
          <w:szCs w:val="24"/>
        </w:rPr>
        <w:t>.</w:t>
      </w:r>
      <w:r w:rsidR="003264AF" w:rsidRPr="00693DE6">
        <w:rPr>
          <w:rFonts w:ascii="Times New Roman" w:hAnsi="Times New Roman"/>
          <w:szCs w:val="24"/>
        </w:rPr>
        <w:t xml:space="preserve"> </w:t>
      </w:r>
      <w:r w:rsidR="0060557B" w:rsidRPr="00693DE6">
        <w:rPr>
          <w:rFonts w:ascii="Times New Roman" w:hAnsi="Times New Roman"/>
          <w:szCs w:val="24"/>
        </w:rPr>
        <w:t>Although these instruments are not legally binding, nevertheless, they are persuasive.</w:t>
      </w:r>
      <w:r w:rsidR="00764C65" w:rsidRPr="00693DE6">
        <w:rPr>
          <w:rFonts w:ascii="Times New Roman" w:hAnsi="Times New Roman"/>
          <w:szCs w:val="24"/>
        </w:rPr>
        <w:t xml:space="preserve"> </w:t>
      </w:r>
      <w:r w:rsidR="0060557B" w:rsidRPr="00693DE6">
        <w:rPr>
          <w:rFonts w:ascii="Times New Roman" w:hAnsi="Times New Roman"/>
          <w:szCs w:val="24"/>
        </w:rPr>
        <w:t>The Rome Statute ha</w:t>
      </w:r>
      <w:r w:rsidR="00142141" w:rsidRPr="00693DE6">
        <w:rPr>
          <w:rFonts w:ascii="Times New Roman" w:hAnsi="Times New Roman"/>
          <w:szCs w:val="24"/>
        </w:rPr>
        <w:t>s</w:t>
      </w:r>
      <w:r w:rsidR="0060557B" w:rsidRPr="00693DE6">
        <w:rPr>
          <w:rFonts w:ascii="Times New Roman" w:hAnsi="Times New Roman"/>
          <w:szCs w:val="24"/>
        </w:rPr>
        <w:t xml:space="preserve"> duplicated some of i</w:t>
      </w:r>
      <w:r w:rsidR="00142141" w:rsidRPr="00693DE6">
        <w:rPr>
          <w:rFonts w:ascii="Times New Roman" w:hAnsi="Times New Roman"/>
          <w:szCs w:val="24"/>
        </w:rPr>
        <w:t>ts provisions. Jan Van Dijk</w:t>
      </w:r>
      <w:r w:rsidR="00F72A5B">
        <w:rPr>
          <w:rFonts w:ascii="Times New Roman" w:hAnsi="Times New Roman"/>
          <w:szCs w:val="24"/>
        </w:rPr>
        <w:t>'</w:t>
      </w:r>
      <w:r w:rsidR="00142141" w:rsidRPr="00693DE6">
        <w:rPr>
          <w:rFonts w:ascii="Times New Roman" w:hAnsi="Times New Roman"/>
          <w:szCs w:val="24"/>
        </w:rPr>
        <w:t xml:space="preserve"> writes:</w:t>
      </w:r>
    </w:p>
    <w:p w14:paraId="0B64826E" w14:textId="6DCFC9AC" w:rsidR="006D1A4C" w:rsidRPr="00693DE6" w:rsidRDefault="0060557B" w:rsidP="0013199F">
      <w:pPr>
        <w:pStyle w:val="Quote"/>
        <w:rPr>
          <w:rFonts w:ascii="Times New Roman" w:hAnsi="Times New Roman"/>
          <w:szCs w:val="24"/>
        </w:rPr>
      </w:pPr>
      <w:r w:rsidRPr="00693DE6">
        <w:rPr>
          <w:rFonts w:ascii="Times New Roman" w:hAnsi="Times New Roman"/>
          <w:szCs w:val="24"/>
        </w:rPr>
        <w:t xml:space="preserve"> </w:t>
      </w:r>
      <w:r w:rsidR="00F72A5B">
        <w:rPr>
          <w:rFonts w:ascii="Times New Roman" w:hAnsi="Times New Roman"/>
          <w:szCs w:val="24"/>
        </w:rPr>
        <w:t>"</w:t>
      </w:r>
      <w:r w:rsidRPr="0013199F">
        <w:rPr>
          <w:rFonts w:ascii="Times New Roman" w:hAnsi="Times New Roman"/>
          <w:i w:val="0"/>
          <w:szCs w:val="24"/>
        </w:rPr>
        <w:t>This Declaration, although not legall</w:t>
      </w:r>
      <w:r w:rsidR="003B1EC1" w:rsidRPr="0013199F">
        <w:rPr>
          <w:rFonts w:ascii="Times New Roman" w:hAnsi="Times New Roman"/>
          <w:i w:val="0"/>
          <w:szCs w:val="24"/>
        </w:rPr>
        <w:t>y</w:t>
      </w:r>
      <w:r w:rsidRPr="0013199F">
        <w:rPr>
          <w:rFonts w:ascii="Times New Roman" w:hAnsi="Times New Roman"/>
          <w:i w:val="0"/>
          <w:szCs w:val="24"/>
        </w:rPr>
        <w:t xml:space="preserve"> binding by itself, is seen as a landmark achievement </w:t>
      </w:r>
      <w:r w:rsidR="003B1EC1" w:rsidRPr="0013199F">
        <w:rPr>
          <w:rFonts w:ascii="Times New Roman" w:hAnsi="Times New Roman"/>
          <w:i w:val="0"/>
          <w:szCs w:val="24"/>
        </w:rPr>
        <w:t>of the</w:t>
      </w:r>
      <w:r w:rsidRPr="0013199F">
        <w:rPr>
          <w:rFonts w:ascii="Times New Roman" w:hAnsi="Times New Roman"/>
          <w:i w:val="0"/>
          <w:szCs w:val="24"/>
        </w:rPr>
        <w:t xml:space="preserve"> international movement to advance </w:t>
      </w:r>
      <w:r w:rsidRPr="0013199F">
        <w:rPr>
          <w:rFonts w:ascii="Times New Roman" w:hAnsi="Times New Roman"/>
          <w:i w:val="0"/>
          <w:szCs w:val="24"/>
        </w:rPr>
        <w:lastRenderedPageBreak/>
        <w:t>the interests of crime victims.</w:t>
      </w:r>
      <w:r w:rsidR="00142141" w:rsidRPr="0013199F">
        <w:rPr>
          <w:rFonts w:ascii="Times New Roman" w:hAnsi="Times New Roman"/>
          <w:i w:val="0"/>
          <w:szCs w:val="24"/>
        </w:rPr>
        <w:t xml:space="preserve"> </w:t>
      </w:r>
      <w:r w:rsidR="003B1EC1" w:rsidRPr="0013199F">
        <w:rPr>
          <w:rFonts w:ascii="Times New Roman" w:hAnsi="Times New Roman"/>
          <w:i w:val="0"/>
          <w:szCs w:val="24"/>
        </w:rPr>
        <w:t>It can also be used as a benchmark against which progress  in domestic policies can be me</w:t>
      </w:r>
      <w:r w:rsidR="00D22923" w:rsidRPr="0013199F">
        <w:rPr>
          <w:rFonts w:ascii="Times New Roman" w:hAnsi="Times New Roman"/>
          <w:i w:val="0"/>
          <w:szCs w:val="24"/>
        </w:rPr>
        <w:t>a</w:t>
      </w:r>
      <w:r w:rsidR="003B1EC1" w:rsidRPr="0013199F">
        <w:rPr>
          <w:rFonts w:ascii="Times New Roman" w:hAnsi="Times New Roman"/>
          <w:i w:val="0"/>
          <w:szCs w:val="24"/>
        </w:rPr>
        <w:t>sured</w:t>
      </w:r>
      <w:r w:rsidR="00EE460F">
        <w:rPr>
          <w:rFonts w:ascii="Times New Roman" w:hAnsi="Times New Roman"/>
          <w:i w:val="0"/>
          <w:szCs w:val="24"/>
        </w:rPr>
        <w:t>.</w:t>
      </w:r>
      <w:r w:rsidR="00F72A5B">
        <w:rPr>
          <w:rFonts w:ascii="Times New Roman" w:hAnsi="Times New Roman"/>
          <w:szCs w:val="24"/>
        </w:rPr>
        <w:t>"</w:t>
      </w:r>
      <w:r w:rsidR="003B1EC1" w:rsidRPr="00693DE6">
        <w:rPr>
          <w:rStyle w:val="FootnoteReference"/>
          <w:rFonts w:ascii="Times New Roman" w:hAnsi="Times New Roman"/>
          <w:szCs w:val="24"/>
        </w:rPr>
        <w:footnoteReference w:id="9"/>
      </w:r>
    </w:p>
    <w:p w14:paraId="29EC6AF0" w14:textId="4CDDD6B5" w:rsidR="006D1A4C" w:rsidRPr="00693DE6" w:rsidRDefault="006D1A4C" w:rsidP="00693DE6">
      <w:pPr>
        <w:spacing w:line="480" w:lineRule="auto"/>
        <w:jc w:val="both"/>
        <w:rPr>
          <w:rFonts w:ascii="Times New Roman" w:hAnsi="Times New Roman"/>
          <w:szCs w:val="24"/>
        </w:rPr>
      </w:pPr>
      <w:r w:rsidRPr="00693DE6">
        <w:rPr>
          <w:rFonts w:ascii="Times New Roman" w:hAnsi="Times New Roman"/>
          <w:szCs w:val="24"/>
        </w:rPr>
        <w:t>Victimological studies have established that victims have preferences when encountering the criminal justice system.</w:t>
      </w:r>
      <w:r w:rsidRPr="00693DE6">
        <w:rPr>
          <w:rStyle w:val="FootnoteReference"/>
          <w:rFonts w:ascii="Times New Roman" w:hAnsi="Times New Roman"/>
          <w:szCs w:val="24"/>
        </w:rPr>
        <w:footnoteReference w:id="10"/>
      </w:r>
      <w:r w:rsidR="006D3444">
        <w:rPr>
          <w:rFonts w:ascii="Times New Roman" w:hAnsi="Times New Roman"/>
          <w:szCs w:val="24"/>
        </w:rPr>
        <w:t>These preferences are often examined in connection with the elements of respect, voice,</w:t>
      </w:r>
      <w:r w:rsidRPr="00693DE6">
        <w:rPr>
          <w:rFonts w:ascii="Times New Roman" w:hAnsi="Times New Roman"/>
          <w:szCs w:val="24"/>
        </w:rPr>
        <w:t xml:space="preserve"> and fair treatment.</w:t>
      </w:r>
      <w:r w:rsidR="007232D0" w:rsidRPr="00693DE6">
        <w:rPr>
          <w:rFonts w:ascii="Times New Roman" w:hAnsi="Times New Roman"/>
          <w:szCs w:val="24"/>
        </w:rPr>
        <w:t xml:space="preserve"> </w:t>
      </w:r>
      <w:r w:rsidRPr="00693DE6">
        <w:rPr>
          <w:rFonts w:ascii="Times New Roman" w:hAnsi="Times New Roman"/>
          <w:szCs w:val="24"/>
        </w:rPr>
        <w:t>Some studies confirm that these elements ensure victims</w:t>
      </w:r>
      <w:r w:rsidR="00F72A5B">
        <w:rPr>
          <w:rFonts w:ascii="Times New Roman" w:hAnsi="Times New Roman"/>
          <w:szCs w:val="24"/>
        </w:rPr>
        <w:t>'</w:t>
      </w:r>
      <w:r w:rsidRPr="00693DE6">
        <w:rPr>
          <w:rFonts w:ascii="Times New Roman" w:hAnsi="Times New Roman"/>
          <w:szCs w:val="24"/>
        </w:rPr>
        <w:t xml:space="preserve"> satisfaction with the criminal justice system.</w:t>
      </w:r>
      <w:r w:rsidR="00EE460F">
        <w:rPr>
          <w:rStyle w:val="FootnoteReference"/>
          <w:rFonts w:ascii="Times New Roman" w:hAnsi="Times New Roman"/>
          <w:szCs w:val="24"/>
        </w:rPr>
        <w:footnoteReference w:id="11"/>
      </w:r>
    </w:p>
    <w:p w14:paraId="6DCF3CC5" w14:textId="2E60E691" w:rsidR="00406F06" w:rsidRPr="00693DE6" w:rsidRDefault="00406F06" w:rsidP="00693DE6">
      <w:pPr>
        <w:spacing w:line="480" w:lineRule="auto"/>
        <w:jc w:val="both"/>
        <w:rPr>
          <w:rFonts w:ascii="Times New Roman" w:hAnsi="Times New Roman"/>
          <w:szCs w:val="24"/>
        </w:rPr>
      </w:pPr>
      <w:r w:rsidRPr="00693DE6">
        <w:rPr>
          <w:rFonts w:ascii="Times New Roman" w:hAnsi="Times New Roman"/>
          <w:szCs w:val="24"/>
        </w:rPr>
        <w:t xml:space="preserve">According to Garland, victims have become a yardstick for estimating </w:t>
      </w:r>
      <w:r w:rsidR="006D3444">
        <w:rPr>
          <w:rFonts w:ascii="Times New Roman" w:hAnsi="Times New Roman"/>
          <w:szCs w:val="24"/>
        </w:rPr>
        <w:t>criminal justice systems' effectiveness and legitimacy</w:t>
      </w:r>
      <w:r w:rsidRPr="00693DE6">
        <w:rPr>
          <w:rFonts w:ascii="Times New Roman" w:hAnsi="Times New Roman"/>
          <w:szCs w:val="24"/>
        </w:rPr>
        <w:t>.</w:t>
      </w:r>
      <w:r w:rsidRPr="00693DE6">
        <w:rPr>
          <w:rStyle w:val="FootnoteReference"/>
          <w:rFonts w:ascii="Times New Roman" w:hAnsi="Times New Roman"/>
          <w:szCs w:val="24"/>
        </w:rPr>
        <w:footnoteReference w:id="12"/>
      </w:r>
      <w:r w:rsidRPr="00693DE6">
        <w:rPr>
          <w:rFonts w:ascii="Times New Roman" w:hAnsi="Times New Roman"/>
          <w:szCs w:val="24"/>
        </w:rPr>
        <w:t xml:space="preserve"> </w:t>
      </w:r>
      <w:proofErr w:type="spellStart"/>
      <w:r w:rsidR="00142141" w:rsidRPr="00693DE6">
        <w:rPr>
          <w:rFonts w:ascii="Times New Roman" w:hAnsi="Times New Roman"/>
          <w:szCs w:val="24"/>
        </w:rPr>
        <w:t>Doak</w:t>
      </w:r>
      <w:proofErr w:type="spellEnd"/>
      <w:r w:rsidR="00142141" w:rsidRPr="00693DE6">
        <w:rPr>
          <w:rFonts w:ascii="Times New Roman" w:hAnsi="Times New Roman"/>
          <w:szCs w:val="24"/>
        </w:rPr>
        <w:t xml:space="preserve"> supports this pr</w:t>
      </w:r>
      <w:r w:rsidR="00802BC2">
        <w:rPr>
          <w:rFonts w:ascii="Times New Roman" w:hAnsi="Times New Roman"/>
          <w:szCs w:val="24"/>
        </w:rPr>
        <w:t>o</w:t>
      </w:r>
      <w:r w:rsidR="00142141" w:rsidRPr="00693DE6">
        <w:rPr>
          <w:rFonts w:ascii="Times New Roman" w:hAnsi="Times New Roman"/>
          <w:szCs w:val="24"/>
        </w:rPr>
        <w:t>position. He</w:t>
      </w:r>
      <w:r w:rsidRPr="00693DE6">
        <w:rPr>
          <w:rFonts w:ascii="Times New Roman" w:hAnsi="Times New Roman"/>
          <w:szCs w:val="24"/>
        </w:rPr>
        <w:t xml:space="preserve"> asserts that </w:t>
      </w:r>
      <w:r w:rsidR="00142141" w:rsidRPr="00693DE6">
        <w:rPr>
          <w:rFonts w:ascii="Times New Roman" w:hAnsi="Times New Roman"/>
          <w:szCs w:val="24"/>
        </w:rPr>
        <w:t xml:space="preserve">the </w:t>
      </w:r>
      <w:r w:rsidRPr="00693DE6">
        <w:rPr>
          <w:rFonts w:ascii="Times New Roman" w:hAnsi="Times New Roman"/>
          <w:szCs w:val="24"/>
        </w:rPr>
        <w:t>involvement of victims in criminal justice systems legitimises the latter.</w:t>
      </w:r>
      <w:r w:rsidRPr="00693DE6">
        <w:rPr>
          <w:rStyle w:val="FootnoteReference"/>
          <w:rFonts w:ascii="Times New Roman" w:hAnsi="Times New Roman"/>
          <w:szCs w:val="24"/>
        </w:rPr>
        <w:footnoteReference w:id="13"/>
      </w:r>
    </w:p>
    <w:p w14:paraId="425B4BA0" w14:textId="1A817671" w:rsidR="00802BC2" w:rsidRDefault="00142141" w:rsidP="00693DE6">
      <w:pPr>
        <w:spacing w:line="480" w:lineRule="auto"/>
        <w:jc w:val="both"/>
        <w:rPr>
          <w:rFonts w:ascii="Times New Roman" w:hAnsi="Times New Roman"/>
          <w:szCs w:val="24"/>
        </w:rPr>
      </w:pPr>
      <w:r w:rsidRPr="00693DE6">
        <w:rPr>
          <w:rFonts w:ascii="Times New Roman" w:hAnsi="Times New Roman"/>
          <w:szCs w:val="24"/>
        </w:rPr>
        <w:t>Also</w:t>
      </w:r>
      <w:r w:rsidR="00D329B3" w:rsidRPr="00693DE6">
        <w:rPr>
          <w:rFonts w:ascii="Times New Roman" w:hAnsi="Times New Roman"/>
          <w:szCs w:val="24"/>
        </w:rPr>
        <w:t xml:space="preserve">, </w:t>
      </w:r>
      <w:proofErr w:type="spellStart"/>
      <w:r w:rsidR="00D329B3" w:rsidRPr="00693DE6">
        <w:rPr>
          <w:rFonts w:ascii="Times New Roman" w:hAnsi="Times New Roman"/>
          <w:szCs w:val="24"/>
        </w:rPr>
        <w:t>Wemmers</w:t>
      </w:r>
      <w:proofErr w:type="spellEnd"/>
      <w:r w:rsidR="006D1A4C" w:rsidRPr="00693DE6">
        <w:rPr>
          <w:rFonts w:ascii="Times New Roman" w:hAnsi="Times New Roman"/>
          <w:szCs w:val="24"/>
        </w:rPr>
        <w:t xml:space="preserve"> et al</w:t>
      </w:r>
      <w:r w:rsidR="00EE460F">
        <w:rPr>
          <w:rFonts w:ascii="Times New Roman" w:hAnsi="Times New Roman"/>
          <w:szCs w:val="24"/>
        </w:rPr>
        <w:t>.</w:t>
      </w:r>
      <w:r w:rsidR="006D1A4C" w:rsidRPr="00693DE6">
        <w:rPr>
          <w:rFonts w:ascii="Times New Roman" w:hAnsi="Times New Roman"/>
          <w:szCs w:val="24"/>
        </w:rPr>
        <w:t xml:space="preserve"> note that victims of crime do get an overall satisfaction if</w:t>
      </w:r>
      <w:r w:rsidRPr="00693DE6">
        <w:rPr>
          <w:rFonts w:ascii="Times New Roman" w:hAnsi="Times New Roman"/>
          <w:szCs w:val="24"/>
        </w:rPr>
        <w:t>,</w:t>
      </w:r>
      <w:r w:rsidR="006D1A4C" w:rsidRPr="00693DE6">
        <w:rPr>
          <w:rFonts w:ascii="Times New Roman" w:hAnsi="Times New Roman"/>
          <w:szCs w:val="24"/>
        </w:rPr>
        <w:t xml:space="preserve"> during participation, they </w:t>
      </w:r>
      <w:r w:rsidR="00D329B3" w:rsidRPr="00693DE6">
        <w:rPr>
          <w:rFonts w:ascii="Times New Roman" w:hAnsi="Times New Roman"/>
          <w:szCs w:val="24"/>
        </w:rPr>
        <w:t>perceive that the proceedings are fair.</w:t>
      </w:r>
      <w:r w:rsidR="00D329B3" w:rsidRPr="00693DE6">
        <w:rPr>
          <w:rStyle w:val="FootnoteReference"/>
          <w:rFonts w:ascii="Times New Roman" w:hAnsi="Times New Roman"/>
          <w:szCs w:val="24"/>
        </w:rPr>
        <w:footnoteReference w:id="14"/>
      </w:r>
      <w:r w:rsidR="00D329B3" w:rsidRPr="00693DE6">
        <w:rPr>
          <w:rFonts w:ascii="Times New Roman" w:hAnsi="Times New Roman"/>
          <w:szCs w:val="24"/>
        </w:rPr>
        <w:t xml:space="preserve"> </w:t>
      </w:r>
      <w:r w:rsidR="00EE460F">
        <w:rPr>
          <w:rFonts w:ascii="Times New Roman" w:hAnsi="Times New Roman"/>
          <w:szCs w:val="24"/>
        </w:rPr>
        <w:t>It</w:t>
      </w:r>
      <w:r w:rsidR="00D329B3" w:rsidRPr="00693DE6">
        <w:rPr>
          <w:rFonts w:ascii="Times New Roman" w:hAnsi="Times New Roman"/>
          <w:szCs w:val="24"/>
        </w:rPr>
        <w:t xml:space="preserve"> connotes that victims are likely to recognise or accept an outcome if the procedures </w:t>
      </w:r>
      <w:r w:rsidR="00802BC2">
        <w:rPr>
          <w:rFonts w:ascii="Times New Roman" w:hAnsi="Times New Roman"/>
          <w:szCs w:val="24"/>
        </w:rPr>
        <w:t xml:space="preserve">appear to be fair. </w:t>
      </w:r>
      <w:r w:rsidR="00D329B3" w:rsidRPr="00693DE6">
        <w:rPr>
          <w:rFonts w:ascii="Times New Roman" w:hAnsi="Times New Roman"/>
          <w:szCs w:val="24"/>
        </w:rPr>
        <w:t>This ill</w:t>
      </w:r>
      <w:r w:rsidR="00802BC2">
        <w:rPr>
          <w:rFonts w:ascii="Times New Roman" w:hAnsi="Times New Roman"/>
          <w:szCs w:val="24"/>
        </w:rPr>
        <w:t>ustrates that procedural approaches to victims</w:t>
      </w:r>
      <w:r w:rsidR="00F72A5B">
        <w:rPr>
          <w:rFonts w:ascii="Times New Roman" w:hAnsi="Times New Roman"/>
          <w:szCs w:val="24"/>
        </w:rPr>
        <w:t>'</w:t>
      </w:r>
      <w:r w:rsidR="00802BC2">
        <w:rPr>
          <w:rFonts w:ascii="Times New Roman" w:hAnsi="Times New Roman"/>
          <w:szCs w:val="24"/>
        </w:rPr>
        <w:t xml:space="preserve"> rights and interests may play very </w:t>
      </w:r>
      <w:r w:rsidR="00802BC2">
        <w:rPr>
          <w:rFonts w:ascii="Times New Roman" w:hAnsi="Times New Roman"/>
          <w:szCs w:val="24"/>
        </w:rPr>
        <w:lastRenderedPageBreak/>
        <w:t xml:space="preserve">significant roles in the administration of justice and perceptions of fairness </w:t>
      </w:r>
      <w:r w:rsidR="00764C65" w:rsidRPr="00693DE6">
        <w:rPr>
          <w:rFonts w:ascii="Times New Roman" w:hAnsi="Times New Roman"/>
          <w:szCs w:val="24"/>
        </w:rPr>
        <w:t>is s</w:t>
      </w:r>
      <w:r w:rsidR="00EE460F">
        <w:rPr>
          <w:rFonts w:ascii="Times New Roman" w:hAnsi="Times New Roman"/>
          <w:szCs w:val="24"/>
        </w:rPr>
        <w:t>ubstantial</w:t>
      </w:r>
      <w:r w:rsidR="00764C65" w:rsidRPr="00693DE6">
        <w:rPr>
          <w:rFonts w:ascii="Times New Roman" w:hAnsi="Times New Roman"/>
          <w:szCs w:val="24"/>
        </w:rPr>
        <w:t xml:space="preserve"> in the administration of justice.</w:t>
      </w:r>
      <w:r w:rsidRPr="00693DE6">
        <w:rPr>
          <w:rFonts w:ascii="Times New Roman" w:hAnsi="Times New Roman"/>
          <w:szCs w:val="24"/>
        </w:rPr>
        <w:t xml:space="preserve"> </w:t>
      </w:r>
      <w:r w:rsidR="00802BC2">
        <w:rPr>
          <w:rFonts w:ascii="Times New Roman" w:hAnsi="Times New Roman"/>
          <w:szCs w:val="24"/>
        </w:rPr>
        <w:t>If victims</w:t>
      </w:r>
      <w:r w:rsidR="00F72A5B">
        <w:rPr>
          <w:rFonts w:ascii="Times New Roman" w:hAnsi="Times New Roman"/>
          <w:szCs w:val="24"/>
        </w:rPr>
        <w:t>'</w:t>
      </w:r>
      <w:r w:rsidR="00802BC2">
        <w:rPr>
          <w:rFonts w:ascii="Times New Roman" w:hAnsi="Times New Roman"/>
          <w:szCs w:val="24"/>
        </w:rPr>
        <w:t xml:space="preserve"> rights and interests</w:t>
      </w:r>
      <w:r w:rsidR="00764C65" w:rsidRPr="00693DE6">
        <w:rPr>
          <w:rFonts w:ascii="Times New Roman" w:hAnsi="Times New Roman"/>
          <w:szCs w:val="24"/>
        </w:rPr>
        <w:t xml:space="preserve"> are recognised during the criminal process,</w:t>
      </w:r>
      <w:r w:rsidRPr="00693DE6">
        <w:rPr>
          <w:rFonts w:ascii="Times New Roman" w:hAnsi="Times New Roman"/>
          <w:szCs w:val="24"/>
        </w:rPr>
        <w:t xml:space="preserve"> </w:t>
      </w:r>
      <w:r w:rsidR="00764C65" w:rsidRPr="00693DE6">
        <w:rPr>
          <w:rFonts w:ascii="Times New Roman" w:hAnsi="Times New Roman"/>
          <w:szCs w:val="24"/>
        </w:rPr>
        <w:t>it could give them a sense of belonging. In his study, Tyler found that procedural justice</w:t>
      </w:r>
      <w:r w:rsidR="00B50063" w:rsidRPr="00693DE6">
        <w:rPr>
          <w:rFonts w:ascii="Times New Roman" w:hAnsi="Times New Roman"/>
          <w:szCs w:val="24"/>
        </w:rPr>
        <w:t xml:space="preserve"> impacts victims</w:t>
      </w:r>
      <w:r w:rsidR="00F72A5B">
        <w:rPr>
          <w:rFonts w:ascii="Times New Roman" w:hAnsi="Times New Roman"/>
          <w:szCs w:val="24"/>
        </w:rPr>
        <w:t>'</w:t>
      </w:r>
      <w:r w:rsidR="00B50063" w:rsidRPr="00693DE6">
        <w:rPr>
          <w:rFonts w:ascii="Times New Roman" w:hAnsi="Times New Roman"/>
          <w:szCs w:val="24"/>
        </w:rPr>
        <w:t xml:space="preserve"> satisfaction and evaluation of their contact with legal authorities.</w:t>
      </w:r>
      <w:r w:rsidR="000C6FA0" w:rsidRPr="00693DE6">
        <w:rPr>
          <w:rStyle w:val="FootnoteReference"/>
          <w:rFonts w:ascii="Times New Roman" w:hAnsi="Times New Roman"/>
          <w:szCs w:val="24"/>
        </w:rPr>
        <w:footnoteReference w:id="15"/>
      </w:r>
      <w:r w:rsidR="002B490C" w:rsidRPr="00693DE6">
        <w:rPr>
          <w:rFonts w:ascii="Times New Roman" w:hAnsi="Times New Roman"/>
          <w:szCs w:val="24"/>
        </w:rPr>
        <w:t>Voice and respect for victims</w:t>
      </w:r>
      <w:r w:rsidR="00F72A5B">
        <w:rPr>
          <w:rFonts w:ascii="Times New Roman" w:hAnsi="Times New Roman"/>
          <w:szCs w:val="24"/>
        </w:rPr>
        <w:t>'</w:t>
      </w:r>
      <w:r w:rsidR="002B490C" w:rsidRPr="00693DE6">
        <w:rPr>
          <w:rFonts w:ascii="Times New Roman" w:hAnsi="Times New Roman"/>
          <w:szCs w:val="24"/>
        </w:rPr>
        <w:t xml:space="preserve"> interests </w:t>
      </w:r>
      <w:r w:rsidR="00802BC2">
        <w:rPr>
          <w:rFonts w:ascii="Times New Roman" w:hAnsi="Times New Roman"/>
          <w:szCs w:val="24"/>
        </w:rPr>
        <w:t xml:space="preserve">have been considered </w:t>
      </w:r>
      <w:r w:rsidR="002B490C" w:rsidRPr="00693DE6">
        <w:rPr>
          <w:rFonts w:ascii="Times New Roman" w:hAnsi="Times New Roman"/>
          <w:szCs w:val="24"/>
        </w:rPr>
        <w:t>sacrosanct in assessing procedural justice for victims.</w:t>
      </w:r>
      <w:r w:rsidR="002B490C" w:rsidRPr="00693DE6">
        <w:rPr>
          <w:rStyle w:val="FootnoteReference"/>
          <w:rFonts w:ascii="Times New Roman" w:hAnsi="Times New Roman"/>
          <w:szCs w:val="24"/>
        </w:rPr>
        <w:footnoteReference w:id="16"/>
      </w:r>
      <w:r w:rsidR="002B490C" w:rsidRPr="00693DE6">
        <w:rPr>
          <w:rFonts w:ascii="Times New Roman" w:hAnsi="Times New Roman"/>
          <w:szCs w:val="24"/>
        </w:rPr>
        <w:t xml:space="preserve"> T</w:t>
      </w:r>
      <w:r w:rsidR="004E413E" w:rsidRPr="00693DE6">
        <w:rPr>
          <w:rFonts w:ascii="Times New Roman" w:hAnsi="Times New Roman"/>
          <w:szCs w:val="24"/>
        </w:rPr>
        <w:t>he ICC grants</w:t>
      </w:r>
      <w:r w:rsidR="002B490C" w:rsidRPr="00693DE6">
        <w:rPr>
          <w:rFonts w:ascii="Times New Roman" w:hAnsi="Times New Roman"/>
          <w:szCs w:val="24"/>
        </w:rPr>
        <w:t xml:space="preserve"> victims</w:t>
      </w:r>
      <w:r w:rsidR="004E413E" w:rsidRPr="00693DE6">
        <w:rPr>
          <w:rFonts w:ascii="Times New Roman" w:hAnsi="Times New Roman"/>
          <w:szCs w:val="24"/>
        </w:rPr>
        <w:t xml:space="preserve"> some</w:t>
      </w:r>
      <w:r w:rsidR="002B490C" w:rsidRPr="00693DE6">
        <w:rPr>
          <w:rFonts w:ascii="Times New Roman" w:hAnsi="Times New Roman"/>
          <w:szCs w:val="24"/>
        </w:rPr>
        <w:t xml:space="preserve"> proce</w:t>
      </w:r>
      <w:r w:rsidR="00802BC2">
        <w:rPr>
          <w:rFonts w:ascii="Times New Roman" w:hAnsi="Times New Roman"/>
          <w:szCs w:val="24"/>
        </w:rPr>
        <w:t>dural rights, provided they made appropriate</w:t>
      </w:r>
      <w:r w:rsidRPr="00693DE6">
        <w:rPr>
          <w:rFonts w:ascii="Times New Roman" w:hAnsi="Times New Roman"/>
          <w:szCs w:val="24"/>
        </w:rPr>
        <w:t xml:space="preserve"> </w:t>
      </w:r>
      <w:r w:rsidR="002B490C" w:rsidRPr="00693DE6">
        <w:rPr>
          <w:rFonts w:ascii="Times New Roman" w:hAnsi="Times New Roman"/>
          <w:szCs w:val="24"/>
        </w:rPr>
        <w:t>application</w:t>
      </w:r>
      <w:r w:rsidR="00802BC2">
        <w:rPr>
          <w:rFonts w:ascii="Times New Roman" w:hAnsi="Times New Roman"/>
          <w:szCs w:val="24"/>
        </w:rPr>
        <w:t>s</w:t>
      </w:r>
      <w:r w:rsidR="002B490C" w:rsidRPr="00693DE6">
        <w:rPr>
          <w:rFonts w:ascii="Times New Roman" w:hAnsi="Times New Roman"/>
          <w:szCs w:val="24"/>
        </w:rPr>
        <w:t xml:space="preserve">, and are qualified as provided for in the Statute and Rules of Procedure and Evidence. These procedural rights ensure that </w:t>
      </w:r>
      <w:r w:rsidRPr="00693DE6">
        <w:rPr>
          <w:rFonts w:ascii="Times New Roman" w:hAnsi="Times New Roman"/>
          <w:szCs w:val="24"/>
        </w:rPr>
        <w:t xml:space="preserve">the </w:t>
      </w:r>
      <w:r w:rsidR="0012481D">
        <w:rPr>
          <w:rFonts w:ascii="Times New Roman" w:hAnsi="Times New Roman"/>
          <w:szCs w:val="24"/>
        </w:rPr>
        <w:t>c</w:t>
      </w:r>
      <w:r w:rsidRPr="00693DE6">
        <w:rPr>
          <w:rFonts w:ascii="Times New Roman" w:hAnsi="Times New Roman"/>
          <w:szCs w:val="24"/>
        </w:rPr>
        <w:t xml:space="preserve">ourt hears </w:t>
      </w:r>
      <w:r w:rsidR="002B490C" w:rsidRPr="00693DE6">
        <w:rPr>
          <w:rFonts w:ascii="Times New Roman" w:hAnsi="Times New Roman"/>
          <w:szCs w:val="24"/>
        </w:rPr>
        <w:t>victim</w:t>
      </w:r>
      <w:r w:rsidR="00F72A5B">
        <w:rPr>
          <w:rFonts w:ascii="Times New Roman" w:hAnsi="Times New Roman"/>
          <w:szCs w:val="24"/>
        </w:rPr>
        <w:t>'</w:t>
      </w:r>
      <w:r w:rsidR="002B490C" w:rsidRPr="00693DE6">
        <w:rPr>
          <w:rFonts w:ascii="Times New Roman" w:hAnsi="Times New Roman"/>
          <w:szCs w:val="24"/>
        </w:rPr>
        <w:t>s voices and</w:t>
      </w:r>
      <w:r w:rsidRPr="00693DE6">
        <w:rPr>
          <w:rFonts w:ascii="Times New Roman" w:hAnsi="Times New Roman"/>
          <w:szCs w:val="24"/>
        </w:rPr>
        <w:t xml:space="preserve"> concerns</w:t>
      </w:r>
      <w:r w:rsidR="002B490C" w:rsidRPr="00693DE6">
        <w:rPr>
          <w:rFonts w:ascii="Times New Roman" w:hAnsi="Times New Roman"/>
          <w:szCs w:val="24"/>
        </w:rPr>
        <w:t>.</w:t>
      </w:r>
      <w:r w:rsidR="004E413E" w:rsidRPr="00693DE6">
        <w:rPr>
          <w:rFonts w:ascii="Times New Roman" w:hAnsi="Times New Roman"/>
          <w:szCs w:val="24"/>
        </w:rPr>
        <w:t xml:space="preserve"> </w:t>
      </w:r>
      <w:r w:rsidR="002B490C" w:rsidRPr="00693DE6">
        <w:rPr>
          <w:rFonts w:ascii="Times New Roman" w:hAnsi="Times New Roman"/>
          <w:szCs w:val="24"/>
        </w:rPr>
        <w:t>It is a pathway to access justice. However,</w:t>
      </w:r>
      <w:r w:rsidR="00802BC2">
        <w:rPr>
          <w:rFonts w:ascii="Times New Roman" w:hAnsi="Times New Roman"/>
          <w:szCs w:val="24"/>
        </w:rPr>
        <w:t xml:space="preserve"> there are varying opinions in the literature a</w:t>
      </w:r>
      <w:r w:rsidR="006D3444">
        <w:rPr>
          <w:rFonts w:ascii="Times New Roman" w:hAnsi="Times New Roman"/>
          <w:szCs w:val="24"/>
        </w:rPr>
        <w:t>bout</w:t>
      </w:r>
      <w:r w:rsidR="00802BC2">
        <w:rPr>
          <w:rFonts w:ascii="Times New Roman" w:hAnsi="Times New Roman"/>
          <w:szCs w:val="24"/>
        </w:rPr>
        <w:t xml:space="preserve"> whether these procedural rights succeed in achieving the desired aims. Some have argued(perhaps cynically)  that the </w:t>
      </w:r>
      <w:r w:rsidR="006D3444">
        <w:rPr>
          <w:rFonts w:ascii="Times New Roman" w:hAnsi="Times New Roman"/>
          <w:szCs w:val="24"/>
        </w:rPr>
        <w:t>Rome Statute drafters</w:t>
      </w:r>
      <w:r w:rsidR="00EE460F">
        <w:rPr>
          <w:rFonts w:ascii="Times New Roman" w:hAnsi="Times New Roman"/>
          <w:szCs w:val="24"/>
        </w:rPr>
        <w:t xml:space="preserve"> considered the introduction of victim participation at the ICC</w:t>
      </w:r>
      <w:r w:rsidR="00802BC2">
        <w:rPr>
          <w:rFonts w:ascii="Times New Roman" w:hAnsi="Times New Roman"/>
          <w:szCs w:val="24"/>
        </w:rPr>
        <w:t xml:space="preserve"> as a means to validate the legitimacy of the </w:t>
      </w:r>
      <w:r w:rsidR="0012481D">
        <w:rPr>
          <w:rFonts w:ascii="Times New Roman" w:hAnsi="Times New Roman"/>
          <w:szCs w:val="24"/>
        </w:rPr>
        <w:t>c</w:t>
      </w:r>
      <w:r w:rsidR="00802BC2">
        <w:rPr>
          <w:rFonts w:ascii="Times New Roman" w:hAnsi="Times New Roman"/>
          <w:szCs w:val="24"/>
        </w:rPr>
        <w:t>ourt.</w:t>
      </w:r>
    </w:p>
    <w:p w14:paraId="43710EEB" w14:textId="12E968DC" w:rsidR="007232D0" w:rsidRPr="00693DE6" w:rsidRDefault="004E413E" w:rsidP="00693DE6">
      <w:pPr>
        <w:spacing w:line="480" w:lineRule="auto"/>
        <w:jc w:val="both"/>
        <w:rPr>
          <w:rFonts w:ascii="Times New Roman" w:hAnsi="Times New Roman"/>
          <w:szCs w:val="24"/>
        </w:rPr>
      </w:pPr>
      <w:r w:rsidRPr="00693DE6">
        <w:rPr>
          <w:rFonts w:ascii="Times New Roman" w:hAnsi="Times New Roman"/>
          <w:szCs w:val="24"/>
        </w:rPr>
        <w:t>Victims</w:t>
      </w:r>
      <w:r w:rsidR="00802BC2">
        <w:rPr>
          <w:rFonts w:ascii="Times New Roman" w:hAnsi="Times New Roman"/>
          <w:szCs w:val="24"/>
        </w:rPr>
        <w:t xml:space="preserve"> evaluate legal institutions</w:t>
      </w:r>
      <w:r w:rsidR="007232D0" w:rsidRPr="00693DE6">
        <w:rPr>
          <w:rFonts w:ascii="Times New Roman" w:hAnsi="Times New Roman"/>
          <w:szCs w:val="24"/>
        </w:rPr>
        <w:t xml:space="preserve"> based on their experiences and contacts with these authorities.</w:t>
      </w:r>
      <w:r w:rsidR="007232D0" w:rsidRPr="00693DE6">
        <w:rPr>
          <w:rStyle w:val="FootnoteReference"/>
          <w:rFonts w:ascii="Times New Roman" w:hAnsi="Times New Roman"/>
          <w:szCs w:val="24"/>
        </w:rPr>
        <w:footnoteReference w:id="17"/>
      </w:r>
      <w:r w:rsidR="00CA2EED">
        <w:rPr>
          <w:rFonts w:ascii="Times New Roman" w:hAnsi="Times New Roman"/>
          <w:szCs w:val="24"/>
        </w:rPr>
        <w:t>Some studies have found that how people and their problems are treated during dispute resolution by the courts ha</w:t>
      </w:r>
      <w:r w:rsidR="006D3444">
        <w:rPr>
          <w:rFonts w:ascii="Times New Roman" w:hAnsi="Times New Roman"/>
          <w:szCs w:val="24"/>
        </w:rPr>
        <w:t>ve more influence on the</w:t>
      </w:r>
      <w:r w:rsidR="00AE1951">
        <w:rPr>
          <w:rFonts w:ascii="Times New Roman" w:hAnsi="Times New Roman"/>
          <w:szCs w:val="24"/>
        </w:rPr>
        <w:t>ir</w:t>
      </w:r>
      <w:r w:rsidR="00EE460F">
        <w:rPr>
          <w:rFonts w:ascii="Times New Roman" w:hAnsi="Times New Roman"/>
          <w:szCs w:val="24"/>
        </w:rPr>
        <w:t xml:space="preserve"> </w:t>
      </w:r>
      <w:r w:rsidR="00CA2EED">
        <w:rPr>
          <w:rFonts w:ascii="Times New Roman" w:hAnsi="Times New Roman"/>
          <w:szCs w:val="24"/>
        </w:rPr>
        <w:t>perceptions of fairness, than the outcome of such dispute</w:t>
      </w:r>
      <w:r w:rsidR="00EA6713" w:rsidRPr="00693DE6">
        <w:rPr>
          <w:rFonts w:ascii="Times New Roman" w:hAnsi="Times New Roman"/>
          <w:szCs w:val="24"/>
        </w:rPr>
        <w:t>.</w:t>
      </w:r>
      <w:r w:rsidR="00EA6713" w:rsidRPr="00693DE6">
        <w:rPr>
          <w:rStyle w:val="FootnoteReference"/>
          <w:rFonts w:ascii="Times New Roman" w:hAnsi="Times New Roman"/>
          <w:szCs w:val="24"/>
        </w:rPr>
        <w:footnoteReference w:id="18"/>
      </w:r>
      <w:r w:rsidR="00EA6713" w:rsidRPr="00693DE6">
        <w:rPr>
          <w:rFonts w:ascii="Times New Roman" w:hAnsi="Times New Roman"/>
          <w:szCs w:val="24"/>
        </w:rPr>
        <w:t xml:space="preserve">Therefore, these studies conclude that: </w:t>
      </w:r>
      <w:r w:rsidR="00F72A5B">
        <w:rPr>
          <w:rFonts w:ascii="Times New Roman" w:hAnsi="Times New Roman"/>
          <w:szCs w:val="24"/>
        </w:rPr>
        <w:t>'</w:t>
      </w:r>
      <w:r w:rsidR="00EA6713" w:rsidRPr="00693DE6">
        <w:rPr>
          <w:rFonts w:ascii="Times New Roman" w:hAnsi="Times New Roman"/>
          <w:szCs w:val="24"/>
        </w:rPr>
        <w:t>focusing on procedural justice is a</w:t>
      </w:r>
      <w:r w:rsidR="00EE460F">
        <w:rPr>
          <w:rFonts w:ascii="Times New Roman" w:hAnsi="Times New Roman"/>
          <w:szCs w:val="24"/>
        </w:rPr>
        <w:t>n excellent</w:t>
      </w:r>
      <w:r w:rsidR="00EA6713" w:rsidRPr="00693DE6">
        <w:rPr>
          <w:rFonts w:ascii="Times New Roman" w:hAnsi="Times New Roman"/>
          <w:szCs w:val="24"/>
        </w:rPr>
        <w:t xml:space="preserve"> way to build trust and encourage </w:t>
      </w:r>
      <w:r w:rsidR="00EA6713" w:rsidRPr="00693DE6">
        <w:rPr>
          <w:rFonts w:ascii="Times New Roman" w:hAnsi="Times New Roman"/>
          <w:szCs w:val="24"/>
        </w:rPr>
        <w:lastRenderedPageBreak/>
        <w:t>compliance irrespective of who</w:t>
      </w:r>
      <w:r w:rsidR="008A6F6D">
        <w:rPr>
          <w:rFonts w:ascii="Times New Roman" w:hAnsi="Times New Roman"/>
          <w:szCs w:val="24"/>
        </w:rPr>
        <w:t xml:space="preserve"> the people</w:t>
      </w:r>
      <w:r w:rsidR="00EA6713" w:rsidRPr="00693DE6">
        <w:rPr>
          <w:rFonts w:ascii="Times New Roman" w:hAnsi="Times New Roman"/>
          <w:szCs w:val="24"/>
        </w:rPr>
        <w:t xml:space="preserve"> using the courts are</w:t>
      </w:r>
      <w:r w:rsidR="00F72A5B">
        <w:rPr>
          <w:rFonts w:ascii="Times New Roman" w:hAnsi="Times New Roman"/>
          <w:szCs w:val="24"/>
        </w:rPr>
        <w:t>'</w:t>
      </w:r>
      <w:r w:rsidR="00EA6713" w:rsidRPr="00693DE6">
        <w:rPr>
          <w:rFonts w:ascii="Times New Roman" w:hAnsi="Times New Roman"/>
          <w:szCs w:val="24"/>
        </w:rPr>
        <w:t>.</w:t>
      </w:r>
      <w:r w:rsidR="00EA6713" w:rsidRPr="00693DE6">
        <w:rPr>
          <w:rStyle w:val="FootnoteReference"/>
          <w:rFonts w:ascii="Times New Roman" w:hAnsi="Times New Roman"/>
          <w:szCs w:val="24"/>
        </w:rPr>
        <w:footnoteReference w:id="19"/>
      </w:r>
      <w:r w:rsidR="00EA6713" w:rsidRPr="00693DE6">
        <w:rPr>
          <w:rFonts w:ascii="Times New Roman" w:hAnsi="Times New Roman"/>
          <w:szCs w:val="24"/>
        </w:rPr>
        <w:t xml:space="preserve"> Thus, the fairness of procedure becomes a yardstic</w:t>
      </w:r>
      <w:r w:rsidR="00703EF7" w:rsidRPr="00693DE6">
        <w:rPr>
          <w:rFonts w:ascii="Times New Roman" w:hAnsi="Times New Roman"/>
          <w:szCs w:val="24"/>
        </w:rPr>
        <w:t xml:space="preserve">k in determining </w:t>
      </w:r>
      <w:r w:rsidR="008A6F6D">
        <w:rPr>
          <w:rFonts w:ascii="Times New Roman" w:hAnsi="Times New Roman"/>
          <w:szCs w:val="24"/>
        </w:rPr>
        <w:t>the treatment of people</w:t>
      </w:r>
      <w:r w:rsidR="00EA6713" w:rsidRPr="00693DE6">
        <w:rPr>
          <w:rFonts w:ascii="Times New Roman" w:hAnsi="Times New Roman"/>
          <w:szCs w:val="24"/>
        </w:rPr>
        <w:t xml:space="preserve"> in judicial proceedings.</w:t>
      </w:r>
    </w:p>
    <w:p w14:paraId="4B750C90" w14:textId="34FD85D8" w:rsidR="008A6F6D" w:rsidRDefault="00D329B3" w:rsidP="00693DE6">
      <w:pPr>
        <w:spacing w:line="480" w:lineRule="auto"/>
        <w:jc w:val="both"/>
        <w:rPr>
          <w:rFonts w:ascii="Times New Roman" w:hAnsi="Times New Roman"/>
          <w:i/>
          <w:szCs w:val="24"/>
        </w:rPr>
      </w:pPr>
      <w:proofErr w:type="spellStart"/>
      <w:r w:rsidRPr="00693DE6">
        <w:rPr>
          <w:rFonts w:ascii="Times New Roman" w:hAnsi="Times New Roman"/>
          <w:szCs w:val="24"/>
        </w:rPr>
        <w:t>Wemmers</w:t>
      </w:r>
      <w:proofErr w:type="spellEnd"/>
      <w:r w:rsidR="008A6F6D">
        <w:rPr>
          <w:rFonts w:ascii="Times New Roman" w:hAnsi="Times New Roman"/>
          <w:szCs w:val="24"/>
        </w:rPr>
        <w:t>,</w:t>
      </w:r>
      <w:r w:rsidRPr="00693DE6">
        <w:rPr>
          <w:rFonts w:ascii="Times New Roman" w:hAnsi="Times New Roman"/>
          <w:szCs w:val="24"/>
        </w:rPr>
        <w:t xml:space="preserve"> in one of her studies</w:t>
      </w:r>
      <w:r w:rsidR="008A6F6D">
        <w:rPr>
          <w:rFonts w:ascii="Times New Roman" w:hAnsi="Times New Roman"/>
          <w:szCs w:val="24"/>
        </w:rPr>
        <w:t>,</w:t>
      </w:r>
      <w:r w:rsidRPr="00693DE6">
        <w:rPr>
          <w:rFonts w:ascii="Times New Roman" w:hAnsi="Times New Roman"/>
          <w:szCs w:val="24"/>
        </w:rPr>
        <w:t xml:space="preserve"> posit</w:t>
      </w:r>
      <w:r w:rsidR="00703EF7" w:rsidRPr="00693DE6">
        <w:rPr>
          <w:rFonts w:ascii="Times New Roman" w:hAnsi="Times New Roman"/>
          <w:szCs w:val="24"/>
        </w:rPr>
        <w:t>s</w:t>
      </w:r>
      <w:r w:rsidRPr="00693DE6">
        <w:rPr>
          <w:rFonts w:ascii="Times New Roman" w:hAnsi="Times New Roman"/>
          <w:szCs w:val="24"/>
        </w:rPr>
        <w:t xml:space="preserve"> that to understand how victims are treated within the criminal justice system, we should examine the system of criminal procedure.</w:t>
      </w:r>
      <w:r w:rsidRPr="00693DE6">
        <w:rPr>
          <w:rStyle w:val="FootnoteReference"/>
          <w:rFonts w:ascii="Times New Roman" w:hAnsi="Times New Roman"/>
          <w:szCs w:val="24"/>
        </w:rPr>
        <w:footnoteReference w:id="20"/>
      </w:r>
      <w:r w:rsidR="009A1E43" w:rsidRPr="00693DE6">
        <w:rPr>
          <w:rFonts w:ascii="Times New Roman" w:hAnsi="Times New Roman"/>
          <w:szCs w:val="24"/>
        </w:rPr>
        <w:t>It is noteworthy that cultural differences exist amongst countries and how they treat victims</w:t>
      </w:r>
      <w:r w:rsidR="00871879" w:rsidRPr="00693DE6">
        <w:rPr>
          <w:rFonts w:ascii="Times New Roman" w:hAnsi="Times New Roman"/>
          <w:szCs w:val="24"/>
        </w:rPr>
        <w:t xml:space="preserve"> during criminal proceedings</w:t>
      </w:r>
      <w:r w:rsidR="009A1E43" w:rsidRPr="00693DE6">
        <w:rPr>
          <w:rFonts w:ascii="Times New Roman" w:hAnsi="Times New Roman"/>
          <w:szCs w:val="24"/>
        </w:rPr>
        <w:t xml:space="preserve">. While the </w:t>
      </w:r>
      <w:r w:rsidR="006D3444">
        <w:rPr>
          <w:rFonts w:ascii="Times New Roman" w:hAnsi="Times New Roman"/>
          <w:szCs w:val="24"/>
        </w:rPr>
        <w:t>common law jurisdictions' approach</w:t>
      </w:r>
      <w:r w:rsidR="00E81289">
        <w:rPr>
          <w:rFonts w:ascii="Times New Roman" w:hAnsi="Times New Roman"/>
          <w:szCs w:val="24"/>
        </w:rPr>
        <w:t>, which operate</w:t>
      </w:r>
      <w:r w:rsidR="006D3444">
        <w:rPr>
          <w:rFonts w:ascii="Times New Roman" w:hAnsi="Times New Roman"/>
          <w:szCs w:val="24"/>
        </w:rPr>
        <w:t>s</w:t>
      </w:r>
      <w:r w:rsidR="00E81289">
        <w:rPr>
          <w:rFonts w:ascii="Times New Roman" w:hAnsi="Times New Roman"/>
          <w:szCs w:val="24"/>
        </w:rPr>
        <w:t xml:space="preserve"> adversarial systems, </w:t>
      </w:r>
      <w:r w:rsidR="006D3444">
        <w:rPr>
          <w:rFonts w:ascii="Times New Roman" w:hAnsi="Times New Roman"/>
          <w:szCs w:val="24"/>
        </w:rPr>
        <w:t>is restrictive towards victims, civil traditions' judicial system</w:t>
      </w:r>
      <w:r w:rsidR="00E81289">
        <w:rPr>
          <w:rFonts w:ascii="Times New Roman" w:hAnsi="Times New Roman"/>
          <w:szCs w:val="24"/>
        </w:rPr>
        <w:t xml:space="preserve">s have a more accommodating </w:t>
      </w:r>
      <w:r w:rsidR="008A6F6D">
        <w:rPr>
          <w:rFonts w:ascii="Times New Roman" w:hAnsi="Times New Roman"/>
          <w:szCs w:val="24"/>
        </w:rPr>
        <w:t>policy</w:t>
      </w:r>
      <w:r w:rsidR="00E81289">
        <w:rPr>
          <w:rFonts w:ascii="Times New Roman" w:hAnsi="Times New Roman"/>
          <w:szCs w:val="24"/>
        </w:rPr>
        <w:t xml:space="preserve"> towards victims</w:t>
      </w:r>
      <w:r w:rsidR="009A1E43" w:rsidRPr="00693DE6">
        <w:rPr>
          <w:rFonts w:ascii="Times New Roman" w:hAnsi="Times New Roman"/>
          <w:szCs w:val="24"/>
        </w:rPr>
        <w:t>. The civil law countries view the v</w:t>
      </w:r>
      <w:r w:rsidR="00871879" w:rsidRPr="00693DE6">
        <w:rPr>
          <w:rFonts w:ascii="Times New Roman" w:hAnsi="Times New Roman"/>
          <w:szCs w:val="24"/>
        </w:rPr>
        <w:t>ictims as a party to the procee</w:t>
      </w:r>
      <w:r w:rsidR="009A1E43" w:rsidRPr="00693DE6">
        <w:rPr>
          <w:rFonts w:ascii="Times New Roman" w:hAnsi="Times New Roman"/>
          <w:szCs w:val="24"/>
        </w:rPr>
        <w:t>dings.</w:t>
      </w:r>
      <w:r w:rsidR="00871879" w:rsidRPr="00693DE6">
        <w:rPr>
          <w:rFonts w:ascii="Times New Roman" w:hAnsi="Times New Roman"/>
          <w:szCs w:val="24"/>
        </w:rPr>
        <w:t xml:space="preserve"> </w:t>
      </w:r>
      <w:r w:rsidR="009A1E43" w:rsidRPr="00693DE6">
        <w:rPr>
          <w:rFonts w:ascii="Times New Roman" w:hAnsi="Times New Roman"/>
          <w:szCs w:val="24"/>
        </w:rPr>
        <w:t xml:space="preserve">They are referred to as </w:t>
      </w:r>
      <w:r w:rsidR="009A1E43" w:rsidRPr="00693DE6">
        <w:rPr>
          <w:rFonts w:ascii="Times New Roman" w:hAnsi="Times New Roman"/>
          <w:i/>
          <w:szCs w:val="24"/>
        </w:rPr>
        <w:t>partie</w:t>
      </w:r>
      <w:r w:rsidR="006D3444">
        <w:rPr>
          <w:rFonts w:ascii="Times New Roman" w:hAnsi="Times New Roman"/>
          <w:i/>
          <w:szCs w:val="24"/>
        </w:rPr>
        <w:t>s</w:t>
      </w:r>
      <w:r w:rsidR="009A1E43" w:rsidRPr="00693DE6">
        <w:rPr>
          <w:rFonts w:ascii="Times New Roman" w:hAnsi="Times New Roman"/>
          <w:i/>
          <w:szCs w:val="24"/>
        </w:rPr>
        <w:t xml:space="preserve"> civile.</w:t>
      </w:r>
    </w:p>
    <w:p w14:paraId="63562662" w14:textId="13353558" w:rsidR="00D329B3" w:rsidRPr="00693DE6" w:rsidRDefault="009A1E43" w:rsidP="00693DE6">
      <w:pPr>
        <w:spacing w:line="480" w:lineRule="auto"/>
        <w:jc w:val="both"/>
        <w:rPr>
          <w:rFonts w:ascii="Times New Roman" w:hAnsi="Times New Roman"/>
          <w:szCs w:val="24"/>
        </w:rPr>
      </w:pPr>
      <w:r w:rsidRPr="00693DE6">
        <w:rPr>
          <w:rFonts w:ascii="Times New Roman" w:hAnsi="Times New Roman"/>
          <w:szCs w:val="24"/>
        </w:rPr>
        <w:t xml:space="preserve">On the other hand, the </w:t>
      </w:r>
      <w:r w:rsidR="004E413E" w:rsidRPr="00693DE6">
        <w:rPr>
          <w:rFonts w:ascii="Times New Roman" w:hAnsi="Times New Roman"/>
          <w:szCs w:val="24"/>
        </w:rPr>
        <w:t xml:space="preserve">most </w:t>
      </w:r>
      <w:r w:rsidRPr="00693DE6">
        <w:rPr>
          <w:rFonts w:ascii="Times New Roman" w:hAnsi="Times New Roman"/>
          <w:szCs w:val="24"/>
        </w:rPr>
        <w:t>common law countries do not recognise victims as a party to the proceedings</w:t>
      </w:r>
      <w:r w:rsidR="004E413E" w:rsidRPr="00693DE6">
        <w:rPr>
          <w:rFonts w:ascii="Times New Roman" w:hAnsi="Times New Roman"/>
          <w:szCs w:val="24"/>
        </w:rPr>
        <w:t>.</w:t>
      </w:r>
      <w:r w:rsidR="00BB74A3" w:rsidRPr="00693DE6">
        <w:rPr>
          <w:rFonts w:ascii="Times New Roman" w:hAnsi="Times New Roman"/>
          <w:szCs w:val="24"/>
        </w:rPr>
        <w:t xml:space="preserve"> </w:t>
      </w:r>
      <w:r w:rsidR="008A6F6D">
        <w:rPr>
          <w:rFonts w:ascii="Times New Roman" w:hAnsi="Times New Roman"/>
          <w:szCs w:val="24"/>
        </w:rPr>
        <w:t>Somewhat</w:t>
      </w:r>
      <w:r w:rsidR="004E413E" w:rsidRPr="00693DE6">
        <w:rPr>
          <w:rFonts w:ascii="Times New Roman" w:hAnsi="Times New Roman"/>
          <w:szCs w:val="24"/>
        </w:rPr>
        <w:t>, victims</w:t>
      </w:r>
      <w:r w:rsidR="00F72A5B">
        <w:rPr>
          <w:rFonts w:ascii="Times New Roman" w:hAnsi="Times New Roman"/>
          <w:szCs w:val="24"/>
        </w:rPr>
        <w:t>'</w:t>
      </w:r>
      <w:r w:rsidR="004E413E" w:rsidRPr="00693DE6">
        <w:rPr>
          <w:rFonts w:ascii="Times New Roman" w:hAnsi="Times New Roman"/>
          <w:szCs w:val="24"/>
        </w:rPr>
        <w:t xml:space="preserve"> participation in criminal proceedings is restricted</w:t>
      </w:r>
      <w:r w:rsidR="00E81289">
        <w:rPr>
          <w:rFonts w:ascii="Times New Roman" w:hAnsi="Times New Roman"/>
          <w:szCs w:val="24"/>
        </w:rPr>
        <w:t>, with the adversarial trial being view</w:t>
      </w:r>
      <w:r w:rsidR="00467ADF">
        <w:rPr>
          <w:rFonts w:ascii="Times New Roman" w:hAnsi="Times New Roman"/>
          <w:szCs w:val="24"/>
        </w:rPr>
        <w:t>e</w:t>
      </w:r>
      <w:r w:rsidR="00E81289">
        <w:rPr>
          <w:rFonts w:ascii="Times New Roman" w:hAnsi="Times New Roman"/>
          <w:szCs w:val="24"/>
        </w:rPr>
        <w:t xml:space="preserve">d as a contest between the </w:t>
      </w:r>
      <w:r w:rsidR="00BF790B">
        <w:rPr>
          <w:rFonts w:ascii="Times New Roman" w:hAnsi="Times New Roman"/>
          <w:szCs w:val="24"/>
        </w:rPr>
        <w:t>P</w:t>
      </w:r>
      <w:r w:rsidR="00E81289">
        <w:rPr>
          <w:rFonts w:ascii="Times New Roman" w:hAnsi="Times New Roman"/>
          <w:szCs w:val="24"/>
        </w:rPr>
        <w:t>rosecutor and the accused</w:t>
      </w:r>
      <w:r w:rsidRPr="00693DE6">
        <w:rPr>
          <w:rFonts w:ascii="Times New Roman" w:hAnsi="Times New Roman"/>
          <w:szCs w:val="24"/>
        </w:rPr>
        <w:t>.</w:t>
      </w:r>
      <w:r w:rsidRPr="00693DE6">
        <w:rPr>
          <w:rStyle w:val="FootnoteReference"/>
          <w:rFonts w:ascii="Times New Roman" w:hAnsi="Times New Roman"/>
          <w:szCs w:val="24"/>
        </w:rPr>
        <w:footnoteReference w:id="21"/>
      </w:r>
      <w:r w:rsidR="00871879" w:rsidRPr="00693DE6">
        <w:rPr>
          <w:rFonts w:ascii="Times New Roman" w:hAnsi="Times New Roman"/>
          <w:szCs w:val="24"/>
        </w:rPr>
        <w:t xml:space="preserve"> </w:t>
      </w:r>
      <w:r w:rsidR="00BB74A3" w:rsidRPr="00693DE6">
        <w:rPr>
          <w:rFonts w:ascii="Times New Roman" w:hAnsi="Times New Roman"/>
          <w:szCs w:val="24"/>
        </w:rPr>
        <w:t>Therefore, many countries recognise various degrees</w:t>
      </w:r>
      <w:r w:rsidR="000707EF" w:rsidRPr="00693DE6">
        <w:rPr>
          <w:rFonts w:ascii="Times New Roman" w:hAnsi="Times New Roman"/>
          <w:szCs w:val="24"/>
        </w:rPr>
        <w:t xml:space="preserve"> </w:t>
      </w:r>
      <w:r w:rsidR="00E81289">
        <w:rPr>
          <w:rFonts w:ascii="Times New Roman" w:hAnsi="Times New Roman"/>
          <w:szCs w:val="24"/>
        </w:rPr>
        <w:t>o</w:t>
      </w:r>
      <w:r w:rsidR="00BB74A3" w:rsidRPr="00693DE6">
        <w:rPr>
          <w:rFonts w:ascii="Times New Roman" w:hAnsi="Times New Roman"/>
          <w:szCs w:val="24"/>
        </w:rPr>
        <w:t>f victim participation</w:t>
      </w:r>
      <w:r w:rsidR="00E81289">
        <w:rPr>
          <w:rFonts w:ascii="Times New Roman" w:hAnsi="Times New Roman"/>
          <w:szCs w:val="24"/>
        </w:rPr>
        <w:t xml:space="preserve"> in their criminal proceedings</w:t>
      </w:r>
      <w:r w:rsidR="00BB74A3" w:rsidRPr="00693DE6">
        <w:rPr>
          <w:rFonts w:ascii="Times New Roman" w:hAnsi="Times New Roman"/>
          <w:szCs w:val="24"/>
        </w:rPr>
        <w:t>.</w:t>
      </w:r>
      <w:r w:rsidR="000707EF" w:rsidRPr="00693DE6">
        <w:rPr>
          <w:rFonts w:ascii="Times New Roman" w:hAnsi="Times New Roman"/>
          <w:szCs w:val="24"/>
        </w:rPr>
        <w:t xml:space="preserve"> </w:t>
      </w:r>
      <w:r w:rsidR="00871879" w:rsidRPr="00693DE6">
        <w:rPr>
          <w:rFonts w:ascii="Times New Roman" w:hAnsi="Times New Roman"/>
          <w:szCs w:val="24"/>
        </w:rPr>
        <w:t>With</w:t>
      </w:r>
      <w:r w:rsidR="00E81289">
        <w:rPr>
          <w:rFonts w:ascii="Times New Roman" w:hAnsi="Times New Roman"/>
          <w:szCs w:val="24"/>
        </w:rPr>
        <w:t>in</w:t>
      </w:r>
      <w:r w:rsidR="00871879" w:rsidRPr="00693DE6">
        <w:rPr>
          <w:rFonts w:ascii="Times New Roman" w:hAnsi="Times New Roman"/>
          <w:szCs w:val="24"/>
        </w:rPr>
        <w:t xml:space="preserve"> the ICC, the Rome Statute is a </w:t>
      </w:r>
      <w:r w:rsidR="00871879" w:rsidRPr="00693DE6">
        <w:rPr>
          <w:rFonts w:ascii="Times New Roman" w:hAnsi="Times New Roman"/>
          <w:szCs w:val="24"/>
        </w:rPr>
        <w:lastRenderedPageBreak/>
        <w:t>compromise between negotiators from civil law traditions and common law traditions.</w:t>
      </w:r>
      <w:r w:rsidR="008A6F6D">
        <w:rPr>
          <w:rStyle w:val="FootnoteReference"/>
          <w:rFonts w:ascii="Times New Roman" w:hAnsi="Times New Roman"/>
          <w:szCs w:val="24"/>
        </w:rPr>
        <w:footnoteReference w:id="22"/>
      </w:r>
      <w:r w:rsidR="000F2772" w:rsidRPr="00693DE6">
        <w:rPr>
          <w:rFonts w:ascii="Times New Roman" w:hAnsi="Times New Roman"/>
          <w:szCs w:val="24"/>
        </w:rPr>
        <w:t xml:space="preserve"> </w:t>
      </w:r>
      <w:r w:rsidR="00871879" w:rsidRPr="00693DE6">
        <w:rPr>
          <w:rFonts w:ascii="Times New Roman" w:hAnsi="Times New Roman"/>
          <w:szCs w:val="24"/>
        </w:rPr>
        <w:t>Hence, this is reflected in its criminal procedure which is mixed.</w:t>
      </w:r>
    </w:p>
    <w:p w14:paraId="7B0B75B5" w14:textId="1409133E" w:rsidR="000F2772" w:rsidRPr="00693DE6" w:rsidRDefault="000F2772" w:rsidP="00693DE6">
      <w:pPr>
        <w:spacing w:line="480" w:lineRule="auto"/>
        <w:jc w:val="both"/>
        <w:rPr>
          <w:rFonts w:ascii="Times New Roman" w:hAnsi="Times New Roman"/>
          <w:szCs w:val="24"/>
        </w:rPr>
      </w:pPr>
      <w:r w:rsidRPr="00693DE6">
        <w:rPr>
          <w:rFonts w:ascii="Times New Roman" w:hAnsi="Times New Roman"/>
          <w:szCs w:val="24"/>
        </w:rPr>
        <w:t xml:space="preserve">Ambos posits that the international criminal procedure(especially that of the ICC)has developed from an adversarial system to a </w:t>
      </w:r>
      <w:r w:rsidR="00F72A5B">
        <w:rPr>
          <w:rFonts w:ascii="Times New Roman" w:hAnsi="Times New Roman"/>
          <w:szCs w:val="24"/>
        </w:rPr>
        <w:t>'</w:t>
      </w:r>
      <w:r w:rsidRPr="00693DE6">
        <w:rPr>
          <w:rFonts w:ascii="Times New Roman" w:hAnsi="Times New Roman"/>
          <w:i/>
          <w:szCs w:val="24"/>
        </w:rPr>
        <w:t>truly mixed procedure.</w:t>
      </w:r>
      <w:r w:rsidR="00F72A5B">
        <w:rPr>
          <w:rFonts w:ascii="Times New Roman" w:hAnsi="Times New Roman"/>
          <w:i/>
          <w:szCs w:val="24"/>
        </w:rPr>
        <w:t>'</w:t>
      </w:r>
      <w:r w:rsidR="000346BD">
        <w:rPr>
          <w:rStyle w:val="FootnoteReference"/>
          <w:rFonts w:ascii="Times New Roman" w:hAnsi="Times New Roman"/>
          <w:i/>
          <w:szCs w:val="24"/>
        </w:rPr>
        <w:footnoteReference w:id="23"/>
      </w:r>
      <w:r w:rsidRPr="00693DE6">
        <w:rPr>
          <w:rFonts w:ascii="Times New Roman" w:hAnsi="Times New Roman"/>
          <w:i/>
          <w:szCs w:val="24"/>
        </w:rPr>
        <w:t xml:space="preserve"> </w:t>
      </w:r>
      <w:r w:rsidR="00114419">
        <w:rPr>
          <w:rFonts w:ascii="Times New Roman" w:hAnsi="Times New Roman"/>
          <w:iCs/>
          <w:szCs w:val="24"/>
        </w:rPr>
        <w:t xml:space="preserve">A consequence </w:t>
      </w:r>
      <w:r w:rsidR="00114419">
        <w:rPr>
          <w:rFonts w:ascii="Times New Roman" w:hAnsi="Times New Roman"/>
          <w:szCs w:val="24"/>
        </w:rPr>
        <w:t>of</w:t>
      </w:r>
      <w:r w:rsidRPr="00693DE6">
        <w:rPr>
          <w:rFonts w:ascii="Times New Roman" w:hAnsi="Times New Roman"/>
          <w:szCs w:val="24"/>
        </w:rPr>
        <w:t xml:space="preserve"> the </w:t>
      </w:r>
      <w:r w:rsidR="006D3444">
        <w:rPr>
          <w:rFonts w:ascii="Times New Roman" w:hAnsi="Times New Roman"/>
          <w:szCs w:val="24"/>
        </w:rPr>
        <w:t>Rome Statute drafting</w:t>
      </w:r>
      <w:r w:rsidRPr="00693DE6">
        <w:rPr>
          <w:rFonts w:ascii="Times New Roman" w:hAnsi="Times New Roman"/>
          <w:szCs w:val="24"/>
        </w:rPr>
        <w:t xml:space="preserve"> which merged civil and common law elements in one international procedure.</w:t>
      </w:r>
      <w:r w:rsidR="004577B0" w:rsidRPr="00693DE6">
        <w:rPr>
          <w:rFonts w:ascii="Times New Roman" w:hAnsi="Times New Roman"/>
          <w:szCs w:val="24"/>
        </w:rPr>
        <w:t xml:space="preserve"> </w:t>
      </w:r>
      <w:r w:rsidRPr="00693DE6">
        <w:rPr>
          <w:rFonts w:ascii="Times New Roman" w:hAnsi="Times New Roman"/>
          <w:szCs w:val="24"/>
        </w:rPr>
        <w:t xml:space="preserve">However, he opined that it is no longer relevant if a rule is </w:t>
      </w:r>
      <w:r w:rsidR="00F72A5B">
        <w:rPr>
          <w:rFonts w:ascii="Times New Roman" w:hAnsi="Times New Roman"/>
          <w:szCs w:val="24"/>
        </w:rPr>
        <w:t>'</w:t>
      </w:r>
      <w:r w:rsidRPr="00693DE6">
        <w:rPr>
          <w:rFonts w:ascii="Times New Roman" w:hAnsi="Times New Roman"/>
          <w:i/>
          <w:szCs w:val="24"/>
        </w:rPr>
        <w:t>adversarial</w:t>
      </w:r>
      <w:r w:rsidR="00F72A5B">
        <w:rPr>
          <w:rFonts w:ascii="Times New Roman" w:hAnsi="Times New Roman"/>
          <w:szCs w:val="24"/>
        </w:rPr>
        <w:t>'</w:t>
      </w:r>
      <w:r w:rsidRPr="00693DE6">
        <w:rPr>
          <w:rFonts w:ascii="Times New Roman" w:hAnsi="Times New Roman"/>
          <w:szCs w:val="24"/>
        </w:rPr>
        <w:t xml:space="preserve"> or </w:t>
      </w:r>
      <w:r w:rsidR="00F72A5B">
        <w:rPr>
          <w:rFonts w:ascii="Times New Roman" w:hAnsi="Times New Roman"/>
          <w:szCs w:val="24"/>
        </w:rPr>
        <w:t>'</w:t>
      </w:r>
      <w:r w:rsidRPr="00693DE6">
        <w:rPr>
          <w:rFonts w:ascii="Times New Roman" w:hAnsi="Times New Roman"/>
          <w:i/>
          <w:szCs w:val="24"/>
        </w:rPr>
        <w:t>inqu</w:t>
      </w:r>
      <w:r w:rsidR="00467ADF">
        <w:rPr>
          <w:rFonts w:ascii="Times New Roman" w:hAnsi="Times New Roman"/>
          <w:i/>
          <w:szCs w:val="24"/>
        </w:rPr>
        <w:t>i</w:t>
      </w:r>
      <w:r w:rsidRPr="00693DE6">
        <w:rPr>
          <w:rFonts w:ascii="Times New Roman" w:hAnsi="Times New Roman"/>
          <w:i/>
          <w:szCs w:val="24"/>
        </w:rPr>
        <w:t>sitorial</w:t>
      </w:r>
      <w:r w:rsidR="00F72A5B">
        <w:rPr>
          <w:rFonts w:ascii="Times New Roman" w:hAnsi="Times New Roman"/>
          <w:i/>
          <w:szCs w:val="24"/>
        </w:rPr>
        <w:t>'</w:t>
      </w:r>
      <w:r w:rsidRPr="00693DE6">
        <w:rPr>
          <w:rFonts w:ascii="Times New Roman" w:hAnsi="Times New Roman"/>
          <w:i/>
          <w:szCs w:val="24"/>
        </w:rPr>
        <w:t>,</w:t>
      </w:r>
      <w:r w:rsidR="00114419" w:rsidRPr="00693DE6">
        <w:rPr>
          <w:rFonts w:ascii="Times New Roman" w:hAnsi="Times New Roman"/>
          <w:szCs w:val="24"/>
        </w:rPr>
        <w:t xml:space="preserve"> </w:t>
      </w:r>
      <w:r w:rsidRPr="00693DE6">
        <w:rPr>
          <w:rFonts w:ascii="Times New Roman" w:hAnsi="Times New Roman"/>
          <w:szCs w:val="24"/>
        </w:rPr>
        <w:t xml:space="preserve">but what is </w:t>
      </w:r>
      <w:r w:rsidR="00114419">
        <w:rPr>
          <w:rFonts w:ascii="Times New Roman" w:hAnsi="Times New Roman"/>
          <w:szCs w:val="24"/>
        </w:rPr>
        <w:t>essential</w:t>
      </w:r>
      <w:r w:rsidRPr="00693DE6">
        <w:rPr>
          <w:rFonts w:ascii="Times New Roman" w:hAnsi="Times New Roman"/>
          <w:szCs w:val="24"/>
        </w:rPr>
        <w:t xml:space="preserve"> is if these rules assist the </w:t>
      </w:r>
      <w:r w:rsidR="0012481D">
        <w:rPr>
          <w:rFonts w:ascii="Times New Roman" w:hAnsi="Times New Roman"/>
          <w:szCs w:val="24"/>
        </w:rPr>
        <w:t>c</w:t>
      </w:r>
      <w:r w:rsidRPr="00693DE6">
        <w:rPr>
          <w:rFonts w:ascii="Times New Roman" w:hAnsi="Times New Roman"/>
          <w:szCs w:val="24"/>
        </w:rPr>
        <w:t>ourt in fulfilling their tasks and whether it conforms with the fundamental fair trial standards.</w:t>
      </w:r>
      <w:r w:rsidRPr="00693DE6">
        <w:rPr>
          <w:rStyle w:val="FootnoteReference"/>
          <w:rFonts w:ascii="Times New Roman" w:eastAsiaTheme="minorEastAsia" w:hAnsi="Times New Roman"/>
          <w:szCs w:val="24"/>
        </w:rPr>
        <w:footnoteReference w:id="24"/>
      </w:r>
      <w:r w:rsidR="00114419">
        <w:rPr>
          <w:rFonts w:ascii="Times New Roman" w:hAnsi="Times New Roman"/>
          <w:szCs w:val="24"/>
        </w:rPr>
        <w:t>While the court cannot compromise fair trial standards,</w:t>
      </w:r>
      <w:r w:rsidR="006D3444">
        <w:rPr>
          <w:rFonts w:ascii="Times New Roman" w:hAnsi="Times New Roman"/>
          <w:szCs w:val="24"/>
        </w:rPr>
        <w:t xml:space="preserve"> </w:t>
      </w:r>
      <w:r w:rsidR="00114419">
        <w:rPr>
          <w:rFonts w:ascii="Times New Roman" w:hAnsi="Times New Roman"/>
          <w:szCs w:val="24"/>
        </w:rPr>
        <w:t xml:space="preserve">the </w:t>
      </w:r>
      <w:r w:rsidR="006D3444">
        <w:rPr>
          <w:rFonts w:ascii="Times New Roman" w:hAnsi="Times New Roman"/>
          <w:szCs w:val="24"/>
        </w:rPr>
        <w:t>criminal procedure system</w:t>
      </w:r>
      <w:r w:rsidR="00114419">
        <w:rPr>
          <w:rFonts w:ascii="Times New Roman" w:hAnsi="Times New Roman"/>
          <w:szCs w:val="24"/>
        </w:rPr>
        <w:t xml:space="preserve"> may also contribute to the </w:t>
      </w:r>
      <w:r w:rsidR="006D3444">
        <w:rPr>
          <w:rFonts w:ascii="Times New Roman" w:hAnsi="Times New Roman"/>
          <w:szCs w:val="24"/>
        </w:rPr>
        <w:t xml:space="preserve">proceedings' structure and normative content </w:t>
      </w:r>
    </w:p>
    <w:p w14:paraId="778A4628" w14:textId="485AD8AF" w:rsidR="00114419" w:rsidRDefault="000F2772" w:rsidP="00693DE6">
      <w:pPr>
        <w:spacing w:line="480" w:lineRule="auto"/>
        <w:jc w:val="both"/>
        <w:rPr>
          <w:rFonts w:ascii="Times New Roman" w:hAnsi="Times New Roman"/>
          <w:szCs w:val="24"/>
        </w:rPr>
      </w:pPr>
      <w:r w:rsidRPr="00693DE6">
        <w:rPr>
          <w:rFonts w:ascii="Times New Roman" w:hAnsi="Times New Roman"/>
          <w:szCs w:val="24"/>
        </w:rPr>
        <w:t xml:space="preserve"> Kress submits that the </w:t>
      </w:r>
      <w:r w:rsidR="006D3444">
        <w:rPr>
          <w:rFonts w:ascii="Times New Roman" w:hAnsi="Times New Roman"/>
          <w:szCs w:val="24"/>
        </w:rPr>
        <w:t>ICC's procedural law</w:t>
      </w:r>
      <w:r w:rsidRPr="00693DE6">
        <w:rPr>
          <w:rFonts w:ascii="Times New Roman" w:hAnsi="Times New Roman"/>
          <w:szCs w:val="24"/>
        </w:rPr>
        <w:t xml:space="preserve"> does not take the pure form of </w:t>
      </w:r>
      <w:r w:rsidR="000707EF" w:rsidRPr="00693DE6">
        <w:rPr>
          <w:rFonts w:ascii="Times New Roman" w:hAnsi="Times New Roman"/>
          <w:szCs w:val="24"/>
        </w:rPr>
        <w:t xml:space="preserve">an </w:t>
      </w:r>
      <w:r w:rsidRPr="00693DE6">
        <w:rPr>
          <w:rFonts w:ascii="Times New Roman" w:hAnsi="Times New Roman"/>
          <w:szCs w:val="24"/>
        </w:rPr>
        <w:t xml:space="preserve">adversarial or inquisitorial </w:t>
      </w:r>
      <w:r w:rsidR="00262346">
        <w:rPr>
          <w:rFonts w:ascii="Times New Roman" w:hAnsi="Times New Roman"/>
          <w:szCs w:val="24"/>
        </w:rPr>
        <w:t>criminal procedure model</w:t>
      </w:r>
      <w:r w:rsidRPr="00693DE6">
        <w:rPr>
          <w:rFonts w:ascii="Times New Roman" w:hAnsi="Times New Roman"/>
          <w:szCs w:val="24"/>
        </w:rPr>
        <w:t>.</w:t>
      </w:r>
      <w:r w:rsidR="004577B0" w:rsidRPr="00693DE6">
        <w:rPr>
          <w:rFonts w:ascii="Times New Roman" w:hAnsi="Times New Roman"/>
          <w:szCs w:val="24"/>
        </w:rPr>
        <w:t xml:space="preserve"> </w:t>
      </w:r>
      <w:r w:rsidRPr="00693DE6">
        <w:rPr>
          <w:rFonts w:ascii="Times New Roman" w:hAnsi="Times New Roman"/>
          <w:szCs w:val="24"/>
        </w:rPr>
        <w:t xml:space="preserve">Neither does it involve a mixed system. He describes it as a </w:t>
      </w:r>
      <w:r w:rsidR="00F72A5B">
        <w:rPr>
          <w:rFonts w:ascii="Times New Roman" w:hAnsi="Times New Roman"/>
          <w:szCs w:val="24"/>
        </w:rPr>
        <w:t>'</w:t>
      </w:r>
      <w:r w:rsidRPr="00693DE6">
        <w:rPr>
          <w:rFonts w:ascii="Times New Roman" w:hAnsi="Times New Roman"/>
          <w:i/>
          <w:szCs w:val="24"/>
        </w:rPr>
        <w:t>unique compromise structure.</w:t>
      </w:r>
      <w:r w:rsidR="00F72A5B">
        <w:rPr>
          <w:rFonts w:ascii="Times New Roman" w:hAnsi="Times New Roman"/>
          <w:i/>
          <w:szCs w:val="24"/>
        </w:rPr>
        <w:t>'</w:t>
      </w:r>
      <w:r w:rsidRPr="00693DE6">
        <w:rPr>
          <w:rStyle w:val="FootnoteReference"/>
          <w:rFonts w:ascii="Times New Roman" w:eastAsiaTheme="minorEastAsia" w:hAnsi="Times New Roman"/>
          <w:i/>
          <w:szCs w:val="24"/>
        </w:rPr>
        <w:footnoteReference w:id="25"/>
      </w:r>
      <w:r w:rsidRPr="00693DE6">
        <w:rPr>
          <w:rFonts w:ascii="Times New Roman" w:hAnsi="Times New Roman"/>
          <w:szCs w:val="24"/>
        </w:rPr>
        <w:t>Hence, creating a  fair balance between the adversarial and inquisitorial has been left to judges to decide.</w:t>
      </w:r>
      <w:r w:rsidRPr="00693DE6">
        <w:rPr>
          <w:rStyle w:val="FootnoteReference"/>
          <w:rFonts w:ascii="Times New Roman" w:eastAsiaTheme="minorEastAsia" w:hAnsi="Times New Roman"/>
          <w:szCs w:val="24"/>
        </w:rPr>
        <w:footnoteReference w:id="26"/>
      </w:r>
      <w:r w:rsidR="00114419">
        <w:rPr>
          <w:rFonts w:ascii="Times New Roman" w:hAnsi="Times New Roman"/>
          <w:szCs w:val="24"/>
        </w:rPr>
        <w:t xml:space="preserve">One </w:t>
      </w:r>
      <w:r w:rsidRPr="00693DE6">
        <w:rPr>
          <w:rFonts w:ascii="Times New Roman" w:hAnsi="Times New Roman"/>
          <w:szCs w:val="24"/>
        </w:rPr>
        <w:t>can infer that a  reasonable amount of judges discretion is required here.</w:t>
      </w:r>
    </w:p>
    <w:p w14:paraId="01AFA77B" w14:textId="0025AF0D" w:rsidR="000346BD" w:rsidRPr="00467ADF" w:rsidRDefault="000346BD" w:rsidP="00693DE6">
      <w:pPr>
        <w:spacing w:line="480" w:lineRule="auto"/>
        <w:jc w:val="both"/>
        <w:rPr>
          <w:rFonts w:ascii="Times New Roman" w:hAnsi="Times New Roman"/>
          <w:szCs w:val="24"/>
        </w:rPr>
      </w:pPr>
      <w:r>
        <w:rPr>
          <w:rFonts w:ascii="Times New Roman" w:hAnsi="Times New Roman"/>
          <w:szCs w:val="24"/>
        </w:rPr>
        <w:lastRenderedPageBreak/>
        <w:t xml:space="preserve">Nonetheless, it remains the case that significant portions of the proceedings of the ICC are </w:t>
      </w:r>
      <w:r w:rsidR="00114419">
        <w:rPr>
          <w:rFonts w:ascii="Times New Roman" w:hAnsi="Times New Roman"/>
          <w:szCs w:val="24"/>
        </w:rPr>
        <w:t>main</w:t>
      </w:r>
      <w:r>
        <w:rPr>
          <w:rFonts w:ascii="Times New Roman" w:hAnsi="Times New Roman"/>
          <w:szCs w:val="24"/>
        </w:rPr>
        <w:t>ly adversarial.</w:t>
      </w:r>
      <w:r w:rsidR="00467ADF">
        <w:rPr>
          <w:rFonts w:ascii="Times New Roman" w:hAnsi="Times New Roman"/>
          <w:szCs w:val="24"/>
        </w:rPr>
        <w:t xml:space="preserve"> </w:t>
      </w:r>
      <w:r>
        <w:rPr>
          <w:rFonts w:ascii="Times New Roman" w:hAnsi="Times New Roman"/>
          <w:szCs w:val="24"/>
        </w:rPr>
        <w:t>For instance, the judges do not perfume truth-finding function equivalent to their civil law co</w:t>
      </w:r>
      <w:r w:rsidR="00467ADF">
        <w:rPr>
          <w:rFonts w:ascii="Times New Roman" w:hAnsi="Times New Roman"/>
          <w:szCs w:val="24"/>
        </w:rPr>
        <w:t>u</w:t>
      </w:r>
      <w:r>
        <w:rPr>
          <w:rFonts w:ascii="Times New Roman" w:hAnsi="Times New Roman"/>
          <w:szCs w:val="24"/>
        </w:rPr>
        <w:t>nterparts.</w:t>
      </w:r>
      <w:r w:rsidR="00467ADF">
        <w:rPr>
          <w:rFonts w:ascii="Times New Roman" w:hAnsi="Times New Roman"/>
          <w:szCs w:val="24"/>
        </w:rPr>
        <w:t xml:space="preserve"> </w:t>
      </w:r>
      <w:r w:rsidR="00114419">
        <w:rPr>
          <w:rFonts w:ascii="Times New Roman" w:hAnsi="Times New Roman"/>
          <w:szCs w:val="24"/>
        </w:rPr>
        <w:t>Besides</w:t>
      </w:r>
      <w:r>
        <w:rPr>
          <w:rFonts w:ascii="Times New Roman" w:hAnsi="Times New Roman"/>
          <w:szCs w:val="24"/>
        </w:rPr>
        <w:t xml:space="preserve">, victims are not </w:t>
      </w:r>
      <w:r w:rsidR="00467ADF">
        <w:rPr>
          <w:rFonts w:ascii="Times New Roman" w:hAnsi="Times New Roman"/>
          <w:szCs w:val="24"/>
        </w:rPr>
        <w:t xml:space="preserve">a </w:t>
      </w:r>
      <w:r>
        <w:rPr>
          <w:rFonts w:ascii="Times New Roman" w:hAnsi="Times New Roman"/>
          <w:szCs w:val="24"/>
        </w:rPr>
        <w:t>full party to th</w:t>
      </w:r>
      <w:r w:rsidR="00467ADF">
        <w:rPr>
          <w:rFonts w:ascii="Times New Roman" w:hAnsi="Times New Roman"/>
          <w:szCs w:val="24"/>
        </w:rPr>
        <w:t>e proceedings.</w:t>
      </w:r>
    </w:p>
    <w:p w14:paraId="5D59095E" w14:textId="46219B9D" w:rsidR="00422A23" w:rsidRDefault="0012481D" w:rsidP="00693DE6">
      <w:pPr>
        <w:spacing w:line="480" w:lineRule="auto"/>
        <w:jc w:val="both"/>
        <w:rPr>
          <w:rFonts w:ascii="Times New Roman" w:hAnsi="Times New Roman"/>
          <w:szCs w:val="24"/>
        </w:rPr>
      </w:pPr>
      <w:r>
        <w:rPr>
          <w:rFonts w:ascii="Times New Roman" w:hAnsi="Times New Roman"/>
          <w:szCs w:val="24"/>
        </w:rPr>
        <w:t>It</w:t>
      </w:r>
      <w:r w:rsidR="00E322AE" w:rsidRPr="00693DE6">
        <w:rPr>
          <w:rFonts w:ascii="Times New Roman" w:hAnsi="Times New Roman"/>
          <w:szCs w:val="24"/>
        </w:rPr>
        <w:t xml:space="preserve"> </w:t>
      </w:r>
      <w:r w:rsidR="00467ADF">
        <w:rPr>
          <w:rFonts w:ascii="Times New Roman" w:hAnsi="Times New Roman"/>
          <w:szCs w:val="24"/>
        </w:rPr>
        <w:t xml:space="preserve">remains the case that, in the aftermath of atrocity, justice is a </w:t>
      </w:r>
      <w:r w:rsidR="00114419">
        <w:rPr>
          <w:rFonts w:ascii="Times New Roman" w:hAnsi="Times New Roman"/>
          <w:szCs w:val="24"/>
        </w:rPr>
        <w:t>crucial</w:t>
      </w:r>
      <w:r w:rsidR="00467ADF">
        <w:rPr>
          <w:rFonts w:ascii="Times New Roman" w:hAnsi="Times New Roman"/>
          <w:szCs w:val="24"/>
        </w:rPr>
        <w:t xml:space="preserve"> demand of victims, and it may play a vital role in restoring their dignity and delivering justice</w:t>
      </w:r>
      <w:r w:rsidR="00114419">
        <w:rPr>
          <w:rFonts w:ascii="Times New Roman" w:hAnsi="Times New Roman"/>
          <w:szCs w:val="24"/>
        </w:rPr>
        <w:t>,</w:t>
      </w:r>
      <w:r w:rsidR="00E322AE" w:rsidRPr="00693DE6">
        <w:rPr>
          <w:rStyle w:val="FootnoteReference"/>
          <w:rFonts w:ascii="Times New Roman" w:hAnsi="Times New Roman"/>
          <w:szCs w:val="24"/>
        </w:rPr>
        <w:footnoteReference w:id="27"/>
      </w:r>
      <w:r w:rsidR="00E322AE" w:rsidRPr="00693DE6">
        <w:rPr>
          <w:rFonts w:ascii="Times New Roman" w:hAnsi="Times New Roman"/>
          <w:szCs w:val="24"/>
        </w:rPr>
        <w:t xml:space="preserve"> Provided, it is conducted in a way that is reflective of victims needs and expectations.</w:t>
      </w:r>
      <w:r w:rsidR="00E322AE" w:rsidRPr="00693DE6">
        <w:rPr>
          <w:rStyle w:val="FootnoteReference"/>
          <w:rFonts w:ascii="Times New Roman" w:hAnsi="Times New Roman"/>
          <w:szCs w:val="24"/>
        </w:rPr>
        <w:footnoteReference w:id="28"/>
      </w:r>
      <w:r w:rsidR="00E322AE" w:rsidRPr="00693DE6">
        <w:rPr>
          <w:rFonts w:ascii="Times New Roman" w:hAnsi="Times New Roman"/>
          <w:szCs w:val="24"/>
        </w:rPr>
        <w:t>However,</w:t>
      </w:r>
      <w:r w:rsidR="00114419">
        <w:rPr>
          <w:rFonts w:ascii="Times New Roman" w:hAnsi="Times New Roman"/>
          <w:szCs w:val="24"/>
        </w:rPr>
        <w:t xml:space="preserve"> there is a debate </w:t>
      </w:r>
      <w:r w:rsidR="00E322AE" w:rsidRPr="00693DE6">
        <w:rPr>
          <w:rFonts w:ascii="Times New Roman" w:hAnsi="Times New Roman"/>
          <w:szCs w:val="24"/>
        </w:rPr>
        <w:t>that prosecutions alone cannot achieve this aim</w:t>
      </w:r>
      <w:r w:rsidR="00114419">
        <w:rPr>
          <w:rFonts w:ascii="Times New Roman" w:hAnsi="Times New Roman"/>
          <w:szCs w:val="24"/>
        </w:rPr>
        <w:t xml:space="preserve">, which </w:t>
      </w:r>
      <w:r w:rsidR="009430D0" w:rsidRPr="00693DE6">
        <w:rPr>
          <w:rFonts w:ascii="Times New Roman" w:hAnsi="Times New Roman"/>
          <w:szCs w:val="24"/>
        </w:rPr>
        <w:t>brings in the question of a complementary mechanism in the national jurisdiction</w:t>
      </w:r>
      <w:r w:rsidR="00467ADF">
        <w:rPr>
          <w:rFonts w:ascii="Times New Roman" w:hAnsi="Times New Roman"/>
          <w:szCs w:val="24"/>
        </w:rPr>
        <w:t>,</w:t>
      </w:r>
      <w:r w:rsidR="009430D0" w:rsidRPr="00693DE6">
        <w:rPr>
          <w:rFonts w:ascii="Times New Roman" w:hAnsi="Times New Roman"/>
          <w:szCs w:val="24"/>
        </w:rPr>
        <w:t xml:space="preserve"> which will support victims</w:t>
      </w:r>
      <w:r w:rsidR="00F72A5B">
        <w:rPr>
          <w:rFonts w:ascii="Times New Roman" w:hAnsi="Times New Roman"/>
          <w:szCs w:val="24"/>
        </w:rPr>
        <w:t>'</w:t>
      </w:r>
      <w:r w:rsidR="009430D0" w:rsidRPr="00693DE6">
        <w:rPr>
          <w:rFonts w:ascii="Times New Roman" w:hAnsi="Times New Roman"/>
          <w:szCs w:val="24"/>
        </w:rPr>
        <w:t xml:space="preserve"> access to justice. There are other alternative mechanisms of transitional justice</w:t>
      </w:r>
      <w:r w:rsidR="006D3444">
        <w:rPr>
          <w:rFonts w:ascii="Times New Roman" w:hAnsi="Times New Roman"/>
          <w:szCs w:val="24"/>
        </w:rPr>
        <w:t>,</w:t>
      </w:r>
      <w:r w:rsidR="009430D0" w:rsidRPr="00693DE6">
        <w:rPr>
          <w:rFonts w:ascii="Times New Roman" w:hAnsi="Times New Roman"/>
          <w:szCs w:val="24"/>
        </w:rPr>
        <w:t xml:space="preserve"> like truth commissions </w:t>
      </w:r>
      <w:r w:rsidR="006D3444">
        <w:rPr>
          <w:rFonts w:ascii="Times New Roman" w:hAnsi="Times New Roman"/>
          <w:szCs w:val="24"/>
        </w:rPr>
        <w:t>that are not within this research scope</w:t>
      </w:r>
      <w:r w:rsidR="009430D0" w:rsidRPr="00693DE6">
        <w:rPr>
          <w:rFonts w:ascii="Times New Roman" w:hAnsi="Times New Roman"/>
          <w:szCs w:val="24"/>
        </w:rPr>
        <w:t>.</w:t>
      </w:r>
    </w:p>
    <w:p w14:paraId="42406488" w14:textId="62B36A55" w:rsidR="00331A7D" w:rsidRDefault="00422A23" w:rsidP="00693DE6">
      <w:pPr>
        <w:spacing w:line="480" w:lineRule="auto"/>
        <w:jc w:val="both"/>
        <w:rPr>
          <w:rFonts w:ascii="Times New Roman" w:hAnsi="Times New Roman"/>
          <w:szCs w:val="24"/>
        </w:rPr>
      </w:pPr>
      <w:r>
        <w:rPr>
          <w:rFonts w:ascii="Times New Roman" w:hAnsi="Times New Roman"/>
          <w:szCs w:val="24"/>
        </w:rPr>
        <w:t>According to Moffett,</w:t>
      </w:r>
      <w:r w:rsidR="00331A7D">
        <w:rPr>
          <w:rFonts w:ascii="Times New Roman" w:hAnsi="Times New Roman"/>
          <w:szCs w:val="24"/>
        </w:rPr>
        <w:t xml:space="preserve"> </w:t>
      </w:r>
      <w:r w:rsidR="00E322AE" w:rsidRPr="00693DE6">
        <w:rPr>
          <w:rFonts w:ascii="Times New Roman" w:hAnsi="Times New Roman"/>
          <w:szCs w:val="24"/>
        </w:rPr>
        <w:t>procedural and substantive justice complement each other in criminal proceedings</w:t>
      </w:r>
      <w:r>
        <w:rPr>
          <w:rFonts w:ascii="Times New Roman" w:hAnsi="Times New Roman"/>
          <w:szCs w:val="24"/>
        </w:rPr>
        <w:t xml:space="preserve">; </w:t>
      </w:r>
      <w:r w:rsidR="00E322AE" w:rsidRPr="00693DE6">
        <w:rPr>
          <w:rFonts w:ascii="Times New Roman" w:hAnsi="Times New Roman"/>
          <w:szCs w:val="24"/>
        </w:rPr>
        <w:t>th</w:t>
      </w:r>
      <w:r>
        <w:rPr>
          <w:rFonts w:ascii="Times New Roman" w:hAnsi="Times New Roman"/>
          <w:szCs w:val="24"/>
        </w:rPr>
        <w:t>is</w:t>
      </w:r>
      <w:r w:rsidR="00E322AE" w:rsidRPr="00693DE6">
        <w:rPr>
          <w:rFonts w:ascii="Times New Roman" w:hAnsi="Times New Roman"/>
          <w:szCs w:val="24"/>
        </w:rPr>
        <w:t xml:space="preserve"> combination </w:t>
      </w:r>
      <w:r>
        <w:rPr>
          <w:rFonts w:ascii="Times New Roman" w:hAnsi="Times New Roman"/>
          <w:szCs w:val="24"/>
        </w:rPr>
        <w:t>ensures</w:t>
      </w:r>
      <w:r w:rsidR="00E322AE" w:rsidRPr="00693DE6">
        <w:rPr>
          <w:rFonts w:ascii="Times New Roman" w:hAnsi="Times New Roman"/>
          <w:szCs w:val="24"/>
        </w:rPr>
        <w:t xml:space="preserve"> a more effective remedy for victims</w:t>
      </w:r>
      <w:r w:rsidR="00F72A5B">
        <w:rPr>
          <w:rFonts w:ascii="Times New Roman" w:hAnsi="Times New Roman"/>
          <w:szCs w:val="24"/>
        </w:rPr>
        <w:t>'</w:t>
      </w:r>
      <w:r w:rsidR="00E322AE" w:rsidRPr="00693DE6">
        <w:rPr>
          <w:rFonts w:ascii="Times New Roman" w:hAnsi="Times New Roman"/>
          <w:szCs w:val="24"/>
        </w:rPr>
        <w:t xml:space="preserve"> harm.</w:t>
      </w:r>
      <w:r w:rsidR="00E322AE" w:rsidRPr="00693DE6">
        <w:rPr>
          <w:rStyle w:val="FootnoteReference"/>
          <w:rFonts w:ascii="Times New Roman" w:hAnsi="Times New Roman"/>
          <w:szCs w:val="24"/>
        </w:rPr>
        <w:footnoteReference w:id="29"/>
      </w:r>
      <w:r>
        <w:rPr>
          <w:rFonts w:ascii="Times New Roman" w:hAnsi="Times New Roman"/>
          <w:szCs w:val="24"/>
        </w:rPr>
        <w:t xml:space="preserve"> </w:t>
      </w:r>
      <w:r w:rsidR="00E322AE" w:rsidRPr="00693DE6">
        <w:rPr>
          <w:rFonts w:ascii="Times New Roman" w:hAnsi="Times New Roman"/>
          <w:szCs w:val="24"/>
        </w:rPr>
        <w:t>However,</w:t>
      </w:r>
      <w:r w:rsidR="00FE40E7" w:rsidRPr="00693DE6">
        <w:rPr>
          <w:rFonts w:ascii="Times New Roman" w:hAnsi="Times New Roman"/>
          <w:szCs w:val="24"/>
        </w:rPr>
        <w:t xml:space="preserve"> </w:t>
      </w:r>
      <w:r w:rsidR="000D1FAD" w:rsidRPr="00693DE6">
        <w:rPr>
          <w:rFonts w:ascii="Times New Roman" w:hAnsi="Times New Roman"/>
          <w:szCs w:val="24"/>
        </w:rPr>
        <w:t xml:space="preserve">this underscores the significance of the fairness of </w:t>
      </w:r>
      <w:r w:rsidR="000707EF" w:rsidRPr="00693DE6">
        <w:rPr>
          <w:rFonts w:ascii="Times New Roman" w:hAnsi="Times New Roman"/>
          <w:szCs w:val="24"/>
        </w:rPr>
        <w:t xml:space="preserve">the </w:t>
      </w:r>
      <w:r w:rsidR="000D1FAD" w:rsidRPr="00693DE6">
        <w:rPr>
          <w:rFonts w:ascii="Times New Roman" w:hAnsi="Times New Roman"/>
          <w:szCs w:val="24"/>
        </w:rPr>
        <w:t>procedure and the outcome of the proceedings.</w:t>
      </w:r>
      <w:r w:rsidR="0009645B" w:rsidRPr="00693DE6">
        <w:rPr>
          <w:rFonts w:ascii="Times New Roman" w:hAnsi="Times New Roman"/>
          <w:szCs w:val="24"/>
        </w:rPr>
        <w:t xml:space="preserve"> Previous studies submitted</w:t>
      </w:r>
      <w:r w:rsidR="00E322AE" w:rsidRPr="00693DE6">
        <w:rPr>
          <w:rFonts w:ascii="Times New Roman" w:hAnsi="Times New Roman"/>
          <w:szCs w:val="24"/>
        </w:rPr>
        <w:t xml:space="preserve"> that most victims </w:t>
      </w:r>
      <w:r w:rsidR="00331A7D">
        <w:rPr>
          <w:rFonts w:ascii="Times New Roman" w:hAnsi="Times New Roman"/>
          <w:szCs w:val="24"/>
        </w:rPr>
        <w:t>prior</w:t>
      </w:r>
      <w:r w:rsidR="006D3444">
        <w:rPr>
          <w:rFonts w:ascii="Times New Roman" w:hAnsi="Times New Roman"/>
          <w:szCs w:val="24"/>
        </w:rPr>
        <w:t>i</w:t>
      </w:r>
      <w:r w:rsidR="00331A7D">
        <w:rPr>
          <w:rFonts w:ascii="Times New Roman" w:hAnsi="Times New Roman"/>
          <w:szCs w:val="24"/>
        </w:rPr>
        <w:t>tise</w:t>
      </w:r>
      <w:r w:rsidR="00E322AE" w:rsidRPr="00693DE6">
        <w:rPr>
          <w:rFonts w:ascii="Times New Roman" w:hAnsi="Times New Roman"/>
          <w:szCs w:val="24"/>
        </w:rPr>
        <w:t xml:space="preserve"> the fairness of the</w:t>
      </w:r>
      <w:r w:rsidR="00467ADF">
        <w:rPr>
          <w:rFonts w:ascii="Times New Roman" w:hAnsi="Times New Roman"/>
          <w:szCs w:val="24"/>
        </w:rPr>
        <w:t xml:space="preserve"> criminal process</w:t>
      </w:r>
      <w:r w:rsidR="00331A7D">
        <w:rPr>
          <w:rFonts w:ascii="Times New Roman" w:hAnsi="Times New Roman"/>
          <w:szCs w:val="24"/>
        </w:rPr>
        <w:t xml:space="preserve"> over the result</w:t>
      </w:r>
      <w:r w:rsidR="00467ADF">
        <w:rPr>
          <w:rFonts w:ascii="Times New Roman" w:hAnsi="Times New Roman"/>
          <w:szCs w:val="24"/>
        </w:rPr>
        <w:t>.</w:t>
      </w:r>
      <w:r w:rsidR="00331A7D">
        <w:rPr>
          <w:rStyle w:val="FootnoteReference"/>
          <w:rFonts w:ascii="Times New Roman" w:hAnsi="Times New Roman"/>
          <w:szCs w:val="24"/>
        </w:rPr>
        <w:footnoteReference w:id="30"/>
      </w:r>
      <w:r w:rsidR="00467ADF">
        <w:rPr>
          <w:rFonts w:ascii="Times New Roman" w:hAnsi="Times New Roman"/>
          <w:szCs w:val="24"/>
        </w:rPr>
        <w:t xml:space="preserve"> </w:t>
      </w:r>
      <w:r w:rsidR="00331A7D">
        <w:rPr>
          <w:rFonts w:ascii="Times New Roman" w:hAnsi="Times New Roman"/>
          <w:szCs w:val="24"/>
        </w:rPr>
        <w:t>Therefore</w:t>
      </w:r>
      <w:r w:rsidR="00467ADF">
        <w:rPr>
          <w:rFonts w:ascii="Times New Roman" w:hAnsi="Times New Roman"/>
          <w:szCs w:val="24"/>
        </w:rPr>
        <w:t xml:space="preserve">, </w:t>
      </w:r>
      <w:r w:rsidR="006D3444">
        <w:rPr>
          <w:rFonts w:ascii="Times New Roman" w:hAnsi="Times New Roman"/>
          <w:szCs w:val="24"/>
        </w:rPr>
        <w:t>victims' perception</w:t>
      </w:r>
      <w:r w:rsidR="00467ADF">
        <w:rPr>
          <w:rFonts w:ascii="Times New Roman" w:hAnsi="Times New Roman"/>
          <w:szCs w:val="24"/>
        </w:rPr>
        <w:t xml:space="preserve">s are </w:t>
      </w:r>
      <w:r w:rsidR="00331A7D">
        <w:rPr>
          <w:rFonts w:ascii="Times New Roman" w:hAnsi="Times New Roman"/>
          <w:szCs w:val="24"/>
        </w:rPr>
        <w:lastRenderedPageBreak/>
        <w:t>influenced by the degree of fairness and respect accorded to them during the proceedings.</w:t>
      </w:r>
    </w:p>
    <w:p w14:paraId="35C5F4D0" w14:textId="732C4426" w:rsidR="00342056" w:rsidRDefault="00AE737E" w:rsidP="00693DE6">
      <w:pPr>
        <w:spacing w:line="480" w:lineRule="auto"/>
        <w:jc w:val="both"/>
        <w:rPr>
          <w:rFonts w:ascii="Times New Roman" w:hAnsi="Times New Roman"/>
          <w:szCs w:val="24"/>
        </w:rPr>
      </w:pPr>
      <w:proofErr w:type="spellStart"/>
      <w:r w:rsidRPr="00693DE6">
        <w:rPr>
          <w:rFonts w:ascii="Times New Roman" w:hAnsi="Times New Roman"/>
          <w:szCs w:val="24"/>
        </w:rPr>
        <w:t>Wyngaert</w:t>
      </w:r>
      <w:proofErr w:type="spellEnd"/>
      <w:r w:rsidR="000707EF" w:rsidRPr="00693DE6">
        <w:rPr>
          <w:rFonts w:ascii="Times New Roman" w:hAnsi="Times New Roman"/>
          <w:szCs w:val="24"/>
        </w:rPr>
        <w:t>,</w:t>
      </w:r>
      <w:r w:rsidRPr="00693DE6">
        <w:rPr>
          <w:rFonts w:ascii="Times New Roman" w:hAnsi="Times New Roman"/>
          <w:szCs w:val="24"/>
        </w:rPr>
        <w:t xml:space="preserve"> in her study</w:t>
      </w:r>
      <w:r w:rsidR="000707EF" w:rsidRPr="00693DE6">
        <w:rPr>
          <w:rFonts w:ascii="Times New Roman" w:hAnsi="Times New Roman"/>
          <w:szCs w:val="24"/>
        </w:rPr>
        <w:t>,</w:t>
      </w:r>
      <w:r w:rsidRPr="00693DE6">
        <w:rPr>
          <w:rFonts w:ascii="Times New Roman" w:hAnsi="Times New Roman"/>
          <w:szCs w:val="24"/>
        </w:rPr>
        <w:t xml:space="preserve"> has drawn our attention to the attempt of the Rome Statute to strike a balance between restorative and retributive justice approach.</w:t>
      </w:r>
      <w:r w:rsidRPr="00693DE6">
        <w:rPr>
          <w:rStyle w:val="FootnoteReference"/>
          <w:rFonts w:ascii="Times New Roman" w:eastAsiaTheme="minorEastAsia" w:hAnsi="Times New Roman"/>
          <w:szCs w:val="24"/>
        </w:rPr>
        <w:footnoteReference w:id="31"/>
      </w:r>
      <w:r w:rsidRPr="00693DE6">
        <w:rPr>
          <w:rFonts w:ascii="Times New Roman" w:hAnsi="Times New Roman"/>
          <w:szCs w:val="24"/>
        </w:rPr>
        <w:t xml:space="preserve"> From her perspective, the Rome Statute indicates a remarkable change in the role and needs of victims.</w:t>
      </w:r>
      <w:r w:rsidRPr="00693DE6">
        <w:rPr>
          <w:rStyle w:val="FootnoteReference"/>
          <w:rFonts w:ascii="Times New Roman" w:eastAsiaTheme="minorEastAsia" w:hAnsi="Times New Roman"/>
          <w:szCs w:val="24"/>
        </w:rPr>
        <w:footnoteReference w:id="32"/>
      </w:r>
      <w:r w:rsidR="00517509">
        <w:rPr>
          <w:rFonts w:ascii="Times New Roman" w:hAnsi="Times New Roman"/>
          <w:szCs w:val="24"/>
        </w:rPr>
        <w:t xml:space="preserve"> Therefore, t</w:t>
      </w:r>
      <w:r w:rsidR="00517509" w:rsidRPr="00693DE6">
        <w:rPr>
          <w:rFonts w:ascii="Times New Roman" w:hAnsi="Times New Roman"/>
          <w:szCs w:val="24"/>
        </w:rPr>
        <w:t>h</w:t>
      </w:r>
      <w:r w:rsidR="00517509">
        <w:rPr>
          <w:rFonts w:ascii="Times New Roman" w:hAnsi="Times New Roman"/>
          <w:szCs w:val="24"/>
        </w:rPr>
        <w:t xml:space="preserve">rough victim participation, the </w:t>
      </w:r>
      <w:r w:rsidR="00517509" w:rsidRPr="00693DE6">
        <w:rPr>
          <w:rFonts w:ascii="Times New Roman" w:hAnsi="Times New Roman"/>
          <w:szCs w:val="24"/>
        </w:rPr>
        <w:t xml:space="preserve"> Rome Statute aims to combine the restorative and retributive justice approaches.</w:t>
      </w:r>
      <w:r w:rsidRPr="00693DE6">
        <w:rPr>
          <w:rStyle w:val="FootnoteReference"/>
          <w:rFonts w:ascii="Times New Roman" w:eastAsiaTheme="minorEastAsia" w:hAnsi="Times New Roman"/>
          <w:szCs w:val="24"/>
        </w:rPr>
        <w:footnoteReference w:id="33"/>
      </w:r>
      <w:r w:rsidR="00517509">
        <w:rPr>
          <w:rFonts w:ascii="Times New Roman" w:hAnsi="Times New Roman"/>
          <w:szCs w:val="24"/>
        </w:rPr>
        <w:t xml:space="preserve">  </w:t>
      </w:r>
      <w:r w:rsidRPr="00693DE6">
        <w:rPr>
          <w:rFonts w:ascii="Times New Roman" w:hAnsi="Times New Roman"/>
          <w:szCs w:val="24"/>
        </w:rPr>
        <w:t xml:space="preserve">However, some researchers like Findlay and  </w:t>
      </w:r>
      <w:proofErr w:type="spellStart"/>
      <w:r w:rsidRPr="00693DE6">
        <w:rPr>
          <w:rFonts w:ascii="Times New Roman" w:hAnsi="Times New Roman"/>
          <w:szCs w:val="24"/>
        </w:rPr>
        <w:t>Henham</w:t>
      </w:r>
      <w:proofErr w:type="spellEnd"/>
      <w:r w:rsidRPr="00693DE6">
        <w:rPr>
          <w:rFonts w:ascii="Times New Roman" w:hAnsi="Times New Roman"/>
          <w:szCs w:val="24"/>
        </w:rPr>
        <w:t xml:space="preserve"> have submitted that victim participation is ambiguous and that the incorporation of restorative justice is more of an aspiration.</w:t>
      </w:r>
      <w:r w:rsidR="00517509">
        <w:rPr>
          <w:rStyle w:val="FootnoteReference"/>
          <w:rFonts w:ascii="Times New Roman" w:hAnsi="Times New Roman"/>
          <w:szCs w:val="24"/>
        </w:rPr>
        <w:footnoteReference w:id="34"/>
      </w:r>
      <w:r w:rsidR="00700C38" w:rsidRPr="00693DE6">
        <w:rPr>
          <w:rFonts w:ascii="Times New Roman" w:hAnsi="Times New Roman"/>
          <w:szCs w:val="24"/>
        </w:rPr>
        <w:t xml:space="preserve"> </w:t>
      </w:r>
      <w:r w:rsidR="00517509">
        <w:rPr>
          <w:rFonts w:ascii="Times New Roman" w:hAnsi="Times New Roman"/>
          <w:szCs w:val="24"/>
        </w:rPr>
        <w:t xml:space="preserve">Arguably, victim participation does not fully incorporate restorative justice. </w:t>
      </w:r>
      <w:r w:rsidR="006D3444">
        <w:rPr>
          <w:rFonts w:ascii="Times New Roman" w:hAnsi="Times New Roman"/>
          <w:szCs w:val="24"/>
        </w:rPr>
        <w:t>Simultaneously, some restorative justice elements</w:t>
      </w:r>
      <w:r w:rsidR="00517509">
        <w:rPr>
          <w:rFonts w:ascii="Times New Roman" w:hAnsi="Times New Roman"/>
          <w:szCs w:val="24"/>
        </w:rPr>
        <w:t xml:space="preserve"> are present in the victim participation at the ICC. It is not certain if the restorative justice approach can reach its full potential within the </w:t>
      </w:r>
      <w:r w:rsidR="006D3444">
        <w:rPr>
          <w:rFonts w:ascii="Times New Roman" w:hAnsi="Times New Roman"/>
          <w:szCs w:val="24"/>
        </w:rPr>
        <w:t>ICC's jurisprudence</w:t>
      </w:r>
      <w:r w:rsidR="00517509">
        <w:rPr>
          <w:rFonts w:ascii="Times New Roman" w:hAnsi="Times New Roman"/>
          <w:szCs w:val="24"/>
        </w:rPr>
        <w:t xml:space="preserve">. Given that the ICC is a court responsible for the prosecution of perpetrators of gross violations of human rights, there might be friction in striking a balance between restorative and retributive justice. </w:t>
      </w:r>
    </w:p>
    <w:p w14:paraId="064D9387" w14:textId="7EEC0AB1" w:rsidR="00AE737E" w:rsidRPr="00693DE6" w:rsidRDefault="00342056" w:rsidP="00366695">
      <w:pPr>
        <w:spacing w:line="480" w:lineRule="auto"/>
        <w:jc w:val="both"/>
        <w:rPr>
          <w:rFonts w:ascii="Times New Roman" w:hAnsi="Times New Roman"/>
          <w:szCs w:val="24"/>
        </w:rPr>
      </w:pPr>
      <w:r>
        <w:rPr>
          <w:rFonts w:ascii="Times New Roman" w:hAnsi="Times New Roman"/>
          <w:szCs w:val="24"/>
        </w:rPr>
        <w:t>In this sense</w:t>
      </w:r>
      <w:r w:rsidR="00AE737E" w:rsidRPr="00693DE6">
        <w:rPr>
          <w:rFonts w:ascii="Times New Roman" w:hAnsi="Times New Roman"/>
          <w:szCs w:val="24"/>
        </w:rPr>
        <w:t xml:space="preserve">, Moffett propounds that the use of restorative justice should be </w:t>
      </w:r>
      <w:r w:rsidR="00497197">
        <w:rPr>
          <w:rFonts w:ascii="Times New Roman" w:hAnsi="Times New Roman"/>
          <w:szCs w:val="24"/>
        </w:rPr>
        <w:t>assigned</w:t>
      </w:r>
      <w:r w:rsidR="00AE737E" w:rsidRPr="00693DE6">
        <w:rPr>
          <w:rFonts w:ascii="Times New Roman" w:hAnsi="Times New Roman"/>
          <w:szCs w:val="24"/>
        </w:rPr>
        <w:t xml:space="preserve"> to the domestic courts</w:t>
      </w:r>
      <w:r w:rsidR="00F040A5">
        <w:rPr>
          <w:rFonts w:ascii="Times New Roman" w:hAnsi="Times New Roman"/>
          <w:szCs w:val="24"/>
        </w:rPr>
        <w:t>. Still,</w:t>
      </w:r>
      <w:r w:rsidR="00AE737E" w:rsidRPr="00693DE6">
        <w:rPr>
          <w:rFonts w:ascii="Times New Roman" w:hAnsi="Times New Roman"/>
          <w:szCs w:val="24"/>
        </w:rPr>
        <w:t xml:space="preserve"> the ICC should focus on the effective use of procedural </w:t>
      </w:r>
      <w:r w:rsidR="00AE737E" w:rsidRPr="00693DE6">
        <w:rPr>
          <w:rFonts w:ascii="Times New Roman" w:hAnsi="Times New Roman"/>
          <w:szCs w:val="24"/>
        </w:rPr>
        <w:lastRenderedPageBreak/>
        <w:t xml:space="preserve">and substantive justice to ensure that victims </w:t>
      </w:r>
      <w:r w:rsidR="00497197">
        <w:rPr>
          <w:rFonts w:ascii="Times New Roman" w:hAnsi="Times New Roman"/>
          <w:szCs w:val="24"/>
        </w:rPr>
        <w:t>attain</w:t>
      </w:r>
      <w:r w:rsidR="00AE737E" w:rsidRPr="00693DE6">
        <w:rPr>
          <w:rFonts w:ascii="Times New Roman" w:hAnsi="Times New Roman"/>
          <w:szCs w:val="24"/>
        </w:rPr>
        <w:t xml:space="preserve"> justice.</w:t>
      </w:r>
      <w:r w:rsidR="00AE737E" w:rsidRPr="00693DE6">
        <w:rPr>
          <w:rStyle w:val="FootnoteReference"/>
          <w:rFonts w:ascii="Times New Roman" w:eastAsiaTheme="minorEastAsia" w:hAnsi="Times New Roman"/>
          <w:szCs w:val="24"/>
        </w:rPr>
        <w:footnoteReference w:id="35"/>
      </w:r>
      <w:r w:rsidR="00AE737E" w:rsidRPr="00693DE6">
        <w:rPr>
          <w:rFonts w:ascii="Times New Roman" w:hAnsi="Times New Roman"/>
          <w:szCs w:val="24"/>
        </w:rPr>
        <w:t xml:space="preserve">  He reiterated that procedural and substantive justice complement each other as a means and end</w:t>
      </w:r>
      <w:r w:rsidR="00700C38" w:rsidRPr="00693DE6">
        <w:rPr>
          <w:rFonts w:ascii="Times New Roman" w:hAnsi="Times New Roman"/>
          <w:szCs w:val="24"/>
        </w:rPr>
        <w:t>s</w:t>
      </w:r>
      <w:r w:rsidR="00AE737E" w:rsidRPr="00693DE6">
        <w:rPr>
          <w:rFonts w:ascii="Times New Roman" w:hAnsi="Times New Roman"/>
          <w:szCs w:val="24"/>
        </w:rPr>
        <w:t xml:space="preserve"> to redress harm.</w:t>
      </w:r>
      <w:r w:rsidR="00700C38" w:rsidRPr="00693DE6">
        <w:rPr>
          <w:rFonts w:ascii="Times New Roman" w:hAnsi="Times New Roman"/>
          <w:szCs w:val="24"/>
        </w:rPr>
        <w:t xml:space="preserve"> </w:t>
      </w:r>
      <w:r w:rsidR="000707EF" w:rsidRPr="00693DE6">
        <w:rPr>
          <w:rFonts w:ascii="Times New Roman" w:hAnsi="Times New Roman"/>
          <w:szCs w:val="24"/>
        </w:rPr>
        <w:t>Also</w:t>
      </w:r>
      <w:r w:rsidR="00AE737E" w:rsidRPr="00693DE6">
        <w:rPr>
          <w:rFonts w:ascii="Times New Roman" w:hAnsi="Times New Roman"/>
          <w:szCs w:val="24"/>
        </w:rPr>
        <w:t>, he highlighted that the active participation of victims is one of the underl</w:t>
      </w:r>
      <w:r w:rsidR="00F040A5">
        <w:rPr>
          <w:rFonts w:ascii="Times New Roman" w:hAnsi="Times New Roman"/>
          <w:szCs w:val="24"/>
        </w:rPr>
        <w:t>y</w:t>
      </w:r>
      <w:r w:rsidR="00AE737E" w:rsidRPr="00693DE6">
        <w:rPr>
          <w:rFonts w:ascii="Times New Roman" w:hAnsi="Times New Roman"/>
          <w:szCs w:val="24"/>
        </w:rPr>
        <w:t>ing aims of justice.</w:t>
      </w:r>
      <w:r w:rsidR="00F040A5">
        <w:rPr>
          <w:rFonts w:ascii="Times New Roman" w:hAnsi="Times New Roman"/>
          <w:szCs w:val="24"/>
        </w:rPr>
        <w:t xml:space="preserve"> Through participation</w:t>
      </w:r>
      <w:r w:rsidR="00AE737E" w:rsidRPr="00693DE6">
        <w:rPr>
          <w:rFonts w:ascii="Times New Roman" w:hAnsi="Times New Roman"/>
          <w:szCs w:val="24"/>
        </w:rPr>
        <w:t xml:space="preserve">, he believes </w:t>
      </w:r>
      <w:r w:rsidR="006D3444">
        <w:rPr>
          <w:rFonts w:ascii="Times New Roman" w:hAnsi="Times New Roman"/>
          <w:szCs w:val="24"/>
        </w:rPr>
        <w:t>that victims</w:t>
      </w:r>
      <w:r w:rsidR="00AE737E" w:rsidRPr="00693DE6">
        <w:rPr>
          <w:rFonts w:ascii="Times New Roman" w:hAnsi="Times New Roman"/>
          <w:szCs w:val="24"/>
        </w:rPr>
        <w:t xml:space="preserve"> have </w:t>
      </w:r>
      <w:r w:rsidR="00F72A5B">
        <w:rPr>
          <w:rFonts w:ascii="Times New Roman" w:hAnsi="Times New Roman"/>
          <w:szCs w:val="24"/>
        </w:rPr>
        <w:t>'</w:t>
      </w:r>
      <w:r w:rsidR="00AE737E" w:rsidRPr="00496B95">
        <w:rPr>
          <w:rFonts w:ascii="Times New Roman" w:hAnsi="Times New Roman"/>
          <w:szCs w:val="24"/>
        </w:rPr>
        <w:t>defined role rather than being objects of moral concern</w:t>
      </w:r>
      <w:r w:rsidR="00AE737E" w:rsidRPr="00693DE6">
        <w:rPr>
          <w:rFonts w:ascii="Times New Roman" w:hAnsi="Times New Roman"/>
          <w:szCs w:val="24"/>
        </w:rPr>
        <w:t>.</w:t>
      </w:r>
      <w:r w:rsidR="00F72A5B">
        <w:rPr>
          <w:rFonts w:ascii="Times New Roman" w:hAnsi="Times New Roman"/>
          <w:szCs w:val="24"/>
        </w:rPr>
        <w:t>'</w:t>
      </w:r>
      <w:r w:rsidR="00AE737E" w:rsidRPr="00693DE6">
        <w:rPr>
          <w:rStyle w:val="FootnoteReference"/>
          <w:rFonts w:ascii="Times New Roman" w:eastAsiaTheme="minorEastAsia" w:hAnsi="Times New Roman"/>
          <w:szCs w:val="24"/>
        </w:rPr>
        <w:footnoteReference w:id="36"/>
      </w:r>
    </w:p>
    <w:p w14:paraId="69214BDA" w14:textId="0F146CBB" w:rsidR="00AE737E" w:rsidRDefault="00342056" w:rsidP="00366695">
      <w:pPr>
        <w:spacing w:line="480" w:lineRule="auto"/>
        <w:jc w:val="both"/>
        <w:rPr>
          <w:rFonts w:ascii="Times New Roman" w:hAnsi="Times New Roman"/>
          <w:szCs w:val="24"/>
        </w:rPr>
      </w:pPr>
      <w:r>
        <w:rPr>
          <w:rFonts w:ascii="Times New Roman" w:hAnsi="Times New Roman"/>
          <w:szCs w:val="24"/>
        </w:rPr>
        <w:t>Moffett also recommends</w:t>
      </w:r>
      <w:r w:rsidR="00AE737E" w:rsidRPr="00693DE6">
        <w:rPr>
          <w:rFonts w:ascii="Times New Roman" w:hAnsi="Times New Roman"/>
          <w:szCs w:val="24"/>
        </w:rPr>
        <w:t xml:space="preserve"> that states should complement the ICC in delivering justice for victims of crimes.</w:t>
      </w:r>
      <w:r w:rsidR="000707EF" w:rsidRPr="00693DE6">
        <w:rPr>
          <w:rFonts w:ascii="Times New Roman" w:hAnsi="Times New Roman"/>
          <w:szCs w:val="24"/>
        </w:rPr>
        <w:t xml:space="preserve"> </w:t>
      </w:r>
      <w:r w:rsidR="00AE737E" w:rsidRPr="00693DE6">
        <w:rPr>
          <w:rFonts w:ascii="Times New Roman" w:hAnsi="Times New Roman"/>
          <w:szCs w:val="24"/>
        </w:rPr>
        <w:t>He argues that this complementarity contributes more t</w:t>
      </w:r>
      <w:r>
        <w:rPr>
          <w:rFonts w:ascii="Times New Roman" w:hAnsi="Times New Roman"/>
          <w:szCs w:val="24"/>
        </w:rPr>
        <w:t>o the attainment of justice</w:t>
      </w:r>
      <w:r w:rsidR="00AE737E" w:rsidRPr="00693DE6">
        <w:rPr>
          <w:rFonts w:ascii="Times New Roman" w:hAnsi="Times New Roman"/>
          <w:szCs w:val="24"/>
        </w:rPr>
        <w:t xml:space="preserve"> than </w:t>
      </w:r>
      <w:r>
        <w:rPr>
          <w:rFonts w:ascii="Times New Roman" w:hAnsi="Times New Roman"/>
          <w:szCs w:val="24"/>
        </w:rPr>
        <w:t xml:space="preserve">if </w:t>
      </w:r>
      <w:r w:rsidR="00AE737E" w:rsidRPr="00693DE6">
        <w:rPr>
          <w:rFonts w:ascii="Times New Roman" w:hAnsi="Times New Roman"/>
          <w:szCs w:val="24"/>
        </w:rPr>
        <w:t>states parties</w:t>
      </w:r>
      <w:r>
        <w:rPr>
          <w:rFonts w:ascii="Times New Roman" w:hAnsi="Times New Roman"/>
          <w:szCs w:val="24"/>
        </w:rPr>
        <w:t xml:space="preserve"> were entirely dependent on the ICC to deliver justice for victims</w:t>
      </w:r>
      <w:r w:rsidR="00AE737E" w:rsidRPr="00693DE6">
        <w:rPr>
          <w:rFonts w:ascii="Times New Roman" w:hAnsi="Times New Roman"/>
          <w:szCs w:val="24"/>
        </w:rPr>
        <w:t>.</w:t>
      </w:r>
      <w:r w:rsidR="00AE737E" w:rsidRPr="00693DE6">
        <w:rPr>
          <w:rStyle w:val="FootnoteReference"/>
          <w:rFonts w:ascii="Times New Roman" w:eastAsiaTheme="minorEastAsia" w:hAnsi="Times New Roman"/>
          <w:szCs w:val="24"/>
        </w:rPr>
        <w:footnoteReference w:id="37"/>
      </w:r>
    </w:p>
    <w:p w14:paraId="3D67D1AC" w14:textId="79F776A6" w:rsidR="00342056" w:rsidRPr="00693DE6" w:rsidRDefault="00342056" w:rsidP="00366695">
      <w:pPr>
        <w:spacing w:line="480" w:lineRule="auto"/>
        <w:jc w:val="both"/>
        <w:rPr>
          <w:rFonts w:ascii="Times New Roman" w:hAnsi="Times New Roman"/>
          <w:szCs w:val="24"/>
        </w:rPr>
      </w:pPr>
      <w:r>
        <w:rPr>
          <w:rFonts w:ascii="Times New Roman" w:hAnsi="Times New Roman"/>
          <w:szCs w:val="24"/>
        </w:rPr>
        <w:t xml:space="preserve">In this respect, it is </w:t>
      </w:r>
      <w:r w:rsidR="00497197">
        <w:rPr>
          <w:rFonts w:ascii="Times New Roman" w:hAnsi="Times New Roman"/>
          <w:szCs w:val="24"/>
        </w:rPr>
        <w:t>pertinent</w:t>
      </w:r>
      <w:r>
        <w:rPr>
          <w:rFonts w:ascii="Times New Roman" w:hAnsi="Times New Roman"/>
          <w:szCs w:val="24"/>
        </w:rPr>
        <w:t xml:space="preserve"> to investigate how </w:t>
      </w:r>
      <w:r w:rsidR="006D3444">
        <w:rPr>
          <w:rFonts w:ascii="Times New Roman" w:hAnsi="Times New Roman"/>
          <w:szCs w:val="24"/>
        </w:rPr>
        <w:t>victims' rights and interest</w:t>
      </w:r>
      <w:r>
        <w:rPr>
          <w:rFonts w:ascii="Times New Roman" w:hAnsi="Times New Roman"/>
          <w:szCs w:val="24"/>
        </w:rPr>
        <w:t>s are managed at various stages of the criminal justice</w:t>
      </w:r>
      <w:r w:rsidR="00366695">
        <w:rPr>
          <w:rFonts w:ascii="Times New Roman" w:hAnsi="Times New Roman"/>
          <w:szCs w:val="24"/>
        </w:rPr>
        <w:t xml:space="preserve"> process at the ICC</w:t>
      </w:r>
      <w:r w:rsidR="00497197">
        <w:rPr>
          <w:rFonts w:ascii="Times New Roman" w:hAnsi="Times New Roman"/>
          <w:szCs w:val="24"/>
        </w:rPr>
        <w:t>;</w:t>
      </w:r>
      <w:r w:rsidR="00366695">
        <w:rPr>
          <w:rFonts w:ascii="Times New Roman" w:hAnsi="Times New Roman"/>
          <w:szCs w:val="24"/>
        </w:rPr>
        <w:t xml:space="preserve"> </w:t>
      </w:r>
      <w:r w:rsidR="00497197">
        <w:rPr>
          <w:rFonts w:ascii="Times New Roman" w:hAnsi="Times New Roman"/>
          <w:szCs w:val="24"/>
        </w:rPr>
        <w:t>commencing</w:t>
      </w:r>
      <w:r w:rsidR="00366695">
        <w:rPr>
          <w:rFonts w:ascii="Times New Roman" w:hAnsi="Times New Roman"/>
          <w:szCs w:val="24"/>
        </w:rPr>
        <w:t xml:space="preserve"> from</w:t>
      </w:r>
      <w:r>
        <w:rPr>
          <w:rFonts w:ascii="Times New Roman" w:hAnsi="Times New Roman"/>
          <w:szCs w:val="24"/>
        </w:rPr>
        <w:t xml:space="preserve"> the charging </w:t>
      </w:r>
      <w:r w:rsidR="00497197">
        <w:rPr>
          <w:rFonts w:ascii="Times New Roman" w:hAnsi="Times New Roman"/>
          <w:szCs w:val="24"/>
        </w:rPr>
        <w:t>phase to the sentencing phase.</w:t>
      </w:r>
    </w:p>
    <w:p w14:paraId="7DCE650A" w14:textId="300F9442" w:rsidR="00342056" w:rsidRDefault="001012B6" w:rsidP="00693DE6">
      <w:pPr>
        <w:spacing w:line="480" w:lineRule="auto"/>
        <w:jc w:val="both"/>
        <w:rPr>
          <w:rFonts w:ascii="Times New Roman" w:hAnsi="Times New Roman"/>
          <w:szCs w:val="24"/>
        </w:rPr>
      </w:pPr>
      <w:r w:rsidRPr="00693DE6">
        <w:rPr>
          <w:rFonts w:ascii="Times New Roman" w:hAnsi="Times New Roman"/>
          <w:szCs w:val="24"/>
        </w:rPr>
        <w:t xml:space="preserve">The debate about prosecutorial powers and discretion has gained </w:t>
      </w:r>
      <w:r w:rsidR="0044682B">
        <w:rPr>
          <w:rFonts w:ascii="Times New Roman" w:hAnsi="Times New Roman"/>
          <w:szCs w:val="24"/>
        </w:rPr>
        <w:t>new</w:t>
      </w:r>
      <w:r w:rsidRPr="00693DE6">
        <w:rPr>
          <w:rFonts w:ascii="Times New Roman" w:hAnsi="Times New Roman"/>
          <w:szCs w:val="24"/>
        </w:rPr>
        <w:t xml:space="preserve"> prominence with many arguing </w:t>
      </w:r>
      <w:r w:rsidR="00E04FB1" w:rsidRPr="00693DE6">
        <w:rPr>
          <w:rFonts w:ascii="Times New Roman" w:hAnsi="Times New Roman"/>
          <w:szCs w:val="24"/>
        </w:rPr>
        <w:t>about checking the p</w:t>
      </w:r>
      <w:r w:rsidR="006D3444">
        <w:rPr>
          <w:rFonts w:ascii="Times New Roman" w:hAnsi="Times New Roman"/>
          <w:szCs w:val="24"/>
        </w:rPr>
        <w:t>rosecution's powers</w:t>
      </w:r>
      <w:r w:rsidR="00E04FB1" w:rsidRPr="00693DE6">
        <w:rPr>
          <w:rFonts w:ascii="Times New Roman" w:hAnsi="Times New Roman"/>
          <w:szCs w:val="24"/>
        </w:rPr>
        <w:t>.</w:t>
      </w:r>
      <w:r w:rsidR="000707EF" w:rsidRPr="00693DE6">
        <w:rPr>
          <w:rFonts w:ascii="Times New Roman" w:hAnsi="Times New Roman"/>
          <w:szCs w:val="24"/>
        </w:rPr>
        <w:t xml:space="preserve"> </w:t>
      </w:r>
      <w:r w:rsidR="00E04FB1" w:rsidRPr="00693DE6">
        <w:rPr>
          <w:rFonts w:ascii="Times New Roman" w:hAnsi="Times New Roman"/>
          <w:szCs w:val="24"/>
        </w:rPr>
        <w:t>However,</w:t>
      </w:r>
      <w:r w:rsidR="00342056">
        <w:rPr>
          <w:rFonts w:ascii="Times New Roman" w:hAnsi="Times New Roman"/>
          <w:szCs w:val="24"/>
        </w:rPr>
        <w:t xml:space="preserve"> there is a limited, if growing, </w:t>
      </w:r>
      <w:r w:rsidR="0034588B">
        <w:rPr>
          <w:rFonts w:ascii="Times New Roman" w:hAnsi="Times New Roman"/>
          <w:szCs w:val="24"/>
        </w:rPr>
        <w:t xml:space="preserve">the </w:t>
      </w:r>
      <w:r w:rsidR="00342056">
        <w:rPr>
          <w:rFonts w:ascii="Times New Roman" w:hAnsi="Times New Roman"/>
          <w:szCs w:val="24"/>
        </w:rPr>
        <w:t>body of research that examines how prosecutorial discretion affects the rights and interests of victims at the ICC. The research on this subject has been mostly focused on the parameters of prosecutorial powers</w:t>
      </w:r>
      <w:r w:rsidR="00A37DE9">
        <w:rPr>
          <w:rFonts w:ascii="Times New Roman" w:hAnsi="Times New Roman"/>
          <w:szCs w:val="24"/>
        </w:rPr>
        <w:t>. Not so much</w:t>
      </w:r>
      <w:r w:rsidR="00E04FB1" w:rsidRPr="00693DE6">
        <w:rPr>
          <w:rFonts w:ascii="Times New Roman" w:hAnsi="Times New Roman"/>
          <w:szCs w:val="24"/>
        </w:rPr>
        <w:t xml:space="preserve"> </w:t>
      </w:r>
      <w:r w:rsidR="00A37DE9">
        <w:rPr>
          <w:rFonts w:ascii="Times New Roman" w:hAnsi="Times New Roman"/>
          <w:szCs w:val="24"/>
        </w:rPr>
        <w:t xml:space="preserve">literature </w:t>
      </w:r>
      <w:r w:rsidR="00E04FB1" w:rsidRPr="00693DE6">
        <w:rPr>
          <w:rFonts w:ascii="Times New Roman" w:hAnsi="Times New Roman"/>
          <w:szCs w:val="24"/>
        </w:rPr>
        <w:t>ha</w:t>
      </w:r>
      <w:r w:rsidR="00A37DE9">
        <w:rPr>
          <w:rFonts w:ascii="Times New Roman" w:hAnsi="Times New Roman"/>
          <w:szCs w:val="24"/>
        </w:rPr>
        <w:t>s</w:t>
      </w:r>
      <w:r w:rsidR="00E04FB1" w:rsidRPr="00693DE6">
        <w:rPr>
          <w:rFonts w:ascii="Times New Roman" w:hAnsi="Times New Roman"/>
          <w:szCs w:val="24"/>
        </w:rPr>
        <w:t xml:space="preserve"> treated in details how prosecutorial discretion affects victims at the ICC.</w:t>
      </w:r>
      <w:r w:rsidR="00FE40E7" w:rsidRPr="00693DE6">
        <w:rPr>
          <w:rFonts w:ascii="Times New Roman" w:hAnsi="Times New Roman"/>
          <w:szCs w:val="24"/>
        </w:rPr>
        <w:t xml:space="preserve"> </w:t>
      </w:r>
      <w:r w:rsidR="000F16BE">
        <w:rPr>
          <w:rFonts w:ascii="Times New Roman" w:hAnsi="Times New Roman"/>
          <w:szCs w:val="24"/>
        </w:rPr>
        <w:t xml:space="preserve">Therefore. This </w:t>
      </w:r>
      <w:r w:rsidR="000F16BE">
        <w:rPr>
          <w:rFonts w:ascii="Times New Roman" w:hAnsi="Times New Roman"/>
          <w:szCs w:val="24"/>
        </w:rPr>
        <w:lastRenderedPageBreak/>
        <w:t>research would contribute to knowledge by analysing the role of victims within the context of prosecutorial discretion.</w:t>
      </w:r>
    </w:p>
    <w:p w14:paraId="72071CAD" w14:textId="38ED1967" w:rsidR="0040577C" w:rsidRPr="00693DE6" w:rsidRDefault="00342056" w:rsidP="00693DE6">
      <w:pPr>
        <w:spacing w:line="480" w:lineRule="auto"/>
        <w:jc w:val="both"/>
        <w:rPr>
          <w:rFonts w:ascii="Times New Roman" w:hAnsi="Times New Roman"/>
          <w:szCs w:val="24"/>
        </w:rPr>
      </w:pPr>
      <w:r w:rsidRPr="00693DE6">
        <w:rPr>
          <w:rFonts w:ascii="Times New Roman" w:hAnsi="Times New Roman"/>
          <w:szCs w:val="24"/>
        </w:rPr>
        <w:t xml:space="preserve"> </w:t>
      </w:r>
      <w:r w:rsidR="00747021">
        <w:rPr>
          <w:rFonts w:ascii="Times New Roman" w:hAnsi="Times New Roman"/>
          <w:szCs w:val="24"/>
        </w:rPr>
        <w:t xml:space="preserve">As maintained by </w:t>
      </w:r>
      <w:proofErr w:type="spellStart"/>
      <w:r w:rsidR="003D77E4" w:rsidRPr="00693DE6">
        <w:rPr>
          <w:rFonts w:ascii="Times New Roman" w:hAnsi="Times New Roman"/>
          <w:szCs w:val="24"/>
        </w:rPr>
        <w:t>Doak</w:t>
      </w:r>
      <w:proofErr w:type="spellEnd"/>
      <w:r w:rsidR="003D77E4" w:rsidRPr="00693DE6">
        <w:rPr>
          <w:rFonts w:ascii="Times New Roman" w:hAnsi="Times New Roman"/>
          <w:szCs w:val="24"/>
        </w:rPr>
        <w:t xml:space="preserve">, </w:t>
      </w:r>
      <w:r w:rsidR="00747021">
        <w:rPr>
          <w:rFonts w:ascii="Times New Roman" w:hAnsi="Times New Roman"/>
          <w:szCs w:val="24"/>
        </w:rPr>
        <w:t xml:space="preserve">the criminal justice system should see </w:t>
      </w:r>
      <w:r w:rsidR="003D77E4" w:rsidRPr="00693DE6">
        <w:rPr>
          <w:rFonts w:ascii="Times New Roman" w:hAnsi="Times New Roman"/>
          <w:szCs w:val="24"/>
        </w:rPr>
        <w:t>victims</w:t>
      </w:r>
      <w:r w:rsidR="00F72A5B">
        <w:rPr>
          <w:rFonts w:ascii="Times New Roman" w:hAnsi="Times New Roman"/>
          <w:szCs w:val="24"/>
        </w:rPr>
        <w:t>'</w:t>
      </w:r>
      <w:r w:rsidR="003D77E4" w:rsidRPr="00693DE6">
        <w:rPr>
          <w:rFonts w:ascii="Times New Roman" w:hAnsi="Times New Roman"/>
          <w:szCs w:val="24"/>
        </w:rPr>
        <w:t xml:space="preserve"> rights as entitlements rather than </w:t>
      </w:r>
      <w:r w:rsidR="00747021">
        <w:rPr>
          <w:rFonts w:ascii="Times New Roman" w:hAnsi="Times New Roman"/>
          <w:szCs w:val="24"/>
        </w:rPr>
        <w:t>privilege</w:t>
      </w:r>
      <w:r w:rsidR="003D77E4" w:rsidRPr="00693DE6">
        <w:rPr>
          <w:rFonts w:ascii="Times New Roman" w:hAnsi="Times New Roman"/>
          <w:szCs w:val="24"/>
        </w:rPr>
        <w:t xml:space="preserve">s granted to </w:t>
      </w:r>
      <w:r w:rsidR="00740DDF" w:rsidRPr="00693DE6">
        <w:rPr>
          <w:rFonts w:ascii="Times New Roman" w:hAnsi="Times New Roman"/>
          <w:szCs w:val="24"/>
        </w:rPr>
        <w:t>balance out the dichotomy between the accused and the victims.</w:t>
      </w:r>
      <w:r w:rsidR="00740DDF" w:rsidRPr="00693DE6">
        <w:rPr>
          <w:rStyle w:val="FootnoteReference"/>
          <w:rFonts w:ascii="Times New Roman" w:hAnsi="Times New Roman"/>
          <w:szCs w:val="24"/>
        </w:rPr>
        <w:footnoteReference w:id="38"/>
      </w:r>
      <w:r w:rsidR="00740DDF" w:rsidRPr="00693DE6">
        <w:rPr>
          <w:rFonts w:ascii="Times New Roman" w:hAnsi="Times New Roman"/>
          <w:szCs w:val="24"/>
        </w:rPr>
        <w:t xml:space="preserve"> </w:t>
      </w:r>
      <w:r w:rsidR="006D3444">
        <w:rPr>
          <w:rFonts w:ascii="Times New Roman" w:hAnsi="Times New Roman"/>
          <w:szCs w:val="24"/>
        </w:rPr>
        <w:t>These rights</w:t>
      </w:r>
      <w:r>
        <w:rPr>
          <w:rFonts w:ascii="Times New Roman" w:hAnsi="Times New Roman"/>
          <w:szCs w:val="24"/>
        </w:rPr>
        <w:t xml:space="preserve"> entitlements</w:t>
      </w:r>
      <w:r w:rsidR="001B3D44">
        <w:rPr>
          <w:rFonts w:ascii="Times New Roman" w:hAnsi="Times New Roman"/>
          <w:szCs w:val="24"/>
        </w:rPr>
        <w:t xml:space="preserve"> </w:t>
      </w:r>
      <w:r w:rsidR="000F16BE">
        <w:rPr>
          <w:rFonts w:ascii="Times New Roman" w:hAnsi="Times New Roman"/>
          <w:szCs w:val="24"/>
        </w:rPr>
        <w:t>are viewed on merit, which supports the framework of victims inclusion in the criminal proceedings as opposed to the balanced approach.</w:t>
      </w:r>
    </w:p>
    <w:p w14:paraId="15E4165B" w14:textId="7BBBC453" w:rsidR="004C4B5B" w:rsidRDefault="00747021" w:rsidP="00693DE6">
      <w:pPr>
        <w:spacing w:line="480" w:lineRule="auto"/>
        <w:jc w:val="both"/>
        <w:rPr>
          <w:rFonts w:ascii="Times New Roman" w:hAnsi="Times New Roman"/>
          <w:szCs w:val="24"/>
        </w:rPr>
      </w:pPr>
      <w:r>
        <w:rPr>
          <w:rFonts w:ascii="Times New Roman" w:hAnsi="Times New Roman"/>
          <w:szCs w:val="24"/>
        </w:rPr>
        <w:t xml:space="preserve">In the opinion of </w:t>
      </w:r>
      <w:r w:rsidR="0040577C" w:rsidRPr="00693DE6">
        <w:rPr>
          <w:rFonts w:ascii="Times New Roman" w:hAnsi="Times New Roman"/>
          <w:szCs w:val="24"/>
        </w:rPr>
        <w:t xml:space="preserve"> </w:t>
      </w:r>
      <w:proofErr w:type="spellStart"/>
      <w:r w:rsidR="0040577C" w:rsidRPr="00693DE6">
        <w:rPr>
          <w:rFonts w:ascii="Times New Roman" w:hAnsi="Times New Roman"/>
          <w:szCs w:val="24"/>
        </w:rPr>
        <w:t>Zedner</w:t>
      </w:r>
      <w:proofErr w:type="spellEnd"/>
      <w:r w:rsidR="0040577C" w:rsidRPr="00693DE6">
        <w:rPr>
          <w:rFonts w:ascii="Times New Roman" w:hAnsi="Times New Roman"/>
          <w:szCs w:val="24"/>
        </w:rPr>
        <w:t xml:space="preserve">, Dignan and </w:t>
      </w:r>
      <w:proofErr w:type="spellStart"/>
      <w:r w:rsidR="0040577C" w:rsidRPr="00693DE6">
        <w:rPr>
          <w:rFonts w:ascii="Times New Roman" w:hAnsi="Times New Roman"/>
          <w:szCs w:val="24"/>
        </w:rPr>
        <w:t>Bednarova</w:t>
      </w:r>
      <w:proofErr w:type="spellEnd"/>
      <w:r w:rsidR="0040577C" w:rsidRPr="00693DE6">
        <w:rPr>
          <w:rFonts w:ascii="Times New Roman" w:hAnsi="Times New Roman"/>
          <w:szCs w:val="24"/>
        </w:rPr>
        <w:t xml:space="preserve">, </w:t>
      </w:r>
      <w:r w:rsidR="004C4B5B">
        <w:rPr>
          <w:rFonts w:ascii="Times New Roman" w:hAnsi="Times New Roman"/>
          <w:szCs w:val="24"/>
        </w:rPr>
        <w:t>a framework that pits victims</w:t>
      </w:r>
      <w:r w:rsidR="00F72A5B">
        <w:rPr>
          <w:rFonts w:ascii="Times New Roman" w:hAnsi="Times New Roman"/>
          <w:szCs w:val="24"/>
        </w:rPr>
        <w:t>'</w:t>
      </w:r>
      <w:r w:rsidR="004C4B5B">
        <w:rPr>
          <w:rFonts w:ascii="Times New Roman" w:hAnsi="Times New Roman"/>
          <w:szCs w:val="24"/>
        </w:rPr>
        <w:t xml:space="preserve"> rights against defendants</w:t>
      </w:r>
      <w:r w:rsidR="00F72A5B">
        <w:rPr>
          <w:rFonts w:ascii="Times New Roman" w:hAnsi="Times New Roman"/>
          <w:szCs w:val="24"/>
        </w:rPr>
        <w:t>'</w:t>
      </w:r>
      <w:r w:rsidR="004C4B5B">
        <w:rPr>
          <w:rFonts w:ascii="Times New Roman" w:hAnsi="Times New Roman"/>
          <w:szCs w:val="24"/>
        </w:rPr>
        <w:t xml:space="preserve"> rights tends to polarise the debate and risks presenting the narrative as a zero-sum game</w:t>
      </w:r>
      <w:r w:rsidR="0040577C" w:rsidRPr="00693DE6">
        <w:rPr>
          <w:rFonts w:ascii="Times New Roman" w:hAnsi="Times New Roman"/>
          <w:szCs w:val="24"/>
        </w:rPr>
        <w:t>.</w:t>
      </w:r>
      <w:r w:rsidR="0040577C" w:rsidRPr="00693DE6">
        <w:rPr>
          <w:rStyle w:val="FootnoteReference"/>
          <w:rFonts w:ascii="Times New Roman" w:hAnsi="Times New Roman"/>
          <w:szCs w:val="24"/>
        </w:rPr>
        <w:footnoteReference w:id="39"/>
      </w:r>
      <w:r w:rsidR="00740DDF" w:rsidRPr="00693DE6">
        <w:rPr>
          <w:rFonts w:ascii="Times New Roman" w:hAnsi="Times New Roman"/>
          <w:szCs w:val="24"/>
        </w:rPr>
        <w:t xml:space="preserve"> </w:t>
      </w:r>
      <w:r w:rsidR="00F7218A" w:rsidRPr="00693DE6">
        <w:rPr>
          <w:rFonts w:ascii="Times New Roman" w:hAnsi="Times New Roman"/>
          <w:szCs w:val="24"/>
        </w:rPr>
        <w:t xml:space="preserve"> </w:t>
      </w:r>
      <w:r w:rsidR="004C4B5B">
        <w:rPr>
          <w:rFonts w:ascii="Times New Roman" w:hAnsi="Times New Roman"/>
          <w:szCs w:val="24"/>
        </w:rPr>
        <w:t>In their words:</w:t>
      </w:r>
    </w:p>
    <w:p w14:paraId="6A3A5E1F" w14:textId="1DBC2419" w:rsidR="00740DDF" w:rsidRPr="004C4B5B" w:rsidRDefault="00740DDF" w:rsidP="004C4B5B">
      <w:pPr>
        <w:pStyle w:val="Quote"/>
        <w:rPr>
          <w:rFonts w:ascii="Times New Roman" w:hAnsi="Times New Roman"/>
        </w:rPr>
      </w:pPr>
      <w:r w:rsidRPr="00693DE6">
        <w:t xml:space="preserve"> </w:t>
      </w:r>
      <w:r w:rsidR="00F72A5B">
        <w:t>'</w:t>
      </w:r>
      <w:r w:rsidRPr="00902F83">
        <w:rPr>
          <w:rFonts w:ascii="Times New Roman" w:hAnsi="Times New Roman"/>
          <w:i w:val="0"/>
        </w:rPr>
        <w:t>The metaphor of balance creates tension in criminal justice, simplifying the issues, and allowing complex controversies to be situated within a zero-sum game, in which you are either for or</w:t>
      </w:r>
      <w:r w:rsidRPr="00902F83">
        <w:rPr>
          <w:i w:val="0"/>
        </w:rPr>
        <w:t xml:space="preserve"> </w:t>
      </w:r>
      <w:r w:rsidRPr="00902F83">
        <w:rPr>
          <w:rFonts w:ascii="Times New Roman" w:hAnsi="Times New Roman"/>
          <w:i w:val="0"/>
        </w:rPr>
        <w:t>against victims, on the side of the offender or willing to take a stand against</w:t>
      </w:r>
      <w:r w:rsidR="000707EF" w:rsidRPr="004C4B5B">
        <w:rPr>
          <w:rFonts w:ascii="Times New Roman" w:hAnsi="Times New Roman"/>
        </w:rPr>
        <w:t>.</w:t>
      </w:r>
      <w:r w:rsidR="00F72A5B">
        <w:rPr>
          <w:rFonts w:ascii="Times New Roman" w:hAnsi="Times New Roman"/>
        </w:rPr>
        <w:t>"</w:t>
      </w:r>
      <w:r w:rsidR="004C4B5B" w:rsidRPr="004C4B5B">
        <w:rPr>
          <w:rStyle w:val="FootnoteReference"/>
          <w:rFonts w:ascii="Times New Roman" w:hAnsi="Times New Roman"/>
        </w:rPr>
        <w:footnoteReference w:id="40"/>
      </w:r>
    </w:p>
    <w:p w14:paraId="5C39CCE3" w14:textId="17871D6A" w:rsidR="004C4B5B" w:rsidRDefault="00A43136" w:rsidP="00693DE6">
      <w:pPr>
        <w:spacing w:line="480" w:lineRule="auto"/>
        <w:jc w:val="both"/>
        <w:rPr>
          <w:rFonts w:ascii="Times New Roman" w:hAnsi="Times New Roman"/>
          <w:szCs w:val="24"/>
        </w:rPr>
      </w:pPr>
      <w:r>
        <w:rPr>
          <w:rFonts w:ascii="Times New Roman" w:hAnsi="Times New Roman"/>
          <w:szCs w:val="24"/>
        </w:rPr>
        <w:lastRenderedPageBreak/>
        <w:t xml:space="preserve">The above excerpts collaborate </w:t>
      </w:r>
      <w:proofErr w:type="spellStart"/>
      <w:r>
        <w:rPr>
          <w:rFonts w:ascii="Times New Roman" w:hAnsi="Times New Roman"/>
          <w:szCs w:val="24"/>
        </w:rPr>
        <w:t>Doak</w:t>
      </w:r>
      <w:r w:rsidR="00F72A5B">
        <w:rPr>
          <w:rFonts w:ascii="Times New Roman" w:hAnsi="Times New Roman"/>
          <w:szCs w:val="24"/>
        </w:rPr>
        <w:t>'</w:t>
      </w:r>
      <w:r>
        <w:rPr>
          <w:rFonts w:ascii="Times New Roman" w:hAnsi="Times New Roman"/>
          <w:szCs w:val="24"/>
        </w:rPr>
        <w:t>s</w:t>
      </w:r>
      <w:proofErr w:type="spellEnd"/>
      <w:r>
        <w:rPr>
          <w:rFonts w:ascii="Times New Roman" w:hAnsi="Times New Roman"/>
          <w:szCs w:val="24"/>
        </w:rPr>
        <w:t xml:space="preserve"> assertion on granting victims</w:t>
      </w:r>
      <w:r w:rsidR="00F72A5B">
        <w:rPr>
          <w:rFonts w:ascii="Times New Roman" w:hAnsi="Times New Roman"/>
          <w:szCs w:val="24"/>
        </w:rPr>
        <w:t>'</w:t>
      </w:r>
      <w:r>
        <w:rPr>
          <w:rFonts w:ascii="Times New Roman" w:hAnsi="Times New Roman"/>
          <w:szCs w:val="24"/>
        </w:rPr>
        <w:t xml:space="preserve"> rights based on merit rather than using the balanced approach</w:t>
      </w:r>
      <w:r w:rsidR="00EC1F5A">
        <w:rPr>
          <w:rFonts w:ascii="Times New Roman" w:hAnsi="Times New Roman"/>
          <w:szCs w:val="24"/>
        </w:rPr>
        <w:t xml:space="preserve">. One could infer that the </w:t>
      </w:r>
      <w:r w:rsidR="00F72A5B">
        <w:rPr>
          <w:rFonts w:ascii="Times New Roman" w:hAnsi="Times New Roman"/>
          <w:szCs w:val="24"/>
        </w:rPr>
        <w:t>'</w:t>
      </w:r>
      <w:r w:rsidR="00EC1F5A">
        <w:rPr>
          <w:rFonts w:ascii="Times New Roman" w:hAnsi="Times New Roman"/>
          <w:szCs w:val="24"/>
        </w:rPr>
        <w:t>balance approach</w:t>
      </w:r>
      <w:r w:rsidR="00F72A5B">
        <w:rPr>
          <w:rFonts w:ascii="Times New Roman" w:hAnsi="Times New Roman"/>
          <w:szCs w:val="24"/>
        </w:rPr>
        <w:t>'</w:t>
      </w:r>
      <w:r w:rsidR="00EC1F5A">
        <w:rPr>
          <w:rFonts w:ascii="Times New Roman" w:hAnsi="Times New Roman"/>
          <w:szCs w:val="24"/>
        </w:rPr>
        <w:t xml:space="preserve"> </w:t>
      </w:r>
      <w:r>
        <w:rPr>
          <w:rFonts w:ascii="Times New Roman" w:hAnsi="Times New Roman"/>
          <w:szCs w:val="24"/>
        </w:rPr>
        <w:t>dichotom</w:t>
      </w:r>
      <w:r w:rsidR="00EC1F5A">
        <w:rPr>
          <w:rFonts w:ascii="Times New Roman" w:hAnsi="Times New Roman"/>
          <w:szCs w:val="24"/>
        </w:rPr>
        <w:t>ises</w:t>
      </w:r>
      <w:r>
        <w:rPr>
          <w:rFonts w:ascii="Times New Roman" w:hAnsi="Times New Roman"/>
          <w:szCs w:val="24"/>
        </w:rPr>
        <w:t xml:space="preserve"> the victims and the defendant</w:t>
      </w:r>
      <w:r w:rsidR="00EC1F5A">
        <w:rPr>
          <w:rFonts w:ascii="Times New Roman" w:hAnsi="Times New Roman"/>
          <w:szCs w:val="24"/>
        </w:rPr>
        <w:t>, without addressing victims</w:t>
      </w:r>
      <w:r w:rsidR="00F72A5B">
        <w:rPr>
          <w:rFonts w:ascii="Times New Roman" w:hAnsi="Times New Roman"/>
          <w:szCs w:val="24"/>
        </w:rPr>
        <w:t>'</w:t>
      </w:r>
      <w:r w:rsidR="00EC1F5A">
        <w:rPr>
          <w:rFonts w:ascii="Times New Roman" w:hAnsi="Times New Roman"/>
          <w:szCs w:val="24"/>
        </w:rPr>
        <w:t xml:space="preserve"> rights and interests. </w:t>
      </w:r>
      <w:r w:rsidR="00747021">
        <w:rPr>
          <w:rFonts w:ascii="Times New Roman" w:hAnsi="Times New Roman"/>
          <w:szCs w:val="24"/>
        </w:rPr>
        <w:t>One can assume</w:t>
      </w:r>
      <w:r w:rsidR="00F7218A" w:rsidRPr="00693DE6">
        <w:rPr>
          <w:rFonts w:ascii="Times New Roman" w:hAnsi="Times New Roman"/>
          <w:szCs w:val="24"/>
        </w:rPr>
        <w:t xml:space="preserve"> that </w:t>
      </w:r>
      <w:r w:rsidR="00647387" w:rsidRPr="00693DE6">
        <w:rPr>
          <w:rFonts w:ascii="Times New Roman" w:hAnsi="Times New Roman"/>
          <w:szCs w:val="24"/>
        </w:rPr>
        <w:t xml:space="preserve">these </w:t>
      </w:r>
      <w:r w:rsidR="00F7218A" w:rsidRPr="00693DE6">
        <w:rPr>
          <w:rFonts w:ascii="Times New Roman" w:hAnsi="Times New Roman"/>
          <w:szCs w:val="24"/>
        </w:rPr>
        <w:t>victims</w:t>
      </w:r>
      <w:r w:rsidR="00F72A5B">
        <w:rPr>
          <w:rFonts w:ascii="Times New Roman" w:hAnsi="Times New Roman"/>
          <w:szCs w:val="24"/>
        </w:rPr>
        <w:t>'</w:t>
      </w:r>
      <w:r w:rsidR="00F7218A" w:rsidRPr="00693DE6">
        <w:rPr>
          <w:rFonts w:ascii="Times New Roman" w:hAnsi="Times New Roman"/>
          <w:szCs w:val="24"/>
        </w:rPr>
        <w:t xml:space="preserve"> rights </w:t>
      </w:r>
      <w:r w:rsidR="00647387" w:rsidRPr="00693DE6">
        <w:rPr>
          <w:rFonts w:ascii="Times New Roman" w:hAnsi="Times New Roman"/>
          <w:szCs w:val="24"/>
        </w:rPr>
        <w:t xml:space="preserve">are due process rights </w:t>
      </w:r>
      <w:r w:rsidR="006D3444">
        <w:rPr>
          <w:rFonts w:ascii="Times New Roman" w:hAnsi="Times New Roman"/>
          <w:szCs w:val="24"/>
        </w:rPr>
        <w:t>that flow from their status as victims, and should be examined on their own merits, rather than by reference to the accused's rights</w:t>
      </w:r>
      <w:r w:rsidR="004C4B5B">
        <w:rPr>
          <w:rFonts w:ascii="Times New Roman" w:hAnsi="Times New Roman"/>
          <w:szCs w:val="24"/>
        </w:rPr>
        <w:t>. They are a means of achieving fairness of outcome and, also, a pathway to access justice.</w:t>
      </w:r>
      <w:r w:rsidR="00647387" w:rsidRPr="00693DE6">
        <w:rPr>
          <w:rFonts w:ascii="Times New Roman" w:hAnsi="Times New Roman"/>
          <w:szCs w:val="24"/>
        </w:rPr>
        <w:t xml:space="preserve"> </w:t>
      </w:r>
    </w:p>
    <w:p w14:paraId="30760372" w14:textId="2F8CDB5E" w:rsidR="005F0162" w:rsidRPr="00693DE6" w:rsidRDefault="005F0162" w:rsidP="00693DE6">
      <w:pPr>
        <w:spacing w:line="480" w:lineRule="auto"/>
        <w:jc w:val="both"/>
        <w:rPr>
          <w:rFonts w:ascii="Times New Roman" w:hAnsi="Times New Roman"/>
          <w:szCs w:val="24"/>
        </w:rPr>
      </w:pPr>
      <w:r w:rsidRPr="00693DE6">
        <w:rPr>
          <w:rFonts w:ascii="Times New Roman" w:hAnsi="Times New Roman"/>
          <w:szCs w:val="24"/>
        </w:rPr>
        <w:t>A</w:t>
      </w:r>
      <w:r w:rsidR="006D3444">
        <w:rPr>
          <w:rFonts w:ascii="Times New Roman" w:hAnsi="Times New Roman"/>
          <w:szCs w:val="24"/>
        </w:rPr>
        <w:t xml:space="preserve">rguably, </w:t>
      </w:r>
      <w:r w:rsidR="00F4547D">
        <w:rPr>
          <w:rFonts w:ascii="Times New Roman" w:hAnsi="Times New Roman"/>
          <w:szCs w:val="24"/>
        </w:rPr>
        <w:t>the victim participation regime was intended to transform victims into stakeholders in the criminal proceedings at the ICC</w:t>
      </w:r>
      <w:r w:rsidRPr="00693DE6">
        <w:rPr>
          <w:rFonts w:ascii="Times New Roman" w:hAnsi="Times New Roman"/>
          <w:szCs w:val="24"/>
        </w:rPr>
        <w:t>.</w:t>
      </w:r>
      <w:r w:rsidR="00CA297F" w:rsidRPr="00693DE6">
        <w:rPr>
          <w:rFonts w:ascii="Times New Roman" w:hAnsi="Times New Roman"/>
          <w:szCs w:val="24"/>
        </w:rPr>
        <w:t xml:space="preserve"> </w:t>
      </w:r>
      <w:r w:rsidRPr="00693DE6">
        <w:rPr>
          <w:rFonts w:ascii="Times New Roman" w:hAnsi="Times New Roman"/>
          <w:szCs w:val="24"/>
        </w:rPr>
        <w:t>The procedural rights</w:t>
      </w:r>
      <w:r w:rsidR="00EB2A66">
        <w:rPr>
          <w:rFonts w:ascii="Times New Roman" w:hAnsi="Times New Roman"/>
          <w:szCs w:val="24"/>
        </w:rPr>
        <w:t xml:space="preserve"> may</w:t>
      </w:r>
      <w:r w:rsidRPr="00693DE6">
        <w:rPr>
          <w:rFonts w:ascii="Times New Roman" w:hAnsi="Times New Roman"/>
          <w:szCs w:val="24"/>
        </w:rPr>
        <w:t xml:space="preserve"> </w:t>
      </w:r>
      <w:r w:rsidR="00EB2A66">
        <w:rPr>
          <w:rFonts w:ascii="Times New Roman" w:hAnsi="Times New Roman"/>
          <w:szCs w:val="24"/>
        </w:rPr>
        <w:t>sanction their involvement in the proceedings.</w:t>
      </w:r>
      <w:r w:rsidR="003C3F88" w:rsidRPr="00693DE6">
        <w:rPr>
          <w:rFonts w:ascii="Times New Roman" w:hAnsi="Times New Roman"/>
          <w:szCs w:val="24"/>
        </w:rPr>
        <w:t xml:space="preserve"> </w:t>
      </w:r>
      <w:r w:rsidRPr="00693DE6">
        <w:rPr>
          <w:rFonts w:ascii="Times New Roman" w:hAnsi="Times New Roman"/>
          <w:szCs w:val="24"/>
        </w:rPr>
        <w:t>This empowerment could be in terms of voice</w:t>
      </w:r>
      <w:r w:rsidR="006D3444">
        <w:rPr>
          <w:rFonts w:ascii="Times New Roman" w:hAnsi="Times New Roman"/>
          <w:szCs w:val="24"/>
        </w:rPr>
        <w:t xml:space="preserve"> and</w:t>
      </w:r>
      <w:r w:rsidRPr="00693DE6">
        <w:rPr>
          <w:rFonts w:ascii="Times New Roman" w:hAnsi="Times New Roman"/>
          <w:szCs w:val="24"/>
        </w:rPr>
        <w:t xml:space="preserve"> an extent of control </w:t>
      </w:r>
      <w:r w:rsidR="00ED22AC">
        <w:rPr>
          <w:rFonts w:ascii="Times New Roman" w:hAnsi="Times New Roman"/>
          <w:szCs w:val="24"/>
        </w:rPr>
        <w:t>in</w:t>
      </w:r>
      <w:r w:rsidR="004C4B5B">
        <w:rPr>
          <w:rFonts w:ascii="Times New Roman" w:hAnsi="Times New Roman"/>
          <w:szCs w:val="24"/>
        </w:rPr>
        <w:t xml:space="preserve"> decision making. In this respect,</w:t>
      </w:r>
      <w:r w:rsidR="00ED22AC">
        <w:rPr>
          <w:rFonts w:ascii="Times New Roman" w:hAnsi="Times New Roman"/>
          <w:szCs w:val="24"/>
        </w:rPr>
        <w:t xml:space="preserve"> </w:t>
      </w:r>
      <w:r w:rsidR="00525081" w:rsidRPr="00693DE6">
        <w:rPr>
          <w:rFonts w:ascii="Times New Roman" w:hAnsi="Times New Roman"/>
          <w:szCs w:val="24"/>
        </w:rPr>
        <w:t xml:space="preserve">Christie </w:t>
      </w:r>
      <w:r w:rsidR="006D3444">
        <w:rPr>
          <w:rFonts w:ascii="Times New Roman" w:hAnsi="Times New Roman"/>
          <w:szCs w:val="24"/>
        </w:rPr>
        <w:t>points ou</w:t>
      </w:r>
      <w:r w:rsidR="004C4B5B">
        <w:rPr>
          <w:rFonts w:ascii="Times New Roman" w:hAnsi="Times New Roman"/>
          <w:szCs w:val="24"/>
        </w:rPr>
        <w:t xml:space="preserve">t that as the conflict </w:t>
      </w:r>
      <w:r w:rsidR="00EB2A66">
        <w:rPr>
          <w:rFonts w:ascii="Times New Roman" w:hAnsi="Times New Roman"/>
          <w:szCs w:val="24"/>
        </w:rPr>
        <w:t>initi</w:t>
      </w:r>
      <w:r w:rsidR="004C4B5B">
        <w:rPr>
          <w:rFonts w:ascii="Times New Roman" w:hAnsi="Times New Roman"/>
          <w:szCs w:val="24"/>
        </w:rPr>
        <w:t xml:space="preserve">ally belonged to the victims, </w:t>
      </w:r>
      <w:r w:rsidR="00EB2A66">
        <w:rPr>
          <w:rFonts w:ascii="Times New Roman" w:hAnsi="Times New Roman"/>
          <w:szCs w:val="24"/>
        </w:rPr>
        <w:t>the justice system should</w:t>
      </w:r>
      <w:r w:rsidR="004C4B5B">
        <w:rPr>
          <w:rFonts w:ascii="Times New Roman" w:hAnsi="Times New Roman"/>
          <w:szCs w:val="24"/>
        </w:rPr>
        <w:t xml:space="preserve"> </w:t>
      </w:r>
      <w:r w:rsidR="00EB2A66">
        <w:rPr>
          <w:rFonts w:ascii="Times New Roman" w:hAnsi="Times New Roman"/>
          <w:szCs w:val="24"/>
        </w:rPr>
        <w:t xml:space="preserve">restore the </w:t>
      </w:r>
      <w:r w:rsidR="00F72A5B">
        <w:rPr>
          <w:rFonts w:ascii="Times New Roman" w:hAnsi="Times New Roman"/>
          <w:szCs w:val="24"/>
        </w:rPr>
        <w:t>'</w:t>
      </w:r>
      <w:r w:rsidR="00EB2A66">
        <w:rPr>
          <w:rFonts w:ascii="Times New Roman" w:hAnsi="Times New Roman"/>
          <w:szCs w:val="24"/>
        </w:rPr>
        <w:t>property</w:t>
      </w:r>
      <w:r w:rsidR="00F72A5B">
        <w:rPr>
          <w:rFonts w:ascii="Times New Roman" w:hAnsi="Times New Roman"/>
          <w:szCs w:val="24"/>
        </w:rPr>
        <w:t>'</w:t>
      </w:r>
      <w:r w:rsidR="004C4B5B">
        <w:rPr>
          <w:rFonts w:ascii="Times New Roman" w:hAnsi="Times New Roman"/>
          <w:szCs w:val="24"/>
        </w:rPr>
        <w:t xml:space="preserve"> to </w:t>
      </w:r>
      <w:r w:rsidR="00EB2A66">
        <w:rPr>
          <w:rFonts w:ascii="Times New Roman" w:hAnsi="Times New Roman"/>
          <w:szCs w:val="24"/>
        </w:rPr>
        <w:t>them</w:t>
      </w:r>
      <w:r w:rsidR="00525081" w:rsidRPr="00693DE6">
        <w:rPr>
          <w:rFonts w:ascii="Times New Roman" w:hAnsi="Times New Roman"/>
          <w:szCs w:val="24"/>
        </w:rPr>
        <w:t>.</w:t>
      </w:r>
      <w:r w:rsidR="004C4B5B">
        <w:rPr>
          <w:rStyle w:val="FootnoteReference"/>
          <w:rFonts w:ascii="Times New Roman" w:hAnsi="Times New Roman"/>
          <w:szCs w:val="24"/>
        </w:rPr>
        <w:footnoteReference w:id="41"/>
      </w:r>
      <w:r w:rsidR="004C4B5B">
        <w:rPr>
          <w:rFonts w:ascii="Times New Roman" w:hAnsi="Times New Roman"/>
          <w:szCs w:val="24"/>
        </w:rPr>
        <w:t xml:space="preserve">A viable approach </w:t>
      </w:r>
      <w:r w:rsidR="008E7961">
        <w:rPr>
          <w:rFonts w:ascii="Times New Roman" w:hAnsi="Times New Roman"/>
          <w:szCs w:val="24"/>
        </w:rPr>
        <w:t>to</w:t>
      </w:r>
      <w:r w:rsidR="004C4B5B">
        <w:rPr>
          <w:rFonts w:ascii="Times New Roman" w:hAnsi="Times New Roman"/>
          <w:szCs w:val="24"/>
        </w:rPr>
        <w:t xml:space="preserve"> </w:t>
      </w:r>
      <w:r w:rsidR="00B8173A">
        <w:rPr>
          <w:rFonts w:ascii="Times New Roman" w:hAnsi="Times New Roman"/>
          <w:szCs w:val="24"/>
        </w:rPr>
        <w:t>accessing justice for victims.</w:t>
      </w:r>
    </w:p>
    <w:p w14:paraId="3A6F043B" w14:textId="30D4F26E" w:rsidR="008E7961" w:rsidRDefault="00B8173A" w:rsidP="00693DE6">
      <w:pPr>
        <w:spacing w:line="480" w:lineRule="auto"/>
        <w:jc w:val="both"/>
        <w:rPr>
          <w:rFonts w:ascii="Times New Roman" w:hAnsi="Times New Roman"/>
          <w:szCs w:val="24"/>
        </w:rPr>
      </w:pPr>
      <w:r>
        <w:rPr>
          <w:rFonts w:ascii="Times New Roman" w:hAnsi="Times New Roman"/>
          <w:szCs w:val="24"/>
        </w:rPr>
        <w:t>Some</w:t>
      </w:r>
      <w:r w:rsidR="00F756A0" w:rsidRPr="00693DE6">
        <w:rPr>
          <w:rFonts w:ascii="Times New Roman" w:hAnsi="Times New Roman"/>
          <w:szCs w:val="24"/>
        </w:rPr>
        <w:t xml:space="preserve"> researchers</w:t>
      </w:r>
      <w:r w:rsidR="008E7961">
        <w:rPr>
          <w:rFonts w:ascii="Times New Roman" w:hAnsi="Times New Roman"/>
          <w:szCs w:val="24"/>
        </w:rPr>
        <w:t xml:space="preserve"> studied the effectiveness of victim</w:t>
      </w:r>
      <w:r w:rsidR="00F72A5B">
        <w:rPr>
          <w:rFonts w:ascii="Times New Roman" w:hAnsi="Times New Roman"/>
          <w:szCs w:val="24"/>
        </w:rPr>
        <w:t>'</w:t>
      </w:r>
      <w:r w:rsidR="008E7961">
        <w:rPr>
          <w:rFonts w:ascii="Times New Roman" w:hAnsi="Times New Roman"/>
          <w:szCs w:val="24"/>
        </w:rPr>
        <w:t xml:space="preserve"> participation at the ICC.</w:t>
      </w:r>
      <w:r w:rsidR="008E7961">
        <w:rPr>
          <w:rStyle w:val="FootnoteReference"/>
          <w:rFonts w:ascii="Times New Roman" w:hAnsi="Times New Roman"/>
          <w:szCs w:val="24"/>
        </w:rPr>
        <w:footnoteReference w:id="42"/>
      </w:r>
      <w:r w:rsidR="008E7961">
        <w:rPr>
          <w:rFonts w:ascii="Times New Roman" w:hAnsi="Times New Roman"/>
          <w:szCs w:val="24"/>
        </w:rPr>
        <w:t xml:space="preserve"> However, there is a scarcity of research on the role victims</w:t>
      </w:r>
      <w:r w:rsidR="00F72A5B">
        <w:rPr>
          <w:rFonts w:ascii="Times New Roman" w:hAnsi="Times New Roman"/>
          <w:szCs w:val="24"/>
        </w:rPr>
        <w:t>'</w:t>
      </w:r>
      <w:r w:rsidR="008E7961">
        <w:rPr>
          <w:rFonts w:ascii="Times New Roman" w:hAnsi="Times New Roman"/>
          <w:szCs w:val="24"/>
        </w:rPr>
        <w:t xml:space="preserve"> rights and interest</w:t>
      </w:r>
      <w:r w:rsidR="00ED22AC">
        <w:rPr>
          <w:rFonts w:ascii="Times New Roman" w:hAnsi="Times New Roman"/>
          <w:szCs w:val="24"/>
        </w:rPr>
        <w:t>s</w:t>
      </w:r>
      <w:r w:rsidR="008E7961">
        <w:rPr>
          <w:rFonts w:ascii="Times New Roman" w:hAnsi="Times New Roman"/>
          <w:szCs w:val="24"/>
        </w:rPr>
        <w:t xml:space="preserve"> play during sentence hearing at the ICC. Little is known about the impact of victim </w:t>
      </w:r>
      <w:r w:rsidR="008E7961">
        <w:rPr>
          <w:rFonts w:ascii="Times New Roman" w:hAnsi="Times New Roman"/>
          <w:szCs w:val="24"/>
        </w:rPr>
        <w:lastRenderedPageBreak/>
        <w:t>participation on sentence decision. Therefore, this indicates a need to understand</w:t>
      </w:r>
      <w:r>
        <w:rPr>
          <w:rFonts w:ascii="Times New Roman" w:hAnsi="Times New Roman"/>
          <w:szCs w:val="24"/>
        </w:rPr>
        <w:t xml:space="preserve"> whether and how </w:t>
      </w:r>
      <w:r w:rsidR="008E7961">
        <w:rPr>
          <w:rFonts w:ascii="Times New Roman" w:hAnsi="Times New Roman"/>
          <w:szCs w:val="24"/>
        </w:rPr>
        <w:t>victims</w:t>
      </w:r>
      <w:r w:rsidR="00F72A5B">
        <w:rPr>
          <w:rFonts w:ascii="Times New Roman" w:hAnsi="Times New Roman"/>
          <w:szCs w:val="24"/>
        </w:rPr>
        <w:t>'</w:t>
      </w:r>
      <w:r w:rsidR="008E7961">
        <w:rPr>
          <w:rFonts w:ascii="Times New Roman" w:hAnsi="Times New Roman"/>
          <w:szCs w:val="24"/>
        </w:rPr>
        <w:t xml:space="preserve"> rights and interests are engaged during sentencing and how victim participation may influence the sentence decision.</w:t>
      </w:r>
    </w:p>
    <w:p w14:paraId="500220C7" w14:textId="77777777" w:rsidR="00AE7189" w:rsidRDefault="00AE7189" w:rsidP="00693DE6">
      <w:pPr>
        <w:spacing w:line="480" w:lineRule="auto"/>
        <w:jc w:val="both"/>
        <w:rPr>
          <w:rFonts w:ascii="Times New Roman" w:hAnsi="Times New Roman"/>
          <w:szCs w:val="24"/>
        </w:rPr>
      </w:pPr>
      <w:r>
        <w:rPr>
          <w:rFonts w:ascii="Times New Roman" w:hAnsi="Times New Roman"/>
          <w:szCs w:val="24"/>
        </w:rPr>
        <w:t>This section has analysed the background to the study.</w:t>
      </w:r>
      <w:r w:rsidR="00B85B98">
        <w:rPr>
          <w:rFonts w:ascii="Times New Roman" w:hAnsi="Times New Roman"/>
          <w:szCs w:val="24"/>
        </w:rPr>
        <w:t xml:space="preserve"> </w:t>
      </w:r>
      <w:r>
        <w:rPr>
          <w:rFonts w:ascii="Times New Roman" w:hAnsi="Times New Roman"/>
          <w:szCs w:val="24"/>
        </w:rPr>
        <w:t>The following section sets out the research questions of this c</w:t>
      </w:r>
      <w:r w:rsidR="000526C1">
        <w:rPr>
          <w:rFonts w:ascii="Times New Roman" w:hAnsi="Times New Roman"/>
          <w:szCs w:val="24"/>
        </w:rPr>
        <w:t xml:space="preserve">urrent </w:t>
      </w:r>
      <w:r>
        <w:rPr>
          <w:rFonts w:ascii="Times New Roman" w:hAnsi="Times New Roman"/>
          <w:szCs w:val="24"/>
        </w:rPr>
        <w:t>s</w:t>
      </w:r>
      <w:r w:rsidR="000526C1">
        <w:rPr>
          <w:rFonts w:ascii="Times New Roman" w:hAnsi="Times New Roman"/>
          <w:szCs w:val="24"/>
        </w:rPr>
        <w:t>t</w:t>
      </w:r>
      <w:r>
        <w:rPr>
          <w:rFonts w:ascii="Times New Roman" w:hAnsi="Times New Roman"/>
          <w:szCs w:val="24"/>
        </w:rPr>
        <w:t>udy.</w:t>
      </w:r>
    </w:p>
    <w:p w14:paraId="7CB047DC" w14:textId="77777777" w:rsidR="0001137A" w:rsidRPr="00693DE6" w:rsidRDefault="00726852" w:rsidP="000C4174">
      <w:pPr>
        <w:pStyle w:val="Heading2"/>
      </w:pPr>
      <w:bookmarkStart w:id="3" w:name="_Toc60235782"/>
      <w:r w:rsidRPr="00693DE6">
        <w:t>1.3</w:t>
      </w:r>
      <w:r w:rsidR="00532A17" w:rsidRPr="00693DE6">
        <w:t xml:space="preserve">  </w:t>
      </w:r>
      <w:r w:rsidR="00F515A2" w:rsidRPr="00693DE6">
        <w:t>The research question, its aims and rationale</w:t>
      </w:r>
      <w:bookmarkEnd w:id="3"/>
    </w:p>
    <w:p w14:paraId="11C1AD66" w14:textId="77777777" w:rsidR="000526C1" w:rsidRDefault="000526C1" w:rsidP="00693DE6">
      <w:pPr>
        <w:spacing w:line="480" w:lineRule="auto"/>
        <w:jc w:val="both"/>
        <w:rPr>
          <w:rFonts w:ascii="Times New Roman" w:hAnsi="Times New Roman"/>
          <w:szCs w:val="24"/>
        </w:rPr>
      </w:pPr>
      <w:r>
        <w:rPr>
          <w:rFonts w:ascii="Times New Roman" w:hAnsi="Times New Roman"/>
          <w:szCs w:val="24"/>
        </w:rPr>
        <w:t>The central question of  this thesis is:</w:t>
      </w:r>
      <w:r w:rsidR="00F404E8" w:rsidRPr="00693DE6">
        <w:rPr>
          <w:rFonts w:ascii="Times New Roman" w:hAnsi="Times New Roman"/>
          <w:szCs w:val="24"/>
        </w:rPr>
        <w:t xml:space="preserve"> </w:t>
      </w:r>
    </w:p>
    <w:p w14:paraId="4E25D9E0" w14:textId="3F733F6E" w:rsidR="00F404E8" w:rsidRPr="000526C1" w:rsidRDefault="000526C1" w:rsidP="000526C1">
      <w:pPr>
        <w:pStyle w:val="ListParagraph"/>
        <w:numPr>
          <w:ilvl w:val="0"/>
          <w:numId w:val="10"/>
        </w:numPr>
        <w:spacing w:line="480" w:lineRule="auto"/>
        <w:jc w:val="both"/>
        <w:rPr>
          <w:rFonts w:ascii="Times New Roman" w:hAnsi="Times New Roman"/>
          <w:szCs w:val="24"/>
        </w:rPr>
      </w:pPr>
      <w:r w:rsidRPr="000526C1">
        <w:rPr>
          <w:rFonts w:ascii="Times New Roman" w:hAnsi="Times New Roman"/>
          <w:szCs w:val="24"/>
        </w:rPr>
        <w:t>T</w:t>
      </w:r>
      <w:r w:rsidR="00F404E8" w:rsidRPr="000526C1">
        <w:rPr>
          <w:rFonts w:ascii="Times New Roman" w:hAnsi="Times New Roman"/>
          <w:szCs w:val="24"/>
        </w:rPr>
        <w:t xml:space="preserve">o what extent have </w:t>
      </w:r>
      <w:r w:rsidR="0010124B">
        <w:rPr>
          <w:rFonts w:ascii="Times New Roman" w:hAnsi="Times New Roman"/>
          <w:szCs w:val="24"/>
        </w:rPr>
        <w:t>victims' rights and interest</w:t>
      </w:r>
      <w:r w:rsidR="00F404E8" w:rsidRPr="000526C1">
        <w:rPr>
          <w:rFonts w:ascii="Times New Roman" w:hAnsi="Times New Roman"/>
          <w:szCs w:val="24"/>
        </w:rPr>
        <w:t xml:space="preserve">s been respected in </w:t>
      </w:r>
      <w:r w:rsidR="006D3444">
        <w:rPr>
          <w:rFonts w:ascii="Times New Roman" w:hAnsi="Times New Roman"/>
          <w:szCs w:val="24"/>
        </w:rPr>
        <w:t>Lubanga and Katanga's cases</w:t>
      </w:r>
      <w:r w:rsidR="00F404E8" w:rsidRPr="000526C1">
        <w:rPr>
          <w:rFonts w:ascii="Times New Roman" w:hAnsi="Times New Roman"/>
          <w:szCs w:val="24"/>
        </w:rPr>
        <w:t xml:space="preserve"> at the ICC?</w:t>
      </w:r>
    </w:p>
    <w:p w14:paraId="1D244C94" w14:textId="236DE9F2" w:rsidR="00CA297F" w:rsidRPr="00693DE6" w:rsidRDefault="000526C1" w:rsidP="00693DE6">
      <w:pPr>
        <w:spacing w:line="480" w:lineRule="auto"/>
        <w:jc w:val="both"/>
        <w:rPr>
          <w:rFonts w:ascii="Times New Roman" w:hAnsi="Times New Roman"/>
          <w:szCs w:val="24"/>
        </w:rPr>
      </w:pPr>
      <w:r>
        <w:rPr>
          <w:rFonts w:ascii="Times New Roman" w:hAnsi="Times New Roman"/>
          <w:szCs w:val="24"/>
        </w:rPr>
        <w:t xml:space="preserve">In order to address this </w:t>
      </w:r>
      <w:r w:rsidR="00ED22AC">
        <w:rPr>
          <w:rFonts w:ascii="Times New Roman" w:hAnsi="Times New Roman"/>
          <w:szCs w:val="24"/>
        </w:rPr>
        <w:t>central</w:t>
      </w:r>
      <w:r>
        <w:rPr>
          <w:rFonts w:ascii="Times New Roman" w:hAnsi="Times New Roman"/>
          <w:szCs w:val="24"/>
        </w:rPr>
        <w:t xml:space="preserve"> research question, I have structured and broken down my analysis across three main temporal stages  in the ICC criminal process, reflected in three sub-questions below:</w:t>
      </w:r>
    </w:p>
    <w:p w14:paraId="149A9A51" w14:textId="77777777" w:rsidR="0001137A" w:rsidRPr="00B85B98" w:rsidRDefault="005F1072" w:rsidP="00B85B98">
      <w:pPr>
        <w:pStyle w:val="ListParagraph"/>
        <w:numPr>
          <w:ilvl w:val="0"/>
          <w:numId w:val="11"/>
        </w:numPr>
        <w:spacing w:line="480" w:lineRule="auto"/>
        <w:jc w:val="both"/>
        <w:rPr>
          <w:rFonts w:ascii="Times New Roman" w:hAnsi="Times New Roman"/>
          <w:szCs w:val="24"/>
        </w:rPr>
      </w:pPr>
      <w:r w:rsidRPr="00B85B98">
        <w:rPr>
          <w:rFonts w:ascii="Times New Roman" w:hAnsi="Times New Roman"/>
          <w:szCs w:val="24"/>
        </w:rPr>
        <w:t>To what extent</w:t>
      </w:r>
      <w:r w:rsidR="00B85B98" w:rsidRPr="00B85B98">
        <w:rPr>
          <w:rFonts w:ascii="Times New Roman" w:hAnsi="Times New Roman"/>
          <w:szCs w:val="24"/>
        </w:rPr>
        <w:t xml:space="preserve"> are </w:t>
      </w:r>
      <w:r w:rsidR="00B85B98">
        <w:rPr>
          <w:rFonts w:ascii="Times New Roman" w:hAnsi="Times New Roman"/>
          <w:szCs w:val="24"/>
        </w:rPr>
        <w:t xml:space="preserve">the </w:t>
      </w:r>
      <w:r w:rsidR="00B85B98" w:rsidRPr="00B85B98">
        <w:rPr>
          <w:rFonts w:ascii="Times New Roman" w:hAnsi="Times New Roman"/>
          <w:szCs w:val="24"/>
        </w:rPr>
        <w:t>rights and interests of victims respected in the context of prosecutorial discretion</w:t>
      </w:r>
      <w:r w:rsidRPr="00B85B98">
        <w:rPr>
          <w:rFonts w:ascii="Times New Roman" w:hAnsi="Times New Roman"/>
          <w:szCs w:val="24"/>
        </w:rPr>
        <w:t>?</w:t>
      </w:r>
    </w:p>
    <w:p w14:paraId="304C4494" w14:textId="77777777" w:rsidR="006D5823" w:rsidRDefault="007A4544" w:rsidP="00B85B98">
      <w:pPr>
        <w:pStyle w:val="ListParagraph"/>
        <w:numPr>
          <w:ilvl w:val="0"/>
          <w:numId w:val="11"/>
        </w:numPr>
        <w:spacing w:line="480" w:lineRule="auto"/>
        <w:jc w:val="both"/>
        <w:rPr>
          <w:rFonts w:ascii="Times New Roman" w:hAnsi="Times New Roman"/>
          <w:szCs w:val="24"/>
        </w:rPr>
      </w:pPr>
      <w:r w:rsidRPr="00B85B98">
        <w:rPr>
          <w:rFonts w:ascii="Times New Roman" w:hAnsi="Times New Roman"/>
          <w:szCs w:val="24"/>
        </w:rPr>
        <w:t>T</w:t>
      </w:r>
      <w:r w:rsidR="00824C82" w:rsidRPr="00B85B98">
        <w:rPr>
          <w:rFonts w:ascii="Times New Roman" w:hAnsi="Times New Roman"/>
          <w:szCs w:val="24"/>
        </w:rPr>
        <w:t>o what extent ar</w:t>
      </w:r>
      <w:r w:rsidRPr="00B85B98">
        <w:rPr>
          <w:rFonts w:ascii="Times New Roman" w:hAnsi="Times New Roman"/>
          <w:szCs w:val="24"/>
        </w:rPr>
        <w:t xml:space="preserve">e </w:t>
      </w:r>
      <w:r w:rsidR="003C3F88" w:rsidRPr="00B85B98">
        <w:rPr>
          <w:rFonts w:ascii="Times New Roman" w:hAnsi="Times New Roman"/>
          <w:szCs w:val="24"/>
        </w:rPr>
        <w:t xml:space="preserve">the </w:t>
      </w:r>
      <w:r w:rsidRPr="00B85B98">
        <w:rPr>
          <w:rFonts w:ascii="Times New Roman" w:hAnsi="Times New Roman"/>
          <w:szCs w:val="24"/>
        </w:rPr>
        <w:t xml:space="preserve">rights and interests of victims </w:t>
      </w:r>
      <w:r w:rsidR="00C47D73" w:rsidRPr="00B85B98">
        <w:rPr>
          <w:rFonts w:ascii="Times New Roman" w:hAnsi="Times New Roman"/>
          <w:szCs w:val="24"/>
        </w:rPr>
        <w:t xml:space="preserve">respected </w:t>
      </w:r>
      <w:r w:rsidRPr="00B85B98">
        <w:rPr>
          <w:rFonts w:ascii="Times New Roman" w:hAnsi="Times New Roman"/>
          <w:szCs w:val="24"/>
        </w:rPr>
        <w:t>during the trial process</w:t>
      </w:r>
      <w:r w:rsidR="006D5823">
        <w:rPr>
          <w:rFonts w:ascii="Times New Roman" w:hAnsi="Times New Roman"/>
          <w:szCs w:val="24"/>
        </w:rPr>
        <w:t>.</w:t>
      </w:r>
    </w:p>
    <w:p w14:paraId="5B922621" w14:textId="3B15C17F" w:rsidR="005F1072" w:rsidRPr="00BF790B" w:rsidRDefault="00824C82" w:rsidP="00B85B98">
      <w:pPr>
        <w:pStyle w:val="ListParagraph"/>
        <w:numPr>
          <w:ilvl w:val="0"/>
          <w:numId w:val="11"/>
        </w:numPr>
        <w:spacing w:line="480" w:lineRule="auto"/>
        <w:jc w:val="both"/>
        <w:rPr>
          <w:rFonts w:ascii="Times New Roman" w:hAnsi="Times New Roman"/>
          <w:szCs w:val="24"/>
        </w:rPr>
      </w:pPr>
      <w:r w:rsidRPr="00BF790B">
        <w:rPr>
          <w:rFonts w:ascii="Times New Roman" w:hAnsi="Times New Roman"/>
          <w:szCs w:val="24"/>
        </w:rPr>
        <w:t xml:space="preserve">To what extent are the rights and interests of victims respected in </w:t>
      </w:r>
      <w:r w:rsidR="008630C0" w:rsidRPr="00BF790B">
        <w:rPr>
          <w:rFonts w:ascii="Times New Roman" w:hAnsi="Times New Roman"/>
          <w:szCs w:val="24"/>
        </w:rPr>
        <w:t>sentencing</w:t>
      </w:r>
      <w:r w:rsidR="00B85B98" w:rsidRPr="00BF790B">
        <w:rPr>
          <w:rFonts w:ascii="Times New Roman" w:hAnsi="Times New Roman"/>
          <w:szCs w:val="24"/>
        </w:rPr>
        <w:t xml:space="preserve"> </w:t>
      </w:r>
      <w:r w:rsidR="008630C0" w:rsidRPr="00BF790B">
        <w:rPr>
          <w:rFonts w:ascii="Times New Roman" w:hAnsi="Times New Roman"/>
          <w:szCs w:val="24"/>
        </w:rPr>
        <w:t>decision</w:t>
      </w:r>
      <w:r w:rsidR="00B91481" w:rsidRPr="00BF790B">
        <w:rPr>
          <w:rFonts w:ascii="Times New Roman" w:hAnsi="Times New Roman"/>
          <w:szCs w:val="24"/>
        </w:rPr>
        <w:t>s</w:t>
      </w:r>
      <w:r w:rsidR="008630C0" w:rsidRPr="00BF790B">
        <w:rPr>
          <w:rFonts w:ascii="Times New Roman" w:hAnsi="Times New Roman"/>
          <w:szCs w:val="24"/>
        </w:rPr>
        <w:t>?</w:t>
      </w:r>
    </w:p>
    <w:p w14:paraId="10CDAC7D" w14:textId="682B7139" w:rsidR="00B91481" w:rsidRPr="00693DE6" w:rsidRDefault="00B91481" w:rsidP="00693DE6">
      <w:pPr>
        <w:spacing w:line="480" w:lineRule="auto"/>
        <w:jc w:val="both"/>
        <w:rPr>
          <w:rFonts w:ascii="Times New Roman" w:hAnsi="Times New Roman"/>
          <w:szCs w:val="24"/>
        </w:rPr>
      </w:pPr>
      <w:r w:rsidRPr="00693DE6">
        <w:rPr>
          <w:rFonts w:ascii="Times New Roman" w:hAnsi="Times New Roman"/>
          <w:szCs w:val="24"/>
        </w:rPr>
        <w:t xml:space="preserve">These themes </w:t>
      </w:r>
      <w:r w:rsidR="00C711FE" w:rsidRPr="00693DE6">
        <w:rPr>
          <w:rFonts w:ascii="Times New Roman" w:hAnsi="Times New Roman"/>
          <w:szCs w:val="24"/>
        </w:rPr>
        <w:t>represent the pathways of victims</w:t>
      </w:r>
      <w:r w:rsidR="00F72A5B">
        <w:rPr>
          <w:rFonts w:ascii="Times New Roman" w:hAnsi="Times New Roman"/>
          <w:szCs w:val="24"/>
        </w:rPr>
        <w:t>'</w:t>
      </w:r>
      <w:r w:rsidR="008D4146" w:rsidRPr="00693DE6">
        <w:rPr>
          <w:rFonts w:ascii="Times New Roman" w:hAnsi="Times New Roman"/>
          <w:szCs w:val="24"/>
        </w:rPr>
        <w:t xml:space="preserve"> contact with the ICC, starting from the </w:t>
      </w:r>
      <w:r w:rsidR="00BF790B">
        <w:rPr>
          <w:rFonts w:ascii="Times New Roman" w:hAnsi="Times New Roman"/>
          <w:szCs w:val="24"/>
        </w:rPr>
        <w:t>P</w:t>
      </w:r>
      <w:r w:rsidR="008D4146" w:rsidRPr="00693DE6">
        <w:rPr>
          <w:rFonts w:ascii="Times New Roman" w:hAnsi="Times New Roman"/>
          <w:szCs w:val="24"/>
        </w:rPr>
        <w:t>rosecutor as the gatekeeper of the ICC via prosecutorial discretion, the trial proceedings, sentence hearing and decisions.</w:t>
      </w:r>
      <w:r w:rsidR="003C3F88" w:rsidRPr="00693DE6">
        <w:rPr>
          <w:rFonts w:ascii="Times New Roman" w:hAnsi="Times New Roman"/>
          <w:szCs w:val="24"/>
        </w:rPr>
        <w:t xml:space="preserve"> </w:t>
      </w:r>
      <w:r w:rsidR="00E101BD" w:rsidRPr="00693DE6">
        <w:rPr>
          <w:rFonts w:ascii="Times New Roman" w:hAnsi="Times New Roman"/>
          <w:szCs w:val="24"/>
        </w:rPr>
        <w:t xml:space="preserve">Therefore, it assesses the progression of </w:t>
      </w:r>
      <w:r w:rsidR="006D3444">
        <w:rPr>
          <w:rFonts w:ascii="Times New Roman" w:hAnsi="Times New Roman"/>
          <w:szCs w:val="24"/>
        </w:rPr>
        <w:lastRenderedPageBreak/>
        <w:t>victims' rights and interest</w:t>
      </w:r>
      <w:r w:rsidR="00E101BD" w:rsidRPr="00693DE6">
        <w:rPr>
          <w:rFonts w:ascii="Times New Roman" w:hAnsi="Times New Roman"/>
          <w:szCs w:val="24"/>
        </w:rPr>
        <w:t>s</w:t>
      </w:r>
      <w:r w:rsidR="00B85B98">
        <w:rPr>
          <w:rFonts w:ascii="Times New Roman" w:hAnsi="Times New Roman"/>
          <w:szCs w:val="24"/>
        </w:rPr>
        <w:t xml:space="preserve"> as they </w:t>
      </w:r>
      <w:r w:rsidR="006D3444">
        <w:rPr>
          <w:rFonts w:ascii="Times New Roman" w:hAnsi="Times New Roman"/>
          <w:szCs w:val="24"/>
        </w:rPr>
        <w:t>advance</w:t>
      </w:r>
      <w:r w:rsidR="00B85B98">
        <w:rPr>
          <w:rFonts w:ascii="Times New Roman" w:hAnsi="Times New Roman"/>
          <w:szCs w:val="24"/>
        </w:rPr>
        <w:t xml:space="preserve"> through different </w:t>
      </w:r>
      <w:r w:rsidR="006D3444">
        <w:rPr>
          <w:rFonts w:ascii="Times New Roman" w:hAnsi="Times New Roman"/>
          <w:szCs w:val="24"/>
        </w:rPr>
        <w:t>ICC stages</w:t>
      </w:r>
      <w:r w:rsidR="00B85B98">
        <w:rPr>
          <w:rFonts w:ascii="Times New Roman" w:hAnsi="Times New Roman"/>
          <w:szCs w:val="24"/>
        </w:rPr>
        <w:t>. The</w:t>
      </w:r>
      <w:r w:rsidR="00B8173A">
        <w:rPr>
          <w:rFonts w:ascii="Times New Roman" w:hAnsi="Times New Roman"/>
          <w:szCs w:val="24"/>
        </w:rPr>
        <w:t xml:space="preserve"> researcher </w:t>
      </w:r>
      <w:r w:rsidR="00B85B98">
        <w:rPr>
          <w:rFonts w:ascii="Times New Roman" w:hAnsi="Times New Roman"/>
          <w:szCs w:val="24"/>
        </w:rPr>
        <w:t xml:space="preserve">three themes </w:t>
      </w:r>
      <w:r w:rsidR="00B8173A">
        <w:rPr>
          <w:rFonts w:ascii="Times New Roman" w:hAnsi="Times New Roman"/>
          <w:szCs w:val="24"/>
        </w:rPr>
        <w:t>will</w:t>
      </w:r>
      <w:r w:rsidR="00B85B98">
        <w:rPr>
          <w:rFonts w:ascii="Times New Roman" w:hAnsi="Times New Roman"/>
          <w:szCs w:val="24"/>
        </w:rPr>
        <w:t xml:space="preserve"> examine</w:t>
      </w:r>
      <w:r w:rsidR="00B8173A">
        <w:rPr>
          <w:rFonts w:ascii="Times New Roman" w:hAnsi="Times New Roman"/>
          <w:szCs w:val="24"/>
        </w:rPr>
        <w:t xml:space="preserve"> the three themes</w:t>
      </w:r>
      <w:r w:rsidR="00B85B98">
        <w:rPr>
          <w:rFonts w:ascii="Times New Roman" w:hAnsi="Times New Roman"/>
          <w:szCs w:val="24"/>
        </w:rPr>
        <w:t xml:space="preserve"> in more details in the following four chapters.</w:t>
      </w:r>
      <w:r w:rsidR="00C711FE" w:rsidRPr="00693DE6">
        <w:rPr>
          <w:rFonts w:ascii="Times New Roman" w:hAnsi="Times New Roman"/>
          <w:szCs w:val="24"/>
        </w:rPr>
        <w:t xml:space="preserve"> </w:t>
      </w:r>
    </w:p>
    <w:p w14:paraId="3D5EEB7C" w14:textId="6BF6EA2E" w:rsidR="00385C64" w:rsidRDefault="00B85B98" w:rsidP="00693DE6">
      <w:pPr>
        <w:spacing w:before="240" w:line="480" w:lineRule="auto"/>
        <w:jc w:val="both"/>
        <w:rPr>
          <w:rFonts w:ascii="Times New Roman" w:hAnsi="Times New Roman"/>
          <w:szCs w:val="24"/>
        </w:rPr>
      </w:pPr>
      <w:r>
        <w:rPr>
          <w:rFonts w:ascii="Times New Roman" w:hAnsi="Times New Roman"/>
          <w:szCs w:val="24"/>
        </w:rPr>
        <w:t xml:space="preserve">The overall </w:t>
      </w:r>
      <w:r w:rsidR="003C3F88" w:rsidRPr="00693DE6">
        <w:rPr>
          <w:rFonts w:ascii="Times New Roman" w:hAnsi="Times New Roman"/>
          <w:szCs w:val="24"/>
        </w:rPr>
        <w:t>aim</w:t>
      </w:r>
      <w:r>
        <w:rPr>
          <w:rFonts w:ascii="Times New Roman" w:hAnsi="Times New Roman"/>
          <w:szCs w:val="24"/>
        </w:rPr>
        <w:t xml:space="preserve"> of this thesis</w:t>
      </w:r>
      <w:r w:rsidR="00385C64">
        <w:rPr>
          <w:rFonts w:ascii="Times New Roman" w:hAnsi="Times New Roman"/>
          <w:szCs w:val="24"/>
        </w:rPr>
        <w:t xml:space="preserve"> is to critically analyse how the rights and interests of victims of international crimes</w:t>
      </w:r>
      <w:r>
        <w:rPr>
          <w:rFonts w:ascii="Times New Roman" w:hAnsi="Times New Roman"/>
          <w:szCs w:val="24"/>
        </w:rPr>
        <w:t xml:space="preserve"> have been managed during criminal proceedings at the ICC </w:t>
      </w:r>
      <w:r w:rsidR="00CA297F" w:rsidRPr="00693DE6">
        <w:rPr>
          <w:rFonts w:ascii="Times New Roman" w:hAnsi="Times New Roman"/>
          <w:szCs w:val="24"/>
        </w:rPr>
        <w:t>with particular reference to</w:t>
      </w:r>
      <w:r w:rsidR="00AD7162" w:rsidRPr="00693DE6">
        <w:rPr>
          <w:rFonts w:ascii="Times New Roman" w:hAnsi="Times New Roman"/>
          <w:szCs w:val="24"/>
        </w:rPr>
        <w:t xml:space="preserve"> the </w:t>
      </w:r>
      <w:r w:rsidR="00AD7162" w:rsidRPr="00693DE6">
        <w:rPr>
          <w:rFonts w:ascii="Times New Roman" w:hAnsi="Times New Roman"/>
          <w:i/>
          <w:szCs w:val="24"/>
        </w:rPr>
        <w:t>Lubanga</w:t>
      </w:r>
      <w:r w:rsidR="00AD7162" w:rsidRPr="00693DE6">
        <w:rPr>
          <w:rFonts w:ascii="Times New Roman" w:hAnsi="Times New Roman"/>
          <w:szCs w:val="24"/>
        </w:rPr>
        <w:t xml:space="preserve"> and </w:t>
      </w:r>
      <w:r w:rsidR="00AD7162" w:rsidRPr="00693DE6">
        <w:rPr>
          <w:rFonts w:ascii="Times New Roman" w:hAnsi="Times New Roman"/>
          <w:i/>
          <w:szCs w:val="24"/>
        </w:rPr>
        <w:t>Katanga</w:t>
      </w:r>
      <w:r w:rsidR="00AD7162" w:rsidRPr="00693DE6">
        <w:rPr>
          <w:rFonts w:ascii="Times New Roman" w:hAnsi="Times New Roman"/>
          <w:szCs w:val="24"/>
        </w:rPr>
        <w:t xml:space="preserve"> case</w:t>
      </w:r>
      <w:r w:rsidR="00CA297F" w:rsidRPr="00693DE6">
        <w:rPr>
          <w:rFonts w:ascii="Times New Roman" w:hAnsi="Times New Roman"/>
          <w:szCs w:val="24"/>
        </w:rPr>
        <w:t>s</w:t>
      </w:r>
      <w:r w:rsidR="00AD7162" w:rsidRPr="00693DE6">
        <w:rPr>
          <w:rFonts w:ascii="Times New Roman" w:hAnsi="Times New Roman"/>
          <w:szCs w:val="24"/>
        </w:rPr>
        <w:t>.</w:t>
      </w:r>
      <w:r>
        <w:rPr>
          <w:rFonts w:ascii="Times New Roman" w:hAnsi="Times New Roman"/>
          <w:szCs w:val="24"/>
        </w:rPr>
        <w:t xml:space="preserve"> Most previous literature</w:t>
      </w:r>
      <w:r w:rsidR="00AD7162" w:rsidRPr="00693DE6">
        <w:rPr>
          <w:rFonts w:ascii="Times New Roman" w:hAnsi="Times New Roman"/>
          <w:szCs w:val="24"/>
        </w:rPr>
        <w:t xml:space="preserve"> ma</w:t>
      </w:r>
      <w:r w:rsidR="003C3F88" w:rsidRPr="00693DE6">
        <w:rPr>
          <w:rFonts w:ascii="Times New Roman" w:hAnsi="Times New Roman"/>
          <w:szCs w:val="24"/>
        </w:rPr>
        <w:t>i</w:t>
      </w:r>
      <w:r w:rsidR="00AD7162" w:rsidRPr="00693DE6">
        <w:rPr>
          <w:rFonts w:ascii="Times New Roman" w:hAnsi="Times New Roman"/>
          <w:szCs w:val="24"/>
        </w:rPr>
        <w:t xml:space="preserve">nly focused on </w:t>
      </w:r>
      <w:r w:rsidR="008D4146" w:rsidRPr="00693DE6">
        <w:rPr>
          <w:rFonts w:ascii="Times New Roman" w:hAnsi="Times New Roman"/>
          <w:szCs w:val="24"/>
        </w:rPr>
        <w:t xml:space="preserve">victim participation during these cases </w:t>
      </w:r>
      <w:r w:rsidR="003C3F88" w:rsidRPr="00693DE6">
        <w:rPr>
          <w:rFonts w:ascii="Times New Roman" w:hAnsi="Times New Roman"/>
          <w:szCs w:val="24"/>
        </w:rPr>
        <w:t>based on</w:t>
      </w:r>
      <w:r w:rsidR="008D4146" w:rsidRPr="00693DE6">
        <w:rPr>
          <w:rFonts w:ascii="Times New Roman" w:hAnsi="Times New Roman"/>
          <w:szCs w:val="24"/>
        </w:rPr>
        <w:t xml:space="preserve"> qualitative interviews and court decisions.</w:t>
      </w:r>
      <w:r w:rsidR="0034588B">
        <w:rPr>
          <w:rFonts w:ascii="Times New Roman" w:hAnsi="Times New Roman"/>
          <w:szCs w:val="24"/>
        </w:rPr>
        <w:t xml:space="preserve"> </w:t>
      </w:r>
      <w:r w:rsidR="008D4146" w:rsidRPr="00693DE6">
        <w:rPr>
          <w:rFonts w:ascii="Times New Roman" w:hAnsi="Times New Roman"/>
          <w:szCs w:val="24"/>
        </w:rPr>
        <w:t>This</w:t>
      </w:r>
      <w:r w:rsidR="00385C64">
        <w:rPr>
          <w:rFonts w:ascii="Times New Roman" w:hAnsi="Times New Roman"/>
          <w:szCs w:val="24"/>
        </w:rPr>
        <w:t xml:space="preserve"> thesis</w:t>
      </w:r>
      <w:r w:rsidR="008D4146" w:rsidRPr="00693DE6">
        <w:rPr>
          <w:rFonts w:ascii="Times New Roman" w:hAnsi="Times New Roman"/>
          <w:szCs w:val="24"/>
        </w:rPr>
        <w:t xml:space="preserve"> is </w:t>
      </w:r>
      <w:r w:rsidR="00385C64">
        <w:rPr>
          <w:rFonts w:ascii="Times New Roman" w:hAnsi="Times New Roman"/>
          <w:szCs w:val="24"/>
        </w:rPr>
        <w:t xml:space="preserve">intended to complement those studies by extensively examining whether and the extent to which the rights and interests of victims have been respected </w:t>
      </w:r>
      <w:r w:rsidR="00B8173A">
        <w:rPr>
          <w:rFonts w:ascii="Times New Roman" w:hAnsi="Times New Roman"/>
          <w:szCs w:val="24"/>
        </w:rPr>
        <w:t>based on</w:t>
      </w:r>
      <w:r w:rsidR="00385C64">
        <w:rPr>
          <w:rFonts w:ascii="Times New Roman" w:hAnsi="Times New Roman"/>
          <w:szCs w:val="24"/>
        </w:rPr>
        <w:t xml:space="preserve"> an an</w:t>
      </w:r>
      <w:r w:rsidR="0034588B">
        <w:rPr>
          <w:rFonts w:ascii="Times New Roman" w:hAnsi="Times New Roman"/>
          <w:szCs w:val="24"/>
        </w:rPr>
        <w:t>a</w:t>
      </w:r>
      <w:r w:rsidR="00385C64">
        <w:rPr>
          <w:rFonts w:ascii="Times New Roman" w:hAnsi="Times New Roman"/>
          <w:szCs w:val="24"/>
        </w:rPr>
        <w:t>lysis of trial transcripts.</w:t>
      </w:r>
      <w:r w:rsidR="0034588B">
        <w:rPr>
          <w:rFonts w:ascii="Times New Roman" w:hAnsi="Times New Roman"/>
          <w:szCs w:val="24"/>
        </w:rPr>
        <w:t xml:space="preserve"> </w:t>
      </w:r>
      <w:r w:rsidR="00385C64">
        <w:rPr>
          <w:rFonts w:ascii="Times New Roman" w:hAnsi="Times New Roman"/>
          <w:szCs w:val="24"/>
        </w:rPr>
        <w:t>One of the advantages of this approach is that it allows for a more detailed and richer analysis of the actual submissions of the</w:t>
      </w:r>
      <w:r w:rsidR="0034588B">
        <w:rPr>
          <w:rFonts w:ascii="Times New Roman" w:hAnsi="Times New Roman"/>
          <w:szCs w:val="24"/>
        </w:rPr>
        <w:t xml:space="preserve"> l</w:t>
      </w:r>
      <w:r w:rsidR="00385C64">
        <w:rPr>
          <w:rFonts w:ascii="Times New Roman" w:hAnsi="Times New Roman"/>
          <w:szCs w:val="24"/>
        </w:rPr>
        <w:t>egal Represen</w:t>
      </w:r>
      <w:r w:rsidR="0034588B">
        <w:rPr>
          <w:rFonts w:ascii="Times New Roman" w:hAnsi="Times New Roman"/>
          <w:szCs w:val="24"/>
        </w:rPr>
        <w:t>t</w:t>
      </w:r>
      <w:r w:rsidR="00385C64">
        <w:rPr>
          <w:rFonts w:ascii="Times New Roman" w:hAnsi="Times New Roman"/>
          <w:szCs w:val="24"/>
        </w:rPr>
        <w:t xml:space="preserve">atives of Victims( LRVs) and the </w:t>
      </w:r>
      <w:r w:rsidR="006D3444">
        <w:rPr>
          <w:rFonts w:ascii="Times New Roman" w:hAnsi="Times New Roman"/>
          <w:szCs w:val="24"/>
        </w:rPr>
        <w:t>court's response</w:t>
      </w:r>
      <w:r w:rsidR="00385C64">
        <w:rPr>
          <w:rFonts w:ascii="Times New Roman" w:hAnsi="Times New Roman"/>
          <w:szCs w:val="24"/>
        </w:rPr>
        <w:t xml:space="preserve"> to them, during the various stages of the criminal process.</w:t>
      </w:r>
      <w:r w:rsidR="0034588B">
        <w:rPr>
          <w:rFonts w:ascii="Times New Roman" w:hAnsi="Times New Roman"/>
          <w:szCs w:val="24"/>
        </w:rPr>
        <w:t xml:space="preserve"> </w:t>
      </w:r>
      <w:r w:rsidR="00385C64">
        <w:rPr>
          <w:rFonts w:ascii="Times New Roman" w:hAnsi="Times New Roman"/>
          <w:szCs w:val="24"/>
        </w:rPr>
        <w:t xml:space="preserve">However, this approach </w:t>
      </w:r>
      <w:r w:rsidR="0034588B">
        <w:rPr>
          <w:rFonts w:ascii="Times New Roman" w:hAnsi="Times New Roman"/>
          <w:szCs w:val="24"/>
        </w:rPr>
        <w:t>h</w:t>
      </w:r>
      <w:r w:rsidR="00385C64">
        <w:rPr>
          <w:rFonts w:ascii="Times New Roman" w:hAnsi="Times New Roman"/>
          <w:szCs w:val="24"/>
        </w:rPr>
        <w:t>as certain limita</w:t>
      </w:r>
      <w:r w:rsidR="0034588B">
        <w:rPr>
          <w:rFonts w:ascii="Times New Roman" w:hAnsi="Times New Roman"/>
          <w:szCs w:val="24"/>
        </w:rPr>
        <w:t>t</w:t>
      </w:r>
      <w:r w:rsidR="00385C64">
        <w:rPr>
          <w:rFonts w:ascii="Times New Roman" w:hAnsi="Times New Roman"/>
          <w:szCs w:val="24"/>
        </w:rPr>
        <w:t>ions, which will be discussed below</w:t>
      </w:r>
      <w:r w:rsidR="00B8173A">
        <w:rPr>
          <w:rFonts w:ascii="Times New Roman" w:hAnsi="Times New Roman"/>
          <w:szCs w:val="24"/>
        </w:rPr>
        <w:t>.</w:t>
      </w:r>
    </w:p>
    <w:p w14:paraId="7D7CD719" w14:textId="4FCE19E7" w:rsidR="00F756A0" w:rsidRPr="00693DE6" w:rsidRDefault="00F756A0" w:rsidP="00693DE6">
      <w:pPr>
        <w:spacing w:before="240" w:line="480" w:lineRule="auto"/>
        <w:jc w:val="both"/>
        <w:rPr>
          <w:rFonts w:ascii="Times New Roman" w:hAnsi="Times New Roman"/>
          <w:szCs w:val="24"/>
        </w:rPr>
      </w:pPr>
      <w:r w:rsidRPr="00693DE6">
        <w:rPr>
          <w:rFonts w:ascii="Times New Roman" w:hAnsi="Times New Roman"/>
          <w:szCs w:val="24"/>
        </w:rPr>
        <w:t>This</w:t>
      </w:r>
      <w:r w:rsidR="00385C64">
        <w:rPr>
          <w:rFonts w:ascii="Times New Roman" w:hAnsi="Times New Roman"/>
          <w:szCs w:val="24"/>
        </w:rPr>
        <w:t xml:space="preserve"> thesis aims to make a significant contribution to knowledge by shedding more light on how prosecutorial discretion affects victims</w:t>
      </w:r>
      <w:r w:rsidR="00F72A5B">
        <w:rPr>
          <w:rFonts w:ascii="Times New Roman" w:hAnsi="Times New Roman"/>
          <w:szCs w:val="24"/>
        </w:rPr>
        <w:t>'</w:t>
      </w:r>
      <w:r w:rsidR="00385C64">
        <w:rPr>
          <w:rFonts w:ascii="Times New Roman" w:hAnsi="Times New Roman"/>
          <w:szCs w:val="24"/>
        </w:rPr>
        <w:t xml:space="preserve"> access to justice,</w:t>
      </w:r>
      <w:r w:rsidR="000F78C5">
        <w:rPr>
          <w:rFonts w:ascii="Times New Roman" w:hAnsi="Times New Roman"/>
          <w:szCs w:val="24"/>
        </w:rPr>
        <w:t xml:space="preserve"> </w:t>
      </w:r>
      <w:r w:rsidR="009B6421">
        <w:rPr>
          <w:rFonts w:ascii="Times New Roman" w:hAnsi="Times New Roman"/>
          <w:szCs w:val="24"/>
        </w:rPr>
        <w:t>particularly their rights and interests.</w:t>
      </w:r>
      <w:r w:rsidRPr="00693DE6">
        <w:rPr>
          <w:rFonts w:ascii="Times New Roman" w:hAnsi="Times New Roman"/>
          <w:szCs w:val="24"/>
        </w:rPr>
        <w:t xml:space="preserve"> </w:t>
      </w:r>
    </w:p>
    <w:p w14:paraId="3954DF3B" w14:textId="079A1686" w:rsidR="00C51E21" w:rsidRPr="00693DE6" w:rsidRDefault="00385C64" w:rsidP="00693DE6">
      <w:pPr>
        <w:spacing w:before="240" w:line="480" w:lineRule="auto"/>
        <w:jc w:val="both"/>
        <w:rPr>
          <w:rFonts w:ascii="Times New Roman" w:hAnsi="Times New Roman"/>
          <w:szCs w:val="24"/>
        </w:rPr>
      </w:pPr>
      <w:r>
        <w:rPr>
          <w:rFonts w:ascii="Times New Roman" w:hAnsi="Times New Roman"/>
          <w:szCs w:val="24"/>
        </w:rPr>
        <w:t>Moreover,</w:t>
      </w:r>
      <w:r w:rsidR="0034588B">
        <w:rPr>
          <w:rFonts w:ascii="Times New Roman" w:hAnsi="Times New Roman"/>
          <w:szCs w:val="24"/>
        </w:rPr>
        <w:t xml:space="preserve"> </w:t>
      </w:r>
      <w:r>
        <w:rPr>
          <w:rFonts w:ascii="Times New Roman" w:hAnsi="Times New Roman"/>
          <w:szCs w:val="24"/>
        </w:rPr>
        <w:t>w</w:t>
      </w:r>
      <w:r w:rsidR="00C51E21" w:rsidRPr="00693DE6">
        <w:rPr>
          <w:rFonts w:ascii="Times New Roman" w:hAnsi="Times New Roman"/>
          <w:szCs w:val="24"/>
        </w:rPr>
        <w:t>hile</w:t>
      </w:r>
      <w:r>
        <w:rPr>
          <w:rFonts w:ascii="Times New Roman" w:hAnsi="Times New Roman"/>
          <w:szCs w:val="24"/>
        </w:rPr>
        <w:t xml:space="preserve"> there have been several studies on sentencing in international criminal trials, </w:t>
      </w:r>
      <w:r w:rsidR="00B8173A">
        <w:rPr>
          <w:rFonts w:ascii="Times New Roman" w:hAnsi="Times New Roman"/>
          <w:szCs w:val="24"/>
        </w:rPr>
        <w:t>literature is scarc</w:t>
      </w:r>
      <w:r>
        <w:rPr>
          <w:rFonts w:ascii="Times New Roman" w:hAnsi="Times New Roman"/>
          <w:szCs w:val="24"/>
        </w:rPr>
        <w:t xml:space="preserve">e on </w:t>
      </w:r>
      <w:r w:rsidR="006D3444">
        <w:rPr>
          <w:rFonts w:ascii="Times New Roman" w:hAnsi="Times New Roman"/>
          <w:szCs w:val="24"/>
        </w:rPr>
        <w:t>victims' role</w:t>
      </w:r>
      <w:r>
        <w:rPr>
          <w:rFonts w:ascii="Times New Roman" w:hAnsi="Times New Roman"/>
          <w:szCs w:val="24"/>
        </w:rPr>
        <w:t xml:space="preserve"> during sentencing and if their roles influence </w:t>
      </w:r>
      <w:r w:rsidR="0034588B">
        <w:rPr>
          <w:rFonts w:ascii="Times New Roman" w:hAnsi="Times New Roman"/>
          <w:szCs w:val="24"/>
        </w:rPr>
        <w:t xml:space="preserve">the </w:t>
      </w:r>
      <w:r>
        <w:rPr>
          <w:rFonts w:ascii="Times New Roman" w:hAnsi="Times New Roman"/>
          <w:szCs w:val="24"/>
        </w:rPr>
        <w:t>sentencing decision.</w:t>
      </w:r>
      <w:r w:rsidR="00ED22AC">
        <w:rPr>
          <w:rFonts w:ascii="Times New Roman" w:hAnsi="Times New Roman"/>
          <w:szCs w:val="24"/>
        </w:rPr>
        <w:t xml:space="preserve"> </w:t>
      </w:r>
      <w:r>
        <w:rPr>
          <w:rFonts w:ascii="Times New Roman" w:hAnsi="Times New Roman"/>
          <w:szCs w:val="24"/>
        </w:rPr>
        <w:t xml:space="preserve">Baumgartner emphasised the need for more research in this </w:t>
      </w:r>
      <w:r>
        <w:rPr>
          <w:rFonts w:ascii="Times New Roman" w:hAnsi="Times New Roman"/>
          <w:szCs w:val="24"/>
        </w:rPr>
        <w:lastRenderedPageBreak/>
        <w:t>area</w:t>
      </w:r>
      <w:r w:rsidR="00C51E21" w:rsidRPr="00693DE6">
        <w:rPr>
          <w:rFonts w:ascii="Times New Roman" w:hAnsi="Times New Roman"/>
          <w:szCs w:val="24"/>
        </w:rPr>
        <w:t>.</w:t>
      </w:r>
      <w:r w:rsidR="00C51E21" w:rsidRPr="00693DE6">
        <w:rPr>
          <w:rStyle w:val="FootnoteReference"/>
          <w:rFonts w:ascii="Times New Roman" w:hAnsi="Times New Roman"/>
          <w:szCs w:val="24"/>
        </w:rPr>
        <w:footnoteReference w:id="43"/>
      </w:r>
      <w:r>
        <w:rPr>
          <w:rFonts w:ascii="Times New Roman" w:hAnsi="Times New Roman"/>
          <w:szCs w:val="24"/>
        </w:rPr>
        <w:t>This thesis responds to that call by examining the specific role played by victims in sentencing.</w:t>
      </w:r>
    </w:p>
    <w:p w14:paraId="0804ABBC" w14:textId="77777777" w:rsidR="00F515A2" w:rsidRPr="00693DE6" w:rsidRDefault="00726852" w:rsidP="000C4174">
      <w:pPr>
        <w:pStyle w:val="Heading2"/>
      </w:pPr>
      <w:bookmarkStart w:id="4" w:name="_Toc60235783"/>
      <w:r w:rsidRPr="00693DE6">
        <w:t>1.</w:t>
      </w:r>
      <w:r w:rsidR="00E101BD" w:rsidRPr="00693DE6">
        <w:t>4</w:t>
      </w:r>
      <w:r w:rsidR="00090102" w:rsidRPr="00693DE6">
        <w:t xml:space="preserve"> </w:t>
      </w:r>
      <w:r w:rsidR="00F515A2" w:rsidRPr="00693DE6">
        <w:t>S</w:t>
      </w:r>
      <w:r w:rsidR="007A4544" w:rsidRPr="00693DE6">
        <w:t>ignificance of the study /original contribution to knowledge</w:t>
      </w:r>
      <w:bookmarkEnd w:id="4"/>
      <w:r w:rsidR="007A4544" w:rsidRPr="00693DE6">
        <w:t xml:space="preserve"> </w:t>
      </w:r>
    </w:p>
    <w:p w14:paraId="363D01D8" w14:textId="3A3B91BE" w:rsidR="00F515A2" w:rsidRDefault="00F515A2" w:rsidP="00693DE6">
      <w:pPr>
        <w:spacing w:line="480" w:lineRule="auto"/>
        <w:jc w:val="both"/>
        <w:rPr>
          <w:rFonts w:ascii="Times New Roman" w:hAnsi="Times New Roman"/>
          <w:szCs w:val="24"/>
        </w:rPr>
      </w:pPr>
      <w:r w:rsidRPr="00693DE6">
        <w:rPr>
          <w:rFonts w:ascii="Times New Roman" w:hAnsi="Times New Roman"/>
          <w:szCs w:val="24"/>
        </w:rPr>
        <w:t>This study intends to provide a</w:t>
      </w:r>
      <w:r w:rsidR="00B8173A">
        <w:rPr>
          <w:rFonts w:ascii="Times New Roman" w:hAnsi="Times New Roman"/>
          <w:szCs w:val="24"/>
        </w:rPr>
        <w:t xml:space="preserve"> signific</w:t>
      </w:r>
      <w:r w:rsidRPr="00693DE6">
        <w:rPr>
          <w:rFonts w:ascii="Times New Roman" w:hAnsi="Times New Roman"/>
          <w:szCs w:val="24"/>
        </w:rPr>
        <w:t>ant opportunity to advance our understanding o</w:t>
      </w:r>
      <w:r w:rsidR="000341DB" w:rsidRPr="00693DE6">
        <w:rPr>
          <w:rFonts w:ascii="Times New Roman" w:hAnsi="Times New Roman"/>
          <w:szCs w:val="24"/>
        </w:rPr>
        <w:t>f</w:t>
      </w:r>
      <w:r w:rsidRPr="00693DE6">
        <w:rPr>
          <w:rFonts w:ascii="Times New Roman" w:hAnsi="Times New Roman"/>
          <w:szCs w:val="24"/>
        </w:rPr>
        <w:t xml:space="preserve"> how ICC</w:t>
      </w:r>
      <w:r w:rsidR="00300311">
        <w:rPr>
          <w:rFonts w:ascii="Times New Roman" w:hAnsi="Times New Roman"/>
          <w:szCs w:val="24"/>
        </w:rPr>
        <w:t xml:space="preserve"> has managed </w:t>
      </w:r>
      <w:r w:rsidR="006D3444">
        <w:rPr>
          <w:rFonts w:ascii="Times New Roman" w:hAnsi="Times New Roman"/>
          <w:szCs w:val="24"/>
        </w:rPr>
        <w:t>victims' rights and interest</w:t>
      </w:r>
      <w:r w:rsidR="00300311">
        <w:rPr>
          <w:rFonts w:ascii="Times New Roman" w:hAnsi="Times New Roman"/>
          <w:szCs w:val="24"/>
        </w:rPr>
        <w:t>s during criminal proceedings.</w:t>
      </w:r>
      <w:r w:rsidR="0034588B">
        <w:rPr>
          <w:rFonts w:ascii="Times New Roman" w:hAnsi="Times New Roman"/>
          <w:szCs w:val="24"/>
        </w:rPr>
        <w:t xml:space="preserve"> </w:t>
      </w:r>
      <w:r w:rsidR="006A015C" w:rsidRPr="00693DE6">
        <w:rPr>
          <w:rFonts w:ascii="Times New Roman" w:hAnsi="Times New Roman"/>
          <w:szCs w:val="24"/>
        </w:rPr>
        <w:t>While there is a growing body of scholarship examining victim participation at the ICC, this is the first thesis to ex</w:t>
      </w:r>
      <w:r w:rsidR="00486C17">
        <w:rPr>
          <w:rFonts w:ascii="Times New Roman" w:hAnsi="Times New Roman"/>
          <w:szCs w:val="24"/>
        </w:rPr>
        <w:t>plor</w:t>
      </w:r>
      <w:r w:rsidR="006A015C" w:rsidRPr="00693DE6">
        <w:rPr>
          <w:rFonts w:ascii="Times New Roman" w:hAnsi="Times New Roman"/>
          <w:szCs w:val="24"/>
        </w:rPr>
        <w:t xml:space="preserve">e the extent to which the rights and interests of victims are respected in the process </w:t>
      </w:r>
      <w:r w:rsidR="00B8173A">
        <w:rPr>
          <w:rFonts w:ascii="Times New Roman" w:hAnsi="Times New Roman"/>
          <w:szCs w:val="24"/>
        </w:rPr>
        <w:t>based on</w:t>
      </w:r>
      <w:r w:rsidR="00300311">
        <w:rPr>
          <w:rFonts w:ascii="Times New Roman" w:hAnsi="Times New Roman"/>
          <w:szCs w:val="24"/>
        </w:rPr>
        <w:t xml:space="preserve"> </w:t>
      </w:r>
      <w:r w:rsidR="006A015C" w:rsidRPr="00693DE6">
        <w:rPr>
          <w:rFonts w:ascii="Times New Roman" w:hAnsi="Times New Roman"/>
          <w:szCs w:val="24"/>
        </w:rPr>
        <w:t>data</w:t>
      </w:r>
      <w:r w:rsidR="00E101BD" w:rsidRPr="00693DE6">
        <w:rPr>
          <w:rFonts w:ascii="Times New Roman" w:hAnsi="Times New Roman"/>
          <w:szCs w:val="24"/>
        </w:rPr>
        <w:t xml:space="preserve"> </w:t>
      </w:r>
      <w:r w:rsidR="00300311">
        <w:rPr>
          <w:rFonts w:ascii="Times New Roman" w:hAnsi="Times New Roman"/>
          <w:szCs w:val="24"/>
        </w:rPr>
        <w:t>gathered from the trial transcripts of</w:t>
      </w:r>
      <w:r w:rsidR="00E101BD" w:rsidRPr="00693DE6">
        <w:rPr>
          <w:rFonts w:ascii="Times New Roman" w:hAnsi="Times New Roman"/>
          <w:szCs w:val="24"/>
        </w:rPr>
        <w:t xml:space="preserve"> two ICC cases, namely, </w:t>
      </w:r>
      <w:r w:rsidR="00E101BD" w:rsidRPr="00693DE6">
        <w:rPr>
          <w:rFonts w:ascii="Times New Roman" w:hAnsi="Times New Roman"/>
          <w:i/>
          <w:szCs w:val="24"/>
        </w:rPr>
        <w:t>Lubanga</w:t>
      </w:r>
      <w:r w:rsidR="00E101BD" w:rsidRPr="00693DE6">
        <w:rPr>
          <w:rFonts w:ascii="Times New Roman" w:hAnsi="Times New Roman"/>
          <w:szCs w:val="24"/>
        </w:rPr>
        <w:t xml:space="preserve"> and </w:t>
      </w:r>
      <w:r w:rsidR="00E101BD" w:rsidRPr="00693DE6">
        <w:rPr>
          <w:rFonts w:ascii="Times New Roman" w:hAnsi="Times New Roman"/>
          <w:i/>
          <w:szCs w:val="24"/>
        </w:rPr>
        <w:t>Katanga.</w:t>
      </w:r>
      <w:r w:rsidR="00300311">
        <w:rPr>
          <w:rFonts w:ascii="Times New Roman" w:hAnsi="Times New Roman"/>
          <w:i/>
          <w:szCs w:val="24"/>
        </w:rPr>
        <w:t xml:space="preserve"> </w:t>
      </w:r>
      <w:r w:rsidR="00300311">
        <w:rPr>
          <w:rFonts w:ascii="Times New Roman" w:hAnsi="Times New Roman"/>
          <w:szCs w:val="24"/>
        </w:rPr>
        <w:t>As noted,</w:t>
      </w:r>
      <w:r w:rsidR="000341DB" w:rsidRPr="00693DE6">
        <w:rPr>
          <w:rFonts w:ascii="Times New Roman" w:hAnsi="Times New Roman"/>
          <w:i/>
          <w:szCs w:val="24"/>
        </w:rPr>
        <w:t xml:space="preserve"> </w:t>
      </w:r>
      <w:r w:rsidR="00E101BD" w:rsidRPr="00693DE6">
        <w:rPr>
          <w:rFonts w:ascii="Times New Roman" w:hAnsi="Times New Roman"/>
          <w:szCs w:val="24"/>
        </w:rPr>
        <w:t>It undertakes this analysis within three themes or stages:(1)prosecutorial discretion;(2)trial proceedings and (3)sentencing stage.</w:t>
      </w:r>
      <w:r w:rsidR="00F353EE">
        <w:rPr>
          <w:rFonts w:ascii="Times New Roman" w:hAnsi="Times New Roman"/>
          <w:szCs w:val="24"/>
        </w:rPr>
        <w:t xml:space="preserve"> </w:t>
      </w:r>
      <w:r w:rsidR="00CC428E">
        <w:rPr>
          <w:rFonts w:ascii="Times New Roman" w:hAnsi="Times New Roman"/>
          <w:szCs w:val="24"/>
        </w:rPr>
        <w:t xml:space="preserve">It is </w:t>
      </w:r>
      <w:r w:rsidR="00A16959">
        <w:rPr>
          <w:rFonts w:ascii="Times New Roman" w:hAnsi="Times New Roman"/>
          <w:szCs w:val="24"/>
        </w:rPr>
        <w:t>noted</w:t>
      </w:r>
      <w:r w:rsidR="00CC428E">
        <w:rPr>
          <w:rFonts w:ascii="Times New Roman" w:hAnsi="Times New Roman"/>
          <w:szCs w:val="24"/>
        </w:rPr>
        <w:t xml:space="preserve"> that structuring my analysis </w:t>
      </w:r>
      <w:r w:rsidR="00B8173A">
        <w:rPr>
          <w:rFonts w:ascii="Times New Roman" w:hAnsi="Times New Roman"/>
          <w:szCs w:val="24"/>
        </w:rPr>
        <w:t>under</w:t>
      </w:r>
      <w:r w:rsidR="006E18A4">
        <w:rPr>
          <w:rFonts w:ascii="Times New Roman" w:hAnsi="Times New Roman"/>
          <w:szCs w:val="24"/>
        </w:rPr>
        <w:t xml:space="preserve"> these the</w:t>
      </w:r>
      <w:r w:rsidR="00D81F05">
        <w:rPr>
          <w:rFonts w:ascii="Times New Roman" w:hAnsi="Times New Roman"/>
          <w:szCs w:val="24"/>
        </w:rPr>
        <w:t>mes</w:t>
      </w:r>
      <w:r w:rsidR="006D3444">
        <w:rPr>
          <w:rFonts w:ascii="Times New Roman" w:hAnsi="Times New Roman"/>
          <w:szCs w:val="24"/>
        </w:rPr>
        <w:t xml:space="preserve"> enabled me to </w:t>
      </w:r>
      <w:r w:rsidR="008A6A14">
        <w:rPr>
          <w:rFonts w:ascii="Times New Roman" w:hAnsi="Times New Roman"/>
          <w:szCs w:val="24"/>
        </w:rPr>
        <w:t>better address the overall research question</w:t>
      </w:r>
      <w:r w:rsidR="00F353EE">
        <w:rPr>
          <w:rFonts w:ascii="Times New Roman" w:hAnsi="Times New Roman"/>
          <w:szCs w:val="24"/>
        </w:rPr>
        <w:t>.</w:t>
      </w:r>
      <w:r w:rsidR="00665AED">
        <w:rPr>
          <w:rFonts w:ascii="Times New Roman" w:hAnsi="Times New Roman"/>
          <w:szCs w:val="24"/>
        </w:rPr>
        <w:t xml:space="preserve"> </w:t>
      </w:r>
      <w:r w:rsidR="006D3444">
        <w:rPr>
          <w:rFonts w:ascii="Times New Roman" w:hAnsi="Times New Roman"/>
          <w:szCs w:val="24"/>
        </w:rPr>
        <w:t>These themes provide a convenient and broadly sequential progression of victims</w:t>
      </w:r>
      <w:r w:rsidR="00F72A5B">
        <w:rPr>
          <w:rFonts w:ascii="Times New Roman" w:hAnsi="Times New Roman"/>
          <w:szCs w:val="24"/>
        </w:rPr>
        <w:t>'</w:t>
      </w:r>
      <w:r w:rsidR="006D3444">
        <w:rPr>
          <w:rFonts w:ascii="Times New Roman" w:hAnsi="Times New Roman"/>
          <w:szCs w:val="24"/>
        </w:rPr>
        <w:t xml:space="preserve"> rights and interests at different </w:t>
      </w:r>
      <w:r w:rsidR="008A6A14">
        <w:rPr>
          <w:rFonts w:ascii="Times New Roman" w:hAnsi="Times New Roman"/>
          <w:szCs w:val="24"/>
        </w:rPr>
        <w:t>ICC phases</w:t>
      </w:r>
      <w:r w:rsidR="006D3444">
        <w:rPr>
          <w:rFonts w:ascii="Times New Roman" w:hAnsi="Times New Roman"/>
          <w:szCs w:val="24"/>
        </w:rPr>
        <w:t xml:space="preserve"> in the same vein</w:t>
      </w:r>
      <w:r w:rsidR="00665AED">
        <w:rPr>
          <w:rFonts w:ascii="Times New Roman" w:hAnsi="Times New Roman"/>
          <w:szCs w:val="24"/>
        </w:rPr>
        <w:t>.</w:t>
      </w:r>
      <w:r w:rsidR="0034588B">
        <w:rPr>
          <w:rFonts w:ascii="Times New Roman" w:hAnsi="Times New Roman"/>
          <w:szCs w:val="24"/>
        </w:rPr>
        <w:t xml:space="preserve"> </w:t>
      </w:r>
      <w:r w:rsidR="008636F2">
        <w:rPr>
          <w:rFonts w:ascii="Times New Roman" w:hAnsi="Times New Roman"/>
          <w:szCs w:val="24"/>
        </w:rPr>
        <w:t xml:space="preserve">This </w:t>
      </w:r>
      <w:r w:rsidR="002B7B93">
        <w:rPr>
          <w:rFonts w:ascii="Times New Roman" w:hAnsi="Times New Roman"/>
          <w:szCs w:val="24"/>
        </w:rPr>
        <w:t>use of transcripts as my primary da</w:t>
      </w:r>
      <w:r w:rsidR="00794570">
        <w:rPr>
          <w:rFonts w:ascii="Times New Roman" w:hAnsi="Times New Roman"/>
          <w:szCs w:val="24"/>
        </w:rPr>
        <w:t xml:space="preserve">ta source is justified </w:t>
      </w:r>
      <w:r w:rsidR="006D3444">
        <w:rPr>
          <w:rFonts w:ascii="Times New Roman" w:hAnsi="Times New Roman"/>
          <w:szCs w:val="24"/>
        </w:rPr>
        <w:t>because</w:t>
      </w:r>
      <w:r w:rsidR="00794570">
        <w:rPr>
          <w:rFonts w:ascii="Times New Roman" w:hAnsi="Times New Roman"/>
          <w:szCs w:val="24"/>
        </w:rPr>
        <w:t xml:space="preserve"> </w:t>
      </w:r>
      <w:r w:rsidR="00AE6C1A">
        <w:rPr>
          <w:rFonts w:ascii="Times New Roman" w:hAnsi="Times New Roman"/>
          <w:szCs w:val="24"/>
        </w:rPr>
        <w:t xml:space="preserve">it </w:t>
      </w:r>
      <w:r w:rsidR="003A2142">
        <w:rPr>
          <w:rFonts w:ascii="Times New Roman" w:hAnsi="Times New Roman"/>
          <w:szCs w:val="24"/>
        </w:rPr>
        <w:t>examines the various interactions between victims</w:t>
      </w:r>
      <w:r w:rsidR="00404990">
        <w:rPr>
          <w:rFonts w:ascii="Times New Roman" w:hAnsi="Times New Roman"/>
          <w:szCs w:val="24"/>
        </w:rPr>
        <w:t>, their representatives</w:t>
      </w:r>
      <w:r w:rsidR="002F11B9">
        <w:rPr>
          <w:rFonts w:ascii="Times New Roman" w:hAnsi="Times New Roman"/>
          <w:szCs w:val="24"/>
        </w:rPr>
        <w:t>, and other ICC stakeholders</w:t>
      </w:r>
      <w:r w:rsidR="004D078C">
        <w:rPr>
          <w:rFonts w:ascii="Times New Roman" w:hAnsi="Times New Roman"/>
          <w:szCs w:val="24"/>
        </w:rPr>
        <w:t>.</w:t>
      </w:r>
    </w:p>
    <w:p w14:paraId="5D7C9E4C" w14:textId="5ABF7995" w:rsidR="00300311" w:rsidRDefault="004D078C" w:rsidP="00693DE6">
      <w:pPr>
        <w:spacing w:line="480" w:lineRule="auto"/>
        <w:jc w:val="both"/>
        <w:rPr>
          <w:rFonts w:ascii="Times New Roman" w:hAnsi="Times New Roman"/>
          <w:szCs w:val="24"/>
        </w:rPr>
      </w:pPr>
      <w:r>
        <w:rPr>
          <w:rFonts w:ascii="Times New Roman" w:hAnsi="Times New Roman"/>
          <w:szCs w:val="24"/>
        </w:rPr>
        <w:t>Furthermore</w:t>
      </w:r>
      <w:r w:rsidR="00871879" w:rsidRPr="00693DE6">
        <w:rPr>
          <w:rFonts w:ascii="Times New Roman" w:hAnsi="Times New Roman"/>
          <w:szCs w:val="24"/>
        </w:rPr>
        <w:t xml:space="preserve">, the study </w:t>
      </w:r>
      <w:r w:rsidR="00300311">
        <w:rPr>
          <w:rFonts w:ascii="Times New Roman" w:hAnsi="Times New Roman"/>
          <w:szCs w:val="24"/>
        </w:rPr>
        <w:t>aims to contribute to a</w:t>
      </w:r>
      <w:r w:rsidR="00897A35" w:rsidRPr="00693DE6">
        <w:rPr>
          <w:rFonts w:ascii="Times New Roman" w:hAnsi="Times New Roman"/>
          <w:szCs w:val="24"/>
        </w:rPr>
        <w:t xml:space="preserve"> growing area of research by exploring the extent of applicability of victims</w:t>
      </w:r>
      <w:r w:rsidR="00F72A5B">
        <w:rPr>
          <w:rFonts w:ascii="Times New Roman" w:hAnsi="Times New Roman"/>
          <w:szCs w:val="24"/>
        </w:rPr>
        <w:t>'</w:t>
      </w:r>
      <w:r w:rsidR="00897A35" w:rsidRPr="00693DE6">
        <w:rPr>
          <w:rFonts w:ascii="Times New Roman" w:hAnsi="Times New Roman"/>
          <w:szCs w:val="24"/>
        </w:rPr>
        <w:t xml:space="preserve"> rights and interests in criminal trials at the ICC</w:t>
      </w:r>
      <w:r w:rsidR="00871879" w:rsidRPr="00693DE6">
        <w:rPr>
          <w:rFonts w:ascii="Times New Roman" w:hAnsi="Times New Roman"/>
          <w:szCs w:val="24"/>
        </w:rPr>
        <w:t>.</w:t>
      </w:r>
      <w:r w:rsidR="00300311" w:rsidRPr="00300311">
        <w:rPr>
          <w:rFonts w:ascii="Times New Roman" w:hAnsi="Times New Roman"/>
          <w:szCs w:val="24"/>
        </w:rPr>
        <w:t xml:space="preserve"> </w:t>
      </w:r>
      <w:r w:rsidR="00300311">
        <w:rPr>
          <w:rFonts w:ascii="Times New Roman" w:hAnsi="Times New Roman"/>
          <w:szCs w:val="24"/>
        </w:rPr>
        <w:t xml:space="preserve">While the ICC has been hailed as the benchmark of victim participation in international criminal justice, this thesis will seek to establish, on the basis mainly of transcript data </w:t>
      </w:r>
      <w:r w:rsidR="00300311">
        <w:rPr>
          <w:rFonts w:ascii="Times New Roman" w:hAnsi="Times New Roman"/>
          <w:szCs w:val="24"/>
        </w:rPr>
        <w:lastRenderedPageBreak/>
        <w:t>from the above two cases, to what extent the rights and interests of victims have been considered and respected in two trials (</w:t>
      </w:r>
      <w:r w:rsidR="00300311" w:rsidRPr="006D4CC1">
        <w:rPr>
          <w:rFonts w:ascii="Times New Roman" w:hAnsi="Times New Roman"/>
          <w:i/>
          <w:szCs w:val="24"/>
        </w:rPr>
        <w:t>Lubanga</w:t>
      </w:r>
      <w:r w:rsidR="00300311" w:rsidRPr="006D4CC1">
        <w:rPr>
          <w:rFonts w:ascii="Times New Roman" w:hAnsi="Times New Roman"/>
          <w:szCs w:val="24"/>
        </w:rPr>
        <w:t xml:space="preserve"> and </w:t>
      </w:r>
      <w:r w:rsidR="00300311" w:rsidRPr="006D4CC1">
        <w:rPr>
          <w:rFonts w:ascii="Times New Roman" w:hAnsi="Times New Roman"/>
          <w:i/>
          <w:szCs w:val="24"/>
        </w:rPr>
        <w:t>Katanga</w:t>
      </w:r>
      <w:r w:rsidR="00300311">
        <w:rPr>
          <w:rFonts w:ascii="Times New Roman" w:hAnsi="Times New Roman"/>
          <w:szCs w:val="24"/>
        </w:rPr>
        <w:t xml:space="preserve">). </w:t>
      </w:r>
      <w:r w:rsidR="00376E7C" w:rsidRPr="00693DE6">
        <w:rPr>
          <w:rFonts w:ascii="Times New Roman" w:hAnsi="Times New Roman"/>
          <w:szCs w:val="24"/>
        </w:rPr>
        <w:t xml:space="preserve"> </w:t>
      </w:r>
    </w:p>
    <w:p w14:paraId="10D1B9DB" w14:textId="771F0306" w:rsidR="00F47E6B" w:rsidRPr="00693DE6" w:rsidRDefault="006D3444" w:rsidP="00693DE6">
      <w:pPr>
        <w:spacing w:line="480" w:lineRule="auto"/>
        <w:jc w:val="both"/>
        <w:rPr>
          <w:rFonts w:ascii="Times New Roman" w:hAnsi="Times New Roman"/>
          <w:szCs w:val="24"/>
        </w:rPr>
      </w:pPr>
      <w:r>
        <w:rPr>
          <w:rFonts w:ascii="Times New Roman" w:hAnsi="Times New Roman"/>
          <w:szCs w:val="24"/>
        </w:rPr>
        <w:t>Exploring how victims</w:t>
      </w:r>
      <w:r w:rsidR="00F72A5B">
        <w:rPr>
          <w:rFonts w:ascii="Times New Roman" w:hAnsi="Times New Roman"/>
          <w:szCs w:val="24"/>
        </w:rPr>
        <w:t>'</w:t>
      </w:r>
      <w:r>
        <w:rPr>
          <w:rFonts w:ascii="Times New Roman" w:hAnsi="Times New Roman"/>
          <w:szCs w:val="24"/>
        </w:rPr>
        <w:t xml:space="preserve"> rights and interests have been managed in prosecutorial discretion and sentencing provides a more holistic approach </w:t>
      </w:r>
      <w:r w:rsidR="00993181" w:rsidRPr="00693DE6">
        <w:rPr>
          <w:rFonts w:ascii="Times New Roman" w:hAnsi="Times New Roman"/>
          <w:szCs w:val="24"/>
        </w:rPr>
        <w:t xml:space="preserve">to </w:t>
      </w:r>
      <w:r w:rsidR="00D43E05">
        <w:rPr>
          <w:rFonts w:ascii="Times New Roman" w:hAnsi="Times New Roman"/>
          <w:szCs w:val="24"/>
        </w:rPr>
        <w:t>viewing</w:t>
      </w:r>
      <w:r w:rsidR="00993181" w:rsidRPr="00693DE6">
        <w:rPr>
          <w:rFonts w:ascii="Times New Roman" w:hAnsi="Times New Roman"/>
          <w:szCs w:val="24"/>
        </w:rPr>
        <w:t xml:space="preserve"> victims.</w:t>
      </w:r>
    </w:p>
    <w:p w14:paraId="58D3BDC8" w14:textId="72FEFD3A" w:rsidR="00F515A2" w:rsidRPr="00693DE6" w:rsidRDefault="00F515A2" w:rsidP="00693DE6">
      <w:pPr>
        <w:spacing w:line="480" w:lineRule="auto"/>
        <w:jc w:val="both"/>
        <w:rPr>
          <w:rFonts w:ascii="Times New Roman" w:hAnsi="Times New Roman"/>
          <w:szCs w:val="24"/>
        </w:rPr>
      </w:pPr>
      <w:r w:rsidRPr="00693DE6">
        <w:rPr>
          <w:rFonts w:ascii="Times New Roman" w:hAnsi="Times New Roman"/>
          <w:szCs w:val="24"/>
        </w:rPr>
        <w:t xml:space="preserve">Recent developments in the field of victimology and human rights have led to a renewed interest in </w:t>
      </w:r>
      <w:r w:rsidR="006D3444">
        <w:rPr>
          <w:rFonts w:ascii="Times New Roman" w:hAnsi="Times New Roman"/>
          <w:szCs w:val="24"/>
        </w:rPr>
        <w:t>victims' roles and scope</w:t>
      </w:r>
      <w:r w:rsidRPr="00693DE6">
        <w:rPr>
          <w:rFonts w:ascii="Times New Roman" w:hAnsi="Times New Roman"/>
          <w:szCs w:val="24"/>
        </w:rPr>
        <w:t xml:space="preserve"> in the international criminal justice system.</w:t>
      </w:r>
      <w:r w:rsidRPr="00693DE6">
        <w:rPr>
          <w:rStyle w:val="FootnoteReference"/>
          <w:rFonts w:ascii="Times New Roman" w:hAnsi="Times New Roman"/>
          <w:szCs w:val="24"/>
        </w:rPr>
        <w:footnoteReference w:id="44"/>
      </w:r>
      <w:r w:rsidRPr="00693DE6">
        <w:rPr>
          <w:rFonts w:ascii="Times New Roman" w:hAnsi="Times New Roman"/>
          <w:szCs w:val="24"/>
        </w:rPr>
        <w:t xml:space="preserve"> </w:t>
      </w:r>
      <w:r w:rsidR="00F25055">
        <w:rPr>
          <w:rFonts w:ascii="Times New Roman" w:hAnsi="Times New Roman"/>
          <w:szCs w:val="24"/>
        </w:rPr>
        <w:t>There is a growing body of literature</w:t>
      </w:r>
      <w:r w:rsidR="00F25055" w:rsidRPr="006D4CC1">
        <w:rPr>
          <w:rFonts w:ascii="Times New Roman" w:hAnsi="Times New Roman"/>
          <w:szCs w:val="24"/>
        </w:rPr>
        <w:t xml:space="preserve"> on victim participation in international criminal </w:t>
      </w:r>
      <w:r w:rsidR="00F25055">
        <w:rPr>
          <w:rFonts w:ascii="Times New Roman" w:hAnsi="Times New Roman"/>
          <w:szCs w:val="24"/>
        </w:rPr>
        <w:t>justice, especially at the ICC.</w:t>
      </w:r>
      <w:r w:rsidR="00F25055" w:rsidRPr="00F25055">
        <w:rPr>
          <w:rFonts w:ascii="Times New Roman" w:hAnsi="Times New Roman"/>
          <w:szCs w:val="24"/>
        </w:rPr>
        <w:t xml:space="preserve"> </w:t>
      </w:r>
      <w:r w:rsidR="00F25055">
        <w:rPr>
          <w:rFonts w:ascii="Times New Roman" w:hAnsi="Times New Roman"/>
          <w:szCs w:val="24"/>
        </w:rPr>
        <w:t>This thesis aims to complement th</w:t>
      </w:r>
      <w:r w:rsidR="00477B94">
        <w:rPr>
          <w:rFonts w:ascii="Times New Roman" w:hAnsi="Times New Roman"/>
          <w:szCs w:val="24"/>
        </w:rPr>
        <w:t>e</w:t>
      </w:r>
      <w:r w:rsidR="00F25055">
        <w:rPr>
          <w:rFonts w:ascii="Times New Roman" w:hAnsi="Times New Roman"/>
          <w:szCs w:val="24"/>
        </w:rPr>
        <w:t xml:space="preserve"> literature by focusing </w:t>
      </w:r>
      <w:r w:rsidR="00B8173A">
        <w:rPr>
          <w:rFonts w:ascii="Times New Roman" w:hAnsi="Times New Roman"/>
          <w:szCs w:val="24"/>
        </w:rPr>
        <w:t>main</w:t>
      </w:r>
      <w:r w:rsidR="00F25055">
        <w:rPr>
          <w:rFonts w:ascii="Times New Roman" w:hAnsi="Times New Roman"/>
          <w:szCs w:val="24"/>
        </w:rPr>
        <w:t xml:space="preserve">ly on </w:t>
      </w:r>
      <w:r w:rsidR="006D3444">
        <w:rPr>
          <w:rFonts w:ascii="Times New Roman" w:hAnsi="Times New Roman"/>
          <w:szCs w:val="24"/>
        </w:rPr>
        <w:t xml:space="preserve">whether, and to what extent, </w:t>
      </w:r>
      <w:r w:rsidR="002E57B5">
        <w:rPr>
          <w:rFonts w:ascii="Times New Roman" w:hAnsi="Times New Roman"/>
          <w:szCs w:val="24"/>
        </w:rPr>
        <w:t>victims' rights and interest</w:t>
      </w:r>
      <w:r w:rsidR="006D3444">
        <w:rPr>
          <w:rFonts w:ascii="Times New Roman" w:hAnsi="Times New Roman"/>
          <w:szCs w:val="24"/>
        </w:rPr>
        <w:t>s have been respected at three stages of the ICC trial, and based on</w:t>
      </w:r>
      <w:r w:rsidR="00F25055">
        <w:rPr>
          <w:rFonts w:ascii="Times New Roman" w:hAnsi="Times New Roman"/>
          <w:szCs w:val="24"/>
        </w:rPr>
        <w:t xml:space="preserve"> a relatively innovative source of information, namely, trial transcripts. While there has been a considerable amount of research done in the area of victims</w:t>
      </w:r>
      <w:r w:rsidR="00F72A5B">
        <w:rPr>
          <w:rFonts w:ascii="Times New Roman" w:hAnsi="Times New Roman"/>
          <w:szCs w:val="24"/>
        </w:rPr>
        <w:t>'</w:t>
      </w:r>
      <w:r w:rsidR="00F25055">
        <w:rPr>
          <w:rFonts w:ascii="Times New Roman" w:hAnsi="Times New Roman"/>
          <w:szCs w:val="24"/>
        </w:rPr>
        <w:t xml:space="preserve"> rights during </w:t>
      </w:r>
      <w:r w:rsidR="0034588B">
        <w:rPr>
          <w:rFonts w:ascii="Times New Roman" w:hAnsi="Times New Roman"/>
          <w:szCs w:val="24"/>
        </w:rPr>
        <w:t xml:space="preserve">the </w:t>
      </w:r>
      <w:r w:rsidR="00F25055">
        <w:rPr>
          <w:rFonts w:ascii="Times New Roman" w:hAnsi="Times New Roman"/>
          <w:szCs w:val="24"/>
        </w:rPr>
        <w:t>trial, there is less research on victims</w:t>
      </w:r>
      <w:r w:rsidR="00F72A5B">
        <w:rPr>
          <w:rFonts w:ascii="Times New Roman" w:hAnsi="Times New Roman"/>
          <w:szCs w:val="24"/>
        </w:rPr>
        <w:t>'</w:t>
      </w:r>
      <w:r w:rsidR="00F25055">
        <w:rPr>
          <w:rFonts w:ascii="Times New Roman" w:hAnsi="Times New Roman"/>
          <w:szCs w:val="24"/>
        </w:rPr>
        <w:t xml:space="preserve"> rights in the context of prosecutorial discretion and significant scarcity of such research on victims</w:t>
      </w:r>
      <w:r w:rsidR="00F72A5B">
        <w:rPr>
          <w:rFonts w:ascii="Times New Roman" w:hAnsi="Times New Roman"/>
          <w:szCs w:val="24"/>
        </w:rPr>
        <w:t>'</w:t>
      </w:r>
      <w:r w:rsidR="00F25055">
        <w:rPr>
          <w:rFonts w:ascii="Times New Roman" w:hAnsi="Times New Roman"/>
          <w:szCs w:val="24"/>
        </w:rPr>
        <w:t xml:space="preserve"> rights and interests in sentencing. The treatment of victims during these stages of the ICC is a significant issue, because, as Tyler argues</w:t>
      </w:r>
      <w:r w:rsidRPr="00693DE6">
        <w:rPr>
          <w:rFonts w:ascii="Times New Roman" w:hAnsi="Times New Roman"/>
          <w:szCs w:val="24"/>
        </w:rPr>
        <w:t xml:space="preserve"> in conflict resolution, citizens tend to judge their contact with legal authorities based on how they were treated during the trial process, </w:t>
      </w:r>
      <w:r w:rsidR="00AD745A">
        <w:rPr>
          <w:rFonts w:ascii="Times New Roman" w:hAnsi="Times New Roman"/>
          <w:szCs w:val="24"/>
        </w:rPr>
        <w:t>which is at least as important as</w:t>
      </w:r>
      <w:r w:rsidRPr="00693DE6">
        <w:rPr>
          <w:rFonts w:ascii="Times New Roman" w:hAnsi="Times New Roman"/>
          <w:szCs w:val="24"/>
        </w:rPr>
        <w:t xml:space="preserve"> the outcome or decision.</w:t>
      </w:r>
      <w:r w:rsidRPr="00693DE6">
        <w:rPr>
          <w:rStyle w:val="FootnoteReference"/>
          <w:rFonts w:ascii="Times New Roman" w:hAnsi="Times New Roman"/>
          <w:szCs w:val="24"/>
        </w:rPr>
        <w:footnoteReference w:id="45"/>
      </w:r>
      <w:r w:rsidRPr="00693DE6">
        <w:rPr>
          <w:rFonts w:ascii="Times New Roman" w:hAnsi="Times New Roman"/>
          <w:szCs w:val="24"/>
        </w:rPr>
        <w:t xml:space="preserve"> </w:t>
      </w:r>
    </w:p>
    <w:p w14:paraId="4E247679" w14:textId="3B458BBD" w:rsidR="00F515A2" w:rsidRPr="00693DE6" w:rsidRDefault="00F515A2" w:rsidP="00693DE6">
      <w:pPr>
        <w:spacing w:line="480" w:lineRule="auto"/>
        <w:jc w:val="both"/>
        <w:rPr>
          <w:rFonts w:ascii="Times New Roman" w:hAnsi="Times New Roman"/>
          <w:szCs w:val="24"/>
        </w:rPr>
      </w:pPr>
      <w:r w:rsidRPr="00693DE6">
        <w:rPr>
          <w:rFonts w:ascii="Times New Roman" w:hAnsi="Times New Roman"/>
          <w:szCs w:val="24"/>
        </w:rPr>
        <w:lastRenderedPageBreak/>
        <w:t xml:space="preserve">He further hypothesised a direct connection between </w:t>
      </w:r>
      <w:r w:rsidR="000341DB" w:rsidRPr="00693DE6">
        <w:rPr>
          <w:rFonts w:ascii="Times New Roman" w:hAnsi="Times New Roman"/>
          <w:szCs w:val="24"/>
        </w:rPr>
        <w:t>how</w:t>
      </w:r>
      <w:r w:rsidRPr="00693DE6">
        <w:rPr>
          <w:rFonts w:ascii="Times New Roman" w:hAnsi="Times New Roman"/>
          <w:szCs w:val="24"/>
        </w:rPr>
        <w:t xml:space="preserve"> disputes are handled by the courts and the people</w:t>
      </w:r>
      <w:r w:rsidR="00F72A5B">
        <w:rPr>
          <w:rFonts w:ascii="Times New Roman" w:hAnsi="Times New Roman"/>
          <w:szCs w:val="24"/>
        </w:rPr>
        <w:t>'</w:t>
      </w:r>
      <w:r w:rsidRPr="00693DE6">
        <w:rPr>
          <w:rFonts w:ascii="Times New Roman" w:hAnsi="Times New Roman"/>
          <w:szCs w:val="24"/>
        </w:rPr>
        <w:t>s evaluation of their experiences in the court system.</w:t>
      </w:r>
      <w:r w:rsidRPr="00693DE6">
        <w:rPr>
          <w:rStyle w:val="FootnoteReference"/>
          <w:rFonts w:ascii="Times New Roman" w:hAnsi="Times New Roman"/>
          <w:szCs w:val="24"/>
        </w:rPr>
        <w:footnoteReference w:id="46"/>
      </w:r>
      <w:r w:rsidRPr="00693DE6">
        <w:rPr>
          <w:rFonts w:ascii="Times New Roman" w:hAnsi="Times New Roman"/>
          <w:szCs w:val="24"/>
        </w:rPr>
        <w:t xml:space="preserve"> </w:t>
      </w:r>
      <w:r w:rsidR="007C7F8E">
        <w:rPr>
          <w:rFonts w:ascii="Times New Roman" w:hAnsi="Times New Roman"/>
          <w:szCs w:val="24"/>
        </w:rPr>
        <w:t>Tyler</w:t>
      </w:r>
      <w:r w:rsidRPr="00693DE6">
        <w:rPr>
          <w:rFonts w:ascii="Times New Roman" w:hAnsi="Times New Roman"/>
          <w:szCs w:val="24"/>
        </w:rPr>
        <w:t xml:space="preserve"> </w:t>
      </w:r>
      <w:r w:rsidR="006D3444">
        <w:rPr>
          <w:rFonts w:ascii="Times New Roman" w:hAnsi="Times New Roman"/>
          <w:szCs w:val="24"/>
        </w:rPr>
        <w:t>believes</w:t>
      </w:r>
      <w:r w:rsidR="00AD745A">
        <w:rPr>
          <w:rFonts w:ascii="Times New Roman" w:hAnsi="Times New Roman"/>
          <w:szCs w:val="24"/>
        </w:rPr>
        <w:t xml:space="preserve"> that parties in</w:t>
      </w:r>
      <w:r w:rsidRPr="00693DE6">
        <w:rPr>
          <w:rFonts w:ascii="Times New Roman" w:hAnsi="Times New Roman"/>
          <w:szCs w:val="24"/>
        </w:rPr>
        <w:t xml:space="preserve"> c</w:t>
      </w:r>
      <w:r w:rsidR="00AD745A">
        <w:rPr>
          <w:rFonts w:ascii="Times New Roman" w:hAnsi="Times New Roman"/>
          <w:szCs w:val="24"/>
        </w:rPr>
        <w:t>onflict resolution tend to assess</w:t>
      </w:r>
      <w:r w:rsidRPr="00693DE6">
        <w:rPr>
          <w:rFonts w:ascii="Times New Roman" w:hAnsi="Times New Roman"/>
          <w:szCs w:val="24"/>
        </w:rPr>
        <w:t xml:space="preserve"> system based on procedural justice</w:t>
      </w:r>
      <w:r w:rsidR="00AD745A">
        <w:rPr>
          <w:rFonts w:ascii="Times New Roman" w:hAnsi="Times New Roman"/>
          <w:szCs w:val="24"/>
        </w:rPr>
        <w:t xml:space="preserve"> rather</w:t>
      </w:r>
      <w:r w:rsidRPr="00693DE6">
        <w:rPr>
          <w:rFonts w:ascii="Times New Roman" w:hAnsi="Times New Roman"/>
          <w:szCs w:val="24"/>
        </w:rPr>
        <w:t xml:space="preserve"> than the substantive outcome or decision. Therefore, how people are managed during conflict resolution has more influence than the </w:t>
      </w:r>
      <w:r w:rsidR="00563AA6">
        <w:rPr>
          <w:rFonts w:ascii="Times New Roman" w:hAnsi="Times New Roman"/>
          <w:szCs w:val="24"/>
        </w:rPr>
        <w:t>verdict</w:t>
      </w:r>
      <w:r w:rsidRPr="00693DE6">
        <w:rPr>
          <w:rFonts w:ascii="Times New Roman" w:hAnsi="Times New Roman"/>
          <w:szCs w:val="24"/>
        </w:rPr>
        <w:t xml:space="preserve"> of the </w:t>
      </w:r>
      <w:r w:rsidR="0012481D">
        <w:rPr>
          <w:rFonts w:ascii="Times New Roman" w:hAnsi="Times New Roman"/>
          <w:szCs w:val="24"/>
        </w:rPr>
        <w:t>c</w:t>
      </w:r>
      <w:r w:rsidRPr="00693DE6">
        <w:rPr>
          <w:rFonts w:ascii="Times New Roman" w:hAnsi="Times New Roman"/>
          <w:szCs w:val="24"/>
        </w:rPr>
        <w:t xml:space="preserve">ourt. This hypothesis is contrary to the popularly held view that the </w:t>
      </w:r>
      <w:r w:rsidR="006D3444">
        <w:rPr>
          <w:rFonts w:ascii="Times New Roman" w:hAnsi="Times New Roman"/>
          <w:szCs w:val="24"/>
        </w:rPr>
        <w:t>court's decision or judgmen</w:t>
      </w:r>
      <w:r w:rsidRPr="00693DE6">
        <w:rPr>
          <w:rFonts w:ascii="Times New Roman" w:hAnsi="Times New Roman"/>
          <w:szCs w:val="24"/>
        </w:rPr>
        <w:t>t goes a long way in satisfying the parties.</w:t>
      </w:r>
      <w:r w:rsidR="008841D0">
        <w:rPr>
          <w:rFonts w:ascii="Times New Roman" w:hAnsi="Times New Roman"/>
          <w:szCs w:val="24"/>
        </w:rPr>
        <w:t xml:space="preserve"> </w:t>
      </w:r>
      <w:r w:rsidRPr="00693DE6">
        <w:rPr>
          <w:rFonts w:ascii="Times New Roman" w:hAnsi="Times New Roman"/>
          <w:szCs w:val="24"/>
        </w:rPr>
        <w:t>Interestingly, this theory is supported by Moffett</w:t>
      </w:r>
      <w:r w:rsidR="00F72A5B">
        <w:rPr>
          <w:rFonts w:ascii="Times New Roman" w:hAnsi="Times New Roman"/>
          <w:szCs w:val="24"/>
        </w:rPr>
        <w:t>'</w:t>
      </w:r>
      <w:r w:rsidRPr="00693DE6">
        <w:rPr>
          <w:rFonts w:ascii="Times New Roman" w:hAnsi="Times New Roman"/>
          <w:szCs w:val="24"/>
        </w:rPr>
        <w:t>s article</w:t>
      </w:r>
      <w:r w:rsidR="000341DB" w:rsidRPr="00693DE6">
        <w:rPr>
          <w:rFonts w:ascii="Times New Roman" w:hAnsi="Times New Roman"/>
          <w:szCs w:val="24"/>
        </w:rPr>
        <w:t>,</w:t>
      </w:r>
      <w:r w:rsidRPr="00693DE6">
        <w:rPr>
          <w:rFonts w:ascii="Times New Roman" w:hAnsi="Times New Roman"/>
          <w:szCs w:val="24"/>
        </w:rPr>
        <w:t xml:space="preserve"> which suggests that more attention should be given to procedural justice/fairness</w:t>
      </w:r>
      <w:r w:rsidR="0034588B">
        <w:rPr>
          <w:rFonts w:ascii="Times New Roman" w:hAnsi="Times New Roman"/>
          <w:szCs w:val="24"/>
        </w:rPr>
        <w:t xml:space="preserve"> </w:t>
      </w:r>
      <w:r w:rsidR="00AD745A">
        <w:rPr>
          <w:rFonts w:ascii="Times New Roman" w:hAnsi="Times New Roman"/>
          <w:szCs w:val="24"/>
        </w:rPr>
        <w:t xml:space="preserve">in criminal trials, </w:t>
      </w:r>
      <w:r w:rsidRPr="00693DE6">
        <w:rPr>
          <w:rFonts w:ascii="Times New Roman" w:hAnsi="Times New Roman"/>
          <w:szCs w:val="24"/>
        </w:rPr>
        <w:t>rather than on restorative justice at the ICC.</w:t>
      </w:r>
      <w:r w:rsidRPr="00693DE6">
        <w:rPr>
          <w:rStyle w:val="FootnoteReference"/>
          <w:rFonts w:ascii="Times New Roman" w:hAnsi="Times New Roman"/>
          <w:szCs w:val="24"/>
        </w:rPr>
        <w:footnoteReference w:id="47"/>
      </w:r>
      <w:r w:rsidRPr="00693DE6">
        <w:rPr>
          <w:rFonts w:ascii="Times New Roman" w:hAnsi="Times New Roman"/>
          <w:szCs w:val="24"/>
        </w:rPr>
        <w:t xml:space="preserve"> Additionally, Strang and Sherman also hold a similar opinion</w:t>
      </w:r>
      <w:r w:rsidR="00AD745A">
        <w:rPr>
          <w:rFonts w:ascii="Times New Roman" w:hAnsi="Times New Roman"/>
          <w:szCs w:val="24"/>
        </w:rPr>
        <w:t>, empha</w:t>
      </w:r>
      <w:r w:rsidR="008841D0">
        <w:rPr>
          <w:rFonts w:ascii="Times New Roman" w:hAnsi="Times New Roman"/>
          <w:szCs w:val="24"/>
        </w:rPr>
        <w:t>si</w:t>
      </w:r>
      <w:r w:rsidR="00AD745A">
        <w:rPr>
          <w:rFonts w:ascii="Times New Roman" w:hAnsi="Times New Roman"/>
          <w:szCs w:val="24"/>
        </w:rPr>
        <w:t>sing on</w:t>
      </w:r>
      <w:r w:rsidRPr="00693DE6">
        <w:rPr>
          <w:rFonts w:ascii="Times New Roman" w:hAnsi="Times New Roman"/>
          <w:szCs w:val="24"/>
        </w:rPr>
        <w:t xml:space="preserve"> the significance of procedural fairness.</w:t>
      </w:r>
      <w:r w:rsidRPr="00693DE6">
        <w:rPr>
          <w:rStyle w:val="FootnoteReference"/>
          <w:rFonts w:ascii="Times New Roman" w:hAnsi="Times New Roman"/>
          <w:szCs w:val="24"/>
        </w:rPr>
        <w:footnoteReference w:id="48"/>
      </w:r>
    </w:p>
    <w:p w14:paraId="67E1F179" w14:textId="16A591B2" w:rsidR="0031290E" w:rsidRDefault="00F515A2" w:rsidP="00693DE6">
      <w:pPr>
        <w:spacing w:line="480" w:lineRule="auto"/>
        <w:jc w:val="both"/>
        <w:rPr>
          <w:rFonts w:ascii="Times New Roman" w:hAnsi="Times New Roman"/>
          <w:szCs w:val="24"/>
        </w:rPr>
      </w:pPr>
      <w:r w:rsidRPr="00693DE6">
        <w:rPr>
          <w:rFonts w:ascii="Times New Roman" w:hAnsi="Times New Roman"/>
          <w:szCs w:val="24"/>
        </w:rPr>
        <w:t xml:space="preserve">Hence, </w:t>
      </w:r>
      <w:r w:rsidR="006D3444">
        <w:rPr>
          <w:rFonts w:ascii="Times New Roman" w:hAnsi="Times New Roman"/>
          <w:szCs w:val="24"/>
        </w:rPr>
        <w:t>it is imperative to assess how victims are treated during criminal proceedings at the ICC from these commentators' studies</w:t>
      </w:r>
      <w:r w:rsidRPr="00693DE6">
        <w:rPr>
          <w:rFonts w:ascii="Times New Roman" w:hAnsi="Times New Roman"/>
          <w:szCs w:val="24"/>
        </w:rPr>
        <w:t xml:space="preserve">. </w:t>
      </w:r>
      <w:r w:rsidR="00140278">
        <w:rPr>
          <w:rFonts w:ascii="Times New Roman" w:hAnsi="Times New Roman"/>
          <w:szCs w:val="24"/>
        </w:rPr>
        <w:t xml:space="preserve">While a significant amount of attention in the scholarship has been given to the specific rights of </w:t>
      </w:r>
      <w:r w:rsidR="00140278" w:rsidRPr="006D4CC1">
        <w:rPr>
          <w:rFonts w:ascii="Times New Roman" w:hAnsi="Times New Roman"/>
          <w:szCs w:val="24"/>
        </w:rPr>
        <w:t>victim participation</w:t>
      </w:r>
      <w:r w:rsidR="00140278">
        <w:rPr>
          <w:rFonts w:ascii="Times New Roman" w:hAnsi="Times New Roman"/>
          <w:szCs w:val="24"/>
        </w:rPr>
        <w:t xml:space="preserve">, considerably less attention has been </w:t>
      </w:r>
      <w:r w:rsidR="006D3444">
        <w:rPr>
          <w:rFonts w:ascii="Times New Roman" w:hAnsi="Times New Roman"/>
          <w:szCs w:val="24"/>
        </w:rPr>
        <w:t>paid to</w:t>
      </w:r>
      <w:r w:rsidR="00140278">
        <w:rPr>
          <w:rFonts w:ascii="Times New Roman" w:hAnsi="Times New Roman"/>
          <w:szCs w:val="24"/>
        </w:rPr>
        <w:t xml:space="preserve"> how victims are being treated at the ICC.</w:t>
      </w:r>
      <w:r w:rsidR="00140278" w:rsidRPr="00140278">
        <w:rPr>
          <w:rFonts w:ascii="Times New Roman" w:hAnsi="Times New Roman"/>
          <w:szCs w:val="24"/>
        </w:rPr>
        <w:t xml:space="preserve"> </w:t>
      </w:r>
      <w:r w:rsidR="00140278">
        <w:rPr>
          <w:rFonts w:ascii="Times New Roman" w:hAnsi="Times New Roman"/>
          <w:szCs w:val="24"/>
        </w:rPr>
        <w:t xml:space="preserve">This </w:t>
      </w:r>
      <w:r w:rsidR="00140278" w:rsidRPr="00693DE6">
        <w:rPr>
          <w:rFonts w:ascii="Times New Roman" w:hAnsi="Times New Roman"/>
          <w:szCs w:val="24"/>
        </w:rPr>
        <w:t xml:space="preserve">study intends to </w:t>
      </w:r>
      <w:r w:rsidR="00140278">
        <w:rPr>
          <w:rFonts w:ascii="Times New Roman" w:hAnsi="Times New Roman"/>
          <w:szCs w:val="24"/>
        </w:rPr>
        <w:t>shed more light on this particular subject</w:t>
      </w:r>
      <w:r w:rsidR="00CA11A5">
        <w:rPr>
          <w:rFonts w:ascii="Times New Roman" w:hAnsi="Times New Roman"/>
          <w:szCs w:val="24"/>
        </w:rPr>
        <w:t>.</w:t>
      </w:r>
    </w:p>
    <w:p w14:paraId="61F98FEA" w14:textId="07309EC4" w:rsidR="00F515A2" w:rsidRPr="00693DE6" w:rsidRDefault="00F515A2" w:rsidP="00693DE6">
      <w:pPr>
        <w:spacing w:line="480" w:lineRule="auto"/>
        <w:jc w:val="both"/>
        <w:rPr>
          <w:rFonts w:ascii="Times New Roman" w:hAnsi="Times New Roman"/>
          <w:szCs w:val="24"/>
        </w:rPr>
      </w:pPr>
      <w:r w:rsidRPr="00693DE6">
        <w:rPr>
          <w:rFonts w:ascii="Times New Roman" w:hAnsi="Times New Roman"/>
          <w:szCs w:val="24"/>
        </w:rPr>
        <w:lastRenderedPageBreak/>
        <w:t>Having discussed that, it is essential to define the treatment of victims within th</w:t>
      </w:r>
      <w:r w:rsidR="006D3444">
        <w:rPr>
          <w:rFonts w:ascii="Times New Roman" w:hAnsi="Times New Roman"/>
          <w:szCs w:val="24"/>
        </w:rPr>
        <w:t>is research context</w:t>
      </w:r>
      <w:r w:rsidRPr="00693DE6">
        <w:rPr>
          <w:rFonts w:ascii="Times New Roman" w:hAnsi="Times New Roman"/>
          <w:szCs w:val="24"/>
        </w:rPr>
        <w:t xml:space="preserve">. According to Oxford Dictionary, treatment is defined as </w:t>
      </w:r>
      <w:r w:rsidR="00F72A5B">
        <w:rPr>
          <w:rFonts w:ascii="Times New Roman" w:hAnsi="Times New Roman"/>
          <w:szCs w:val="24"/>
        </w:rPr>
        <w:t>'</w:t>
      </w:r>
      <w:r w:rsidR="000341DB" w:rsidRPr="00693DE6">
        <w:rPr>
          <w:rFonts w:ascii="Times New Roman" w:hAnsi="Times New Roman"/>
          <w:i/>
          <w:szCs w:val="24"/>
        </w:rPr>
        <w:t>how</w:t>
      </w:r>
      <w:r w:rsidRPr="00693DE6">
        <w:rPr>
          <w:rFonts w:ascii="Times New Roman" w:hAnsi="Times New Roman"/>
          <w:i/>
          <w:szCs w:val="24"/>
        </w:rPr>
        <w:t xml:space="preserve"> someone behaves towards or deals with someone or something</w:t>
      </w:r>
      <w:r w:rsidR="00F72A5B">
        <w:rPr>
          <w:rFonts w:ascii="Times New Roman" w:hAnsi="Times New Roman"/>
          <w:szCs w:val="24"/>
        </w:rPr>
        <w:t>'</w:t>
      </w:r>
      <w:r w:rsidRPr="00693DE6">
        <w:rPr>
          <w:rStyle w:val="FootnoteReference"/>
          <w:rFonts w:ascii="Times New Roman" w:hAnsi="Times New Roman"/>
          <w:szCs w:val="24"/>
        </w:rPr>
        <w:footnoteReference w:id="49"/>
      </w:r>
      <w:r w:rsidRPr="00693DE6">
        <w:rPr>
          <w:rFonts w:ascii="Times New Roman" w:hAnsi="Times New Roman"/>
          <w:szCs w:val="24"/>
        </w:rPr>
        <w:t xml:space="preserve"> </w:t>
      </w:r>
      <w:proofErr w:type="spellStart"/>
      <w:r w:rsidRPr="00693DE6">
        <w:rPr>
          <w:rFonts w:ascii="Times New Roman" w:hAnsi="Times New Roman"/>
          <w:szCs w:val="24"/>
        </w:rPr>
        <w:t>Wemmers</w:t>
      </w:r>
      <w:proofErr w:type="spellEnd"/>
      <w:r w:rsidRPr="00693DE6">
        <w:rPr>
          <w:rFonts w:ascii="Times New Roman" w:hAnsi="Times New Roman"/>
          <w:szCs w:val="24"/>
        </w:rPr>
        <w:t xml:space="preserve"> suggests that the treatment of victims in a particular criminal justice system is highly dependent on the criminal procedure of that country.</w:t>
      </w:r>
      <w:r w:rsidRPr="00693DE6">
        <w:rPr>
          <w:rStyle w:val="FootnoteReference"/>
          <w:rFonts w:ascii="Times New Roman" w:hAnsi="Times New Roman"/>
          <w:szCs w:val="24"/>
        </w:rPr>
        <w:footnoteReference w:id="50"/>
      </w:r>
      <w:r w:rsidR="001D6B0A">
        <w:rPr>
          <w:rFonts w:ascii="Times New Roman" w:hAnsi="Times New Roman"/>
          <w:szCs w:val="24"/>
        </w:rPr>
        <w:t>At the same time,</w:t>
      </w:r>
      <w:r w:rsidRPr="00693DE6">
        <w:rPr>
          <w:rFonts w:ascii="Times New Roman" w:hAnsi="Times New Roman"/>
          <w:szCs w:val="24"/>
        </w:rPr>
        <w:t xml:space="preserve"> most civil law jurisdictions treat victims as parties with </w:t>
      </w:r>
      <w:r w:rsidR="006D3444">
        <w:rPr>
          <w:rFonts w:ascii="Times New Roman" w:hAnsi="Times New Roman"/>
          <w:szCs w:val="24"/>
        </w:rPr>
        <w:t>thei</w:t>
      </w:r>
      <w:r w:rsidRPr="00693DE6">
        <w:rPr>
          <w:rFonts w:ascii="Times New Roman" w:hAnsi="Times New Roman"/>
          <w:szCs w:val="24"/>
        </w:rPr>
        <w:t>r rights during the c</w:t>
      </w:r>
      <w:r w:rsidR="00C510BD">
        <w:rPr>
          <w:rFonts w:ascii="Times New Roman" w:hAnsi="Times New Roman"/>
          <w:szCs w:val="24"/>
        </w:rPr>
        <w:t>riminal justice procedure.</w:t>
      </w:r>
      <w:r w:rsidR="001D6B0A">
        <w:rPr>
          <w:rFonts w:ascii="Times New Roman" w:hAnsi="Times New Roman"/>
          <w:szCs w:val="24"/>
        </w:rPr>
        <w:t xml:space="preserve"> </w:t>
      </w:r>
      <w:r w:rsidR="00C510BD">
        <w:rPr>
          <w:rFonts w:ascii="Times New Roman" w:hAnsi="Times New Roman"/>
          <w:szCs w:val="24"/>
        </w:rPr>
        <w:t>C</w:t>
      </w:r>
      <w:r w:rsidRPr="00693DE6">
        <w:rPr>
          <w:rFonts w:ascii="Times New Roman" w:hAnsi="Times New Roman"/>
          <w:szCs w:val="24"/>
        </w:rPr>
        <w:t>ommon law countries do not</w:t>
      </w:r>
      <w:r w:rsidR="00C510BD">
        <w:rPr>
          <w:rFonts w:ascii="Times New Roman" w:hAnsi="Times New Roman"/>
          <w:szCs w:val="24"/>
        </w:rPr>
        <w:t xml:space="preserve"> generally</w:t>
      </w:r>
      <w:r w:rsidRPr="00693DE6">
        <w:rPr>
          <w:rFonts w:ascii="Times New Roman" w:hAnsi="Times New Roman"/>
          <w:szCs w:val="24"/>
        </w:rPr>
        <w:t xml:space="preserve"> treat victims as parties to the trial.</w:t>
      </w:r>
      <w:r w:rsidRPr="00693DE6">
        <w:rPr>
          <w:rStyle w:val="FootnoteReference"/>
          <w:rFonts w:ascii="Times New Roman" w:hAnsi="Times New Roman"/>
          <w:szCs w:val="24"/>
        </w:rPr>
        <w:footnoteReference w:id="51"/>
      </w:r>
      <w:r w:rsidR="00C510BD">
        <w:rPr>
          <w:rFonts w:ascii="Times New Roman" w:hAnsi="Times New Roman"/>
          <w:szCs w:val="24"/>
        </w:rPr>
        <w:t>Moreover</w:t>
      </w:r>
      <w:r w:rsidRPr="00693DE6">
        <w:rPr>
          <w:rFonts w:ascii="Times New Roman" w:hAnsi="Times New Roman"/>
          <w:szCs w:val="24"/>
        </w:rPr>
        <w:t xml:space="preserve">, </w:t>
      </w:r>
      <w:r w:rsidR="00C510BD">
        <w:rPr>
          <w:rFonts w:ascii="Times New Roman" w:hAnsi="Times New Roman"/>
          <w:szCs w:val="24"/>
        </w:rPr>
        <w:t>treatment during the tr</w:t>
      </w:r>
      <w:r w:rsidR="00BD0C80">
        <w:rPr>
          <w:rFonts w:ascii="Times New Roman" w:hAnsi="Times New Roman"/>
          <w:szCs w:val="24"/>
        </w:rPr>
        <w:t>ia</w:t>
      </w:r>
      <w:r w:rsidR="00C510BD">
        <w:rPr>
          <w:rFonts w:ascii="Times New Roman" w:hAnsi="Times New Roman"/>
          <w:szCs w:val="24"/>
        </w:rPr>
        <w:t xml:space="preserve">l proceedings is only one, albeit important aspect of </w:t>
      </w:r>
      <w:r w:rsidR="006D3444">
        <w:rPr>
          <w:rFonts w:ascii="Times New Roman" w:hAnsi="Times New Roman"/>
          <w:szCs w:val="24"/>
        </w:rPr>
        <w:t>victims' experience</w:t>
      </w:r>
      <w:r w:rsidR="00C510BD">
        <w:rPr>
          <w:rFonts w:ascii="Times New Roman" w:hAnsi="Times New Roman"/>
          <w:szCs w:val="24"/>
        </w:rPr>
        <w:t xml:space="preserve"> in the criminal justice system.</w:t>
      </w:r>
      <w:r w:rsidRPr="00693DE6">
        <w:rPr>
          <w:rFonts w:ascii="Times New Roman" w:hAnsi="Times New Roman"/>
          <w:szCs w:val="24"/>
        </w:rPr>
        <w:t xml:space="preserve"> </w:t>
      </w:r>
    </w:p>
    <w:p w14:paraId="3E12DF7F" w14:textId="77777777" w:rsidR="00F515A2" w:rsidRPr="00693DE6" w:rsidRDefault="00E101BD" w:rsidP="000C4174">
      <w:pPr>
        <w:pStyle w:val="Heading2"/>
      </w:pPr>
      <w:bookmarkStart w:id="5" w:name="_Toc60235784"/>
      <w:r w:rsidRPr="00693DE6">
        <w:t>1.5</w:t>
      </w:r>
      <w:r w:rsidR="005B12CD">
        <w:t xml:space="preserve">  </w:t>
      </w:r>
      <w:r w:rsidR="00F515A2" w:rsidRPr="00693DE6">
        <w:t>R</w:t>
      </w:r>
      <w:r w:rsidR="00F0096D" w:rsidRPr="00693DE6">
        <w:t>esearch Method</w:t>
      </w:r>
      <w:bookmarkEnd w:id="5"/>
    </w:p>
    <w:p w14:paraId="7514DCA8" w14:textId="77777777" w:rsidR="00F0096D" w:rsidRPr="00693DE6" w:rsidRDefault="00A17523" w:rsidP="00693DE6">
      <w:pPr>
        <w:spacing w:line="480" w:lineRule="auto"/>
        <w:jc w:val="both"/>
        <w:rPr>
          <w:rFonts w:ascii="Times New Roman" w:hAnsi="Times New Roman"/>
          <w:szCs w:val="24"/>
        </w:rPr>
      </w:pPr>
      <w:r w:rsidRPr="00693DE6">
        <w:rPr>
          <w:rFonts w:ascii="Times New Roman" w:hAnsi="Times New Roman"/>
          <w:szCs w:val="24"/>
        </w:rPr>
        <w:t xml:space="preserve">Watkins and Burton </w:t>
      </w:r>
      <w:r w:rsidR="000C4C6A">
        <w:rPr>
          <w:rFonts w:ascii="Times New Roman" w:hAnsi="Times New Roman"/>
        </w:rPr>
        <w:t xml:space="preserve">describe </w:t>
      </w:r>
      <w:r w:rsidR="0034588B">
        <w:rPr>
          <w:rFonts w:ascii="Times New Roman" w:hAnsi="Times New Roman"/>
        </w:rPr>
        <w:t xml:space="preserve">the </w:t>
      </w:r>
      <w:r w:rsidR="000C4C6A">
        <w:rPr>
          <w:rFonts w:ascii="Times New Roman" w:hAnsi="Times New Roman"/>
        </w:rPr>
        <w:t>research methodology</w:t>
      </w:r>
      <w:r w:rsidR="000C4C6A" w:rsidRPr="006D4CC1">
        <w:rPr>
          <w:rFonts w:ascii="Times New Roman" w:hAnsi="Times New Roman"/>
        </w:rPr>
        <w:t xml:space="preserve"> as the procedure a researcher takes to enhance his/her knowledge and test his/her thesis.</w:t>
      </w:r>
      <w:r w:rsidR="000C4C6A" w:rsidRPr="006D4CC1">
        <w:rPr>
          <w:rStyle w:val="FootnoteReference"/>
          <w:rFonts w:ascii="Times New Roman" w:hAnsi="Times New Roman"/>
        </w:rPr>
        <w:footnoteReference w:id="52"/>
      </w:r>
      <w:r w:rsidR="000C4C6A">
        <w:rPr>
          <w:rFonts w:ascii="Times New Roman" w:hAnsi="Times New Roman"/>
        </w:rPr>
        <w:t xml:space="preserve"> </w:t>
      </w:r>
      <w:r w:rsidR="000C4C6A" w:rsidRPr="006D4CC1">
        <w:rPr>
          <w:rFonts w:ascii="Times New Roman" w:hAnsi="Times New Roman"/>
        </w:rPr>
        <w:t xml:space="preserve">The aim of it is to </w:t>
      </w:r>
      <w:r w:rsidR="000C4C6A">
        <w:rPr>
          <w:rFonts w:ascii="Times New Roman" w:hAnsi="Times New Roman"/>
        </w:rPr>
        <w:t xml:space="preserve">attempt to </w:t>
      </w:r>
      <w:r w:rsidR="000C4C6A" w:rsidRPr="006D4CC1">
        <w:rPr>
          <w:rFonts w:ascii="Times New Roman" w:hAnsi="Times New Roman"/>
        </w:rPr>
        <w:t xml:space="preserve">answer </w:t>
      </w:r>
      <w:r w:rsidR="000C4C6A">
        <w:rPr>
          <w:rFonts w:ascii="Times New Roman" w:hAnsi="Times New Roman"/>
        </w:rPr>
        <w:t xml:space="preserve">the </w:t>
      </w:r>
      <w:r w:rsidR="000C4C6A" w:rsidRPr="006D4CC1">
        <w:rPr>
          <w:rFonts w:ascii="Times New Roman" w:hAnsi="Times New Roman"/>
        </w:rPr>
        <w:t>research question(s)</w:t>
      </w:r>
      <w:r w:rsidR="00F0096D" w:rsidRPr="00693DE6">
        <w:rPr>
          <w:rFonts w:ascii="Times New Roman" w:hAnsi="Times New Roman"/>
          <w:szCs w:val="24"/>
        </w:rPr>
        <w:t>.Watkins and Burton highlight the importance of resea</w:t>
      </w:r>
      <w:r w:rsidR="000C4C6A">
        <w:rPr>
          <w:rFonts w:ascii="Times New Roman" w:hAnsi="Times New Roman"/>
          <w:szCs w:val="24"/>
        </w:rPr>
        <w:t>rch methodology</w:t>
      </w:r>
      <w:r w:rsidR="00F0096D" w:rsidRPr="00693DE6">
        <w:rPr>
          <w:rFonts w:ascii="Times New Roman" w:hAnsi="Times New Roman"/>
          <w:szCs w:val="24"/>
        </w:rPr>
        <w:t>:</w:t>
      </w:r>
    </w:p>
    <w:p w14:paraId="3C620AD9" w14:textId="7C02BC50" w:rsidR="00F0096D" w:rsidRPr="00693DE6" w:rsidRDefault="00F72A5B" w:rsidP="00AB0136">
      <w:pPr>
        <w:spacing w:line="480" w:lineRule="auto"/>
        <w:jc w:val="center"/>
        <w:rPr>
          <w:rFonts w:ascii="Times New Roman" w:hAnsi="Times New Roman"/>
          <w:szCs w:val="24"/>
        </w:rPr>
      </w:pPr>
      <w:r>
        <w:rPr>
          <w:rFonts w:ascii="Times New Roman" w:hAnsi="Times New Roman"/>
          <w:szCs w:val="24"/>
        </w:rPr>
        <w:t>'</w:t>
      </w:r>
      <w:r w:rsidR="00F0096D" w:rsidRPr="0013199F">
        <w:rPr>
          <w:rFonts w:ascii="Times New Roman" w:hAnsi="Times New Roman"/>
          <w:szCs w:val="24"/>
        </w:rPr>
        <w:t>Every legal research project begins from a theoretical basis or bases, whether such bases are articulated or not.</w:t>
      </w:r>
      <w:r w:rsidR="00BF5D9D">
        <w:rPr>
          <w:rFonts w:ascii="Times New Roman" w:hAnsi="Times New Roman"/>
          <w:szCs w:val="24"/>
        </w:rPr>
        <w:t xml:space="preserve"> </w:t>
      </w:r>
      <w:r w:rsidR="00F0096D" w:rsidRPr="0013199F">
        <w:rPr>
          <w:rFonts w:ascii="Times New Roman" w:hAnsi="Times New Roman"/>
          <w:szCs w:val="24"/>
        </w:rPr>
        <w:t xml:space="preserve">The theoretical basis of a project will inform how </w:t>
      </w:r>
      <w:r w:rsidR="000341DB" w:rsidRPr="0013199F">
        <w:rPr>
          <w:rFonts w:ascii="Times New Roman" w:hAnsi="Times New Roman"/>
          <w:szCs w:val="24"/>
        </w:rPr>
        <w:t xml:space="preserve">the </w:t>
      </w:r>
      <w:r w:rsidR="00F0096D" w:rsidRPr="0013199F">
        <w:rPr>
          <w:rFonts w:ascii="Times New Roman" w:hAnsi="Times New Roman"/>
          <w:szCs w:val="24"/>
        </w:rPr>
        <w:t>law is conceptualised in the project, which in turn will determine what kinds of research</w:t>
      </w:r>
      <w:r w:rsidR="00F0096D" w:rsidRPr="00693DE6">
        <w:rPr>
          <w:rFonts w:ascii="Times New Roman" w:hAnsi="Times New Roman"/>
          <w:i/>
          <w:szCs w:val="24"/>
        </w:rPr>
        <w:t xml:space="preserve"> </w:t>
      </w:r>
      <w:r w:rsidR="00F0096D" w:rsidRPr="0013199F">
        <w:rPr>
          <w:rFonts w:ascii="Times New Roman" w:hAnsi="Times New Roman"/>
          <w:szCs w:val="24"/>
        </w:rPr>
        <w:lastRenderedPageBreak/>
        <w:t>questions are deemed meaningful or useful,</w:t>
      </w:r>
      <w:r w:rsidR="000341DB" w:rsidRPr="0013199F">
        <w:rPr>
          <w:rFonts w:ascii="Times New Roman" w:hAnsi="Times New Roman"/>
          <w:szCs w:val="24"/>
        </w:rPr>
        <w:t xml:space="preserve"> </w:t>
      </w:r>
      <w:r w:rsidR="00F0096D" w:rsidRPr="0013199F">
        <w:rPr>
          <w:rFonts w:ascii="Times New Roman" w:hAnsi="Times New Roman"/>
          <w:szCs w:val="24"/>
        </w:rPr>
        <w:t>what data is examined</w:t>
      </w:r>
      <w:r w:rsidR="00174D58">
        <w:rPr>
          <w:rFonts w:ascii="Times New Roman" w:hAnsi="Times New Roman"/>
          <w:szCs w:val="24"/>
        </w:rPr>
        <w:t>,</w:t>
      </w:r>
      <w:r w:rsidR="00F0096D" w:rsidRPr="0013199F">
        <w:rPr>
          <w:rFonts w:ascii="Times New Roman" w:hAnsi="Times New Roman"/>
          <w:szCs w:val="24"/>
        </w:rPr>
        <w:t xml:space="preserve"> and how it is analysed</w:t>
      </w:r>
      <w:r w:rsidR="00174D58">
        <w:rPr>
          <w:rFonts w:ascii="Times New Roman" w:hAnsi="Times New Roman"/>
          <w:szCs w:val="24"/>
        </w:rPr>
        <w:t>.</w:t>
      </w:r>
      <w:r w:rsidR="00F0096D" w:rsidRPr="0013199F">
        <w:rPr>
          <w:rFonts w:ascii="Times New Roman" w:hAnsi="Times New Roman"/>
          <w:szCs w:val="24"/>
        </w:rPr>
        <w:t>(method</w:t>
      </w:r>
      <w:r w:rsidR="00F0096D" w:rsidRPr="00693DE6">
        <w:rPr>
          <w:rFonts w:ascii="Times New Roman" w:hAnsi="Times New Roman"/>
          <w:i/>
          <w:szCs w:val="24"/>
        </w:rPr>
        <w:t>)….</w:t>
      </w:r>
      <w:r>
        <w:rPr>
          <w:rFonts w:ascii="Times New Roman" w:hAnsi="Times New Roman"/>
          <w:szCs w:val="24"/>
        </w:rPr>
        <w:t>'</w:t>
      </w:r>
      <w:r w:rsidR="00F0096D" w:rsidRPr="00693DE6">
        <w:rPr>
          <w:rStyle w:val="FootnoteReference"/>
          <w:rFonts w:ascii="Times New Roman" w:hAnsi="Times New Roman"/>
          <w:szCs w:val="24"/>
        </w:rPr>
        <w:footnoteReference w:id="53"/>
      </w:r>
    </w:p>
    <w:p w14:paraId="6A481739" w14:textId="1F29D9F0" w:rsidR="00697FAF" w:rsidRDefault="00F0096D" w:rsidP="0004351F">
      <w:pPr>
        <w:spacing w:line="480" w:lineRule="auto"/>
        <w:jc w:val="both"/>
        <w:rPr>
          <w:rFonts w:ascii="Times New Roman" w:hAnsi="Times New Roman"/>
        </w:rPr>
      </w:pPr>
      <w:r w:rsidRPr="00693DE6">
        <w:rPr>
          <w:rFonts w:ascii="Times New Roman" w:hAnsi="Times New Roman"/>
          <w:szCs w:val="24"/>
        </w:rPr>
        <w:t xml:space="preserve">The methodological approach taken in this study is </w:t>
      </w:r>
      <w:r w:rsidR="0004351F">
        <w:rPr>
          <w:rFonts w:ascii="Times New Roman" w:hAnsi="Times New Roman"/>
          <w:szCs w:val="24"/>
        </w:rPr>
        <w:t>purely qualitative.</w:t>
      </w:r>
      <w:r w:rsidR="0004351F" w:rsidRPr="0004351F">
        <w:rPr>
          <w:rFonts w:ascii="Times New Roman" w:hAnsi="Times New Roman"/>
        </w:rPr>
        <w:t xml:space="preserve"> </w:t>
      </w:r>
      <w:r w:rsidR="0004351F">
        <w:rPr>
          <w:rFonts w:ascii="Times New Roman" w:hAnsi="Times New Roman"/>
        </w:rPr>
        <w:t xml:space="preserve">The research undertakes a qualitative, thematic analysis of the trial transcripts of two ICC cases, namely, </w:t>
      </w:r>
      <w:r w:rsidR="0004351F" w:rsidRPr="004126AB">
        <w:rPr>
          <w:rFonts w:ascii="Times New Roman" w:hAnsi="Times New Roman"/>
          <w:i/>
        </w:rPr>
        <w:t>Lubanga</w:t>
      </w:r>
      <w:r w:rsidR="0004351F">
        <w:rPr>
          <w:rFonts w:ascii="Times New Roman" w:hAnsi="Times New Roman"/>
        </w:rPr>
        <w:t xml:space="preserve"> and </w:t>
      </w:r>
      <w:r w:rsidR="0004351F" w:rsidRPr="004126AB">
        <w:rPr>
          <w:rFonts w:ascii="Times New Roman" w:hAnsi="Times New Roman"/>
          <w:i/>
        </w:rPr>
        <w:t>Katanga</w:t>
      </w:r>
      <w:r w:rsidR="0004351F">
        <w:rPr>
          <w:rFonts w:ascii="Times New Roman" w:hAnsi="Times New Roman"/>
        </w:rPr>
        <w:t xml:space="preserve">. </w:t>
      </w:r>
      <w:r w:rsidR="007D249B">
        <w:rPr>
          <w:rFonts w:ascii="Times New Roman" w:hAnsi="Times New Roman"/>
        </w:rPr>
        <w:t xml:space="preserve">Transcript analysis </w:t>
      </w:r>
      <w:r w:rsidR="0052467C">
        <w:rPr>
          <w:rFonts w:ascii="Times New Roman" w:hAnsi="Times New Roman"/>
        </w:rPr>
        <w:t>is a verbatim record of victims</w:t>
      </w:r>
      <w:r w:rsidR="00174D58">
        <w:rPr>
          <w:rFonts w:ascii="Times New Roman" w:hAnsi="Times New Roman"/>
        </w:rPr>
        <w:t>'</w:t>
      </w:r>
      <w:r w:rsidR="0052467C">
        <w:rPr>
          <w:rFonts w:ascii="Times New Roman" w:hAnsi="Times New Roman"/>
        </w:rPr>
        <w:t xml:space="preserve"> verbal expressions during </w:t>
      </w:r>
      <w:r w:rsidR="00645F1A">
        <w:rPr>
          <w:rFonts w:ascii="Times New Roman" w:hAnsi="Times New Roman"/>
        </w:rPr>
        <w:t xml:space="preserve">the </w:t>
      </w:r>
      <w:r w:rsidR="0052467C">
        <w:rPr>
          <w:rFonts w:ascii="Times New Roman" w:hAnsi="Times New Roman"/>
        </w:rPr>
        <w:t>trial</w:t>
      </w:r>
      <w:r w:rsidR="00645F1A">
        <w:rPr>
          <w:rFonts w:ascii="Times New Roman" w:hAnsi="Times New Roman"/>
        </w:rPr>
        <w:t>.</w:t>
      </w:r>
      <w:r w:rsidR="0052467C">
        <w:rPr>
          <w:rFonts w:ascii="Times New Roman" w:hAnsi="Times New Roman"/>
        </w:rPr>
        <w:t xml:space="preserve"> </w:t>
      </w:r>
      <w:r w:rsidR="0004351F">
        <w:rPr>
          <w:rFonts w:ascii="Times New Roman" w:hAnsi="Times New Roman"/>
        </w:rPr>
        <w:t>In this sense, th</w:t>
      </w:r>
      <w:r w:rsidR="00174D58">
        <w:rPr>
          <w:rFonts w:ascii="Times New Roman" w:hAnsi="Times New Roman"/>
        </w:rPr>
        <w:t>is research's analysis and findings aim to complement other studies in the area, which have relied on other primary sources, such as statutes, court judgments,</w:t>
      </w:r>
      <w:r w:rsidR="0004351F">
        <w:rPr>
          <w:rFonts w:ascii="Times New Roman" w:hAnsi="Times New Roman"/>
        </w:rPr>
        <w:t xml:space="preserve"> and empirical methods such as interviews and surveys.</w:t>
      </w:r>
      <w:r w:rsidR="00BD70FB">
        <w:rPr>
          <w:rFonts w:ascii="Times New Roman" w:hAnsi="Times New Roman"/>
        </w:rPr>
        <w:t xml:space="preserve"> </w:t>
      </w:r>
      <w:r w:rsidR="005F4A0C">
        <w:rPr>
          <w:rFonts w:ascii="Times New Roman" w:hAnsi="Times New Roman"/>
        </w:rPr>
        <w:t xml:space="preserve">Transcript analysis </w:t>
      </w:r>
      <w:r w:rsidR="00034B5B">
        <w:rPr>
          <w:rFonts w:ascii="Times New Roman" w:hAnsi="Times New Roman"/>
        </w:rPr>
        <w:t xml:space="preserve">is not </w:t>
      </w:r>
      <w:r w:rsidR="006D3444">
        <w:rPr>
          <w:rFonts w:ascii="Times New Roman" w:hAnsi="Times New Roman"/>
        </w:rPr>
        <w:t xml:space="preserve">often used as a data source for </w:t>
      </w:r>
      <w:r w:rsidR="00474352">
        <w:rPr>
          <w:rFonts w:ascii="Times New Roman" w:hAnsi="Times New Roman"/>
        </w:rPr>
        <w:t xml:space="preserve">the </w:t>
      </w:r>
      <w:r w:rsidR="006D3444">
        <w:rPr>
          <w:rFonts w:ascii="Times New Roman" w:hAnsi="Times New Roman"/>
        </w:rPr>
        <w:t>thesis.</w:t>
      </w:r>
      <w:r w:rsidR="0004351F">
        <w:rPr>
          <w:rFonts w:ascii="Times New Roman" w:hAnsi="Times New Roman"/>
        </w:rPr>
        <w:t xml:space="preserve"> In undertaking this research, </w:t>
      </w:r>
      <w:r w:rsidR="00474352">
        <w:rPr>
          <w:rFonts w:ascii="Times New Roman" w:hAnsi="Times New Roman"/>
        </w:rPr>
        <w:t>the researcher</w:t>
      </w:r>
      <w:r w:rsidR="0004351F">
        <w:rPr>
          <w:rFonts w:ascii="Times New Roman" w:hAnsi="Times New Roman"/>
        </w:rPr>
        <w:t xml:space="preserve"> read and analysed approximately </w:t>
      </w:r>
      <w:r w:rsidR="00347507">
        <w:rPr>
          <w:rFonts w:ascii="Times New Roman" w:hAnsi="Times New Roman"/>
        </w:rPr>
        <w:t xml:space="preserve">70 </w:t>
      </w:r>
      <w:r w:rsidR="0004351F">
        <w:rPr>
          <w:rFonts w:ascii="Times New Roman" w:hAnsi="Times New Roman"/>
        </w:rPr>
        <w:t>case transcripts from Lubanga and 80 case transcripts from Katanga</w:t>
      </w:r>
      <w:r w:rsidR="00BB2978">
        <w:rPr>
          <w:rFonts w:ascii="Times New Roman" w:hAnsi="Times New Roman"/>
        </w:rPr>
        <w:t xml:space="preserve">, </w:t>
      </w:r>
      <w:r w:rsidR="006D3444">
        <w:rPr>
          <w:rFonts w:ascii="Times New Roman" w:hAnsi="Times New Roman"/>
        </w:rPr>
        <w:t>focusing</w:t>
      </w:r>
      <w:r w:rsidR="0004351F" w:rsidRPr="006D4CC1">
        <w:rPr>
          <w:rFonts w:ascii="Times New Roman" w:hAnsi="Times New Roman"/>
        </w:rPr>
        <w:t xml:space="preserve"> </w:t>
      </w:r>
      <w:r w:rsidR="00BB2978">
        <w:rPr>
          <w:rFonts w:ascii="Times New Roman" w:hAnsi="Times New Roman"/>
        </w:rPr>
        <w:t>primari</w:t>
      </w:r>
      <w:r w:rsidR="0004351F" w:rsidRPr="006D4CC1">
        <w:rPr>
          <w:rFonts w:ascii="Times New Roman" w:hAnsi="Times New Roman"/>
        </w:rPr>
        <w:t>ly on the</w:t>
      </w:r>
      <w:r w:rsidR="000D1FD4">
        <w:rPr>
          <w:rFonts w:ascii="Times New Roman" w:hAnsi="Times New Roman"/>
        </w:rPr>
        <w:t xml:space="preserve"> submissions of victims,</w:t>
      </w:r>
      <w:r w:rsidR="00A31BA3">
        <w:rPr>
          <w:rFonts w:ascii="Times New Roman" w:hAnsi="Times New Roman"/>
        </w:rPr>
        <w:t xml:space="preserve"> prosecutor, defendants, and judges</w:t>
      </w:r>
      <w:r w:rsidR="0004351F" w:rsidRPr="006D4CC1">
        <w:rPr>
          <w:rFonts w:ascii="Times New Roman" w:hAnsi="Times New Roman"/>
        </w:rPr>
        <w:t>.</w:t>
      </w:r>
    </w:p>
    <w:p w14:paraId="77987B2F" w14:textId="20327B5C" w:rsidR="00EE2EC9" w:rsidRDefault="00954638" w:rsidP="0004351F">
      <w:pPr>
        <w:spacing w:line="480" w:lineRule="auto"/>
        <w:jc w:val="both"/>
        <w:rPr>
          <w:rFonts w:ascii="Times New Roman" w:hAnsi="Times New Roman"/>
        </w:rPr>
      </w:pPr>
      <w:r>
        <w:rPr>
          <w:rFonts w:ascii="Times New Roman" w:hAnsi="Times New Roman"/>
        </w:rPr>
        <w:t xml:space="preserve">The researcher </w:t>
      </w:r>
      <w:r w:rsidR="00431397">
        <w:rPr>
          <w:rFonts w:ascii="Times New Roman" w:hAnsi="Times New Roman"/>
        </w:rPr>
        <w:t xml:space="preserve">chose these two cases because </w:t>
      </w:r>
      <w:r w:rsidR="007E01F2">
        <w:rPr>
          <w:rFonts w:ascii="Times New Roman" w:hAnsi="Times New Roman"/>
        </w:rPr>
        <w:t xml:space="preserve">they </w:t>
      </w:r>
      <w:r w:rsidR="00DA2B0A">
        <w:rPr>
          <w:rFonts w:ascii="Times New Roman" w:hAnsi="Times New Roman"/>
        </w:rPr>
        <w:t>were the two completed cases at the ICC</w:t>
      </w:r>
      <w:r>
        <w:rPr>
          <w:rFonts w:ascii="Times New Roman" w:hAnsi="Times New Roman"/>
        </w:rPr>
        <w:t>,</w:t>
      </w:r>
      <w:r w:rsidR="00DA2B0A">
        <w:rPr>
          <w:rFonts w:ascii="Times New Roman" w:hAnsi="Times New Roman"/>
        </w:rPr>
        <w:t xml:space="preserve"> which </w:t>
      </w:r>
      <w:r w:rsidR="007E01F2">
        <w:rPr>
          <w:rFonts w:ascii="Times New Roman" w:hAnsi="Times New Roman"/>
        </w:rPr>
        <w:t>address the development of</w:t>
      </w:r>
      <w:r w:rsidR="00354DC8">
        <w:rPr>
          <w:rFonts w:ascii="Times New Roman" w:hAnsi="Times New Roman"/>
        </w:rPr>
        <w:t xml:space="preserve"> victims</w:t>
      </w:r>
      <w:r w:rsidR="00F72A5B">
        <w:rPr>
          <w:rFonts w:ascii="Times New Roman" w:hAnsi="Times New Roman"/>
        </w:rPr>
        <w:t>'</w:t>
      </w:r>
      <w:r w:rsidR="00354DC8">
        <w:rPr>
          <w:rFonts w:ascii="Times New Roman" w:hAnsi="Times New Roman"/>
        </w:rPr>
        <w:t xml:space="preserve"> rights and interests in </w:t>
      </w:r>
      <w:r w:rsidR="006D3444">
        <w:rPr>
          <w:rFonts w:ascii="Times New Roman" w:hAnsi="Times New Roman"/>
        </w:rPr>
        <w:t>ICC's jurisprudence</w:t>
      </w:r>
      <w:r w:rsidR="007E01F2">
        <w:rPr>
          <w:rFonts w:ascii="Times New Roman" w:hAnsi="Times New Roman"/>
        </w:rPr>
        <w:t>.</w:t>
      </w:r>
      <w:r w:rsidR="00571E76">
        <w:rPr>
          <w:rFonts w:ascii="Times New Roman" w:hAnsi="Times New Roman"/>
        </w:rPr>
        <w:t xml:space="preserve"> </w:t>
      </w:r>
      <w:r w:rsidR="00343DD8">
        <w:rPr>
          <w:rFonts w:ascii="Times New Roman" w:hAnsi="Times New Roman"/>
        </w:rPr>
        <w:t xml:space="preserve">They </w:t>
      </w:r>
      <w:r w:rsidR="00DE16B9">
        <w:rPr>
          <w:rFonts w:ascii="Times New Roman" w:hAnsi="Times New Roman"/>
        </w:rPr>
        <w:t>also explore issues within the same context</w:t>
      </w:r>
      <w:r w:rsidR="00707A15">
        <w:rPr>
          <w:rFonts w:ascii="Times New Roman" w:hAnsi="Times New Roman"/>
        </w:rPr>
        <w:t>(DRC)</w:t>
      </w:r>
      <w:r w:rsidR="00DE16B9">
        <w:rPr>
          <w:rFonts w:ascii="Times New Roman" w:hAnsi="Times New Roman"/>
        </w:rPr>
        <w:t>.</w:t>
      </w:r>
      <w:r w:rsidR="00FE7453">
        <w:rPr>
          <w:rFonts w:ascii="Times New Roman" w:hAnsi="Times New Roman"/>
        </w:rPr>
        <w:t xml:space="preserve"> </w:t>
      </w:r>
      <w:r w:rsidR="0067606D">
        <w:rPr>
          <w:rFonts w:ascii="Times New Roman" w:hAnsi="Times New Roman"/>
        </w:rPr>
        <w:t>However,</w:t>
      </w:r>
      <w:r w:rsidR="00FE7453">
        <w:rPr>
          <w:rFonts w:ascii="Times New Roman" w:hAnsi="Times New Roman"/>
        </w:rPr>
        <w:t xml:space="preserve"> there were</w:t>
      </w:r>
      <w:r w:rsidR="00354DC8">
        <w:rPr>
          <w:rFonts w:ascii="Times New Roman" w:hAnsi="Times New Roman"/>
        </w:rPr>
        <w:t xml:space="preserve"> decided</w:t>
      </w:r>
      <w:r w:rsidR="00FE7453">
        <w:rPr>
          <w:rFonts w:ascii="Times New Roman" w:hAnsi="Times New Roman"/>
        </w:rPr>
        <w:t xml:space="preserve"> cases of </w:t>
      </w:r>
      <w:r w:rsidR="00FE7453" w:rsidRPr="00FE7453">
        <w:rPr>
          <w:rFonts w:ascii="Times New Roman" w:hAnsi="Times New Roman"/>
          <w:i/>
          <w:iCs/>
        </w:rPr>
        <w:t>Al-Mahdi</w:t>
      </w:r>
      <w:r w:rsidR="00EE2EC9">
        <w:rPr>
          <w:rStyle w:val="FootnoteReference"/>
          <w:rFonts w:ascii="Times New Roman" w:hAnsi="Times New Roman"/>
          <w:i/>
          <w:iCs/>
        </w:rPr>
        <w:footnoteReference w:id="54"/>
      </w:r>
      <w:r w:rsidR="00FE7453">
        <w:rPr>
          <w:rFonts w:ascii="Times New Roman" w:hAnsi="Times New Roman"/>
        </w:rPr>
        <w:t xml:space="preserve"> and </w:t>
      </w:r>
      <w:r w:rsidR="00FE7453" w:rsidRPr="00FE7453">
        <w:rPr>
          <w:rFonts w:ascii="Times New Roman" w:hAnsi="Times New Roman"/>
          <w:i/>
          <w:iCs/>
        </w:rPr>
        <w:t>Bemba</w:t>
      </w:r>
      <w:r w:rsidR="0067606D">
        <w:rPr>
          <w:rFonts w:ascii="Times New Roman" w:hAnsi="Times New Roman"/>
          <w:i/>
          <w:iCs/>
        </w:rPr>
        <w:t>.</w:t>
      </w:r>
      <w:r w:rsidR="00FE7453">
        <w:rPr>
          <w:rStyle w:val="FootnoteReference"/>
          <w:rFonts w:ascii="Times New Roman" w:hAnsi="Times New Roman"/>
          <w:i/>
          <w:iCs/>
        </w:rPr>
        <w:footnoteReference w:id="55"/>
      </w:r>
      <w:r w:rsidR="00FE7453">
        <w:rPr>
          <w:rFonts w:ascii="Times New Roman" w:hAnsi="Times New Roman"/>
        </w:rPr>
        <w:t xml:space="preserve"> </w:t>
      </w:r>
      <w:r w:rsidR="00EE2EC9">
        <w:rPr>
          <w:rFonts w:ascii="Times New Roman" w:hAnsi="Times New Roman"/>
        </w:rPr>
        <w:t>In t</w:t>
      </w:r>
      <w:r w:rsidR="00354DC8">
        <w:rPr>
          <w:rFonts w:ascii="Times New Roman" w:hAnsi="Times New Roman"/>
        </w:rPr>
        <w:t xml:space="preserve">he </w:t>
      </w:r>
      <w:r w:rsidR="00354DC8" w:rsidRPr="00354DC8">
        <w:rPr>
          <w:rFonts w:ascii="Times New Roman" w:hAnsi="Times New Roman"/>
          <w:i/>
          <w:iCs/>
        </w:rPr>
        <w:t>Al</w:t>
      </w:r>
      <w:r w:rsidR="00354DC8">
        <w:rPr>
          <w:rFonts w:ascii="Times New Roman" w:hAnsi="Times New Roman"/>
          <w:i/>
          <w:iCs/>
        </w:rPr>
        <w:t>-</w:t>
      </w:r>
      <w:proofErr w:type="spellStart"/>
      <w:r w:rsidR="00354DC8" w:rsidRPr="00354DC8">
        <w:rPr>
          <w:rFonts w:ascii="Times New Roman" w:hAnsi="Times New Roman"/>
          <w:i/>
          <w:iCs/>
        </w:rPr>
        <w:t>Madhi</w:t>
      </w:r>
      <w:proofErr w:type="spellEnd"/>
      <w:r w:rsidR="00354DC8">
        <w:rPr>
          <w:rFonts w:ascii="Times New Roman" w:hAnsi="Times New Roman"/>
        </w:rPr>
        <w:t xml:space="preserve"> case</w:t>
      </w:r>
      <w:r w:rsidR="00EE2EC9">
        <w:rPr>
          <w:rFonts w:ascii="Times New Roman" w:hAnsi="Times New Roman"/>
        </w:rPr>
        <w:t>, the accused was charged with, convicted</w:t>
      </w:r>
      <w:r w:rsidR="0067606D">
        <w:rPr>
          <w:rFonts w:ascii="Times New Roman" w:hAnsi="Times New Roman"/>
        </w:rPr>
        <w:t>,</w:t>
      </w:r>
      <w:r w:rsidR="00EE2EC9">
        <w:rPr>
          <w:rFonts w:ascii="Times New Roman" w:hAnsi="Times New Roman"/>
        </w:rPr>
        <w:t xml:space="preserve"> and sentenced for the destruction of cultural world heritage in </w:t>
      </w:r>
      <w:r w:rsidR="00EE2EC9">
        <w:rPr>
          <w:rFonts w:ascii="Times New Roman" w:hAnsi="Times New Roman"/>
        </w:rPr>
        <w:lastRenderedPageBreak/>
        <w:t>Timbuktu Malia.</w:t>
      </w:r>
      <w:r w:rsidR="00EE2EC9">
        <w:rPr>
          <w:rStyle w:val="FootnoteReference"/>
          <w:rFonts w:ascii="Times New Roman" w:hAnsi="Times New Roman"/>
        </w:rPr>
        <w:footnoteReference w:id="56"/>
      </w:r>
      <w:r w:rsidR="00EE2EC9">
        <w:rPr>
          <w:rFonts w:ascii="Times New Roman" w:hAnsi="Times New Roman"/>
        </w:rPr>
        <w:t xml:space="preserve">The only charge in the </w:t>
      </w:r>
      <w:r w:rsidR="00EE2EC9" w:rsidRPr="00032B24">
        <w:rPr>
          <w:rFonts w:ascii="Times New Roman" w:hAnsi="Times New Roman"/>
          <w:i/>
          <w:iCs/>
        </w:rPr>
        <w:t>Al</w:t>
      </w:r>
      <w:r w:rsidR="00032B24" w:rsidRPr="00032B24">
        <w:rPr>
          <w:rFonts w:ascii="Times New Roman" w:hAnsi="Times New Roman"/>
          <w:i/>
          <w:iCs/>
        </w:rPr>
        <w:t>-</w:t>
      </w:r>
      <w:proofErr w:type="spellStart"/>
      <w:r w:rsidR="00EE2EC9" w:rsidRPr="00032B24">
        <w:rPr>
          <w:rFonts w:ascii="Times New Roman" w:hAnsi="Times New Roman"/>
          <w:i/>
          <w:iCs/>
        </w:rPr>
        <w:t>Madhi</w:t>
      </w:r>
      <w:proofErr w:type="spellEnd"/>
      <w:r w:rsidR="00EE2EC9">
        <w:rPr>
          <w:rFonts w:ascii="Times New Roman" w:hAnsi="Times New Roman"/>
        </w:rPr>
        <w:t xml:space="preserve"> case was the destruction of cultural heritage.</w:t>
      </w:r>
      <w:r w:rsidR="00EE2EC9">
        <w:rPr>
          <w:rStyle w:val="FootnoteReference"/>
          <w:rFonts w:ascii="Times New Roman" w:hAnsi="Times New Roman"/>
        </w:rPr>
        <w:footnoteReference w:id="57"/>
      </w:r>
      <w:r w:rsidR="00EE2EC9">
        <w:rPr>
          <w:rFonts w:ascii="Times New Roman" w:hAnsi="Times New Roman"/>
        </w:rPr>
        <w:t xml:space="preserve"> The researcher could not use the </w:t>
      </w:r>
      <w:r w:rsidR="00EE2EC9" w:rsidRPr="00032B24">
        <w:rPr>
          <w:rFonts w:ascii="Times New Roman" w:hAnsi="Times New Roman"/>
          <w:i/>
          <w:iCs/>
        </w:rPr>
        <w:t>A</w:t>
      </w:r>
      <w:r w:rsidR="00032B24" w:rsidRPr="00032B24">
        <w:rPr>
          <w:rFonts w:ascii="Times New Roman" w:hAnsi="Times New Roman"/>
          <w:i/>
          <w:iCs/>
        </w:rPr>
        <w:t>l-</w:t>
      </w:r>
      <w:proofErr w:type="spellStart"/>
      <w:r w:rsidR="00EE2EC9" w:rsidRPr="00032B24">
        <w:rPr>
          <w:rFonts w:ascii="Times New Roman" w:hAnsi="Times New Roman"/>
          <w:i/>
          <w:iCs/>
        </w:rPr>
        <w:t>Madhi</w:t>
      </w:r>
      <w:proofErr w:type="spellEnd"/>
      <w:r w:rsidR="00EE2EC9">
        <w:rPr>
          <w:rFonts w:ascii="Times New Roman" w:hAnsi="Times New Roman"/>
        </w:rPr>
        <w:t xml:space="preserve"> </w:t>
      </w:r>
      <w:r w:rsidR="00032B24">
        <w:rPr>
          <w:rFonts w:ascii="Times New Roman" w:hAnsi="Times New Roman"/>
        </w:rPr>
        <w:t>c</w:t>
      </w:r>
      <w:r w:rsidR="00EE2EC9">
        <w:rPr>
          <w:rFonts w:ascii="Times New Roman" w:hAnsi="Times New Roman"/>
        </w:rPr>
        <w:t>ase because the one-count charge against the convicted person was crimes against property.</w:t>
      </w:r>
      <w:r w:rsidR="00354DC8">
        <w:rPr>
          <w:rFonts w:ascii="Times New Roman" w:hAnsi="Times New Roman"/>
        </w:rPr>
        <w:t xml:space="preserve"> </w:t>
      </w:r>
      <w:r w:rsidR="00EE2EC9">
        <w:rPr>
          <w:rFonts w:ascii="Times New Roman" w:hAnsi="Times New Roman"/>
        </w:rPr>
        <w:t>The Bemba</w:t>
      </w:r>
      <w:r w:rsidR="00F72A5B">
        <w:rPr>
          <w:rFonts w:ascii="Times New Roman" w:hAnsi="Times New Roman"/>
        </w:rPr>
        <w:t>'</w:t>
      </w:r>
      <w:r w:rsidR="00EE2EC9">
        <w:rPr>
          <w:rFonts w:ascii="Times New Roman" w:hAnsi="Times New Roman"/>
        </w:rPr>
        <w:t xml:space="preserve">s trial is not also suitable for this thesis because </w:t>
      </w:r>
      <w:r w:rsidR="00FE7453">
        <w:rPr>
          <w:rFonts w:ascii="Times New Roman" w:hAnsi="Times New Roman"/>
        </w:rPr>
        <w:t xml:space="preserve">the Appeals Chamber acquitted the accused from the charges of war crimes and crimes against humanity. </w:t>
      </w:r>
    </w:p>
    <w:p w14:paraId="1846FD61" w14:textId="7C60522F" w:rsidR="0004351F" w:rsidRDefault="0004351F" w:rsidP="0004351F">
      <w:pPr>
        <w:spacing w:line="480" w:lineRule="auto"/>
        <w:jc w:val="both"/>
        <w:rPr>
          <w:rFonts w:ascii="Times New Roman" w:hAnsi="Times New Roman"/>
        </w:rPr>
      </w:pPr>
      <w:r w:rsidRPr="006D4CC1">
        <w:rPr>
          <w:rFonts w:ascii="Times New Roman" w:hAnsi="Times New Roman"/>
        </w:rPr>
        <w:t>For purposes of this</w:t>
      </w:r>
      <w:r w:rsidR="00C96DD4">
        <w:rPr>
          <w:rFonts w:ascii="Times New Roman" w:hAnsi="Times New Roman"/>
        </w:rPr>
        <w:t xml:space="preserve"> research</w:t>
      </w:r>
      <w:r w:rsidR="00954638">
        <w:rPr>
          <w:rFonts w:ascii="Times New Roman" w:hAnsi="Times New Roman"/>
        </w:rPr>
        <w:t xml:space="preserve">, the researcher reviewed the </w:t>
      </w:r>
      <w:r w:rsidRPr="006D4CC1">
        <w:rPr>
          <w:rFonts w:ascii="Times New Roman" w:hAnsi="Times New Roman"/>
        </w:rPr>
        <w:t>pre-trial, trial</w:t>
      </w:r>
      <w:r w:rsidR="00556811">
        <w:rPr>
          <w:rFonts w:ascii="Times New Roman" w:hAnsi="Times New Roman"/>
        </w:rPr>
        <w:t>,</w:t>
      </w:r>
      <w:r w:rsidRPr="006D4CC1">
        <w:rPr>
          <w:rFonts w:ascii="Times New Roman" w:hAnsi="Times New Roman"/>
        </w:rPr>
        <w:t xml:space="preserve"> and appeal transcripts for the </w:t>
      </w:r>
      <w:r w:rsidRPr="006D4CC1">
        <w:rPr>
          <w:rFonts w:ascii="Times New Roman" w:hAnsi="Times New Roman"/>
          <w:i/>
        </w:rPr>
        <w:t>Lubanga</w:t>
      </w:r>
      <w:r w:rsidRPr="006D4CC1">
        <w:rPr>
          <w:rFonts w:ascii="Times New Roman" w:hAnsi="Times New Roman"/>
        </w:rPr>
        <w:t xml:space="preserve"> case </w:t>
      </w:r>
      <w:r w:rsidR="00954638">
        <w:rPr>
          <w:rFonts w:ascii="Times New Roman" w:hAnsi="Times New Roman"/>
        </w:rPr>
        <w:t xml:space="preserve">and </w:t>
      </w:r>
      <w:r w:rsidR="00954638" w:rsidRPr="00954638">
        <w:rPr>
          <w:rFonts w:ascii="Times New Roman" w:hAnsi="Times New Roman"/>
          <w:i/>
          <w:iCs/>
        </w:rPr>
        <w:t>Katanga</w:t>
      </w:r>
      <w:r w:rsidR="00954638">
        <w:rPr>
          <w:rFonts w:ascii="Times New Roman" w:hAnsi="Times New Roman"/>
        </w:rPr>
        <w:t xml:space="preserve"> case.</w:t>
      </w:r>
      <w:r>
        <w:rPr>
          <w:rFonts w:ascii="Times New Roman" w:hAnsi="Times New Roman"/>
        </w:rPr>
        <w:t xml:space="preserve"> </w:t>
      </w:r>
      <w:r w:rsidRPr="006D4CC1">
        <w:rPr>
          <w:rFonts w:ascii="Times New Roman" w:hAnsi="Times New Roman"/>
        </w:rPr>
        <w:t>Each transcript ranged from 32 pages to 650 pages</w:t>
      </w:r>
      <w:r w:rsidR="00954638">
        <w:rPr>
          <w:rFonts w:ascii="Times New Roman" w:hAnsi="Times New Roman"/>
        </w:rPr>
        <w:t>;</w:t>
      </w:r>
      <w:r w:rsidRPr="006D4CC1">
        <w:rPr>
          <w:rFonts w:ascii="Times New Roman" w:hAnsi="Times New Roman"/>
        </w:rPr>
        <w:t xml:space="preserve"> </w:t>
      </w:r>
      <w:r w:rsidR="00954638">
        <w:rPr>
          <w:rFonts w:ascii="Times New Roman" w:hAnsi="Times New Roman"/>
        </w:rPr>
        <w:t>t</w:t>
      </w:r>
      <w:r w:rsidRPr="006D4CC1">
        <w:rPr>
          <w:rFonts w:ascii="Times New Roman" w:hAnsi="Times New Roman"/>
        </w:rPr>
        <w:t>he</w:t>
      </w:r>
      <w:r w:rsidR="00954638">
        <w:rPr>
          <w:rFonts w:ascii="Times New Roman" w:hAnsi="Times New Roman"/>
        </w:rPr>
        <w:t xml:space="preserve"> researcher read </w:t>
      </w:r>
      <w:r w:rsidRPr="006D4CC1">
        <w:rPr>
          <w:rFonts w:ascii="Times New Roman" w:hAnsi="Times New Roman"/>
        </w:rPr>
        <w:t>focusing on submissions relating to victims</w:t>
      </w:r>
      <w:r w:rsidR="00954638">
        <w:rPr>
          <w:rFonts w:ascii="Times New Roman" w:hAnsi="Times New Roman"/>
        </w:rPr>
        <w:t>, prosecutor, defendants</w:t>
      </w:r>
      <w:r w:rsidR="00556811">
        <w:rPr>
          <w:rFonts w:ascii="Times New Roman" w:hAnsi="Times New Roman"/>
        </w:rPr>
        <w:t>,</w:t>
      </w:r>
      <w:r w:rsidR="00954638">
        <w:rPr>
          <w:rFonts w:ascii="Times New Roman" w:hAnsi="Times New Roman"/>
        </w:rPr>
        <w:t xml:space="preserve"> and judges.</w:t>
      </w:r>
      <w:r w:rsidRPr="006D4CC1">
        <w:rPr>
          <w:rFonts w:ascii="Times New Roman" w:hAnsi="Times New Roman"/>
        </w:rPr>
        <w:t xml:space="preserve"> </w:t>
      </w:r>
      <w:r w:rsidR="00954638">
        <w:rPr>
          <w:rFonts w:ascii="Times New Roman" w:hAnsi="Times New Roman"/>
        </w:rPr>
        <w:t xml:space="preserve">She </w:t>
      </w:r>
      <w:r w:rsidRPr="006D4CC1">
        <w:rPr>
          <w:rFonts w:ascii="Times New Roman" w:hAnsi="Times New Roman"/>
        </w:rPr>
        <w:t>identified themes, patterns</w:t>
      </w:r>
      <w:r w:rsidR="00556811">
        <w:rPr>
          <w:rFonts w:ascii="Times New Roman" w:hAnsi="Times New Roman"/>
        </w:rPr>
        <w:t>,</w:t>
      </w:r>
      <w:r w:rsidRPr="006D4CC1">
        <w:rPr>
          <w:rFonts w:ascii="Times New Roman" w:hAnsi="Times New Roman"/>
        </w:rPr>
        <w:t xml:space="preserve"> and relationships via words and phase repetitions emerging from these submissions. Eventually, </w:t>
      </w:r>
      <w:r w:rsidR="00954638">
        <w:rPr>
          <w:rFonts w:ascii="Times New Roman" w:hAnsi="Times New Roman"/>
        </w:rPr>
        <w:t xml:space="preserve">the researcher </w:t>
      </w:r>
      <w:r w:rsidRPr="006D4CC1">
        <w:rPr>
          <w:rFonts w:ascii="Times New Roman" w:hAnsi="Times New Roman"/>
        </w:rPr>
        <w:t xml:space="preserve">narrowed down the various submissions </w:t>
      </w:r>
      <w:r>
        <w:rPr>
          <w:rFonts w:ascii="Times New Roman" w:hAnsi="Times New Roman"/>
        </w:rPr>
        <w:t xml:space="preserve">and decided to organise </w:t>
      </w:r>
      <w:r w:rsidR="00EA5EDA">
        <w:rPr>
          <w:rFonts w:ascii="Times New Roman" w:hAnsi="Times New Roman"/>
        </w:rPr>
        <w:t>them</w:t>
      </w:r>
      <w:r w:rsidR="00954638">
        <w:rPr>
          <w:rFonts w:ascii="Times New Roman" w:hAnsi="Times New Roman"/>
        </w:rPr>
        <w:t xml:space="preserve"> into</w:t>
      </w:r>
      <w:r>
        <w:rPr>
          <w:rFonts w:ascii="Times New Roman" w:hAnsi="Times New Roman"/>
        </w:rPr>
        <w:t xml:space="preserve"> </w:t>
      </w:r>
      <w:r w:rsidRPr="006D4CC1">
        <w:rPr>
          <w:rFonts w:ascii="Times New Roman" w:hAnsi="Times New Roman"/>
        </w:rPr>
        <w:t>three broad themes:</w:t>
      </w:r>
      <w:r>
        <w:rPr>
          <w:rFonts w:ascii="Times New Roman" w:hAnsi="Times New Roman"/>
        </w:rPr>
        <w:t xml:space="preserve"> </w:t>
      </w:r>
      <w:r w:rsidRPr="006D4CC1">
        <w:rPr>
          <w:rFonts w:ascii="Times New Roman" w:hAnsi="Times New Roman"/>
        </w:rPr>
        <w:t>(1)</w:t>
      </w:r>
      <w:r>
        <w:rPr>
          <w:rFonts w:ascii="Times New Roman" w:hAnsi="Times New Roman"/>
        </w:rPr>
        <w:t xml:space="preserve"> </w:t>
      </w:r>
      <w:r w:rsidRPr="006D4CC1">
        <w:rPr>
          <w:rFonts w:ascii="Times New Roman" w:hAnsi="Times New Roman"/>
        </w:rPr>
        <w:t>Prosecutorial discretion;</w:t>
      </w:r>
      <w:r>
        <w:rPr>
          <w:rFonts w:ascii="Times New Roman" w:hAnsi="Times New Roman"/>
        </w:rPr>
        <w:t xml:space="preserve"> </w:t>
      </w:r>
      <w:r w:rsidRPr="006D4CC1">
        <w:rPr>
          <w:rFonts w:ascii="Times New Roman" w:hAnsi="Times New Roman"/>
        </w:rPr>
        <w:t xml:space="preserve">(2) Trial process; and (3) Sentencing. </w:t>
      </w:r>
      <w:r w:rsidR="00954638">
        <w:rPr>
          <w:rFonts w:ascii="Times New Roman" w:hAnsi="Times New Roman"/>
        </w:rPr>
        <w:t xml:space="preserve">It is </w:t>
      </w:r>
      <w:r w:rsidRPr="006D4CC1">
        <w:rPr>
          <w:rFonts w:ascii="Times New Roman" w:hAnsi="Times New Roman"/>
        </w:rPr>
        <w:t xml:space="preserve">found that structuring </w:t>
      </w:r>
      <w:r w:rsidR="00954638">
        <w:rPr>
          <w:rFonts w:ascii="Times New Roman" w:hAnsi="Times New Roman"/>
        </w:rPr>
        <w:t>the</w:t>
      </w:r>
      <w:r w:rsidRPr="006D4CC1">
        <w:rPr>
          <w:rFonts w:ascii="Times New Roman" w:hAnsi="Times New Roman"/>
        </w:rPr>
        <w:t xml:space="preserve"> analysis around these three broad themes would allow </w:t>
      </w:r>
      <w:r w:rsidR="00954638">
        <w:rPr>
          <w:rFonts w:ascii="Times New Roman" w:hAnsi="Times New Roman"/>
        </w:rPr>
        <w:t>the researcher</w:t>
      </w:r>
      <w:r w:rsidRPr="006D4CC1">
        <w:rPr>
          <w:rFonts w:ascii="Times New Roman" w:hAnsi="Times New Roman"/>
        </w:rPr>
        <w:t xml:space="preserve"> to better address </w:t>
      </w:r>
      <w:r w:rsidR="00954638">
        <w:rPr>
          <w:rFonts w:ascii="Times New Roman" w:hAnsi="Times New Roman"/>
        </w:rPr>
        <w:t>the</w:t>
      </w:r>
      <w:r w:rsidRPr="006D4CC1">
        <w:rPr>
          <w:rFonts w:ascii="Times New Roman" w:hAnsi="Times New Roman"/>
        </w:rPr>
        <w:t xml:space="preserve"> overall research question, namely, to what extent have the rights and interests of victims been respected in the cases of </w:t>
      </w:r>
      <w:r w:rsidRPr="006D4CC1">
        <w:rPr>
          <w:rFonts w:ascii="Times New Roman" w:hAnsi="Times New Roman"/>
          <w:i/>
        </w:rPr>
        <w:t>Lubang</w:t>
      </w:r>
      <w:r w:rsidRPr="006D4CC1">
        <w:rPr>
          <w:rFonts w:ascii="Times New Roman" w:hAnsi="Times New Roman"/>
        </w:rPr>
        <w:t>a and</w:t>
      </w:r>
      <w:r w:rsidRPr="006D4CC1">
        <w:rPr>
          <w:rFonts w:ascii="Times New Roman" w:hAnsi="Times New Roman"/>
          <w:i/>
        </w:rPr>
        <w:t xml:space="preserve"> Katanga</w:t>
      </w:r>
      <w:r w:rsidRPr="006D4CC1">
        <w:rPr>
          <w:rFonts w:ascii="Times New Roman" w:hAnsi="Times New Roman"/>
        </w:rPr>
        <w:t xml:space="preserve"> at the ICC?</w:t>
      </w:r>
    </w:p>
    <w:p w14:paraId="170C329A" w14:textId="3863E1CD" w:rsidR="0073158D" w:rsidRDefault="0073158D" w:rsidP="0004351F">
      <w:pPr>
        <w:spacing w:line="480" w:lineRule="auto"/>
        <w:jc w:val="both"/>
        <w:rPr>
          <w:rFonts w:ascii="Times New Roman" w:hAnsi="Times New Roman"/>
        </w:rPr>
      </w:pPr>
      <w:r>
        <w:rPr>
          <w:rFonts w:ascii="Times New Roman" w:hAnsi="Times New Roman"/>
        </w:rPr>
        <w:t xml:space="preserve">This qualitative </w:t>
      </w:r>
      <w:r w:rsidR="00E00521">
        <w:rPr>
          <w:rFonts w:ascii="Times New Roman" w:hAnsi="Times New Roman"/>
        </w:rPr>
        <w:t>research explores victims</w:t>
      </w:r>
      <w:r w:rsidR="00F72A5B">
        <w:rPr>
          <w:rFonts w:ascii="Times New Roman" w:hAnsi="Times New Roman"/>
        </w:rPr>
        <w:t>'</w:t>
      </w:r>
      <w:r w:rsidR="00E00521">
        <w:rPr>
          <w:rFonts w:ascii="Times New Roman" w:hAnsi="Times New Roman"/>
        </w:rPr>
        <w:t xml:space="preserve"> interaction, observations, representations</w:t>
      </w:r>
      <w:r w:rsidR="007E3AE6">
        <w:rPr>
          <w:rFonts w:ascii="Times New Roman" w:hAnsi="Times New Roman"/>
        </w:rPr>
        <w:t>,</w:t>
      </w:r>
      <w:r w:rsidR="006936B9">
        <w:rPr>
          <w:rFonts w:ascii="Times New Roman" w:hAnsi="Times New Roman"/>
        </w:rPr>
        <w:t xml:space="preserve"> </w:t>
      </w:r>
      <w:r w:rsidR="00E00521">
        <w:rPr>
          <w:rFonts w:ascii="Times New Roman" w:hAnsi="Times New Roman"/>
        </w:rPr>
        <w:t>and experiences via written texts and documents. These documents are the product of verbatim transcription of audio recordings.</w:t>
      </w:r>
      <w:r w:rsidR="001828F3">
        <w:rPr>
          <w:rFonts w:ascii="Times New Roman" w:hAnsi="Times New Roman"/>
        </w:rPr>
        <w:t xml:space="preserve"> </w:t>
      </w:r>
      <w:r w:rsidR="00F72A5B">
        <w:rPr>
          <w:rFonts w:ascii="Times New Roman" w:hAnsi="Times New Roman"/>
        </w:rPr>
        <w:t>"</w:t>
      </w:r>
      <w:r w:rsidR="001828F3">
        <w:rPr>
          <w:rFonts w:ascii="Times New Roman" w:hAnsi="Times New Roman"/>
        </w:rPr>
        <w:t xml:space="preserve">A transcript is a text that represents an </w:t>
      </w:r>
      <w:r w:rsidR="001828F3">
        <w:rPr>
          <w:rFonts w:ascii="Times New Roman" w:hAnsi="Times New Roman"/>
        </w:rPr>
        <w:lastRenderedPageBreak/>
        <w:t>event; it is not the event itself .</w:t>
      </w:r>
      <w:r w:rsidR="00F72A5B">
        <w:rPr>
          <w:rFonts w:ascii="Times New Roman" w:hAnsi="Times New Roman"/>
        </w:rPr>
        <w:t>"</w:t>
      </w:r>
      <w:r w:rsidR="001828F3">
        <w:rPr>
          <w:rStyle w:val="FootnoteReference"/>
          <w:rFonts w:ascii="Times New Roman" w:hAnsi="Times New Roman"/>
        </w:rPr>
        <w:footnoteReference w:id="58"/>
      </w:r>
      <w:r w:rsidR="00E00521">
        <w:rPr>
          <w:rFonts w:ascii="Times New Roman" w:hAnsi="Times New Roman"/>
        </w:rPr>
        <w:t xml:space="preserve"> The written texts and documents are comprehensible and meaningful.</w:t>
      </w:r>
      <w:r w:rsidR="00E00521">
        <w:rPr>
          <w:rStyle w:val="FootnoteReference"/>
          <w:rFonts w:ascii="Times New Roman" w:hAnsi="Times New Roman"/>
        </w:rPr>
        <w:footnoteReference w:id="59"/>
      </w:r>
      <w:r w:rsidR="00E00521">
        <w:rPr>
          <w:rFonts w:ascii="Times New Roman" w:hAnsi="Times New Roman"/>
        </w:rPr>
        <w:t xml:space="preserve"> </w:t>
      </w:r>
      <w:r w:rsidR="001828F3">
        <w:rPr>
          <w:rFonts w:ascii="Times New Roman" w:hAnsi="Times New Roman"/>
        </w:rPr>
        <w:t>The researcher relies mainly on narratives and conversations contained in the transcript.</w:t>
      </w:r>
      <w:r w:rsidR="00E84E14">
        <w:rPr>
          <w:rFonts w:ascii="Times New Roman" w:hAnsi="Times New Roman"/>
        </w:rPr>
        <w:t xml:space="preserve"> Ochs notes that transcripts are </w:t>
      </w:r>
      <w:r w:rsidR="00F72A5B">
        <w:rPr>
          <w:rFonts w:ascii="Times New Roman" w:hAnsi="Times New Roman"/>
        </w:rPr>
        <w:t>"</w:t>
      </w:r>
      <w:r w:rsidR="00E84E14">
        <w:rPr>
          <w:rFonts w:ascii="Times New Roman" w:hAnsi="Times New Roman"/>
        </w:rPr>
        <w:t>the result of a series of choices in need of explication.</w:t>
      </w:r>
      <w:r w:rsidR="00F72A5B">
        <w:rPr>
          <w:rFonts w:ascii="Times New Roman" w:hAnsi="Times New Roman"/>
        </w:rPr>
        <w:t>"</w:t>
      </w:r>
      <w:r w:rsidR="00E84E14">
        <w:rPr>
          <w:rStyle w:val="FootnoteReference"/>
          <w:rFonts w:ascii="Times New Roman" w:hAnsi="Times New Roman"/>
        </w:rPr>
        <w:footnoteReference w:id="60"/>
      </w:r>
      <w:r w:rsidR="00E84E14">
        <w:rPr>
          <w:rFonts w:ascii="Times New Roman" w:hAnsi="Times New Roman"/>
        </w:rPr>
        <w:t xml:space="preserve">  Examining the interpretative process of transcript is essential for the outcome of transcript analysis.</w:t>
      </w:r>
    </w:p>
    <w:p w14:paraId="781C47EC" w14:textId="46DD1BFA" w:rsidR="00C15E27" w:rsidRDefault="006936B9" w:rsidP="0004351F">
      <w:pPr>
        <w:spacing w:line="480" w:lineRule="auto"/>
        <w:jc w:val="both"/>
        <w:rPr>
          <w:rFonts w:ascii="Times New Roman" w:hAnsi="Times New Roman"/>
        </w:rPr>
      </w:pPr>
      <w:r>
        <w:rPr>
          <w:rFonts w:ascii="Times New Roman" w:hAnsi="Times New Roman"/>
        </w:rPr>
        <w:t xml:space="preserve">With transcript analysis, the researcher </w:t>
      </w:r>
      <w:r w:rsidR="00C15E27">
        <w:rPr>
          <w:rFonts w:ascii="Times New Roman" w:hAnsi="Times New Roman"/>
        </w:rPr>
        <w:t>can</w:t>
      </w:r>
      <w:r>
        <w:rPr>
          <w:rFonts w:ascii="Times New Roman" w:hAnsi="Times New Roman"/>
        </w:rPr>
        <w:t xml:space="preserve"> </w:t>
      </w:r>
      <w:r w:rsidR="00C15E27">
        <w:rPr>
          <w:rFonts w:ascii="Times New Roman" w:hAnsi="Times New Roman"/>
        </w:rPr>
        <w:t>collect and analyse documents(transcripts) by making excerpts</w:t>
      </w:r>
      <w:r>
        <w:rPr>
          <w:rFonts w:ascii="Times New Roman" w:hAnsi="Times New Roman"/>
        </w:rPr>
        <w:t xml:space="preserve"> directly f</w:t>
      </w:r>
      <w:r w:rsidR="00653847">
        <w:rPr>
          <w:rFonts w:ascii="Times New Roman" w:hAnsi="Times New Roman"/>
        </w:rPr>
        <w:t>ro</w:t>
      </w:r>
      <w:r>
        <w:rPr>
          <w:rFonts w:ascii="Times New Roman" w:hAnsi="Times New Roman"/>
        </w:rPr>
        <w:t>m the transcripts. One advantage of this qualitative is that it enables the researcher to preserve the integrity of the documents.</w:t>
      </w:r>
      <w:r w:rsidR="00653847">
        <w:rPr>
          <w:rFonts w:ascii="Times New Roman" w:hAnsi="Times New Roman"/>
        </w:rPr>
        <w:t xml:space="preserve"> </w:t>
      </w:r>
    </w:p>
    <w:p w14:paraId="6E2335D4" w14:textId="69CA1091" w:rsidR="006D62DA" w:rsidRDefault="006B5032" w:rsidP="0004351F">
      <w:pPr>
        <w:spacing w:line="480" w:lineRule="auto"/>
        <w:jc w:val="both"/>
        <w:rPr>
          <w:rFonts w:ascii="Times New Roman" w:hAnsi="Times New Roman"/>
        </w:rPr>
      </w:pPr>
      <w:r>
        <w:rPr>
          <w:rFonts w:ascii="Times New Roman" w:hAnsi="Times New Roman"/>
        </w:rPr>
        <w:t>T</w:t>
      </w:r>
      <w:r w:rsidR="00A3052B">
        <w:rPr>
          <w:rFonts w:ascii="Times New Roman" w:hAnsi="Times New Roman"/>
        </w:rPr>
        <w:t xml:space="preserve">o </w:t>
      </w:r>
      <w:r w:rsidR="006936B9">
        <w:rPr>
          <w:rFonts w:ascii="Times New Roman" w:hAnsi="Times New Roman"/>
        </w:rPr>
        <w:t>analyse qualitative data, there are two types of qualitative analysis:</w:t>
      </w:r>
      <w:r w:rsidR="00653847">
        <w:rPr>
          <w:rFonts w:ascii="Times New Roman" w:hAnsi="Times New Roman"/>
        </w:rPr>
        <w:t xml:space="preserve"> </w:t>
      </w:r>
      <w:r w:rsidR="006936B9">
        <w:rPr>
          <w:rFonts w:ascii="Times New Roman" w:hAnsi="Times New Roman"/>
        </w:rPr>
        <w:t>inductive and deductive analysis.</w:t>
      </w:r>
      <w:r w:rsidR="006D117D">
        <w:rPr>
          <w:rStyle w:val="FootnoteReference"/>
          <w:rFonts w:ascii="Times New Roman" w:hAnsi="Times New Roman"/>
        </w:rPr>
        <w:footnoteReference w:id="61"/>
      </w:r>
      <w:r w:rsidR="006504D3">
        <w:rPr>
          <w:rFonts w:ascii="Times New Roman" w:hAnsi="Times New Roman"/>
        </w:rPr>
        <w:t xml:space="preserve"> </w:t>
      </w:r>
      <w:r w:rsidR="00C15E27">
        <w:rPr>
          <w:rFonts w:ascii="Times New Roman" w:hAnsi="Times New Roman"/>
        </w:rPr>
        <w:t>Inductive qualitative analysis is divided into thematic analysis and narrative analysis.</w:t>
      </w:r>
      <w:r w:rsidR="00A37038">
        <w:rPr>
          <w:rStyle w:val="FootnoteReference"/>
          <w:rFonts w:ascii="Times New Roman" w:hAnsi="Times New Roman"/>
        </w:rPr>
        <w:footnoteReference w:id="62"/>
      </w:r>
      <w:r w:rsidR="00656F75">
        <w:rPr>
          <w:rFonts w:ascii="Times New Roman" w:hAnsi="Times New Roman"/>
        </w:rPr>
        <w:t xml:space="preserve"> The inductive qualitative analysis requires obtaining data from an unstructured approach. </w:t>
      </w:r>
      <w:r w:rsidR="00A37038">
        <w:rPr>
          <w:rStyle w:val="FootnoteReference"/>
          <w:rFonts w:ascii="Times New Roman" w:hAnsi="Times New Roman"/>
        </w:rPr>
        <w:footnoteReference w:id="63"/>
      </w:r>
      <w:r w:rsidR="00A37038">
        <w:rPr>
          <w:rFonts w:ascii="Times New Roman" w:hAnsi="Times New Roman"/>
        </w:rPr>
        <w:t xml:space="preserve">This type of qualitative analysis enables the researcher to make a connection between the research objectives and the findings from the transcripts. </w:t>
      </w:r>
      <w:r w:rsidR="00656F75">
        <w:rPr>
          <w:rFonts w:ascii="Times New Roman" w:hAnsi="Times New Roman"/>
        </w:rPr>
        <w:t>The thematic analysis</w:t>
      </w:r>
      <w:r w:rsidR="0037028B">
        <w:rPr>
          <w:rFonts w:ascii="Times New Roman" w:hAnsi="Times New Roman"/>
        </w:rPr>
        <w:t xml:space="preserve"> requires the researcher to identify and recognise </w:t>
      </w:r>
      <w:r>
        <w:rPr>
          <w:rFonts w:ascii="Times New Roman" w:hAnsi="Times New Roman"/>
        </w:rPr>
        <w:t>the</w:t>
      </w:r>
      <w:r w:rsidR="0037028B">
        <w:rPr>
          <w:rFonts w:ascii="Times New Roman" w:hAnsi="Times New Roman"/>
        </w:rPr>
        <w:t xml:space="preserve"> </w:t>
      </w:r>
      <w:r w:rsidR="0037028B">
        <w:rPr>
          <w:rFonts w:ascii="Times New Roman" w:hAnsi="Times New Roman"/>
        </w:rPr>
        <w:lastRenderedPageBreak/>
        <w:t>pattern of themes.</w:t>
      </w:r>
      <w:r w:rsidR="00E45CD7">
        <w:rPr>
          <w:rFonts w:ascii="Times New Roman" w:hAnsi="Times New Roman"/>
        </w:rPr>
        <w:t xml:space="preserve"> </w:t>
      </w:r>
      <w:r w:rsidR="0037028B">
        <w:rPr>
          <w:rFonts w:ascii="Times New Roman" w:hAnsi="Times New Roman"/>
        </w:rPr>
        <w:t>These themes are analysed</w:t>
      </w:r>
      <w:r w:rsidR="00E45CD7">
        <w:rPr>
          <w:rFonts w:ascii="Times New Roman" w:hAnsi="Times New Roman"/>
        </w:rPr>
        <w:t xml:space="preserve"> from the </w:t>
      </w:r>
      <w:r w:rsidR="00C96DD4">
        <w:rPr>
          <w:rFonts w:ascii="Times New Roman" w:hAnsi="Times New Roman"/>
        </w:rPr>
        <w:t>data's recurring patterns- the interaction between the LRVs, parties,</w:t>
      </w:r>
      <w:r w:rsidR="00E45CD7">
        <w:rPr>
          <w:rFonts w:ascii="Times New Roman" w:hAnsi="Times New Roman"/>
        </w:rPr>
        <w:t xml:space="preserve"> and other participants</w:t>
      </w:r>
      <w:r w:rsidR="001D3F91">
        <w:rPr>
          <w:rFonts w:ascii="Times New Roman" w:hAnsi="Times New Roman"/>
        </w:rPr>
        <w:t>.</w:t>
      </w:r>
      <w:r w:rsidR="00EE2EC9">
        <w:rPr>
          <w:rFonts w:ascii="Times New Roman" w:hAnsi="Times New Roman"/>
        </w:rPr>
        <w:t xml:space="preserve"> The narrative analysi</w:t>
      </w:r>
      <w:r w:rsidR="0089502F">
        <w:rPr>
          <w:rFonts w:ascii="Times New Roman" w:hAnsi="Times New Roman"/>
        </w:rPr>
        <w:t>s is focused on stories and account</w:t>
      </w:r>
      <w:r w:rsidR="007E3AE6">
        <w:rPr>
          <w:rFonts w:ascii="Times New Roman" w:hAnsi="Times New Roman"/>
        </w:rPr>
        <w:t>s</w:t>
      </w:r>
      <w:r w:rsidR="0089502F">
        <w:rPr>
          <w:rFonts w:ascii="Times New Roman" w:hAnsi="Times New Roman"/>
        </w:rPr>
        <w:t xml:space="preserve"> of personal experience.</w:t>
      </w:r>
      <w:r w:rsidR="0089502F">
        <w:rPr>
          <w:rStyle w:val="FootnoteReference"/>
          <w:rFonts w:ascii="Times New Roman" w:hAnsi="Times New Roman"/>
        </w:rPr>
        <w:footnoteReference w:id="64"/>
      </w:r>
      <w:r w:rsidR="00E45CD7">
        <w:rPr>
          <w:rFonts w:ascii="Times New Roman" w:hAnsi="Times New Roman"/>
        </w:rPr>
        <w:t xml:space="preserve"> </w:t>
      </w:r>
      <w:r w:rsidR="0089502F">
        <w:rPr>
          <w:rFonts w:ascii="Times New Roman" w:hAnsi="Times New Roman"/>
        </w:rPr>
        <w:t>The researcher could not use th</w:t>
      </w:r>
      <w:r w:rsidR="00C96DD4">
        <w:rPr>
          <w:rFonts w:ascii="Times New Roman" w:hAnsi="Times New Roman"/>
        </w:rPr>
        <w:t>is</w:t>
      </w:r>
      <w:r w:rsidR="0089502F">
        <w:rPr>
          <w:rFonts w:ascii="Times New Roman" w:hAnsi="Times New Roman"/>
        </w:rPr>
        <w:t xml:space="preserve"> narrative analysis because it is more useful for face-to-face interviews.</w:t>
      </w:r>
    </w:p>
    <w:p w14:paraId="38DE3CD1" w14:textId="07EA7228" w:rsidR="006936B9" w:rsidRDefault="0089502F" w:rsidP="0004351F">
      <w:pPr>
        <w:spacing w:line="480" w:lineRule="auto"/>
        <w:jc w:val="both"/>
        <w:rPr>
          <w:rFonts w:ascii="Times New Roman" w:hAnsi="Times New Roman"/>
        </w:rPr>
      </w:pPr>
      <w:r>
        <w:rPr>
          <w:rFonts w:ascii="Times New Roman" w:hAnsi="Times New Roman"/>
        </w:rPr>
        <w:t>Nevertheless, some of the submissions of the LRV reflect victims</w:t>
      </w:r>
      <w:r w:rsidR="00F72A5B">
        <w:rPr>
          <w:rFonts w:ascii="Times New Roman" w:hAnsi="Times New Roman"/>
        </w:rPr>
        <w:t>'</w:t>
      </w:r>
      <w:r>
        <w:rPr>
          <w:rFonts w:ascii="Times New Roman" w:hAnsi="Times New Roman"/>
        </w:rPr>
        <w:t xml:space="preserve"> narratives and personal experiences. </w:t>
      </w:r>
      <w:r w:rsidR="006504D3">
        <w:rPr>
          <w:rFonts w:ascii="Times New Roman" w:hAnsi="Times New Roman"/>
        </w:rPr>
        <w:t>The d</w:t>
      </w:r>
      <w:r w:rsidR="00C15E27">
        <w:rPr>
          <w:rFonts w:ascii="Times New Roman" w:hAnsi="Times New Roman"/>
        </w:rPr>
        <w:t>eductive qualitative analysis enables the researcher to have a structured approach in advance of the analysis.</w:t>
      </w:r>
      <w:r w:rsidR="006504D3">
        <w:rPr>
          <w:rFonts w:ascii="Times New Roman" w:hAnsi="Times New Roman"/>
        </w:rPr>
        <w:t xml:space="preserve"> Hence, the </w:t>
      </w:r>
      <w:r w:rsidR="00C96DD4">
        <w:rPr>
          <w:rFonts w:ascii="Times New Roman" w:hAnsi="Times New Roman"/>
        </w:rPr>
        <w:t>inferential</w:t>
      </w:r>
      <w:r w:rsidR="006504D3">
        <w:rPr>
          <w:rFonts w:ascii="Times New Roman" w:hAnsi="Times New Roman"/>
        </w:rPr>
        <w:t xml:space="preserve"> analysis is the connection of </w:t>
      </w:r>
      <w:r w:rsidR="007E3AE6">
        <w:rPr>
          <w:rFonts w:ascii="Times New Roman" w:hAnsi="Times New Roman"/>
        </w:rPr>
        <w:t xml:space="preserve">the </w:t>
      </w:r>
      <w:r w:rsidR="006504D3">
        <w:rPr>
          <w:rFonts w:ascii="Times New Roman" w:hAnsi="Times New Roman"/>
        </w:rPr>
        <w:t>pre-structured approach to the data from the transcript.</w:t>
      </w:r>
      <w:r w:rsidR="006504D3">
        <w:rPr>
          <w:rStyle w:val="FootnoteReference"/>
          <w:rFonts w:ascii="Times New Roman" w:hAnsi="Times New Roman"/>
        </w:rPr>
        <w:footnoteReference w:id="65"/>
      </w:r>
    </w:p>
    <w:p w14:paraId="76731DD8" w14:textId="01339DC4" w:rsidR="0004351F" w:rsidRDefault="0004351F" w:rsidP="0004351F">
      <w:pPr>
        <w:spacing w:line="480" w:lineRule="auto"/>
        <w:jc w:val="both"/>
        <w:rPr>
          <w:rFonts w:ascii="Times New Roman" w:hAnsi="Times New Roman"/>
        </w:rPr>
      </w:pPr>
      <w:r>
        <w:rPr>
          <w:rFonts w:ascii="Times New Roman" w:hAnsi="Times New Roman"/>
        </w:rPr>
        <w:t>The use of trial transcripts as a primary source for this analysis is innovative and intended to complement other existing studies in victims</w:t>
      </w:r>
      <w:r w:rsidR="00F72A5B">
        <w:rPr>
          <w:rFonts w:ascii="Times New Roman" w:hAnsi="Times New Roman"/>
        </w:rPr>
        <w:t>'</w:t>
      </w:r>
      <w:r>
        <w:rPr>
          <w:rFonts w:ascii="Times New Roman" w:hAnsi="Times New Roman"/>
        </w:rPr>
        <w:t xml:space="preserve"> rights at the ICC. Most academic studies of victim participation are based on final decisions and judgments, </w:t>
      </w:r>
      <w:r w:rsidR="006B5032">
        <w:rPr>
          <w:rFonts w:ascii="Times New Roman" w:hAnsi="Times New Roman"/>
        </w:rPr>
        <w:t>more extensive</w:t>
      </w:r>
      <w:r>
        <w:rPr>
          <w:rFonts w:ascii="Times New Roman" w:hAnsi="Times New Roman"/>
        </w:rPr>
        <w:t xml:space="preserve"> studies </w:t>
      </w:r>
      <w:r w:rsidR="00C96DD4">
        <w:rPr>
          <w:rFonts w:ascii="Times New Roman" w:hAnsi="Times New Roman"/>
        </w:rPr>
        <w:t>using</w:t>
      </w:r>
      <w:r>
        <w:rPr>
          <w:rFonts w:ascii="Times New Roman" w:hAnsi="Times New Roman"/>
        </w:rPr>
        <w:t xml:space="preserve"> empirical methods.</w:t>
      </w:r>
    </w:p>
    <w:p w14:paraId="394CDCBB" w14:textId="3956D06D" w:rsidR="0004351F" w:rsidRDefault="0004351F" w:rsidP="0004351F">
      <w:pPr>
        <w:spacing w:line="480" w:lineRule="auto"/>
        <w:jc w:val="both"/>
        <w:rPr>
          <w:rFonts w:ascii="Times New Roman" w:hAnsi="Times New Roman"/>
          <w:szCs w:val="24"/>
        </w:rPr>
      </w:pPr>
      <w:r>
        <w:rPr>
          <w:rFonts w:ascii="Times New Roman" w:hAnsi="Times New Roman"/>
        </w:rPr>
        <w:t xml:space="preserve">The use of transcripts as </w:t>
      </w:r>
      <w:r w:rsidR="00C96DD4">
        <w:rPr>
          <w:rFonts w:ascii="Times New Roman" w:hAnsi="Times New Roman"/>
        </w:rPr>
        <w:t xml:space="preserve">a </w:t>
      </w:r>
      <w:r>
        <w:rPr>
          <w:rFonts w:ascii="Times New Roman" w:hAnsi="Times New Roman"/>
        </w:rPr>
        <w:t xml:space="preserve">primary data source is justified on the basis that it provides a rich and detailed </w:t>
      </w:r>
      <w:r w:rsidRPr="006D4CC1">
        <w:rPr>
          <w:rFonts w:ascii="Times New Roman" w:hAnsi="Times New Roman"/>
          <w:szCs w:val="24"/>
        </w:rPr>
        <w:t xml:space="preserve">account of the various interactions between victims and their representatives and other stakeholders at the ICC. This </w:t>
      </w:r>
      <w:r w:rsidR="006B5032">
        <w:rPr>
          <w:rFonts w:ascii="Times New Roman" w:hAnsi="Times New Roman"/>
          <w:szCs w:val="24"/>
        </w:rPr>
        <w:t xml:space="preserve">detailed account </w:t>
      </w:r>
      <w:r w:rsidRPr="006D4CC1">
        <w:rPr>
          <w:rFonts w:ascii="Times New Roman" w:hAnsi="Times New Roman"/>
          <w:szCs w:val="24"/>
        </w:rPr>
        <w:t xml:space="preserve">includes but </w:t>
      </w:r>
      <w:r w:rsidR="00B902D4">
        <w:rPr>
          <w:rFonts w:ascii="Times New Roman" w:hAnsi="Times New Roman"/>
          <w:szCs w:val="24"/>
        </w:rPr>
        <w:t xml:space="preserve">is </w:t>
      </w:r>
      <w:r w:rsidRPr="006D4CC1">
        <w:rPr>
          <w:rFonts w:ascii="Times New Roman" w:hAnsi="Times New Roman"/>
          <w:szCs w:val="24"/>
        </w:rPr>
        <w:t>not limited to story-telling/narratives,</w:t>
      </w:r>
      <w:r>
        <w:rPr>
          <w:rFonts w:ascii="Times New Roman" w:hAnsi="Times New Roman"/>
          <w:szCs w:val="24"/>
        </w:rPr>
        <w:t xml:space="preserve"> </w:t>
      </w:r>
      <w:r w:rsidRPr="006D4CC1">
        <w:rPr>
          <w:rFonts w:ascii="Times New Roman" w:hAnsi="Times New Roman"/>
          <w:szCs w:val="24"/>
        </w:rPr>
        <w:t>testimonies, examination and cross-examination of victims/witnesses</w:t>
      </w:r>
      <w:r w:rsidR="00B902D4">
        <w:rPr>
          <w:rFonts w:ascii="Times New Roman" w:hAnsi="Times New Roman"/>
          <w:szCs w:val="24"/>
        </w:rPr>
        <w:t>,</w:t>
      </w:r>
      <w:r w:rsidRPr="006D4CC1">
        <w:rPr>
          <w:rFonts w:ascii="Times New Roman" w:hAnsi="Times New Roman"/>
          <w:szCs w:val="24"/>
        </w:rPr>
        <w:t xml:space="preserve"> and other procedural contents of the trial proceedings. It should also be noted that transcripts are easily accessible from the ICC database</w:t>
      </w:r>
      <w:r>
        <w:rPr>
          <w:rFonts w:ascii="Times New Roman" w:hAnsi="Times New Roman"/>
          <w:szCs w:val="24"/>
        </w:rPr>
        <w:t xml:space="preserve"> (freely</w:t>
      </w:r>
      <w:r w:rsidR="006B5032">
        <w:rPr>
          <w:rFonts w:ascii="Times New Roman" w:hAnsi="Times New Roman"/>
          <w:szCs w:val="24"/>
        </w:rPr>
        <w:t xml:space="preserve"> </w:t>
      </w:r>
      <w:r>
        <w:rPr>
          <w:rFonts w:ascii="Times New Roman" w:hAnsi="Times New Roman"/>
          <w:szCs w:val="24"/>
        </w:rPr>
        <w:t>available on the ICC</w:t>
      </w:r>
      <w:r w:rsidR="00F72A5B">
        <w:rPr>
          <w:rFonts w:ascii="Times New Roman" w:hAnsi="Times New Roman"/>
          <w:szCs w:val="24"/>
        </w:rPr>
        <w:t>'</w:t>
      </w:r>
      <w:r>
        <w:rPr>
          <w:rFonts w:ascii="Times New Roman" w:hAnsi="Times New Roman"/>
          <w:szCs w:val="24"/>
        </w:rPr>
        <w:t>s website)</w:t>
      </w:r>
      <w:r w:rsidRPr="006D4CC1">
        <w:rPr>
          <w:rFonts w:ascii="Times New Roman" w:hAnsi="Times New Roman"/>
          <w:szCs w:val="24"/>
        </w:rPr>
        <w:t>.</w:t>
      </w:r>
      <w:r w:rsidR="005C762B">
        <w:rPr>
          <w:rFonts w:ascii="Times New Roman" w:hAnsi="Times New Roman"/>
          <w:szCs w:val="24"/>
        </w:rPr>
        <w:t xml:space="preserve"> One shortcoming of transcript analysis is the issue of </w:t>
      </w:r>
      <w:r w:rsidR="005C762B">
        <w:rPr>
          <w:rFonts w:ascii="Times New Roman" w:hAnsi="Times New Roman"/>
          <w:szCs w:val="24"/>
        </w:rPr>
        <w:lastRenderedPageBreak/>
        <w:t>redaction and confidentiality of records.</w:t>
      </w:r>
      <w:r w:rsidR="006C6E29">
        <w:rPr>
          <w:rFonts w:ascii="Times New Roman" w:hAnsi="Times New Roman"/>
          <w:szCs w:val="24"/>
        </w:rPr>
        <w:t xml:space="preserve"> </w:t>
      </w:r>
      <w:r w:rsidR="005C762B">
        <w:rPr>
          <w:rFonts w:ascii="Times New Roman" w:hAnsi="Times New Roman"/>
          <w:szCs w:val="24"/>
        </w:rPr>
        <w:t xml:space="preserve">It is almost certain that these restrictions </w:t>
      </w:r>
      <w:r w:rsidR="006C6E29">
        <w:rPr>
          <w:rFonts w:ascii="Times New Roman" w:hAnsi="Times New Roman"/>
          <w:szCs w:val="24"/>
        </w:rPr>
        <w:t>might</w:t>
      </w:r>
      <w:r w:rsidR="005C762B">
        <w:rPr>
          <w:rFonts w:ascii="Times New Roman" w:hAnsi="Times New Roman"/>
          <w:szCs w:val="24"/>
        </w:rPr>
        <w:t xml:space="preserve"> </w:t>
      </w:r>
      <w:r w:rsidR="006C6E29">
        <w:rPr>
          <w:rFonts w:ascii="Times New Roman" w:hAnsi="Times New Roman"/>
          <w:szCs w:val="24"/>
        </w:rPr>
        <w:t xml:space="preserve">affect the </w:t>
      </w:r>
      <w:r w:rsidR="00C96DD4">
        <w:rPr>
          <w:rFonts w:ascii="Times New Roman" w:hAnsi="Times New Roman"/>
          <w:szCs w:val="24"/>
        </w:rPr>
        <w:t>data's accuracy</w:t>
      </w:r>
      <w:r w:rsidR="006C6E29">
        <w:rPr>
          <w:rFonts w:ascii="Times New Roman" w:hAnsi="Times New Roman"/>
          <w:szCs w:val="24"/>
        </w:rPr>
        <w:t xml:space="preserve"> </w:t>
      </w:r>
      <w:r w:rsidR="00C96DD4">
        <w:rPr>
          <w:rFonts w:ascii="Times New Roman" w:hAnsi="Times New Roman"/>
          <w:szCs w:val="24"/>
        </w:rPr>
        <w:t xml:space="preserve">to </w:t>
      </w:r>
      <w:r w:rsidR="006C6E29">
        <w:rPr>
          <w:rFonts w:ascii="Times New Roman" w:hAnsi="Times New Roman"/>
          <w:szCs w:val="24"/>
        </w:rPr>
        <w:t>create a gap in the data b</w:t>
      </w:r>
      <w:r w:rsidR="00C96DD4">
        <w:rPr>
          <w:rFonts w:ascii="Times New Roman" w:hAnsi="Times New Roman"/>
          <w:szCs w:val="24"/>
        </w:rPr>
        <w:t>ecause</w:t>
      </w:r>
      <w:r w:rsidR="006C6E29">
        <w:rPr>
          <w:rFonts w:ascii="Times New Roman" w:hAnsi="Times New Roman"/>
          <w:szCs w:val="24"/>
        </w:rPr>
        <w:t xml:space="preserve"> the redacted documents are inaccessible. In a similar vein, </w:t>
      </w:r>
      <w:r w:rsidR="00B92561">
        <w:rPr>
          <w:rFonts w:ascii="Times New Roman" w:hAnsi="Times New Roman"/>
          <w:szCs w:val="24"/>
        </w:rPr>
        <w:t>there is a probability that</w:t>
      </w:r>
      <w:r w:rsidR="006C6E29">
        <w:rPr>
          <w:rFonts w:ascii="Times New Roman" w:hAnsi="Times New Roman"/>
          <w:szCs w:val="24"/>
        </w:rPr>
        <w:t xml:space="preserve"> meanings may get lost in language translations.</w:t>
      </w:r>
      <w:r w:rsidR="00B92561">
        <w:rPr>
          <w:rFonts w:ascii="Times New Roman" w:hAnsi="Times New Roman"/>
          <w:szCs w:val="24"/>
        </w:rPr>
        <w:t xml:space="preserve"> As such, the intended interpretation may not be worded in the translation.</w:t>
      </w:r>
    </w:p>
    <w:p w14:paraId="2B09849F" w14:textId="2063F19B" w:rsidR="001358EF" w:rsidRPr="006D4CC1" w:rsidRDefault="009176B4" w:rsidP="009176B4">
      <w:pPr>
        <w:spacing w:line="480" w:lineRule="auto"/>
        <w:jc w:val="both"/>
        <w:rPr>
          <w:rFonts w:ascii="Times New Roman" w:hAnsi="Times New Roman"/>
          <w:szCs w:val="24"/>
        </w:rPr>
      </w:pPr>
      <w:r>
        <w:rPr>
          <w:rFonts w:ascii="Times New Roman" w:hAnsi="Times New Roman"/>
          <w:szCs w:val="24"/>
        </w:rPr>
        <w:t>The researcher started a collection of transcripts from the ICC website.</w:t>
      </w:r>
      <w:r w:rsidR="00DA4557">
        <w:rPr>
          <w:rFonts w:ascii="Times New Roman" w:hAnsi="Times New Roman"/>
          <w:szCs w:val="24"/>
        </w:rPr>
        <w:t xml:space="preserve"> </w:t>
      </w:r>
      <w:r>
        <w:rPr>
          <w:rFonts w:ascii="Times New Roman" w:hAnsi="Times New Roman"/>
          <w:szCs w:val="24"/>
        </w:rPr>
        <w:t>Transcript included pre-trial, confirmation hearing, trial, judgment decision, sentence hearing</w:t>
      </w:r>
      <w:r w:rsidR="00604FC3">
        <w:rPr>
          <w:rFonts w:ascii="Times New Roman" w:hAnsi="Times New Roman"/>
          <w:szCs w:val="24"/>
        </w:rPr>
        <w:t>,</w:t>
      </w:r>
      <w:r>
        <w:rPr>
          <w:rFonts w:ascii="Times New Roman" w:hAnsi="Times New Roman"/>
          <w:szCs w:val="24"/>
        </w:rPr>
        <w:t xml:space="preserve"> and sentencing decision. This qualitative data consisted of 87 transcripts for </w:t>
      </w:r>
      <w:r w:rsidRPr="009176B4">
        <w:rPr>
          <w:rFonts w:ascii="Times New Roman" w:hAnsi="Times New Roman"/>
          <w:i/>
          <w:iCs/>
          <w:szCs w:val="24"/>
        </w:rPr>
        <w:t>Lubanga</w:t>
      </w:r>
      <w:r>
        <w:rPr>
          <w:rFonts w:ascii="Times New Roman" w:hAnsi="Times New Roman"/>
          <w:szCs w:val="24"/>
        </w:rPr>
        <w:t xml:space="preserve"> and 90 transcripts for </w:t>
      </w:r>
      <w:r w:rsidRPr="009176B4">
        <w:rPr>
          <w:rFonts w:ascii="Times New Roman" w:hAnsi="Times New Roman"/>
          <w:i/>
          <w:iCs/>
          <w:szCs w:val="24"/>
        </w:rPr>
        <w:t>Katanga</w:t>
      </w:r>
      <w:r>
        <w:rPr>
          <w:rFonts w:ascii="Times New Roman" w:hAnsi="Times New Roman"/>
          <w:i/>
          <w:iCs/>
          <w:szCs w:val="24"/>
        </w:rPr>
        <w:t xml:space="preserve">. </w:t>
      </w:r>
      <w:r>
        <w:rPr>
          <w:rFonts w:ascii="Times New Roman" w:hAnsi="Times New Roman"/>
          <w:szCs w:val="24"/>
        </w:rPr>
        <w:t>Concerning the analysis, the researcher observed the submissions of victims, judges</w:t>
      </w:r>
      <w:r w:rsidR="00C96DD4">
        <w:rPr>
          <w:rFonts w:ascii="Times New Roman" w:hAnsi="Times New Roman"/>
          <w:szCs w:val="24"/>
        </w:rPr>
        <w:t>' comments, and</w:t>
      </w:r>
      <w:r>
        <w:rPr>
          <w:rFonts w:ascii="Times New Roman" w:hAnsi="Times New Roman"/>
          <w:szCs w:val="24"/>
        </w:rPr>
        <w:t xml:space="preserve"> rulings and decisions</w:t>
      </w:r>
      <w:r w:rsidR="001358EF">
        <w:rPr>
          <w:rFonts w:ascii="Times New Roman" w:hAnsi="Times New Roman"/>
          <w:szCs w:val="24"/>
        </w:rPr>
        <w:t>.</w:t>
      </w:r>
      <w:r w:rsidR="00DA4557">
        <w:rPr>
          <w:rFonts w:ascii="Times New Roman" w:hAnsi="Times New Roman"/>
          <w:szCs w:val="24"/>
        </w:rPr>
        <w:t xml:space="preserve"> </w:t>
      </w:r>
      <w:r w:rsidR="006D62DA">
        <w:rPr>
          <w:rFonts w:ascii="Times New Roman" w:hAnsi="Times New Roman"/>
          <w:szCs w:val="24"/>
        </w:rPr>
        <w:t>The researcher addres</w:t>
      </w:r>
      <w:r w:rsidR="00DA4557">
        <w:rPr>
          <w:rFonts w:ascii="Times New Roman" w:hAnsi="Times New Roman"/>
          <w:szCs w:val="24"/>
        </w:rPr>
        <w:t>se</w:t>
      </w:r>
      <w:r w:rsidR="006D62DA">
        <w:rPr>
          <w:rFonts w:ascii="Times New Roman" w:hAnsi="Times New Roman"/>
          <w:szCs w:val="24"/>
        </w:rPr>
        <w:t>s the questions</w:t>
      </w:r>
      <w:r w:rsidR="00DA4557">
        <w:rPr>
          <w:rFonts w:ascii="Times New Roman" w:hAnsi="Times New Roman"/>
          <w:szCs w:val="24"/>
        </w:rPr>
        <w:t xml:space="preserve"> by</w:t>
      </w:r>
      <w:r w:rsidR="006D62DA">
        <w:rPr>
          <w:rFonts w:ascii="Times New Roman" w:hAnsi="Times New Roman"/>
          <w:szCs w:val="24"/>
        </w:rPr>
        <w:t xml:space="preserve"> build</w:t>
      </w:r>
      <w:r w:rsidR="00DA4557">
        <w:rPr>
          <w:rFonts w:ascii="Times New Roman" w:hAnsi="Times New Roman"/>
          <w:szCs w:val="24"/>
        </w:rPr>
        <w:t xml:space="preserve">ing </w:t>
      </w:r>
      <w:r w:rsidR="006D62DA">
        <w:rPr>
          <w:rFonts w:ascii="Times New Roman" w:hAnsi="Times New Roman"/>
          <w:szCs w:val="24"/>
        </w:rPr>
        <w:t>on theories of retributive and restorative justice.</w:t>
      </w:r>
      <w:r w:rsidR="00DA4557">
        <w:rPr>
          <w:rFonts w:ascii="Times New Roman" w:hAnsi="Times New Roman"/>
          <w:szCs w:val="24"/>
        </w:rPr>
        <w:t xml:space="preserve"> </w:t>
      </w:r>
      <w:r w:rsidR="001358EF">
        <w:rPr>
          <w:rFonts w:ascii="Times New Roman" w:hAnsi="Times New Roman"/>
          <w:szCs w:val="24"/>
        </w:rPr>
        <w:t>The data collection preceded the data analysis</w:t>
      </w:r>
      <w:r w:rsidR="00DA4557">
        <w:rPr>
          <w:rFonts w:ascii="Times New Roman" w:hAnsi="Times New Roman"/>
          <w:szCs w:val="24"/>
        </w:rPr>
        <w:t xml:space="preserve">; </w:t>
      </w:r>
      <w:r w:rsidR="001358EF">
        <w:rPr>
          <w:rFonts w:ascii="Times New Roman" w:hAnsi="Times New Roman"/>
          <w:szCs w:val="24"/>
        </w:rPr>
        <w:t>both were not done simultaneously.</w:t>
      </w:r>
      <w:r w:rsidR="00DA4557">
        <w:rPr>
          <w:rFonts w:ascii="Times New Roman" w:hAnsi="Times New Roman"/>
          <w:szCs w:val="24"/>
        </w:rPr>
        <w:t xml:space="preserve"> This approach of data analysis is sought from broader literature</w:t>
      </w:r>
      <w:r w:rsidR="00AA4384">
        <w:rPr>
          <w:rFonts w:ascii="Times New Roman" w:hAnsi="Times New Roman"/>
          <w:szCs w:val="24"/>
        </w:rPr>
        <w:t>,</w:t>
      </w:r>
      <w:r w:rsidR="00DA4557">
        <w:rPr>
          <w:rFonts w:ascii="Times New Roman" w:hAnsi="Times New Roman"/>
          <w:szCs w:val="24"/>
        </w:rPr>
        <w:t xml:space="preserve"> which is based on textual analysis. With textual analysis, the researcher </w:t>
      </w:r>
      <w:r w:rsidR="00C96DD4">
        <w:rPr>
          <w:rFonts w:ascii="Times New Roman" w:hAnsi="Times New Roman"/>
          <w:szCs w:val="24"/>
        </w:rPr>
        <w:t>can</w:t>
      </w:r>
      <w:r w:rsidR="00DA4557">
        <w:rPr>
          <w:rFonts w:ascii="Times New Roman" w:hAnsi="Times New Roman"/>
          <w:szCs w:val="24"/>
        </w:rPr>
        <w:t xml:space="preserve"> interpret the texts in multiple ways, rather than a single approach. Multiple meanings could be inferred via ideological, genre, narrative, rhetorical, gender</w:t>
      </w:r>
      <w:r w:rsidR="00AA4384">
        <w:rPr>
          <w:rFonts w:ascii="Times New Roman" w:hAnsi="Times New Roman"/>
          <w:szCs w:val="24"/>
        </w:rPr>
        <w:t>,</w:t>
      </w:r>
      <w:r w:rsidR="00DA4557">
        <w:rPr>
          <w:rFonts w:ascii="Times New Roman" w:hAnsi="Times New Roman"/>
          <w:szCs w:val="24"/>
        </w:rPr>
        <w:t xml:space="preserve"> or discourse analysis.</w:t>
      </w:r>
      <w:r w:rsidR="00DA4557">
        <w:rPr>
          <w:rStyle w:val="FootnoteReference"/>
          <w:rFonts w:ascii="Times New Roman" w:hAnsi="Times New Roman"/>
          <w:szCs w:val="24"/>
        </w:rPr>
        <w:footnoteReference w:id="66"/>
      </w:r>
      <w:r w:rsidR="005C762B">
        <w:rPr>
          <w:rFonts w:ascii="Times New Roman" w:hAnsi="Times New Roman"/>
          <w:szCs w:val="24"/>
        </w:rPr>
        <w:t xml:space="preserve"> Multiple interpretations </w:t>
      </w:r>
      <w:r w:rsidR="00DA4557">
        <w:rPr>
          <w:rFonts w:ascii="Times New Roman" w:hAnsi="Times New Roman"/>
          <w:szCs w:val="24"/>
        </w:rPr>
        <w:t>connote that the text is situated within a theoretical background is open to several meanings.</w:t>
      </w:r>
      <w:r w:rsidR="003E54F3">
        <w:rPr>
          <w:rFonts w:ascii="Times New Roman" w:hAnsi="Times New Roman"/>
          <w:szCs w:val="24"/>
        </w:rPr>
        <w:t xml:space="preserve"> Given this, the research conducted the thematic </w:t>
      </w:r>
      <w:r w:rsidR="00C96DD4">
        <w:rPr>
          <w:rFonts w:ascii="Times New Roman" w:hAnsi="Times New Roman"/>
          <w:szCs w:val="24"/>
        </w:rPr>
        <w:t>study</w:t>
      </w:r>
      <w:r w:rsidR="003E54F3">
        <w:rPr>
          <w:rFonts w:ascii="Times New Roman" w:hAnsi="Times New Roman"/>
          <w:szCs w:val="24"/>
        </w:rPr>
        <w:t xml:space="preserve"> by identifying the texts within a theoretical context. This method of analysis uncovered the findings effectively</w:t>
      </w:r>
      <w:r w:rsidR="005C762B">
        <w:rPr>
          <w:rFonts w:ascii="Times New Roman" w:hAnsi="Times New Roman"/>
          <w:szCs w:val="24"/>
        </w:rPr>
        <w:t xml:space="preserve"> through inductive qualitative analysis.</w:t>
      </w:r>
      <w:r w:rsidR="003E54F3">
        <w:rPr>
          <w:rFonts w:ascii="Times New Roman" w:hAnsi="Times New Roman"/>
          <w:szCs w:val="24"/>
        </w:rPr>
        <w:t xml:space="preserve"> </w:t>
      </w:r>
    </w:p>
    <w:p w14:paraId="6B6EEAC1" w14:textId="7146686F" w:rsidR="0033682D" w:rsidRPr="00693DE6" w:rsidRDefault="00C96DD4" w:rsidP="0004351F">
      <w:pPr>
        <w:spacing w:line="480" w:lineRule="auto"/>
        <w:jc w:val="both"/>
        <w:rPr>
          <w:rFonts w:ascii="Times New Roman" w:hAnsi="Times New Roman"/>
          <w:szCs w:val="24"/>
        </w:rPr>
      </w:pPr>
      <w:r>
        <w:rPr>
          <w:rFonts w:ascii="Times New Roman" w:hAnsi="Times New Roman"/>
          <w:szCs w:val="24"/>
        </w:rPr>
        <w:lastRenderedPageBreak/>
        <w:t>W</w:t>
      </w:r>
      <w:r w:rsidR="004E3F9D" w:rsidRPr="00693DE6">
        <w:rPr>
          <w:rFonts w:ascii="Times New Roman" w:hAnsi="Times New Roman"/>
          <w:szCs w:val="24"/>
        </w:rPr>
        <w:t xml:space="preserve">hile providing such a rich resource of </w:t>
      </w:r>
      <w:r w:rsidR="00105CDE">
        <w:rPr>
          <w:rFonts w:ascii="Times New Roman" w:hAnsi="Times New Roman"/>
          <w:szCs w:val="24"/>
        </w:rPr>
        <w:t>victims' interaction</w:t>
      </w:r>
      <w:r w:rsidR="004E3F9D" w:rsidRPr="00693DE6">
        <w:rPr>
          <w:rFonts w:ascii="Times New Roman" w:hAnsi="Times New Roman"/>
          <w:szCs w:val="24"/>
        </w:rPr>
        <w:t>s,</w:t>
      </w:r>
      <w:r w:rsidR="0033682D" w:rsidRPr="00693DE6">
        <w:rPr>
          <w:rFonts w:ascii="Times New Roman" w:hAnsi="Times New Roman"/>
          <w:szCs w:val="24"/>
        </w:rPr>
        <w:t xml:space="preserve"> </w:t>
      </w:r>
      <w:r w:rsidR="004E3F9D" w:rsidRPr="00693DE6">
        <w:rPr>
          <w:rFonts w:ascii="Times New Roman" w:hAnsi="Times New Roman"/>
          <w:szCs w:val="24"/>
        </w:rPr>
        <w:t xml:space="preserve">transcripts are not often used as extensively </w:t>
      </w:r>
      <w:r w:rsidR="0033682D" w:rsidRPr="00693DE6">
        <w:rPr>
          <w:rFonts w:ascii="Times New Roman" w:hAnsi="Times New Roman"/>
          <w:szCs w:val="24"/>
        </w:rPr>
        <w:t xml:space="preserve">as </w:t>
      </w:r>
      <w:r w:rsidR="00543831">
        <w:rPr>
          <w:rFonts w:ascii="Times New Roman" w:hAnsi="Times New Roman"/>
          <w:szCs w:val="24"/>
        </w:rPr>
        <w:t xml:space="preserve">the researcher </w:t>
      </w:r>
      <w:r w:rsidR="0033682D" w:rsidRPr="00693DE6">
        <w:rPr>
          <w:rFonts w:ascii="Times New Roman" w:hAnsi="Times New Roman"/>
          <w:szCs w:val="24"/>
        </w:rPr>
        <w:t>ha</w:t>
      </w:r>
      <w:r w:rsidR="00543831">
        <w:rPr>
          <w:rFonts w:ascii="Times New Roman" w:hAnsi="Times New Roman"/>
          <w:szCs w:val="24"/>
        </w:rPr>
        <w:t>d</w:t>
      </w:r>
      <w:r w:rsidR="0033682D" w:rsidRPr="00693DE6">
        <w:rPr>
          <w:rFonts w:ascii="Times New Roman" w:hAnsi="Times New Roman"/>
          <w:szCs w:val="24"/>
        </w:rPr>
        <w:t xml:space="preserve"> used them in this the</w:t>
      </w:r>
      <w:r w:rsidR="004E3F9D" w:rsidRPr="00693DE6">
        <w:rPr>
          <w:rFonts w:ascii="Times New Roman" w:hAnsi="Times New Roman"/>
          <w:szCs w:val="24"/>
        </w:rPr>
        <w:t>si</w:t>
      </w:r>
      <w:r w:rsidR="0033682D" w:rsidRPr="00693DE6">
        <w:rPr>
          <w:rFonts w:ascii="Times New Roman" w:hAnsi="Times New Roman"/>
          <w:szCs w:val="24"/>
        </w:rPr>
        <w:t>s</w:t>
      </w:r>
      <w:r w:rsidR="004E3F9D" w:rsidRPr="00693DE6">
        <w:rPr>
          <w:rFonts w:ascii="Times New Roman" w:hAnsi="Times New Roman"/>
          <w:szCs w:val="24"/>
        </w:rPr>
        <w:t xml:space="preserve"> in international criminal legal research. </w:t>
      </w:r>
      <w:r w:rsidR="0033682D" w:rsidRPr="00693DE6">
        <w:rPr>
          <w:rFonts w:ascii="Times New Roman" w:hAnsi="Times New Roman"/>
          <w:szCs w:val="24"/>
        </w:rPr>
        <w:t>Transcripts als</w:t>
      </w:r>
      <w:r w:rsidR="00F515A2" w:rsidRPr="00693DE6">
        <w:rPr>
          <w:rFonts w:ascii="Times New Roman" w:hAnsi="Times New Roman"/>
          <w:szCs w:val="24"/>
        </w:rPr>
        <w:t>o give a detailed</w:t>
      </w:r>
      <w:r w:rsidR="0004351F">
        <w:rPr>
          <w:rFonts w:ascii="Times New Roman" w:hAnsi="Times New Roman"/>
          <w:szCs w:val="24"/>
        </w:rPr>
        <w:t xml:space="preserve"> and authentic</w:t>
      </w:r>
      <w:r w:rsidR="00F515A2" w:rsidRPr="00693DE6">
        <w:rPr>
          <w:rFonts w:ascii="Times New Roman" w:hAnsi="Times New Roman"/>
          <w:szCs w:val="24"/>
        </w:rPr>
        <w:t xml:space="preserve"> account of the conversations, questions</w:t>
      </w:r>
      <w:r w:rsidR="00105CDE">
        <w:rPr>
          <w:rFonts w:ascii="Times New Roman" w:hAnsi="Times New Roman"/>
          <w:szCs w:val="24"/>
        </w:rPr>
        <w:t>,</w:t>
      </w:r>
      <w:r w:rsidR="00F515A2" w:rsidRPr="00693DE6">
        <w:rPr>
          <w:rFonts w:ascii="Times New Roman" w:hAnsi="Times New Roman"/>
          <w:szCs w:val="24"/>
        </w:rPr>
        <w:t xml:space="preserve"> and answers between the </w:t>
      </w:r>
      <w:r w:rsidR="00BF790B">
        <w:rPr>
          <w:rFonts w:ascii="Times New Roman" w:hAnsi="Times New Roman"/>
          <w:szCs w:val="24"/>
        </w:rPr>
        <w:t>P</w:t>
      </w:r>
      <w:r w:rsidR="00F515A2" w:rsidRPr="00693DE6">
        <w:rPr>
          <w:rFonts w:ascii="Times New Roman" w:hAnsi="Times New Roman"/>
          <w:szCs w:val="24"/>
        </w:rPr>
        <w:t>rosecutor and victims, judges and the Legal Representatives of Victims and the Office of Public Counsel for Victims.</w:t>
      </w:r>
      <w:r w:rsidR="00597D2D">
        <w:rPr>
          <w:rFonts w:ascii="Times New Roman" w:hAnsi="Times New Roman"/>
          <w:szCs w:val="24"/>
        </w:rPr>
        <w:t xml:space="preserve"> With thematic analysis, the researcher </w:t>
      </w:r>
      <w:r w:rsidR="00543831">
        <w:rPr>
          <w:rFonts w:ascii="Times New Roman" w:hAnsi="Times New Roman"/>
          <w:szCs w:val="24"/>
        </w:rPr>
        <w:t>can</w:t>
      </w:r>
      <w:r w:rsidR="00597D2D">
        <w:rPr>
          <w:rFonts w:ascii="Times New Roman" w:hAnsi="Times New Roman"/>
          <w:szCs w:val="24"/>
        </w:rPr>
        <w:t xml:space="preserve"> examine and identify the texts in smaller parts. This analysis makes it easier for the researcher to answer the researcher questions and draw conclusions about victims</w:t>
      </w:r>
      <w:r w:rsidR="00F72A5B">
        <w:rPr>
          <w:rFonts w:ascii="Times New Roman" w:hAnsi="Times New Roman"/>
          <w:szCs w:val="24"/>
        </w:rPr>
        <w:t>'</w:t>
      </w:r>
      <w:r w:rsidR="00597D2D">
        <w:rPr>
          <w:rFonts w:ascii="Times New Roman" w:hAnsi="Times New Roman"/>
          <w:szCs w:val="24"/>
        </w:rPr>
        <w:t xml:space="preserve"> expectations, needs</w:t>
      </w:r>
      <w:r w:rsidR="00105CDE">
        <w:rPr>
          <w:rFonts w:ascii="Times New Roman" w:hAnsi="Times New Roman"/>
          <w:szCs w:val="24"/>
        </w:rPr>
        <w:t>,</w:t>
      </w:r>
      <w:r w:rsidR="00597D2D">
        <w:rPr>
          <w:rFonts w:ascii="Times New Roman" w:hAnsi="Times New Roman"/>
          <w:szCs w:val="24"/>
        </w:rPr>
        <w:t xml:space="preserve"> and concerns at the ICC.</w:t>
      </w:r>
      <w:r w:rsidR="00BE4462">
        <w:rPr>
          <w:rFonts w:ascii="Times New Roman" w:hAnsi="Times New Roman"/>
          <w:szCs w:val="24"/>
        </w:rPr>
        <w:t xml:space="preserve"> Thread is found in </w:t>
      </w:r>
      <w:r w:rsidR="00597D2D">
        <w:rPr>
          <w:rFonts w:ascii="Times New Roman" w:hAnsi="Times New Roman"/>
          <w:szCs w:val="24"/>
        </w:rPr>
        <w:t>Victims</w:t>
      </w:r>
      <w:r w:rsidR="00F72A5B">
        <w:rPr>
          <w:rFonts w:ascii="Times New Roman" w:hAnsi="Times New Roman"/>
          <w:szCs w:val="24"/>
        </w:rPr>
        <w:t>'</w:t>
      </w:r>
      <w:r w:rsidR="00597D2D">
        <w:rPr>
          <w:rFonts w:ascii="Times New Roman" w:hAnsi="Times New Roman"/>
          <w:szCs w:val="24"/>
        </w:rPr>
        <w:t xml:space="preserve"> submissions and observations</w:t>
      </w:r>
      <w:r w:rsidR="00105CDE">
        <w:rPr>
          <w:rFonts w:ascii="Times New Roman" w:hAnsi="Times New Roman"/>
          <w:szCs w:val="24"/>
        </w:rPr>
        <w:t>,</w:t>
      </w:r>
      <w:r w:rsidR="00BE4462">
        <w:rPr>
          <w:rFonts w:ascii="Times New Roman" w:hAnsi="Times New Roman"/>
          <w:szCs w:val="24"/>
        </w:rPr>
        <w:t xml:space="preserve"> which is demonstrated in the textual information and transcripts.</w:t>
      </w:r>
      <w:r w:rsidR="00543831">
        <w:rPr>
          <w:rFonts w:ascii="Times New Roman" w:hAnsi="Times New Roman"/>
          <w:szCs w:val="24"/>
        </w:rPr>
        <w:t xml:space="preserve"> </w:t>
      </w:r>
      <w:r w:rsidR="0033682D" w:rsidRPr="00693DE6">
        <w:rPr>
          <w:rFonts w:ascii="Times New Roman" w:hAnsi="Times New Roman"/>
          <w:szCs w:val="24"/>
        </w:rPr>
        <w:t>It should be noted that the use of transcripts data entails certain limitations</w:t>
      </w:r>
      <w:r w:rsidR="00105CDE">
        <w:rPr>
          <w:rFonts w:ascii="Times New Roman" w:hAnsi="Times New Roman"/>
          <w:szCs w:val="24"/>
        </w:rPr>
        <w:t>,</w:t>
      </w:r>
      <w:r w:rsidR="0033682D" w:rsidRPr="00693DE6">
        <w:rPr>
          <w:rFonts w:ascii="Times New Roman" w:hAnsi="Times New Roman"/>
          <w:szCs w:val="24"/>
        </w:rPr>
        <w:t xml:space="preserve"> which will be discussed further below.</w:t>
      </w:r>
    </w:p>
    <w:p w14:paraId="1930CE40" w14:textId="6E660894" w:rsidR="000341DB" w:rsidRPr="00693DE6" w:rsidRDefault="0004351F" w:rsidP="00693DE6">
      <w:pPr>
        <w:spacing w:line="480" w:lineRule="auto"/>
        <w:jc w:val="both"/>
        <w:rPr>
          <w:rFonts w:ascii="Times New Roman" w:hAnsi="Times New Roman"/>
          <w:szCs w:val="24"/>
        </w:rPr>
      </w:pPr>
      <w:r>
        <w:rPr>
          <w:rFonts w:ascii="Times New Roman" w:hAnsi="Times New Roman"/>
          <w:szCs w:val="24"/>
        </w:rPr>
        <w:t>The research fo</w:t>
      </w:r>
      <w:r w:rsidR="001A7DF8">
        <w:rPr>
          <w:rFonts w:ascii="Times New Roman" w:hAnsi="Times New Roman"/>
          <w:szCs w:val="24"/>
        </w:rPr>
        <w:t>cuses on</w:t>
      </w:r>
      <w:r w:rsidR="00F515A2" w:rsidRPr="00693DE6">
        <w:rPr>
          <w:rFonts w:ascii="Times New Roman" w:hAnsi="Times New Roman"/>
          <w:szCs w:val="24"/>
        </w:rPr>
        <w:t xml:space="preserve"> the </w:t>
      </w:r>
      <w:r w:rsidR="00F515A2" w:rsidRPr="00693DE6">
        <w:rPr>
          <w:rFonts w:ascii="Times New Roman" w:hAnsi="Times New Roman"/>
          <w:i/>
          <w:szCs w:val="24"/>
        </w:rPr>
        <w:t>Lubanga</w:t>
      </w:r>
      <w:r w:rsidR="00F515A2" w:rsidRPr="00693DE6">
        <w:rPr>
          <w:rFonts w:ascii="Times New Roman" w:hAnsi="Times New Roman"/>
          <w:szCs w:val="24"/>
        </w:rPr>
        <w:t xml:space="preserve"> and </w:t>
      </w:r>
      <w:r w:rsidR="00F515A2" w:rsidRPr="00693DE6">
        <w:rPr>
          <w:rFonts w:ascii="Times New Roman" w:hAnsi="Times New Roman"/>
          <w:i/>
          <w:szCs w:val="24"/>
        </w:rPr>
        <w:t>Katanga case.</w:t>
      </w:r>
      <w:r w:rsidR="000341DB" w:rsidRPr="00693DE6">
        <w:rPr>
          <w:rFonts w:ascii="Times New Roman" w:hAnsi="Times New Roman"/>
          <w:i/>
          <w:szCs w:val="24"/>
        </w:rPr>
        <w:t xml:space="preserve"> </w:t>
      </w:r>
      <w:r w:rsidR="00F515A2" w:rsidRPr="00693DE6">
        <w:rPr>
          <w:rFonts w:ascii="Times New Roman" w:hAnsi="Times New Roman"/>
          <w:szCs w:val="24"/>
        </w:rPr>
        <w:t xml:space="preserve">The </w:t>
      </w:r>
      <w:r w:rsidR="00543831">
        <w:rPr>
          <w:rFonts w:ascii="Times New Roman" w:hAnsi="Times New Roman"/>
          <w:szCs w:val="24"/>
        </w:rPr>
        <w:t xml:space="preserve">researcher chose the </w:t>
      </w:r>
      <w:r w:rsidR="00F515A2" w:rsidRPr="00693DE6">
        <w:rPr>
          <w:rFonts w:ascii="Times New Roman" w:hAnsi="Times New Roman"/>
          <w:i/>
          <w:szCs w:val="24"/>
        </w:rPr>
        <w:t>Lubanga</w:t>
      </w:r>
      <w:r w:rsidR="00F515A2" w:rsidRPr="00693DE6">
        <w:rPr>
          <w:rFonts w:ascii="Times New Roman" w:hAnsi="Times New Roman"/>
          <w:szCs w:val="24"/>
        </w:rPr>
        <w:t xml:space="preserve"> case because it is the first</w:t>
      </w:r>
      <w:r w:rsidR="00244C60">
        <w:rPr>
          <w:rFonts w:ascii="Times New Roman" w:hAnsi="Times New Roman"/>
          <w:szCs w:val="24"/>
        </w:rPr>
        <w:t xml:space="preserve"> completed</w:t>
      </w:r>
      <w:r w:rsidR="00F515A2" w:rsidRPr="00693DE6">
        <w:rPr>
          <w:rFonts w:ascii="Times New Roman" w:hAnsi="Times New Roman"/>
          <w:szCs w:val="24"/>
        </w:rPr>
        <w:t xml:space="preserve"> case decided by the ICC. </w:t>
      </w:r>
      <w:r w:rsidR="00C96DD4">
        <w:rPr>
          <w:rFonts w:ascii="Times New Roman" w:hAnsi="Times New Roman"/>
          <w:szCs w:val="24"/>
        </w:rPr>
        <w:t>Therefore, both cases</w:t>
      </w:r>
      <w:r w:rsidR="00244C60">
        <w:rPr>
          <w:rFonts w:ascii="Times New Roman" w:hAnsi="Times New Roman"/>
          <w:szCs w:val="24"/>
        </w:rPr>
        <w:t xml:space="preserve"> provide an </w:t>
      </w:r>
      <w:r w:rsidR="00E557AB">
        <w:rPr>
          <w:rFonts w:ascii="Times New Roman" w:hAnsi="Times New Roman"/>
          <w:szCs w:val="24"/>
        </w:rPr>
        <w:t>essential</w:t>
      </w:r>
      <w:r w:rsidR="00244C60">
        <w:rPr>
          <w:rFonts w:ascii="Times New Roman" w:hAnsi="Times New Roman"/>
          <w:szCs w:val="24"/>
        </w:rPr>
        <w:t xml:space="preserve"> glimpse into </w:t>
      </w:r>
      <w:r w:rsidR="00543831">
        <w:rPr>
          <w:rFonts w:ascii="Times New Roman" w:hAnsi="Times New Roman"/>
          <w:szCs w:val="24"/>
        </w:rPr>
        <w:t xml:space="preserve">the treatment of victims </w:t>
      </w:r>
      <w:r w:rsidR="00244C60">
        <w:rPr>
          <w:rFonts w:ascii="Times New Roman" w:hAnsi="Times New Roman"/>
          <w:szCs w:val="24"/>
        </w:rPr>
        <w:t xml:space="preserve">in the </w:t>
      </w:r>
      <w:r w:rsidR="002D487E">
        <w:rPr>
          <w:rFonts w:ascii="Times New Roman" w:hAnsi="Times New Roman"/>
          <w:szCs w:val="24"/>
        </w:rPr>
        <w:t>ICC's early trials</w:t>
      </w:r>
      <w:r w:rsidR="00244C60">
        <w:rPr>
          <w:rFonts w:ascii="Times New Roman" w:hAnsi="Times New Roman"/>
          <w:szCs w:val="24"/>
        </w:rPr>
        <w:t xml:space="preserve">. These may be used to compare how the </w:t>
      </w:r>
      <w:r w:rsidR="00C96DD4">
        <w:rPr>
          <w:rFonts w:ascii="Times New Roman" w:hAnsi="Times New Roman"/>
          <w:szCs w:val="24"/>
        </w:rPr>
        <w:t>ICC treatment</w:t>
      </w:r>
      <w:r w:rsidR="00244C60">
        <w:rPr>
          <w:rFonts w:ascii="Times New Roman" w:hAnsi="Times New Roman"/>
          <w:szCs w:val="24"/>
        </w:rPr>
        <w:t xml:space="preserve"> may evolve as the </w:t>
      </w:r>
      <w:r w:rsidR="0012481D">
        <w:rPr>
          <w:rFonts w:ascii="Times New Roman" w:hAnsi="Times New Roman"/>
          <w:szCs w:val="24"/>
        </w:rPr>
        <w:t>c</w:t>
      </w:r>
      <w:r w:rsidR="00244C60">
        <w:rPr>
          <w:rFonts w:ascii="Times New Roman" w:hAnsi="Times New Roman"/>
          <w:szCs w:val="24"/>
        </w:rPr>
        <w:t>ourt gains experience. In both cases, there were a significant number of victims who suffered harm as a result of war crimes and crimes against humanity committed by the defendants.</w:t>
      </w:r>
      <w:r w:rsidR="00E557AB">
        <w:rPr>
          <w:rFonts w:ascii="Times New Roman" w:hAnsi="Times New Roman"/>
          <w:szCs w:val="24"/>
        </w:rPr>
        <w:t xml:space="preserve"> </w:t>
      </w:r>
      <w:r w:rsidR="00244C60">
        <w:rPr>
          <w:rFonts w:ascii="Times New Roman" w:hAnsi="Times New Roman"/>
          <w:szCs w:val="24"/>
        </w:rPr>
        <w:t xml:space="preserve">Naturally, however, as the </w:t>
      </w:r>
      <w:r w:rsidR="00244C60" w:rsidRPr="006D4CC1">
        <w:rPr>
          <w:rFonts w:ascii="Times New Roman" w:hAnsi="Times New Roman"/>
          <w:i/>
          <w:szCs w:val="24"/>
        </w:rPr>
        <w:t xml:space="preserve">Lubanga </w:t>
      </w:r>
      <w:r w:rsidR="00244C60" w:rsidRPr="006D4CC1">
        <w:rPr>
          <w:rFonts w:ascii="Times New Roman" w:hAnsi="Times New Roman"/>
          <w:szCs w:val="24"/>
        </w:rPr>
        <w:t xml:space="preserve">and </w:t>
      </w:r>
      <w:r w:rsidR="00244C60" w:rsidRPr="006D4CC1">
        <w:rPr>
          <w:rFonts w:ascii="Times New Roman" w:hAnsi="Times New Roman"/>
          <w:i/>
          <w:szCs w:val="24"/>
        </w:rPr>
        <w:t xml:space="preserve">Katanga </w:t>
      </w:r>
      <w:r w:rsidR="00244C60" w:rsidRPr="000F271F">
        <w:rPr>
          <w:rFonts w:ascii="Times New Roman" w:hAnsi="Times New Roman"/>
          <w:szCs w:val="24"/>
        </w:rPr>
        <w:t>cases</w:t>
      </w:r>
      <w:r w:rsidR="00244C60">
        <w:rPr>
          <w:rFonts w:ascii="Times New Roman" w:hAnsi="Times New Roman"/>
          <w:szCs w:val="24"/>
        </w:rPr>
        <w:t xml:space="preserve"> are merely two of </w:t>
      </w:r>
      <w:r w:rsidR="00543831">
        <w:rPr>
          <w:rFonts w:ascii="Times New Roman" w:hAnsi="Times New Roman"/>
          <w:szCs w:val="24"/>
        </w:rPr>
        <w:t>several</w:t>
      </w:r>
      <w:r w:rsidR="00244C60">
        <w:rPr>
          <w:rFonts w:ascii="Times New Roman" w:hAnsi="Times New Roman"/>
          <w:szCs w:val="24"/>
        </w:rPr>
        <w:t xml:space="preserve"> cases involving victim participants before the ICC, the analysis of this thesis </w:t>
      </w:r>
      <w:r w:rsidR="00543831">
        <w:rPr>
          <w:rFonts w:ascii="Times New Roman" w:hAnsi="Times New Roman"/>
          <w:szCs w:val="24"/>
        </w:rPr>
        <w:t>concerning</w:t>
      </w:r>
      <w:r w:rsidR="00244C60">
        <w:rPr>
          <w:rFonts w:ascii="Times New Roman" w:hAnsi="Times New Roman"/>
          <w:szCs w:val="24"/>
        </w:rPr>
        <w:t xml:space="preserve"> these two cases is merely indicative</w:t>
      </w:r>
      <w:r w:rsidR="00E557AB">
        <w:rPr>
          <w:rFonts w:ascii="Times New Roman" w:hAnsi="Times New Roman"/>
          <w:szCs w:val="24"/>
        </w:rPr>
        <w:t>,</w:t>
      </w:r>
      <w:r w:rsidR="00244C60">
        <w:rPr>
          <w:rFonts w:ascii="Times New Roman" w:hAnsi="Times New Roman"/>
          <w:szCs w:val="24"/>
        </w:rPr>
        <w:t xml:space="preserve"> and the thesis is not able to make broader generalisations about the treatment of victims in other cases. </w:t>
      </w:r>
    </w:p>
    <w:p w14:paraId="00652287" w14:textId="619B1627" w:rsidR="00F515A2" w:rsidRPr="00693DE6" w:rsidRDefault="00726852" w:rsidP="00E557AB">
      <w:pPr>
        <w:pStyle w:val="Heading2"/>
      </w:pPr>
      <w:bookmarkStart w:id="6" w:name="_Toc60235785"/>
      <w:r w:rsidRPr="00693DE6">
        <w:lastRenderedPageBreak/>
        <w:t>1</w:t>
      </w:r>
      <w:r w:rsidR="00F0096D" w:rsidRPr="00693DE6">
        <w:t>.</w:t>
      </w:r>
      <w:r w:rsidR="00E101BD" w:rsidRPr="00693DE6">
        <w:t>6</w:t>
      </w:r>
      <w:r w:rsidR="000943DD" w:rsidRPr="00693DE6">
        <w:t xml:space="preserve">  </w:t>
      </w:r>
      <w:r w:rsidR="00F515A2" w:rsidRPr="00693DE6">
        <w:t>R</w:t>
      </w:r>
      <w:r w:rsidR="00F0096D" w:rsidRPr="00693DE6">
        <w:t>esearch Limitations</w:t>
      </w:r>
      <w:bookmarkEnd w:id="6"/>
      <w:r w:rsidR="00F0096D" w:rsidRPr="00693DE6">
        <w:t xml:space="preserve"> </w:t>
      </w:r>
    </w:p>
    <w:p w14:paraId="42EA4E23" w14:textId="0E1AB5B0" w:rsidR="00951618" w:rsidRDefault="00F515A2" w:rsidP="00693DE6">
      <w:pPr>
        <w:spacing w:line="480" w:lineRule="auto"/>
        <w:jc w:val="both"/>
        <w:rPr>
          <w:rFonts w:ascii="Times New Roman" w:hAnsi="Times New Roman"/>
          <w:szCs w:val="24"/>
        </w:rPr>
      </w:pPr>
      <w:r w:rsidRPr="00693DE6">
        <w:rPr>
          <w:rFonts w:ascii="Times New Roman" w:hAnsi="Times New Roman"/>
          <w:szCs w:val="24"/>
        </w:rPr>
        <w:t xml:space="preserve">Due to practical constraints </w:t>
      </w:r>
      <w:r w:rsidR="00951618">
        <w:rPr>
          <w:rFonts w:ascii="Times New Roman" w:hAnsi="Times New Roman"/>
          <w:szCs w:val="24"/>
        </w:rPr>
        <w:t>and resource limitations,</w:t>
      </w:r>
      <w:r w:rsidR="00E557AB">
        <w:rPr>
          <w:rFonts w:ascii="Times New Roman" w:hAnsi="Times New Roman"/>
          <w:szCs w:val="24"/>
        </w:rPr>
        <w:t xml:space="preserve"> </w:t>
      </w:r>
      <w:r w:rsidRPr="00693DE6">
        <w:rPr>
          <w:rFonts w:ascii="Times New Roman" w:hAnsi="Times New Roman"/>
          <w:szCs w:val="24"/>
        </w:rPr>
        <w:t xml:space="preserve">like </w:t>
      </w:r>
      <w:r w:rsidR="00C020B5" w:rsidRPr="00693DE6">
        <w:rPr>
          <w:rFonts w:ascii="Times New Roman" w:hAnsi="Times New Roman"/>
          <w:szCs w:val="24"/>
        </w:rPr>
        <w:t>severe financial and ethical constraints of contacting individual victims to participate in empirical research</w:t>
      </w:r>
      <w:r w:rsidRPr="00693DE6">
        <w:rPr>
          <w:rFonts w:ascii="Times New Roman" w:hAnsi="Times New Roman"/>
          <w:szCs w:val="24"/>
        </w:rPr>
        <w:t xml:space="preserve">, this study does not </w:t>
      </w:r>
      <w:r w:rsidR="00C96DD4">
        <w:rPr>
          <w:rFonts w:ascii="Times New Roman" w:hAnsi="Times New Roman"/>
          <w:szCs w:val="24"/>
        </w:rPr>
        <w:t>directly engage</w:t>
      </w:r>
      <w:r w:rsidR="0033682D" w:rsidRPr="00693DE6">
        <w:rPr>
          <w:rFonts w:ascii="Times New Roman" w:hAnsi="Times New Roman"/>
          <w:szCs w:val="24"/>
        </w:rPr>
        <w:t xml:space="preserve"> victims(human participants)</w:t>
      </w:r>
      <w:r w:rsidR="009A4ECB" w:rsidRPr="00693DE6">
        <w:rPr>
          <w:rFonts w:ascii="Times New Roman" w:hAnsi="Times New Roman"/>
          <w:szCs w:val="24"/>
        </w:rPr>
        <w:t xml:space="preserve">. </w:t>
      </w:r>
      <w:r w:rsidR="0033682D" w:rsidRPr="00693DE6">
        <w:rPr>
          <w:rFonts w:ascii="Times New Roman" w:hAnsi="Times New Roman"/>
          <w:szCs w:val="24"/>
        </w:rPr>
        <w:t>Moreover, it would have been very difficult to establish contact with a viable number of victim participants b</w:t>
      </w:r>
      <w:r w:rsidR="00C96DD4">
        <w:rPr>
          <w:rFonts w:ascii="Times New Roman" w:hAnsi="Times New Roman"/>
          <w:szCs w:val="24"/>
        </w:rPr>
        <w:t>ecause of anonymity issues and</w:t>
      </w:r>
      <w:r w:rsidR="0033682D" w:rsidRPr="00693DE6">
        <w:rPr>
          <w:rFonts w:ascii="Times New Roman" w:hAnsi="Times New Roman"/>
          <w:szCs w:val="24"/>
        </w:rPr>
        <w:t xml:space="preserve"> because they are generally spread across the globe. The </w:t>
      </w:r>
      <w:r w:rsidR="00C96DD4">
        <w:rPr>
          <w:rFonts w:ascii="Times New Roman" w:hAnsi="Times New Roman"/>
          <w:szCs w:val="24"/>
        </w:rPr>
        <w:t>investigation method adopted in this thesis is, focusing on case transcripts as primary sources, is therefore economical and viable</w:t>
      </w:r>
      <w:r w:rsidR="00951618">
        <w:rPr>
          <w:rFonts w:ascii="Times New Roman" w:hAnsi="Times New Roman"/>
          <w:szCs w:val="24"/>
        </w:rPr>
        <w:t xml:space="preserve"> compared to fieldwork research, in view of the time and resources available to complet</w:t>
      </w:r>
      <w:r w:rsidR="00E557AB">
        <w:rPr>
          <w:rFonts w:ascii="Times New Roman" w:hAnsi="Times New Roman"/>
          <w:szCs w:val="24"/>
        </w:rPr>
        <w:t>e</w:t>
      </w:r>
      <w:r w:rsidR="00951618">
        <w:rPr>
          <w:rFonts w:ascii="Times New Roman" w:hAnsi="Times New Roman"/>
          <w:szCs w:val="24"/>
        </w:rPr>
        <w:t xml:space="preserve"> this research.</w:t>
      </w:r>
    </w:p>
    <w:p w14:paraId="31C47E4B" w14:textId="356469C7" w:rsidR="00951618" w:rsidRDefault="00951618" w:rsidP="00D70C3C">
      <w:pPr>
        <w:spacing w:line="480" w:lineRule="auto"/>
        <w:jc w:val="both"/>
        <w:rPr>
          <w:rFonts w:ascii="Times New Roman" w:hAnsi="Times New Roman"/>
          <w:szCs w:val="24"/>
        </w:rPr>
      </w:pPr>
      <w:r>
        <w:rPr>
          <w:rFonts w:ascii="Times New Roman" w:hAnsi="Times New Roman"/>
          <w:szCs w:val="24"/>
        </w:rPr>
        <w:t>This study has used a desk-based approach and is primarily library-based.</w:t>
      </w:r>
      <w:r w:rsidR="00E557AB">
        <w:rPr>
          <w:rFonts w:ascii="Times New Roman" w:hAnsi="Times New Roman"/>
          <w:szCs w:val="24"/>
        </w:rPr>
        <w:t xml:space="preserve"> </w:t>
      </w:r>
      <w:r>
        <w:rPr>
          <w:rFonts w:ascii="Times New Roman" w:hAnsi="Times New Roman"/>
          <w:szCs w:val="24"/>
        </w:rPr>
        <w:t>Flowing from this, transcripts</w:t>
      </w:r>
      <w:r w:rsidR="00F515A2" w:rsidRPr="00693DE6">
        <w:rPr>
          <w:rFonts w:ascii="Times New Roman" w:hAnsi="Times New Roman"/>
          <w:szCs w:val="24"/>
        </w:rPr>
        <w:t>, documents</w:t>
      </w:r>
      <w:r w:rsidR="00EE0F5A">
        <w:rPr>
          <w:rFonts w:ascii="Times New Roman" w:hAnsi="Times New Roman"/>
          <w:szCs w:val="24"/>
        </w:rPr>
        <w:t>,</w:t>
      </w:r>
      <w:r w:rsidR="00F515A2" w:rsidRPr="00693DE6">
        <w:rPr>
          <w:rFonts w:ascii="Times New Roman" w:hAnsi="Times New Roman"/>
          <w:szCs w:val="24"/>
        </w:rPr>
        <w:t xml:space="preserve"> and hi</w:t>
      </w:r>
      <w:r>
        <w:rPr>
          <w:rFonts w:ascii="Times New Roman" w:hAnsi="Times New Roman"/>
          <w:szCs w:val="24"/>
        </w:rPr>
        <w:t>storical records of the ICC have been</w:t>
      </w:r>
      <w:r w:rsidR="00F515A2" w:rsidRPr="00693DE6">
        <w:rPr>
          <w:rFonts w:ascii="Times New Roman" w:hAnsi="Times New Roman"/>
          <w:szCs w:val="24"/>
        </w:rPr>
        <w:t xml:space="preserve"> analysed.</w:t>
      </w:r>
      <w:r w:rsidRPr="00951618">
        <w:rPr>
          <w:rFonts w:ascii="Times New Roman" w:hAnsi="Times New Roman"/>
          <w:szCs w:val="24"/>
        </w:rPr>
        <w:t xml:space="preserve"> </w:t>
      </w:r>
      <w:r>
        <w:rPr>
          <w:rFonts w:ascii="Times New Roman" w:hAnsi="Times New Roman"/>
          <w:szCs w:val="24"/>
        </w:rPr>
        <w:t>These sources, and particularly transcripts, were selected because they provide</w:t>
      </w:r>
      <w:r w:rsidRPr="006D4CC1">
        <w:rPr>
          <w:rFonts w:ascii="Times New Roman" w:hAnsi="Times New Roman"/>
          <w:szCs w:val="24"/>
        </w:rPr>
        <w:t xml:space="preserve"> a rich source of information</w:t>
      </w:r>
      <w:r>
        <w:rPr>
          <w:rFonts w:ascii="Times New Roman" w:hAnsi="Times New Roman"/>
          <w:szCs w:val="24"/>
        </w:rPr>
        <w:t xml:space="preserve"> while generally being under-used in research in this area. </w:t>
      </w:r>
      <w:r w:rsidRPr="006D4CC1">
        <w:rPr>
          <w:rFonts w:ascii="Times New Roman" w:hAnsi="Times New Roman"/>
          <w:szCs w:val="24"/>
        </w:rPr>
        <w:t>It should also be noted that an</w:t>
      </w:r>
      <w:r>
        <w:rPr>
          <w:rFonts w:ascii="Times New Roman" w:hAnsi="Times New Roman"/>
          <w:szCs w:val="24"/>
        </w:rPr>
        <w:t>other</w:t>
      </w:r>
      <w:r w:rsidRPr="006D4CC1">
        <w:rPr>
          <w:rFonts w:ascii="Times New Roman" w:hAnsi="Times New Roman"/>
          <w:szCs w:val="24"/>
        </w:rPr>
        <w:t xml:space="preserve"> </w:t>
      </w:r>
      <w:r w:rsidR="00E46D62">
        <w:rPr>
          <w:rFonts w:ascii="Times New Roman" w:hAnsi="Times New Roman"/>
          <w:szCs w:val="24"/>
        </w:rPr>
        <w:t>signific</w:t>
      </w:r>
      <w:r>
        <w:rPr>
          <w:rFonts w:ascii="Times New Roman" w:hAnsi="Times New Roman"/>
          <w:szCs w:val="24"/>
        </w:rPr>
        <w:t xml:space="preserve">ant </w:t>
      </w:r>
      <w:r w:rsidRPr="006D4CC1">
        <w:rPr>
          <w:rFonts w:ascii="Times New Roman" w:hAnsi="Times New Roman"/>
          <w:szCs w:val="24"/>
        </w:rPr>
        <w:t>advantage of</w:t>
      </w:r>
      <w:r>
        <w:rPr>
          <w:rFonts w:ascii="Times New Roman" w:hAnsi="Times New Roman"/>
          <w:szCs w:val="24"/>
        </w:rPr>
        <w:t xml:space="preserve"> using transcr</w:t>
      </w:r>
      <w:r w:rsidR="00D70C3C">
        <w:rPr>
          <w:rFonts w:ascii="Times New Roman" w:hAnsi="Times New Roman"/>
          <w:szCs w:val="24"/>
        </w:rPr>
        <w:t>ipt data is that there is no ris</w:t>
      </w:r>
      <w:r>
        <w:rPr>
          <w:rFonts w:ascii="Times New Roman" w:hAnsi="Times New Roman"/>
          <w:szCs w:val="24"/>
        </w:rPr>
        <w:t>k of secondary victimisation and negative impact on the victims</w:t>
      </w:r>
      <w:r w:rsidR="00E557AB">
        <w:rPr>
          <w:rFonts w:ascii="Times New Roman" w:hAnsi="Times New Roman"/>
          <w:szCs w:val="24"/>
        </w:rPr>
        <w:t xml:space="preserve"> since</w:t>
      </w:r>
      <w:r>
        <w:rPr>
          <w:rFonts w:ascii="Times New Roman" w:hAnsi="Times New Roman"/>
          <w:szCs w:val="24"/>
        </w:rPr>
        <w:t xml:space="preserve"> there is no contact between the researcher and the victims.</w:t>
      </w:r>
      <w:r w:rsidR="00F515A2" w:rsidRPr="00693DE6">
        <w:rPr>
          <w:rFonts w:ascii="Times New Roman" w:hAnsi="Times New Roman"/>
          <w:szCs w:val="24"/>
        </w:rPr>
        <w:t xml:space="preserve"> </w:t>
      </w:r>
    </w:p>
    <w:p w14:paraId="5A2DC27C" w14:textId="683AD57A" w:rsidR="00D70C3C" w:rsidRDefault="00951618" w:rsidP="00D70C3C">
      <w:pPr>
        <w:spacing w:line="480" w:lineRule="auto"/>
        <w:jc w:val="both"/>
        <w:rPr>
          <w:rFonts w:ascii="Times New Roman" w:hAnsi="Times New Roman"/>
          <w:szCs w:val="24"/>
        </w:rPr>
      </w:pPr>
      <w:r>
        <w:rPr>
          <w:rFonts w:ascii="Times New Roman" w:hAnsi="Times New Roman"/>
          <w:szCs w:val="24"/>
        </w:rPr>
        <w:t>However, the use of this source does imply significant limitations.</w:t>
      </w:r>
      <w:r w:rsidRPr="00951618">
        <w:rPr>
          <w:rFonts w:ascii="Times New Roman" w:hAnsi="Times New Roman"/>
          <w:szCs w:val="24"/>
        </w:rPr>
        <w:t xml:space="preserve"> </w:t>
      </w:r>
      <w:r w:rsidR="00E46D62">
        <w:rPr>
          <w:rFonts w:ascii="Times New Roman" w:hAnsi="Times New Roman"/>
          <w:szCs w:val="24"/>
        </w:rPr>
        <w:t>Notab</w:t>
      </w:r>
      <w:r>
        <w:rPr>
          <w:rFonts w:ascii="Times New Roman" w:hAnsi="Times New Roman"/>
          <w:szCs w:val="24"/>
        </w:rPr>
        <w:t>ly,</w:t>
      </w:r>
      <w:r w:rsidR="00E557AB">
        <w:rPr>
          <w:rFonts w:ascii="Times New Roman" w:hAnsi="Times New Roman"/>
          <w:szCs w:val="24"/>
        </w:rPr>
        <w:t xml:space="preserve"> </w:t>
      </w:r>
      <w:r w:rsidR="00F515A2" w:rsidRPr="00693DE6">
        <w:rPr>
          <w:rFonts w:ascii="Times New Roman" w:hAnsi="Times New Roman"/>
          <w:szCs w:val="24"/>
        </w:rPr>
        <w:t xml:space="preserve">It is </w:t>
      </w:r>
      <w:r>
        <w:rPr>
          <w:rFonts w:ascii="Times New Roman" w:hAnsi="Times New Roman"/>
          <w:szCs w:val="24"/>
        </w:rPr>
        <w:t>not possible to detect non-verbal communication, like facial expression and body language</w:t>
      </w:r>
      <w:r w:rsidR="00EE0F5A">
        <w:rPr>
          <w:rFonts w:ascii="Times New Roman" w:hAnsi="Times New Roman"/>
          <w:szCs w:val="24"/>
        </w:rPr>
        <w:t>,</w:t>
      </w:r>
      <w:r>
        <w:rPr>
          <w:rFonts w:ascii="Times New Roman" w:hAnsi="Times New Roman"/>
          <w:szCs w:val="24"/>
        </w:rPr>
        <w:t xml:space="preserve"> and other symbols used for </w:t>
      </w:r>
      <w:r w:rsidR="00B27D69">
        <w:rPr>
          <w:rFonts w:ascii="Times New Roman" w:hAnsi="Times New Roman"/>
          <w:szCs w:val="24"/>
        </w:rPr>
        <w:t>transmiss</w:t>
      </w:r>
      <w:r>
        <w:rPr>
          <w:rFonts w:ascii="Times New Roman" w:hAnsi="Times New Roman"/>
          <w:szCs w:val="24"/>
        </w:rPr>
        <w:t xml:space="preserve">ion </w:t>
      </w:r>
      <w:r w:rsidR="00E46D62">
        <w:rPr>
          <w:rFonts w:ascii="Times New Roman" w:hAnsi="Times New Roman"/>
          <w:szCs w:val="24"/>
        </w:rPr>
        <w:t>based on</w:t>
      </w:r>
      <w:r>
        <w:rPr>
          <w:rFonts w:ascii="Times New Roman" w:hAnsi="Times New Roman"/>
          <w:szCs w:val="24"/>
        </w:rPr>
        <w:t xml:space="preserve"> the transcripts.</w:t>
      </w:r>
      <w:r w:rsidR="00E557AB">
        <w:rPr>
          <w:rFonts w:ascii="Times New Roman" w:hAnsi="Times New Roman"/>
          <w:szCs w:val="24"/>
        </w:rPr>
        <w:t xml:space="preserve"> </w:t>
      </w:r>
      <w:r>
        <w:rPr>
          <w:rFonts w:ascii="Times New Roman" w:hAnsi="Times New Roman"/>
          <w:szCs w:val="24"/>
        </w:rPr>
        <w:t>Moreover, in some cases, the submissions of victims were redacted in the tran</w:t>
      </w:r>
      <w:r w:rsidR="00D70C3C">
        <w:rPr>
          <w:rFonts w:ascii="Times New Roman" w:hAnsi="Times New Roman"/>
          <w:szCs w:val="24"/>
        </w:rPr>
        <w:t>scripts.</w:t>
      </w:r>
      <w:r w:rsidR="00E557AB">
        <w:rPr>
          <w:rFonts w:ascii="Times New Roman" w:hAnsi="Times New Roman"/>
          <w:szCs w:val="24"/>
        </w:rPr>
        <w:t xml:space="preserve"> </w:t>
      </w:r>
      <w:r w:rsidR="00D70C3C">
        <w:rPr>
          <w:rFonts w:ascii="Times New Roman" w:hAnsi="Times New Roman"/>
          <w:szCs w:val="24"/>
        </w:rPr>
        <w:t>In reading and analysi</w:t>
      </w:r>
      <w:r>
        <w:rPr>
          <w:rFonts w:ascii="Times New Roman" w:hAnsi="Times New Roman"/>
          <w:szCs w:val="24"/>
        </w:rPr>
        <w:t xml:space="preserve">ng the transcripts data, the researcher had to read and interpret the words </w:t>
      </w:r>
      <w:r w:rsidR="00D70C3C" w:rsidRPr="006D4CC1">
        <w:rPr>
          <w:rFonts w:ascii="Times New Roman" w:hAnsi="Times New Roman"/>
          <w:szCs w:val="24"/>
        </w:rPr>
        <w:t>and interactions between the victims, their representatives</w:t>
      </w:r>
      <w:r w:rsidR="00C96DD4">
        <w:rPr>
          <w:rFonts w:ascii="Times New Roman" w:hAnsi="Times New Roman"/>
          <w:szCs w:val="24"/>
        </w:rPr>
        <w:t>, and other court stakeholders</w:t>
      </w:r>
      <w:r w:rsidR="00E557AB">
        <w:rPr>
          <w:rFonts w:ascii="Times New Roman" w:hAnsi="Times New Roman"/>
          <w:szCs w:val="24"/>
        </w:rPr>
        <w:t xml:space="preserve">. </w:t>
      </w:r>
      <w:r w:rsidR="00E557AB">
        <w:rPr>
          <w:rFonts w:ascii="Times New Roman" w:hAnsi="Times New Roman"/>
          <w:szCs w:val="24"/>
        </w:rPr>
        <w:lastRenderedPageBreak/>
        <w:t>T</w:t>
      </w:r>
      <w:r w:rsidR="00D70C3C" w:rsidRPr="006D4CC1">
        <w:rPr>
          <w:rFonts w:ascii="Times New Roman" w:hAnsi="Times New Roman"/>
          <w:szCs w:val="24"/>
        </w:rPr>
        <w:t>h</w:t>
      </w:r>
      <w:r w:rsidR="00C96DD4">
        <w:rPr>
          <w:rFonts w:ascii="Times New Roman" w:hAnsi="Times New Roman"/>
          <w:szCs w:val="24"/>
        </w:rPr>
        <w:t>is research's analysis and findings</w:t>
      </w:r>
      <w:r w:rsidR="00D70C3C" w:rsidRPr="006D4CC1">
        <w:rPr>
          <w:rFonts w:ascii="Times New Roman" w:hAnsi="Times New Roman"/>
          <w:szCs w:val="24"/>
        </w:rPr>
        <w:t xml:space="preserve"> are based on the researcher</w:t>
      </w:r>
      <w:r w:rsidR="00F72A5B">
        <w:rPr>
          <w:rFonts w:ascii="Times New Roman" w:hAnsi="Times New Roman"/>
          <w:szCs w:val="24"/>
        </w:rPr>
        <w:t>'</w:t>
      </w:r>
      <w:r w:rsidR="00D70C3C" w:rsidRPr="006D4CC1">
        <w:rPr>
          <w:rFonts w:ascii="Times New Roman" w:hAnsi="Times New Roman"/>
          <w:szCs w:val="24"/>
        </w:rPr>
        <w:t xml:space="preserve">s </w:t>
      </w:r>
      <w:r w:rsidR="00D70C3C">
        <w:rPr>
          <w:rFonts w:ascii="Times New Roman" w:hAnsi="Times New Roman"/>
          <w:szCs w:val="24"/>
        </w:rPr>
        <w:t xml:space="preserve">understandings and </w:t>
      </w:r>
      <w:r w:rsidR="00D70C3C" w:rsidRPr="006D4CC1">
        <w:rPr>
          <w:rFonts w:ascii="Times New Roman" w:hAnsi="Times New Roman"/>
          <w:szCs w:val="24"/>
        </w:rPr>
        <w:t xml:space="preserve">interpretations of </w:t>
      </w:r>
      <w:r w:rsidR="00D70C3C">
        <w:rPr>
          <w:rFonts w:ascii="Times New Roman" w:hAnsi="Times New Roman"/>
          <w:szCs w:val="24"/>
        </w:rPr>
        <w:t>these transcripts.</w:t>
      </w:r>
      <w:r w:rsidR="00E557AB">
        <w:rPr>
          <w:rFonts w:ascii="Times New Roman" w:hAnsi="Times New Roman"/>
          <w:szCs w:val="24"/>
        </w:rPr>
        <w:t xml:space="preserve"> It should be noted that this limitation is</w:t>
      </w:r>
      <w:r w:rsidR="00D70C3C">
        <w:rPr>
          <w:rFonts w:ascii="Times New Roman" w:hAnsi="Times New Roman"/>
          <w:szCs w:val="24"/>
        </w:rPr>
        <w:t xml:space="preserve"> </w:t>
      </w:r>
      <w:r w:rsidR="00E557AB">
        <w:rPr>
          <w:rFonts w:ascii="Times New Roman" w:hAnsi="Times New Roman"/>
          <w:szCs w:val="24"/>
        </w:rPr>
        <w:t>signific</w:t>
      </w:r>
      <w:r w:rsidR="00D70C3C">
        <w:rPr>
          <w:rFonts w:ascii="Times New Roman" w:hAnsi="Times New Roman"/>
          <w:szCs w:val="24"/>
        </w:rPr>
        <w:t>ant because, while analysing the transcripts, some sentences/statements might have been ambiguous and open to differing interpretations.</w:t>
      </w:r>
      <w:r w:rsidR="00D70C3C" w:rsidRPr="00D70C3C">
        <w:rPr>
          <w:rFonts w:ascii="Times New Roman" w:hAnsi="Times New Roman"/>
          <w:szCs w:val="24"/>
        </w:rPr>
        <w:t xml:space="preserve"> </w:t>
      </w:r>
      <w:r w:rsidR="00D70C3C">
        <w:rPr>
          <w:rFonts w:ascii="Times New Roman" w:hAnsi="Times New Roman"/>
          <w:szCs w:val="24"/>
        </w:rPr>
        <w:t>However, as I did not have direct contact with the victims or other players involved, I could not probe further, through empirical methods, to ascertain such subjective meanings</w:t>
      </w:r>
      <w:r w:rsidR="00D70C3C" w:rsidRPr="006D4CC1">
        <w:rPr>
          <w:rFonts w:ascii="Times New Roman" w:hAnsi="Times New Roman"/>
          <w:szCs w:val="24"/>
        </w:rPr>
        <w:t xml:space="preserve">. </w:t>
      </w:r>
    </w:p>
    <w:p w14:paraId="288AF494" w14:textId="782F2AC0" w:rsidR="00D70C3C" w:rsidRDefault="00D70C3C" w:rsidP="00D70C3C">
      <w:pPr>
        <w:spacing w:line="480" w:lineRule="auto"/>
        <w:jc w:val="both"/>
        <w:rPr>
          <w:rFonts w:ascii="Times New Roman" w:hAnsi="Times New Roman"/>
          <w:szCs w:val="24"/>
        </w:rPr>
      </w:pPr>
      <w:r>
        <w:rPr>
          <w:rFonts w:ascii="Times New Roman" w:hAnsi="Times New Roman"/>
          <w:szCs w:val="24"/>
        </w:rPr>
        <w:t xml:space="preserve"> Therefore, throughout the research process, the researcher was conscious that s</w:t>
      </w:r>
      <w:r w:rsidRPr="006D4CC1">
        <w:rPr>
          <w:rFonts w:ascii="Times New Roman" w:hAnsi="Times New Roman"/>
          <w:szCs w:val="24"/>
        </w:rPr>
        <w:t xml:space="preserve">ome extent of personal bias </w:t>
      </w:r>
      <w:r>
        <w:rPr>
          <w:rFonts w:ascii="Times New Roman" w:hAnsi="Times New Roman"/>
          <w:szCs w:val="24"/>
        </w:rPr>
        <w:t xml:space="preserve">could come into play </w:t>
      </w:r>
      <w:r w:rsidRPr="006D4CC1">
        <w:rPr>
          <w:rFonts w:ascii="Times New Roman" w:hAnsi="Times New Roman"/>
          <w:szCs w:val="24"/>
        </w:rPr>
        <w:t xml:space="preserve">in the </w:t>
      </w:r>
      <w:r w:rsidR="00C96DD4">
        <w:rPr>
          <w:rFonts w:ascii="Times New Roman" w:hAnsi="Times New Roman"/>
          <w:szCs w:val="24"/>
        </w:rPr>
        <w:t>transcripts' interpretation</w:t>
      </w:r>
      <w:r w:rsidRPr="006D4CC1">
        <w:rPr>
          <w:rFonts w:ascii="Times New Roman" w:hAnsi="Times New Roman"/>
          <w:szCs w:val="24"/>
        </w:rPr>
        <w:t>s, particularly given the researcher</w:t>
      </w:r>
      <w:r w:rsidR="00F72A5B">
        <w:rPr>
          <w:rFonts w:ascii="Times New Roman" w:hAnsi="Times New Roman"/>
          <w:szCs w:val="24"/>
        </w:rPr>
        <w:t>'</w:t>
      </w:r>
      <w:r w:rsidRPr="006D4CC1">
        <w:rPr>
          <w:rFonts w:ascii="Times New Roman" w:hAnsi="Times New Roman"/>
          <w:szCs w:val="24"/>
        </w:rPr>
        <w:t>s support of victims</w:t>
      </w:r>
      <w:r w:rsidR="00F72A5B">
        <w:rPr>
          <w:rFonts w:ascii="Times New Roman" w:hAnsi="Times New Roman"/>
          <w:szCs w:val="24"/>
        </w:rPr>
        <w:t>'</w:t>
      </w:r>
      <w:r w:rsidRPr="006D4CC1">
        <w:rPr>
          <w:rFonts w:ascii="Times New Roman" w:hAnsi="Times New Roman"/>
          <w:szCs w:val="24"/>
        </w:rPr>
        <w:t xml:space="preserve"> rights. However, to reduce the possibility of bias, </w:t>
      </w:r>
      <w:r w:rsidR="00543831">
        <w:rPr>
          <w:rFonts w:ascii="Times New Roman" w:hAnsi="Times New Roman"/>
          <w:szCs w:val="24"/>
        </w:rPr>
        <w:t xml:space="preserve">the researcher </w:t>
      </w:r>
      <w:r w:rsidRPr="006D4CC1">
        <w:rPr>
          <w:rFonts w:ascii="Times New Roman" w:hAnsi="Times New Roman"/>
          <w:szCs w:val="24"/>
        </w:rPr>
        <w:t>ha</w:t>
      </w:r>
      <w:r w:rsidR="00543831">
        <w:rPr>
          <w:rFonts w:ascii="Times New Roman" w:hAnsi="Times New Roman"/>
          <w:szCs w:val="24"/>
        </w:rPr>
        <w:t>s</w:t>
      </w:r>
      <w:r w:rsidRPr="006D4CC1">
        <w:rPr>
          <w:rFonts w:ascii="Times New Roman" w:hAnsi="Times New Roman"/>
          <w:szCs w:val="24"/>
        </w:rPr>
        <w:t xml:space="preserve"> carefully read and re-read the victims</w:t>
      </w:r>
      <w:r w:rsidR="00F72A5B">
        <w:rPr>
          <w:rFonts w:ascii="Times New Roman" w:hAnsi="Times New Roman"/>
          <w:szCs w:val="24"/>
        </w:rPr>
        <w:t>'</w:t>
      </w:r>
      <w:r w:rsidRPr="006D4CC1">
        <w:rPr>
          <w:rFonts w:ascii="Times New Roman" w:hAnsi="Times New Roman"/>
          <w:szCs w:val="24"/>
        </w:rPr>
        <w:t xml:space="preserve"> </w:t>
      </w:r>
      <w:r w:rsidR="00543831">
        <w:rPr>
          <w:rFonts w:ascii="Times New Roman" w:hAnsi="Times New Roman"/>
          <w:szCs w:val="24"/>
        </w:rPr>
        <w:t>and other parties</w:t>
      </w:r>
      <w:r w:rsidR="00001CFE">
        <w:rPr>
          <w:rFonts w:ascii="Times New Roman" w:hAnsi="Times New Roman"/>
          <w:szCs w:val="24"/>
        </w:rPr>
        <w:t>'</w:t>
      </w:r>
      <w:r w:rsidR="00543831">
        <w:rPr>
          <w:rFonts w:ascii="Times New Roman" w:hAnsi="Times New Roman"/>
          <w:szCs w:val="24"/>
        </w:rPr>
        <w:t xml:space="preserve"> </w:t>
      </w:r>
      <w:r w:rsidRPr="006D4CC1">
        <w:rPr>
          <w:rFonts w:ascii="Times New Roman" w:hAnsi="Times New Roman"/>
          <w:szCs w:val="24"/>
        </w:rPr>
        <w:t>submissions</w:t>
      </w:r>
      <w:r w:rsidR="00C96DD4">
        <w:rPr>
          <w:rFonts w:ascii="Times New Roman" w:hAnsi="Times New Roman"/>
          <w:szCs w:val="24"/>
        </w:rPr>
        <w:t xml:space="preserve"> and compared findings with the court's official judgments</w:t>
      </w:r>
      <w:r>
        <w:rPr>
          <w:rFonts w:ascii="Times New Roman" w:hAnsi="Times New Roman"/>
          <w:szCs w:val="24"/>
        </w:rPr>
        <w:t xml:space="preserve"> before offering interpretations.</w:t>
      </w:r>
    </w:p>
    <w:p w14:paraId="6BE63AF1" w14:textId="668BDB4E" w:rsidR="008716B6" w:rsidRPr="008716B6" w:rsidRDefault="008716B6" w:rsidP="008716B6">
      <w:pPr>
        <w:spacing w:line="600" w:lineRule="auto"/>
        <w:jc w:val="both"/>
        <w:rPr>
          <w:rFonts w:ascii="Helvetica" w:hAnsi="Helvetica"/>
          <w:szCs w:val="24"/>
        </w:rPr>
      </w:pPr>
      <w:r w:rsidRPr="008716B6">
        <w:rPr>
          <w:rFonts w:ascii="Times New Roman" w:hAnsi="Times New Roman"/>
          <w:szCs w:val="24"/>
        </w:rPr>
        <w:t xml:space="preserve">One shortcoming of transcript analysis is the issue of redaction and confidentiality of records. It is almost </w:t>
      </w:r>
      <w:r w:rsidR="00B63EE3">
        <w:rPr>
          <w:rFonts w:ascii="Times New Roman" w:hAnsi="Times New Roman"/>
          <w:szCs w:val="24"/>
        </w:rPr>
        <w:t>certain</w:t>
      </w:r>
      <w:r w:rsidR="00B63EE3" w:rsidRPr="008716B6">
        <w:rPr>
          <w:rFonts w:ascii="Times New Roman" w:hAnsi="Times New Roman"/>
          <w:szCs w:val="24"/>
        </w:rPr>
        <w:t xml:space="preserve"> </w:t>
      </w:r>
      <w:r w:rsidRPr="008716B6">
        <w:rPr>
          <w:rFonts w:ascii="Times New Roman" w:hAnsi="Times New Roman"/>
          <w:szCs w:val="24"/>
        </w:rPr>
        <w:t>that these restrictions might affect the data's accuracy to create a gap in the data because the redacted documents are inaccessible. In a similar vein, there is a probability that meanings may get lost in language translations. As such, the intended interpretation may not be worded in the translation.</w:t>
      </w:r>
    </w:p>
    <w:p w14:paraId="75D589F5" w14:textId="4A1DF62E" w:rsidR="00D70C3C" w:rsidRPr="006D4CC1" w:rsidRDefault="00D70C3C" w:rsidP="00D70C3C">
      <w:pPr>
        <w:spacing w:line="480" w:lineRule="auto"/>
        <w:jc w:val="both"/>
        <w:rPr>
          <w:rFonts w:ascii="Times New Roman" w:hAnsi="Times New Roman"/>
          <w:szCs w:val="24"/>
        </w:rPr>
      </w:pPr>
      <w:r w:rsidRPr="006D4CC1">
        <w:rPr>
          <w:rFonts w:ascii="Times New Roman" w:hAnsi="Times New Roman"/>
          <w:szCs w:val="24"/>
        </w:rPr>
        <w:t xml:space="preserve">Another potential problem with using the transcripts is that </w:t>
      </w:r>
      <w:r w:rsidR="00543831">
        <w:rPr>
          <w:rFonts w:ascii="Times New Roman" w:hAnsi="Times New Roman"/>
          <w:szCs w:val="24"/>
        </w:rPr>
        <w:t>the researcher</w:t>
      </w:r>
      <w:r w:rsidRPr="006D4CC1">
        <w:rPr>
          <w:rFonts w:ascii="Times New Roman" w:hAnsi="Times New Roman"/>
          <w:szCs w:val="24"/>
        </w:rPr>
        <w:t xml:space="preserve"> </w:t>
      </w:r>
      <w:r>
        <w:rPr>
          <w:rFonts w:ascii="Times New Roman" w:hAnsi="Times New Roman"/>
          <w:szCs w:val="24"/>
        </w:rPr>
        <w:t>could not</w:t>
      </w:r>
      <w:r w:rsidRPr="006D4CC1">
        <w:rPr>
          <w:rFonts w:ascii="Times New Roman" w:hAnsi="Times New Roman"/>
          <w:szCs w:val="24"/>
        </w:rPr>
        <w:t xml:space="preserve"> probe deeper in case of any unanswered questions I may have </w:t>
      </w:r>
      <w:r>
        <w:rPr>
          <w:rFonts w:ascii="Times New Roman" w:hAnsi="Times New Roman"/>
          <w:szCs w:val="24"/>
        </w:rPr>
        <w:t xml:space="preserve">had </w:t>
      </w:r>
      <w:r w:rsidRPr="006D4CC1">
        <w:rPr>
          <w:rFonts w:ascii="Times New Roman" w:hAnsi="Times New Roman"/>
          <w:szCs w:val="24"/>
        </w:rPr>
        <w:t>as a researcher. This is contrasted with other empirical methods, such as interviews.</w:t>
      </w:r>
      <w:r>
        <w:rPr>
          <w:rFonts w:ascii="Times New Roman" w:hAnsi="Times New Roman"/>
          <w:szCs w:val="24"/>
        </w:rPr>
        <w:t xml:space="preserve"> Furthermore, as noted above, The </w:t>
      </w:r>
      <w:r w:rsidRPr="006D4CC1">
        <w:rPr>
          <w:rFonts w:ascii="Times New Roman" w:hAnsi="Times New Roman"/>
          <w:szCs w:val="24"/>
        </w:rPr>
        <w:t>findings that emerge from th</w:t>
      </w:r>
      <w:r w:rsidR="00E557AB">
        <w:rPr>
          <w:rFonts w:ascii="Times New Roman" w:hAnsi="Times New Roman"/>
          <w:szCs w:val="24"/>
        </w:rPr>
        <w:t>is</w:t>
      </w:r>
      <w:r w:rsidRPr="006D4CC1">
        <w:rPr>
          <w:rFonts w:ascii="Times New Roman" w:hAnsi="Times New Roman"/>
          <w:szCs w:val="24"/>
        </w:rPr>
        <w:t xml:space="preserve"> thesis </w:t>
      </w:r>
      <w:r>
        <w:rPr>
          <w:rFonts w:ascii="Times New Roman" w:hAnsi="Times New Roman"/>
          <w:szCs w:val="24"/>
        </w:rPr>
        <w:t>on victims</w:t>
      </w:r>
      <w:r w:rsidR="00F72A5B">
        <w:rPr>
          <w:rFonts w:ascii="Times New Roman" w:hAnsi="Times New Roman"/>
          <w:szCs w:val="24"/>
        </w:rPr>
        <w:t>'</w:t>
      </w:r>
      <w:r>
        <w:rPr>
          <w:rFonts w:ascii="Times New Roman" w:hAnsi="Times New Roman"/>
          <w:szCs w:val="24"/>
        </w:rPr>
        <w:t xml:space="preserve"> rights and interests </w:t>
      </w:r>
      <w:r w:rsidR="00E557AB">
        <w:rPr>
          <w:rFonts w:ascii="Times New Roman" w:hAnsi="Times New Roman"/>
          <w:szCs w:val="24"/>
        </w:rPr>
        <w:t>are</w:t>
      </w:r>
      <w:r w:rsidRPr="006D4CC1">
        <w:rPr>
          <w:rFonts w:ascii="Times New Roman" w:hAnsi="Times New Roman"/>
          <w:szCs w:val="24"/>
        </w:rPr>
        <w:t xml:space="preserve"> </w:t>
      </w:r>
      <w:r w:rsidRPr="006D4CC1">
        <w:rPr>
          <w:rFonts w:ascii="Times New Roman" w:hAnsi="Times New Roman"/>
          <w:szCs w:val="24"/>
        </w:rPr>
        <w:lastRenderedPageBreak/>
        <w:t>limited by the number of transcripts</w:t>
      </w:r>
      <w:r>
        <w:rPr>
          <w:rFonts w:ascii="Times New Roman" w:hAnsi="Times New Roman"/>
          <w:szCs w:val="24"/>
        </w:rPr>
        <w:t xml:space="preserve"> </w:t>
      </w:r>
      <w:r w:rsidR="001549D7">
        <w:rPr>
          <w:rFonts w:ascii="Times New Roman" w:hAnsi="Times New Roman"/>
          <w:szCs w:val="24"/>
        </w:rPr>
        <w:t xml:space="preserve">of the </w:t>
      </w:r>
      <w:r w:rsidRPr="006D4CC1">
        <w:rPr>
          <w:rFonts w:ascii="Times New Roman" w:hAnsi="Times New Roman"/>
          <w:szCs w:val="24"/>
        </w:rPr>
        <w:t>two decided cases I examined.</w:t>
      </w:r>
      <w:r w:rsidR="001549D7">
        <w:rPr>
          <w:rFonts w:ascii="Times New Roman" w:hAnsi="Times New Roman"/>
          <w:szCs w:val="24"/>
        </w:rPr>
        <w:t xml:space="preserve"> These cases happened within a similar context, </w:t>
      </w:r>
      <w:r w:rsidR="00ED0579">
        <w:rPr>
          <w:rFonts w:ascii="Times New Roman" w:hAnsi="Times New Roman"/>
          <w:szCs w:val="24"/>
        </w:rPr>
        <w:t xml:space="preserve">the </w:t>
      </w:r>
      <w:r w:rsidR="001549D7">
        <w:rPr>
          <w:rFonts w:ascii="Times New Roman" w:hAnsi="Times New Roman"/>
          <w:szCs w:val="24"/>
        </w:rPr>
        <w:t>Democratic Republic of Congo</w:t>
      </w:r>
      <w:r w:rsidR="00ED0579">
        <w:rPr>
          <w:rFonts w:ascii="Times New Roman" w:hAnsi="Times New Roman"/>
          <w:szCs w:val="24"/>
        </w:rPr>
        <w:t>,</w:t>
      </w:r>
      <w:r w:rsidR="001549D7">
        <w:rPr>
          <w:rFonts w:ascii="Times New Roman" w:hAnsi="Times New Roman"/>
          <w:szCs w:val="24"/>
        </w:rPr>
        <w:t xml:space="preserve"> with related jurisprudence. </w:t>
      </w:r>
    </w:p>
    <w:p w14:paraId="1C1A850D" w14:textId="04634B60" w:rsidR="00C020B5" w:rsidRPr="00693DE6" w:rsidRDefault="00747CDD" w:rsidP="00693DE6">
      <w:pPr>
        <w:spacing w:line="480" w:lineRule="auto"/>
        <w:jc w:val="both"/>
        <w:rPr>
          <w:rFonts w:ascii="Times New Roman" w:hAnsi="Times New Roman"/>
          <w:szCs w:val="24"/>
        </w:rPr>
      </w:pPr>
      <w:r>
        <w:rPr>
          <w:rFonts w:ascii="Times New Roman" w:hAnsi="Times New Roman"/>
          <w:szCs w:val="24"/>
        </w:rPr>
        <w:t xml:space="preserve">Finally, given the focus of this thesis on </w:t>
      </w:r>
      <w:r w:rsidR="00C96DD4">
        <w:rPr>
          <w:rFonts w:ascii="Times New Roman" w:hAnsi="Times New Roman"/>
          <w:szCs w:val="24"/>
        </w:rPr>
        <w:t xml:space="preserve">Lubanga and Katanga's cases, any observations and findings that the research makes are </w:t>
      </w:r>
      <w:r w:rsidR="008716B6">
        <w:rPr>
          <w:rFonts w:ascii="Times New Roman" w:hAnsi="Times New Roman"/>
          <w:szCs w:val="24"/>
        </w:rPr>
        <w:t>not generalis</w:t>
      </w:r>
      <w:r>
        <w:rPr>
          <w:rFonts w:ascii="Times New Roman" w:hAnsi="Times New Roman"/>
          <w:szCs w:val="24"/>
        </w:rPr>
        <w:t>able to other cases.</w:t>
      </w:r>
    </w:p>
    <w:p w14:paraId="406EFFBE" w14:textId="77777777" w:rsidR="00E117E0" w:rsidRPr="00693DE6" w:rsidRDefault="00E117E0" w:rsidP="000C4174">
      <w:pPr>
        <w:pStyle w:val="Heading2"/>
      </w:pPr>
      <w:bookmarkStart w:id="7" w:name="_Toc60235786"/>
      <w:r w:rsidRPr="00693DE6">
        <w:t>1.7.Literature Review</w:t>
      </w:r>
      <w:bookmarkEnd w:id="7"/>
    </w:p>
    <w:p w14:paraId="7D55E274" w14:textId="3A277913" w:rsidR="00541FE9" w:rsidRPr="00693DE6" w:rsidRDefault="00451C31" w:rsidP="00693DE6">
      <w:pPr>
        <w:spacing w:line="480" w:lineRule="auto"/>
        <w:jc w:val="both"/>
        <w:rPr>
          <w:rFonts w:ascii="Times New Roman" w:hAnsi="Times New Roman"/>
          <w:szCs w:val="24"/>
        </w:rPr>
      </w:pPr>
      <w:r>
        <w:rPr>
          <w:rFonts w:ascii="Times New Roman" w:hAnsi="Times New Roman"/>
          <w:szCs w:val="24"/>
        </w:rPr>
        <w:t xml:space="preserve"> </w:t>
      </w:r>
      <w:r w:rsidR="00A67FF0">
        <w:rPr>
          <w:rFonts w:ascii="Times New Roman" w:hAnsi="Times New Roman"/>
          <w:szCs w:val="24"/>
        </w:rPr>
        <w:t>T</w:t>
      </w:r>
      <w:r>
        <w:rPr>
          <w:rFonts w:ascii="Times New Roman" w:hAnsi="Times New Roman"/>
          <w:szCs w:val="24"/>
        </w:rPr>
        <w:t>his section</w:t>
      </w:r>
      <w:r w:rsidR="00541FE9" w:rsidRPr="00693DE6">
        <w:rPr>
          <w:rFonts w:ascii="Times New Roman" w:hAnsi="Times New Roman"/>
          <w:szCs w:val="24"/>
        </w:rPr>
        <w:t xml:space="preserve"> examine</w:t>
      </w:r>
      <w:r w:rsidR="00A67FF0">
        <w:rPr>
          <w:rFonts w:ascii="Times New Roman" w:hAnsi="Times New Roman"/>
          <w:szCs w:val="24"/>
        </w:rPr>
        <w:t>s</w:t>
      </w:r>
      <w:r w:rsidR="00541FE9" w:rsidRPr="00693DE6">
        <w:rPr>
          <w:rFonts w:ascii="Times New Roman" w:hAnsi="Times New Roman"/>
          <w:szCs w:val="24"/>
        </w:rPr>
        <w:t xml:space="preserve"> prior studies and </w:t>
      </w:r>
      <w:r w:rsidR="00ED0579">
        <w:rPr>
          <w:rFonts w:ascii="Times New Roman" w:hAnsi="Times New Roman"/>
          <w:szCs w:val="24"/>
        </w:rPr>
        <w:t xml:space="preserve">an </w:t>
      </w:r>
      <w:r w:rsidR="00541FE9" w:rsidRPr="00693DE6">
        <w:rPr>
          <w:rFonts w:ascii="Times New Roman" w:hAnsi="Times New Roman"/>
          <w:szCs w:val="24"/>
        </w:rPr>
        <w:t xml:space="preserve">overview of </w:t>
      </w:r>
      <w:r w:rsidR="00B57B07" w:rsidRPr="00693DE6">
        <w:rPr>
          <w:rFonts w:ascii="Times New Roman" w:hAnsi="Times New Roman"/>
          <w:szCs w:val="24"/>
        </w:rPr>
        <w:t xml:space="preserve">the </w:t>
      </w:r>
      <w:r w:rsidR="00541FE9" w:rsidRPr="00693DE6">
        <w:rPr>
          <w:rFonts w:ascii="Times New Roman" w:hAnsi="Times New Roman"/>
          <w:szCs w:val="24"/>
        </w:rPr>
        <w:t>literature that relates to the research questions.</w:t>
      </w:r>
      <w:r w:rsidR="00B57B07" w:rsidRPr="00693DE6">
        <w:rPr>
          <w:rFonts w:ascii="Times New Roman" w:hAnsi="Times New Roman"/>
          <w:szCs w:val="24"/>
        </w:rPr>
        <w:t xml:space="preserve"> </w:t>
      </w:r>
      <w:r w:rsidR="00541FE9" w:rsidRPr="00693DE6">
        <w:rPr>
          <w:rFonts w:ascii="Times New Roman" w:hAnsi="Times New Roman"/>
          <w:szCs w:val="24"/>
        </w:rPr>
        <w:t>This section explores the literature related to prosecutorial discretion, trial</w:t>
      </w:r>
      <w:r w:rsidR="00ED0579">
        <w:rPr>
          <w:rFonts w:ascii="Times New Roman" w:hAnsi="Times New Roman"/>
          <w:szCs w:val="24"/>
        </w:rPr>
        <w:t>,</w:t>
      </w:r>
      <w:r w:rsidR="00541FE9" w:rsidRPr="00693DE6">
        <w:rPr>
          <w:rFonts w:ascii="Times New Roman" w:hAnsi="Times New Roman"/>
          <w:szCs w:val="24"/>
        </w:rPr>
        <w:t xml:space="preserve"> and sentencing, </w:t>
      </w:r>
      <w:r w:rsidR="008716B6">
        <w:rPr>
          <w:rFonts w:ascii="Times New Roman" w:hAnsi="Times New Roman"/>
          <w:szCs w:val="24"/>
        </w:rPr>
        <w:t>focusing</w:t>
      </w:r>
      <w:r w:rsidR="00541FE9" w:rsidRPr="00693DE6">
        <w:rPr>
          <w:rFonts w:ascii="Times New Roman" w:hAnsi="Times New Roman"/>
          <w:szCs w:val="24"/>
        </w:rPr>
        <w:t xml:space="preserve"> on the extent of applica</w:t>
      </w:r>
      <w:r w:rsidR="00A44194">
        <w:rPr>
          <w:rFonts w:ascii="Times New Roman" w:hAnsi="Times New Roman"/>
          <w:szCs w:val="24"/>
        </w:rPr>
        <w:t>bility of victims</w:t>
      </w:r>
      <w:r w:rsidR="00F72A5B">
        <w:rPr>
          <w:rFonts w:ascii="Times New Roman" w:hAnsi="Times New Roman"/>
          <w:szCs w:val="24"/>
        </w:rPr>
        <w:t>'</w:t>
      </w:r>
      <w:r w:rsidR="00541FE9" w:rsidRPr="00693DE6">
        <w:rPr>
          <w:rFonts w:ascii="Times New Roman" w:hAnsi="Times New Roman"/>
          <w:szCs w:val="24"/>
        </w:rPr>
        <w:t xml:space="preserve"> rights</w:t>
      </w:r>
      <w:r>
        <w:rPr>
          <w:rFonts w:ascii="Times New Roman" w:hAnsi="Times New Roman"/>
          <w:szCs w:val="24"/>
        </w:rPr>
        <w:t xml:space="preserve"> and interests</w:t>
      </w:r>
      <w:r w:rsidR="00541FE9" w:rsidRPr="00693DE6">
        <w:rPr>
          <w:rFonts w:ascii="Times New Roman" w:hAnsi="Times New Roman"/>
          <w:szCs w:val="24"/>
        </w:rPr>
        <w:t xml:space="preserve"> at the ICC.</w:t>
      </w:r>
      <w:r w:rsidR="00B57B07" w:rsidRPr="00693DE6">
        <w:rPr>
          <w:rFonts w:ascii="Times New Roman" w:hAnsi="Times New Roman"/>
          <w:szCs w:val="24"/>
        </w:rPr>
        <w:t xml:space="preserve"> </w:t>
      </w:r>
      <w:r>
        <w:rPr>
          <w:rFonts w:ascii="Times New Roman" w:hAnsi="Times New Roman"/>
          <w:szCs w:val="24"/>
        </w:rPr>
        <w:t>These themes provide a convenient and broadly sequential</w:t>
      </w:r>
      <w:r w:rsidR="006C53A2" w:rsidRPr="00693DE6">
        <w:rPr>
          <w:rFonts w:ascii="Times New Roman" w:hAnsi="Times New Roman"/>
          <w:szCs w:val="24"/>
        </w:rPr>
        <w:t xml:space="preserve"> progression of victims</w:t>
      </w:r>
      <w:r w:rsidR="00F72A5B">
        <w:rPr>
          <w:rFonts w:ascii="Times New Roman" w:hAnsi="Times New Roman"/>
          <w:szCs w:val="24"/>
        </w:rPr>
        <w:t>'</w:t>
      </w:r>
      <w:r w:rsidR="00B27D69">
        <w:rPr>
          <w:rFonts w:ascii="Times New Roman" w:hAnsi="Times New Roman"/>
          <w:szCs w:val="24"/>
        </w:rPr>
        <w:t xml:space="preserve"> </w:t>
      </w:r>
      <w:r>
        <w:rPr>
          <w:rFonts w:ascii="Times New Roman" w:hAnsi="Times New Roman"/>
          <w:szCs w:val="24"/>
        </w:rPr>
        <w:t>rights and</w:t>
      </w:r>
      <w:r w:rsidR="006C53A2" w:rsidRPr="00693DE6">
        <w:rPr>
          <w:rFonts w:ascii="Times New Roman" w:hAnsi="Times New Roman"/>
          <w:szCs w:val="24"/>
        </w:rPr>
        <w:t xml:space="preserve"> interests at different </w:t>
      </w:r>
      <w:r w:rsidR="008716B6">
        <w:rPr>
          <w:rFonts w:ascii="Times New Roman" w:hAnsi="Times New Roman"/>
          <w:szCs w:val="24"/>
        </w:rPr>
        <w:t>ICC phases</w:t>
      </w:r>
      <w:r w:rsidR="006C53A2" w:rsidRPr="00693DE6">
        <w:rPr>
          <w:rFonts w:ascii="Times New Roman" w:hAnsi="Times New Roman"/>
          <w:szCs w:val="24"/>
        </w:rPr>
        <w:t>.</w:t>
      </w:r>
    </w:p>
    <w:p w14:paraId="62DD7273" w14:textId="45EDD37C" w:rsidR="00541FE9" w:rsidRPr="00693DE6" w:rsidRDefault="00541FE9" w:rsidP="00693DE6">
      <w:pPr>
        <w:spacing w:line="480" w:lineRule="auto"/>
        <w:jc w:val="both"/>
        <w:rPr>
          <w:rFonts w:ascii="Times New Roman" w:hAnsi="Times New Roman"/>
          <w:szCs w:val="24"/>
        </w:rPr>
      </w:pPr>
      <w:r w:rsidRPr="00693DE6">
        <w:rPr>
          <w:rFonts w:ascii="Times New Roman" w:hAnsi="Times New Roman"/>
          <w:szCs w:val="24"/>
        </w:rPr>
        <w:t>Before review</w:t>
      </w:r>
      <w:r w:rsidR="00A67FF0">
        <w:rPr>
          <w:rFonts w:ascii="Times New Roman" w:hAnsi="Times New Roman"/>
          <w:szCs w:val="24"/>
        </w:rPr>
        <w:t>ing</w:t>
      </w:r>
      <w:r w:rsidRPr="00693DE6">
        <w:rPr>
          <w:rFonts w:ascii="Times New Roman" w:hAnsi="Times New Roman"/>
          <w:szCs w:val="24"/>
        </w:rPr>
        <w:t xml:space="preserve"> literature in this aspect, </w:t>
      </w:r>
      <w:r w:rsidR="00A67FF0">
        <w:rPr>
          <w:rFonts w:ascii="Times New Roman" w:hAnsi="Times New Roman"/>
          <w:szCs w:val="24"/>
        </w:rPr>
        <w:t>the following section</w:t>
      </w:r>
      <w:r w:rsidRPr="00693DE6">
        <w:rPr>
          <w:rFonts w:ascii="Times New Roman" w:hAnsi="Times New Roman"/>
          <w:szCs w:val="24"/>
        </w:rPr>
        <w:t xml:space="preserve"> shall examine </w:t>
      </w:r>
      <w:r w:rsidR="008716B6">
        <w:rPr>
          <w:rFonts w:ascii="Times New Roman" w:hAnsi="Times New Roman"/>
          <w:szCs w:val="24"/>
        </w:rPr>
        <w:t>victims and victimhood's notion</w:t>
      </w:r>
      <w:r w:rsidRPr="00693DE6">
        <w:rPr>
          <w:rFonts w:ascii="Times New Roman" w:hAnsi="Times New Roman"/>
          <w:szCs w:val="24"/>
        </w:rPr>
        <w:t xml:space="preserve"> to broaden our understanding </w:t>
      </w:r>
      <w:r w:rsidR="00ED0579">
        <w:rPr>
          <w:rFonts w:ascii="Times New Roman" w:hAnsi="Times New Roman"/>
          <w:szCs w:val="24"/>
        </w:rPr>
        <w:t>of</w:t>
      </w:r>
      <w:r w:rsidR="00ED0579" w:rsidRPr="00693DE6">
        <w:rPr>
          <w:rFonts w:ascii="Times New Roman" w:hAnsi="Times New Roman"/>
          <w:szCs w:val="24"/>
        </w:rPr>
        <w:t xml:space="preserve"> </w:t>
      </w:r>
      <w:r w:rsidRPr="00693DE6">
        <w:rPr>
          <w:rFonts w:ascii="Times New Roman" w:hAnsi="Times New Roman"/>
          <w:szCs w:val="24"/>
        </w:rPr>
        <w:t>victims within the ICC.</w:t>
      </w:r>
      <w:r w:rsidR="00B57B07" w:rsidRPr="00693DE6">
        <w:rPr>
          <w:rFonts w:ascii="Times New Roman" w:hAnsi="Times New Roman"/>
          <w:szCs w:val="24"/>
        </w:rPr>
        <w:t xml:space="preserve"> </w:t>
      </w:r>
      <w:r w:rsidRPr="00693DE6">
        <w:rPr>
          <w:rFonts w:ascii="Times New Roman" w:hAnsi="Times New Roman"/>
          <w:szCs w:val="24"/>
        </w:rPr>
        <w:t>It is also necessary to evaluate the meaning of victims since the research is focused on victims.</w:t>
      </w:r>
    </w:p>
    <w:p w14:paraId="647C9EC9" w14:textId="023991B1" w:rsidR="00FF3EC5" w:rsidRPr="00693DE6" w:rsidRDefault="00FD20AA" w:rsidP="000C4174">
      <w:pPr>
        <w:pStyle w:val="Heading2"/>
      </w:pPr>
      <w:bookmarkStart w:id="8" w:name="_Toc60235787"/>
      <w:r w:rsidRPr="00693DE6">
        <w:t>1.</w:t>
      </w:r>
      <w:r w:rsidR="001549D7">
        <w:t>7.1</w:t>
      </w:r>
      <w:r w:rsidR="00D630D4" w:rsidRPr="00693DE6">
        <w:t xml:space="preserve"> </w:t>
      </w:r>
      <w:r w:rsidR="003053F3" w:rsidRPr="00693DE6">
        <w:t>Victims and victimhood</w:t>
      </w:r>
      <w:bookmarkEnd w:id="8"/>
    </w:p>
    <w:p w14:paraId="1BE46C46" w14:textId="236F2EB7" w:rsidR="00D97425" w:rsidRDefault="00AE75EC" w:rsidP="00693DE6">
      <w:pPr>
        <w:spacing w:line="480" w:lineRule="auto"/>
        <w:jc w:val="both"/>
        <w:rPr>
          <w:rFonts w:ascii="Times New Roman" w:hAnsi="Times New Roman"/>
          <w:szCs w:val="24"/>
        </w:rPr>
      </w:pPr>
      <w:r w:rsidRPr="00693DE6">
        <w:rPr>
          <w:rFonts w:ascii="Times New Roman" w:hAnsi="Times New Roman"/>
          <w:szCs w:val="24"/>
        </w:rPr>
        <w:t>It is necessary to</w:t>
      </w:r>
      <w:r w:rsidR="005A2E35" w:rsidRPr="00693DE6">
        <w:rPr>
          <w:rFonts w:ascii="Times New Roman" w:hAnsi="Times New Roman"/>
          <w:szCs w:val="24"/>
        </w:rPr>
        <w:t xml:space="preserve"> examine the </w:t>
      </w:r>
      <w:r w:rsidR="008716B6">
        <w:rPr>
          <w:rFonts w:ascii="Times New Roman" w:hAnsi="Times New Roman"/>
          <w:szCs w:val="24"/>
        </w:rPr>
        <w:t>victim's notion first since each thematic chapter is related to victims'</w:t>
      </w:r>
      <w:r w:rsidR="00A67FF0">
        <w:rPr>
          <w:rFonts w:ascii="Times New Roman" w:hAnsi="Times New Roman"/>
          <w:szCs w:val="24"/>
        </w:rPr>
        <w:t xml:space="preserve"> </w:t>
      </w:r>
      <w:r w:rsidR="005A2E35" w:rsidRPr="00693DE6">
        <w:rPr>
          <w:rFonts w:ascii="Times New Roman" w:hAnsi="Times New Roman"/>
          <w:szCs w:val="24"/>
        </w:rPr>
        <w:t>rights</w:t>
      </w:r>
      <w:r w:rsidR="00A44194">
        <w:rPr>
          <w:rFonts w:ascii="Times New Roman" w:hAnsi="Times New Roman"/>
          <w:szCs w:val="24"/>
        </w:rPr>
        <w:t xml:space="preserve"> and interests</w:t>
      </w:r>
      <w:r w:rsidR="005A2E35" w:rsidRPr="00693DE6">
        <w:rPr>
          <w:rFonts w:ascii="Times New Roman" w:hAnsi="Times New Roman"/>
          <w:szCs w:val="24"/>
        </w:rPr>
        <w:t>.</w:t>
      </w:r>
      <w:r w:rsidR="009E0248">
        <w:rPr>
          <w:rFonts w:ascii="Times New Roman" w:hAnsi="Times New Roman"/>
          <w:szCs w:val="24"/>
        </w:rPr>
        <w:t xml:space="preserve"> The following shall examine the legal framework of victims as well as the theory of victimhood.</w:t>
      </w:r>
    </w:p>
    <w:p w14:paraId="11E98B1A" w14:textId="7ECF8A93" w:rsidR="000F25B9" w:rsidRDefault="000F25B9" w:rsidP="00693DE6">
      <w:pPr>
        <w:spacing w:line="480" w:lineRule="auto"/>
        <w:jc w:val="both"/>
        <w:rPr>
          <w:rFonts w:ascii="Times New Roman" w:hAnsi="Times New Roman"/>
          <w:szCs w:val="24"/>
        </w:rPr>
      </w:pPr>
      <w:r>
        <w:rPr>
          <w:rFonts w:ascii="Times New Roman" w:hAnsi="Times New Roman"/>
          <w:szCs w:val="24"/>
        </w:rPr>
        <w:lastRenderedPageBreak/>
        <w:t xml:space="preserve">Rule 85a defines as </w:t>
      </w:r>
      <w:r w:rsidR="00F72A5B">
        <w:rPr>
          <w:rFonts w:ascii="Times New Roman" w:hAnsi="Times New Roman"/>
          <w:szCs w:val="24"/>
        </w:rPr>
        <w:t>"</w:t>
      </w:r>
      <w:r>
        <w:rPr>
          <w:rFonts w:ascii="Times New Roman" w:hAnsi="Times New Roman"/>
          <w:szCs w:val="24"/>
        </w:rPr>
        <w:t>natural persons who have suffered harm as a result of the commission of any crime within the jurisdiction of the Court.</w:t>
      </w:r>
      <w:r w:rsidR="00F72A5B">
        <w:rPr>
          <w:rFonts w:ascii="Times New Roman" w:hAnsi="Times New Roman"/>
          <w:szCs w:val="24"/>
        </w:rPr>
        <w:t>"</w:t>
      </w:r>
      <w:r>
        <w:rPr>
          <w:rStyle w:val="FootnoteReference"/>
          <w:rFonts w:ascii="Times New Roman" w:hAnsi="Times New Roman"/>
          <w:szCs w:val="24"/>
        </w:rPr>
        <w:footnoteReference w:id="67"/>
      </w:r>
      <w:r>
        <w:rPr>
          <w:rFonts w:ascii="Times New Roman" w:hAnsi="Times New Roman"/>
          <w:szCs w:val="24"/>
        </w:rPr>
        <w:t xml:space="preserve">It should be noted that for this thesis. Victims are restricted to natural persons, organisations and institutions are </w:t>
      </w:r>
      <w:r w:rsidR="008D04BA">
        <w:rPr>
          <w:rFonts w:ascii="Times New Roman" w:hAnsi="Times New Roman"/>
          <w:szCs w:val="24"/>
        </w:rPr>
        <w:t>included in the (b) part</w:t>
      </w:r>
      <w:r>
        <w:rPr>
          <w:rFonts w:ascii="Times New Roman" w:hAnsi="Times New Roman"/>
          <w:szCs w:val="24"/>
        </w:rPr>
        <w:t>. The definition stipulates the conditions to be fulfilled to obtain the procedural status of victims.</w:t>
      </w:r>
    </w:p>
    <w:p w14:paraId="25B544BC" w14:textId="74E0F77F" w:rsidR="000F25B9" w:rsidRPr="00693DE6" w:rsidRDefault="000F25B9" w:rsidP="000F25B9">
      <w:pPr>
        <w:spacing w:line="480" w:lineRule="auto"/>
        <w:jc w:val="both"/>
        <w:rPr>
          <w:rFonts w:ascii="Times New Roman" w:hAnsi="Times New Roman"/>
          <w:szCs w:val="24"/>
        </w:rPr>
      </w:pPr>
      <w:r>
        <w:rPr>
          <w:rFonts w:ascii="Times New Roman" w:hAnsi="Times New Roman"/>
          <w:szCs w:val="24"/>
        </w:rPr>
        <w:t>I</w:t>
      </w:r>
      <w:r w:rsidRPr="00693DE6">
        <w:rPr>
          <w:rFonts w:ascii="Times New Roman" w:hAnsi="Times New Roman"/>
          <w:szCs w:val="24"/>
        </w:rPr>
        <w:t xml:space="preserve">n line with the connotation of rule 85, </w:t>
      </w:r>
      <w:r>
        <w:rPr>
          <w:rFonts w:ascii="Times New Roman" w:hAnsi="Times New Roman"/>
          <w:szCs w:val="24"/>
        </w:rPr>
        <w:t xml:space="preserve"> an ICC </w:t>
      </w:r>
      <w:r w:rsidRPr="00693DE6">
        <w:rPr>
          <w:rFonts w:ascii="Times New Roman" w:hAnsi="Times New Roman"/>
          <w:szCs w:val="24"/>
        </w:rPr>
        <w:t>T</w:t>
      </w:r>
      <w:r>
        <w:rPr>
          <w:rFonts w:ascii="Times New Roman" w:hAnsi="Times New Roman"/>
          <w:szCs w:val="24"/>
        </w:rPr>
        <w:t xml:space="preserve">rial </w:t>
      </w:r>
      <w:r w:rsidRPr="00693DE6">
        <w:rPr>
          <w:rFonts w:ascii="Times New Roman" w:hAnsi="Times New Roman"/>
          <w:szCs w:val="24"/>
        </w:rPr>
        <w:t>C</w:t>
      </w:r>
      <w:r>
        <w:rPr>
          <w:rFonts w:ascii="Times New Roman" w:hAnsi="Times New Roman"/>
          <w:szCs w:val="24"/>
        </w:rPr>
        <w:t>hamber</w:t>
      </w:r>
      <w:r w:rsidRPr="00693DE6">
        <w:rPr>
          <w:rFonts w:ascii="Times New Roman" w:hAnsi="Times New Roman"/>
          <w:szCs w:val="24"/>
        </w:rPr>
        <w:t xml:space="preserve"> found that </w:t>
      </w:r>
      <w:r w:rsidR="008D04BA" w:rsidRPr="00693DE6">
        <w:rPr>
          <w:rFonts w:ascii="Times New Roman" w:hAnsi="Times New Roman"/>
          <w:szCs w:val="24"/>
        </w:rPr>
        <w:t>victim</w:t>
      </w:r>
      <w:r w:rsidR="008D04BA">
        <w:rPr>
          <w:rFonts w:ascii="Times New Roman" w:hAnsi="Times New Roman"/>
          <w:szCs w:val="24"/>
        </w:rPr>
        <w:t>s'</w:t>
      </w:r>
      <w:r w:rsidR="008D04BA" w:rsidRPr="00693DE6">
        <w:rPr>
          <w:rFonts w:ascii="Times New Roman" w:hAnsi="Times New Roman"/>
          <w:szCs w:val="24"/>
        </w:rPr>
        <w:t xml:space="preserve"> </w:t>
      </w:r>
      <w:r w:rsidRPr="00693DE6">
        <w:rPr>
          <w:rFonts w:ascii="Times New Roman" w:hAnsi="Times New Roman"/>
          <w:szCs w:val="24"/>
        </w:rPr>
        <w:t xml:space="preserve">participation should be interpreted in conjunction with the test of </w:t>
      </w:r>
      <w:r w:rsidR="00F72A5B">
        <w:rPr>
          <w:rFonts w:ascii="Times New Roman" w:hAnsi="Times New Roman"/>
          <w:szCs w:val="24"/>
        </w:rPr>
        <w:t>'</w:t>
      </w:r>
      <w:r w:rsidRPr="00693DE6">
        <w:rPr>
          <w:rFonts w:ascii="Times New Roman" w:hAnsi="Times New Roman"/>
          <w:i/>
          <w:szCs w:val="24"/>
        </w:rPr>
        <w:t>personal interests</w:t>
      </w:r>
      <w:r w:rsidR="00F72A5B">
        <w:rPr>
          <w:rFonts w:ascii="Times New Roman" w:hAnsi="Times New Roman"/>
          <w:i/>
          <w:szCs w:val="24"/>
        </w:rPr>
        <w:t>'</w:t>
      </w:r>
      <w:r w:rsidRPr="00693DE6">
        <w:rPr>
          <w:rFonts w:ascii="Times New Roman" w:hAnsi="Times New Roman"/>
          <w:szCs w:val="24"/>
        </w:rPr>
        <w:t xml:space="preserve"> as enunciated in article 68(3).</w:t>
      </w:r>
      <w:r w:rsidRPr="00693DE6">
        <w:rPr>
          <w:rStyle w:val="FootnoteReference"/>
          <w:rFonts w:ascii="Times New Roman" w:hAnsi="Times New Roman"/>
          <w:szCs w:val="24"/>
        </w:rPr>
        <w:footnoteReference w:id="68"/>
      </w:r>
      <w:r w:rsidRPr="00693DE6">
        <w:rPr>
          <w:rFonts w:ascii="Times New Roman" w:hAnsi="Times New Roman"/>
          <w:szCs w:val="24"/>
        </w:rPr>
        <w:t xml:space="preserve">This </w:t>
      </w:r>
      <w:r>
        <w:rPr>
          <w:rFonts w:ascii="Times New Roman" w:hAnsi="Times New Roman"/>
          <w:szCs w:val="24"/>
        </w:rPr>
        <w:t xml:space="preserve">interpretation </w:t>
      </w:r>
      <w:r w:rsidRPr="00693DE6">
        <w:rPr>
          <w:rFonts w:ascii="Times New Roman" w:hAnsi="Times New Roman"/>
          <w:szCs w:val="24"/>
        </w:rPr>
        <w:t>connotes that rule 85 and article 68(3) are mutually interdependent. Victims</w:t>
      </w:r>
      <w:r w:rsidR="00F72A5B">
        <w:rPr>
          <w:rFonts w:ascii="Times New Roman" w:hAnsi="Times New Roman"/>
          <w:szCs w:val="24"/>
        </w:rPr>
        <w:t>'</w:t>
      </w:r>
      <w:r w:rsidRPr="00693DE6">
        <w:rPr>
          <w:rFonts w:ascii="Times New Roman" w:hAnsi="Times New Roman"/>
          <w:szCs w:val="24"/>
        </w:rPr>
        <w:t xml:space="preserve"> compliance with Rule 85 does not automatically entitle them to participate, except if the condition of personal interest is satisfied.  The personal interest test will be evaluated based (</w:t>
      </w:r>
      <w:proofErr w:type="spellStart"/>
      <w:r w:rsidRPr="00693DE6">
        <w:rPr>
          <w:rFonts w:ascii="Times New Roman" w:hAnsi="Times New Roman"/>
          <w:szCs w:val="24"/>
        </w:rPr>
        <w:t>i</w:t>
      </w:r>
      <w:proofErr w:type="spellEnd"/>
      <w:r w:rsidRPr="00693DE6">
        <w:rPr>
          <w:rFonts w:ascii="Times New Roman" w:hAnsi="Times New Roman"/>
          <w:szCs w:val="24"/>
        </w:rPr>
        <w:t xml:space="preserve">) on the presence of an evidential link between the victim and the evidence the </w:t>
      </w:r>
      <w:r w:rsidR="0012481D">
        <w:rPr>
          <w:rFonts w:ascii="Times New Roman" w:hAnsi="Times New Roman"/>
          <w:szCs w:val="24"/>
        </w:rPr>
        <w:t>c</w:t>
      </w:r>
      <w:r w:rsidRPr="00693DE6">
        <w:rPr>
          <w:rFonts w:ascii="Times New Roman" w:hAnsi="Times New Roman"/>
          <w:szCs w:val="24"/>
        </w:rPr>
        <w:t>ourt before the court or (ii) victims</w:t>
      </w:r>
      <w:r w:rsidR="00F72A5B">
        <w:rPr>
          <w:rFonts w:ascii="Times New Roman" w:hAnsi="Times New Roman"/>
          <w:szCs w:val="24"/>
        </w:rPr>
        <w:t>'</w:t>
      </w:r>
      <w:r w:rsidRPr="00693DE6">
        <w:rPr>
          <w:rFonts w:ascii="Times New Roman" w:hAnsi="Times New Roman"/>
          <w:szCs w:val="24"/>
        </w:rPr>
        <w:t xml:space="preserve"> interests are affected by the issues raised during the trial. The standard of proof </w:t>
      </w:r>
      <w:r w:rsidR="006D187C">
        <w:rPr>
          <w:rFonts w:ascii="Times New Roman" w:hAnsi="Times New Roman"/>
          <w:szCs w:val="24"/>
        </w:rPr>
        <w:t>that is applicable is prima facie credible grounds that the applicant has suffered harm due to</w:t>
      </w:r>
      <w:r w:rsidRPr="00693DE6">
        <w:rPr>
          <w:rFonts w:ascii="Times New Roman" w:hAnsi="Times New Roman"/>
          <w:szCs w:val="24"/>
        </w:rPr>
        <w:t xml:space="preserve"> a crime under the </w:t>
      </w:r>
      <w:r w:rsidR="008D04BA">
        <w:rPr>
          <w:rFonts w:ascii="Times New Roman" w:hAnsi="Times New Roman"/>
          <w:szCs w:val="24"/>
        </w:rPr>
        <w:t>court's jurisdiction</w:t>
      </w:r>
      <w:r w:rsidRPr="00693DE6">
        <w:rPr>
          <w:rFonts w:ascii="Times New Roman" w:hAnsi="Times New Roman"/>
          <w:szCs w:val="24"/>
        </w:rPr>
        <w:t>.</w:t>
      </w:r>
      <w:r>
        <w:rPr>
          <w:rStyle w:val="FootnoteReference"/>
          <w:rFonts w:ascii="Times New Roman" w:hAnsi="Times New Roman"/>
          <w:szCs w:val="24"/>
        </w:rPr>
        <w:footnoteReference w:id="69"/>
      </w:r>
    </w:p>
    <w:p w14:paraId="361AAD40" w14:textId="4419822B" w:rsidR="000F25B9" w:rsidRDefault="000F25B9" w:rsidP="000F25B9">
      <w:pPr>
        <w:spacing w:line="480" w:lineRule="auto"/>
        <w:jc w:val="both"/>
        <w:rPr>
          <w:rFonts w:ascii="Times New Roman" w:hAnsi="Times New Roman"/>
          <w:szCs w:val="24"/>
        </w:rPr>
      </w:pPr>
      <w:r>
        <w:rPr>
          <w:rFonts w:ascii="Times New Roman" w:hAnsi="Times New Roman"/>
          <w:szCs w:val="24"/>
        </w:rPr>
        <w:t xml:space="preserve">In this context,  the selection of charges </w:t>
      </w:r>
      <w:r w:rsidRPr="00693DE6">
        <w:rPr>
          <w:rFonts w:ascii="Times New Roman" w:hAnsi="Times New Roman"/>
          <w:szCs w:val="24"/>
        </w:rPr>
        <w:t>directly determines the spectrum of victims to be granted procedural status.</w:t>
      </w:r>
      <w:r w:rsidRPr="00693DE6">
        <w:rPr>
          <w:rStyle w:val="FootnoteReference"/>
          <w:rFonts w:ascii="Times New Roman" w:hAnsi="Times New Roman"/>
          <w:szCs w:val="24"/>
        </w:rPr>
        <w:footnoteReference w:id="70"/>
      </w:r>
      <w:r w:rsidRPr="00693DE6">
        <w:rPr>
          <w:rFonts w:ascii="Times New Roman" w:hAnsi="Times New Roman"/>
          <w:szCs w:val="24"/>
        </w:rPr>
        <w:t xml:space="preserve"> The charges determine the scope of the acts and the </w:t>
      </w:r>
      <w:r w:rsidRPr="00693DE6">
        <w:rPr>
          <w:rFonts w:ascii="Times New Roman" w:hAnsi="Times New Roman"/>
          <w:szCs w:val="24"/>
        </w:rPr>
        <w:lastRenderedPageBreak/>
        <w:t>events</w:t>
      </w:r>
      <w:r>
        <w:rPr>
          <w:rFonts w:ascii="Times New Roman" w:hAnsi="Times New Roman"/>
          <w:szCs w:val="24"/>
        </w:rPr>
        <w:t xml:space="preserve"> over which the </w:t>
      </w:r>
      <w:r w:rsidR="0012481D">
        <w:rPr>
          <w:rFonts w:ascii="Times New Roman" w:hAnsi="Times New Roman"/>
          <w:szCs w:val="24"/>
        </w:rPr>
        <w:t>c</w:t>
      </w:r>
      <w:r>
        <w:rPr>
          <w:rFonts w:ascii="Times New Roman" w:hAnsi="Times New Roman"/>
          <w:szCs w:val="24"/>
        </w:rPr>
        <w:t>ourt has jurisdiction</w:t>
      </w:r>
      <w:r w:rsidRPr="00693DE6">
        <w:rPr>
          <w:rFonts w:ascii="Times New Roman" w:hAnsi="Times New Roman"/>
          <w:szCs w:val="24"/>
        </w:rPr>
        <w:t xml:space="preserve">. The dichotomy made by this pyramid of victimhood entrenches a selected few to access justice while the unrecognised victims, stay in the bottom of the pyramid as victims of harm who are not worthy of recognition to seek redress at the </w:t>
      </w:r>
      <w:r w:rsidR="0012481D">
        <w:rPr>
          <w:rFonts w:ascii="Times New Roman" w:hAnsi="Times New Roman"/>
          <w:szCs w:val="24"/>
        </w:rPr>
        <w:t>c</w:t>
      </w:r>
      <w:r w:rsidRPr="00693DE6">
        <w:rPr>
          <w:rFonts w:ascii="Times New Roman" w:hAnsi="Times New Roman"/>
          <w:szCs w:val="24"/>
        </w:rPr>
        <w:t>ourt.</w:t>
      </w:r>
      <w:r w:rsidRPr="00693DE6">
        <w:rPr>
          <w:rStyle w:val="FootnoteReference"/>
          <w:rFonts w:ascii="Times New Roman" w:hAnsi="Times New Roman"/>
          <w:szCs w:val="24"/>
        </w:rPr>
        <w:footnoteReference w:id="71"/>
      </w:r>
      <w:r w:rsidRPr="00693DE6">
        <w:rPr>
          <w:rFonts w:ascii="Times New Roman" w:hAnsi="Times New Roman"/>
          <w:szCs w:val="24"/>
        </w:rPr>
        <w:t xml:space="preserve"> Sadly, this could foster secondary victimisation for this set of victims.</w:t>
      </w:r>
      <w:r w:rsidR="003D1C2C">
        <w:rPr>
          <w:rFonts w:ascii="Times New Roman" w:hAnsi="Times New Roman"/>
          <w:szCs w:val="24"/>
        </w:rPr>
        <w:t xml:space="preserve"> An implication of this categorisation is the dilemma which arises between the concept </w:t>
      </w:r>
      <w:r w:rsidRPr="00693DE6">
        <w:rPr>
          <w:rFonts w:ascii="Times New Roman" w:hAnsi="Times New Roman"/>
          <w:szCs w:val="24"/>
        </w:rPr>
        <w:t xml:space="preserve">of victimhood and </w:t>
      </w:r>
      <w:r w:rsidR="003D1C2C">
        <w:rPr>
          <w:rFonts w:ascii="Times New Roman" w:hAnsi="Times New Roman"/>
          <w:szCs w:val="24"/>
        </w:rPr>
        <w:t>victim status at the ICC.</w:t>
      </w:r>
    </w:p>
    <w:p w14:paraId="6E3A5FD5" w14:textId="78C12F21" w:rsidR="00DC50D8" w:rsidRPr="00693DE6" w:rsidRDefault="00DC50D8" w:rsidP="000F25B9">
      <w:pPr>
        <w:spacing w:line="480" w:lineRule="auto"/>
        <w:jc w:val="both"/>
        <w:rPr>
          <w:rFonts w:ascii="Times New Roman" w:hAnsi="Times New Roman"/>
          <w:szCs w:val="24"/>
        </w:rPr>
      </w:pPr>
      <w:r w:rsidRPr="00693DE6">
        <w:rPr>
          <w:rFonts w:ascii="Times New Roman" w:hAnsi="Times New Roman"/>
          <w:szCs w:val="24"/>
        </w:rPr>
        <w:t xml:space="preserve">Zappala notes that declaring an individual as a </w:t>
      </w:r>
      <w:r w:rsidR="00F72A5B">
        <w:rPr>
          <w:rFonts w:ascii="Times New Roman" w:hAnsi="Times New Roman"/>
          <w:szCs w:val="24"/>
        </w:rPr>
        <w:t>'</w:t>
      </w:r>
      <w:r w:rsidRPr="00693DE6">
        <w:rPr>
          <w:rFonts w:ascii="Times New Roman" w:hAnsi="Times New Roman"/>
          <w:szCs w:val="24"/>
        </w:rPr>
        <w:t>victim</w:t>
      </w:r>
      <w:r w:rsidR="00F72A5B">
        <w:rPr>
          <w:rFonts w:ascii="Times New Roman" w:hAnsi="Times New Roman"/>
          <w:szCs w:val="24"/>
        </w:rPr>
        <w:t>'</w:t>
      </w:r>
      <w:r w:rsidRPr="00693DE6">
        <w:rPr>
          <w:rFonts w:ascii="Times New Roman" w:hAnsi="Times New Roman"/>
          <w:szCs w:val="24"/>
        </w:rPr>
        <w:t xml:space="preserve"> in legal proceedings, where the </w:t>
      </w:r>
      <w:r w:rsidR="006D187C">
        <w:rPr>
          <w:rFonts w:ascii="Times New Roman" w:hAnsi="Times New Roman"/>
          <w:szCs w:val="24"/>
        </w:rPr>
        <w:t>accused's guilt</w:t>
      </w:r>
      <w:r w:rsidRPr="00693DE6">
        <w:rPr>
          <w:rFonts w:ascii="Times New Roman" w:hAnsi="Times New Roman"/>
          <w:szCs w:val="24"/>
        </w:rPr>
        <w:t xml:space="preserve"> has not been proven robs the accused a presumption of innocence. This</w:t>
      </w:r>
      <w:r>
        <w:rPr>
          <w:rFonts w:ascii="Times New Roman" w:hAnsi="Times New Roman"/>
          <w:szCs w:val="24"/>
        </w:rPr>
        <w:t xml:space="preserve"> idea</w:t>
      </w:r>
      <w:r w:rsidRPr="00693DE6">
        <w:rPr>
          <w:rFonts w:ascii="Times New Roman" w:hAnsi="Times New Roman"/>
          <w:szCs w:val="24"/>
        </w:rPr>
        <w:t xml:space="preserve"> prejudges the situation surrounding the identity and culpability of the perpetrator.</w:t>
      </w:r>
      <w:r w:rsidRPr="00693DE6">
        <w:rPr>
          <w:rStyle w:val="FootnoteReference"/>
          <w:rFonts w:ascii="Times New Roman" w:hAnsi="Times New Roman"/>
          <w:szCs w:val="24"/>
        </w:rPr>
        <w:footnoteReference w:id="72"/>
      </w:r>
      <w:r w:rsidRPr="00693DE6">
        <w:rPr>
          <w:rFonts w:ascii="Times New Roman" w:hAnsi="Times New Roman"/>
          <w:szCs w:val="24"/>
        </w:rPr>
        <w:t>Nonetheless, this may not be an issue where the commission of the crime is not in dispute</w:t>
      </w:r>
      <w:r>
        <w:rPr>
          <w:rFonts w:ascii="Times New Roman" w:hAnsi="Times New Roman"/>
          <w:szCs w:val="24"/>
        </w:rPr>
        <w:t>.</w:t>
      </w:r>
      <w:r>
        <w:rPr>
          <w:rStyle w:val="FootnoteReference"/>
          <w:rFonts w:ascii="Times New Roman" w:hAnsi="Times New Roman"/>
          <w:szCs w:val="24"/>
        </w:rPr>
        <w:footnoteReference w:id="73"/>
      </w:r>
      <w:r>
        <w:rPr>
          <w:rFonts w:ascii="Times New Roman" w:hAnsi="Times New Roman"/>
          <w:szCs w:val="24"/>
        </w:rPr>
        <w:t xml:space="preserve"> Where there is a dispute regarding the </w:t>
      </w:r>
      <w:r w:rsidR="006D187C">
        <w:rPr>
          <w:rFonts w:ascii="Times New Roman" w:hAnsi="Times New Roman"/>
          <w:szCs w:val="24"/>
        </w:rPr>
        <w:t>perpetrator's culpability</w:t>
      </w:r>
      <w:r>
        <w:rPr>
          <w:rFonts w:ascii="Times New Roman" w:hAnsi="Times New Roman"/>
          <w:szCs w:val="24"/>
        </w:rPr>
        <w:t>, t</w:t>
      </w:r>
      <w:r w:rsidRPr="00693DE6">
        <w:rPr>
          <w:rFonts w:ascii="Times New Roman" w:hAnsi="Times New Roman"/>
          <w:szCs w:val="24"/>
        </w:rPr>
        <w:t xml:space="preserve">his prejudgment </w:t>
      </w:r>
      <w:r>
        <w:rPr>
          <w:rFonts w:ascii="Times New Roman" w:hAnsi="Times New Roman"/>
          <w:szCs w:val="24"/>
        </w:rPr>
        <w:t>may sabotage</w:t>
      </w:r>
      <w:r w:rsidRPr="00693DE6">
        <w:rPr>
          <w:rFonts w:ascii="Times New Roman" w:hAnsi="Times New Roman"/>
          <w:szCs w:val="24"/>
        </w:rPr>
        <w:t xml:space="preserve"> the default rule of presumption of innocence</w:t>
      </w:r>
      <w:r>
        <w:rPr>
          <w:rFonts w:ascii="Times New Roman" w:hAnsi="Times New Roman"/>
          <w:szCs w:val="24"/>
        </w:rPr>
        <w:t>.</w:t>
      </w:r>
      <w:r w:rsidRPr="00693DE6">
        <w:rPr>
          <w:rFonts w:ascii="Times New Roman" w:hAnsi="Times New Roman"/>
          <w:szCs w:val="24"/>
        </w:rPr>
        <w:t xml:space="preserve"> </w:t>
      </w:r>
    </w:p>
    <w:p w14:paraId="61457E71" w14:textId="5759861B" w:rsidR="001549D7" w:rsidRDefault="003D1C2C" w:rsidP="00A44194">
      <w:pPr>
        <w:spacing w:line="480" w:lineRule="auto"/>
        <w:jc w:val="both"/>
        <w:rPr>
          <w:rFonts w:ascii="Times New Roman" w:hAnsi="Times New Roman"/>
          <w:szCs w:val="24"/>
        </w:rPr>
      </w:pPr>
      <w:r>
        <w:rPr>
          <w:rFonts w:ascii="Times New Roman" w:hAnsi="Times New Roman"/>
          <w:szCs w:val="24"/>
        </w:rPr>
        <w:t xml:space="preserve">Regarding the concept of victimhood, </w:t>
      </w:r>
      <w:r w:rsidR="003E2528" w:rsidRPr="00693DE6">
        <w:rPr>
          <w:rFonts w:ascii="Times New Roman" w:hAnsi="Times New Roman"/>
          <w:szCs w:val="24"/>
        </w:rPr>
        <w:t xml:space="preserve">Christie explores </w:t>
      </w:r>
      <w:r w:rsidR="00B57B07" w:rsidRPr="00693DE6">
        <w:rPr>
          <w:rFonts w:ascii="Times New Roman" w:hAnsi="Times New Roman"/>
          <w:szCs w:val="24"/>
        </w:rPr>
        <w:t>the</w:t>
      </w:r>
      <w:r w:rsidR="00D97425" w:rsidRPr="00693DE6">
        <w:rPr>
          <w:rFonts w:ascii="Times New Roman" w:hAnsi="Times New Roman"/>
          <w:szCs w:val="24"/>
        </w:rPr>
        <w:t xml:space="preserve"> </w:t>
      </w:r>
      <w:r w:rsidR="00F72A5B">
        <w:rPr>
          <w:rFonts w:ascii="Times New Roman" w:hAnsi="Times New Roman"/>
          <w:i/>
          <w:szCs w:val="24"/>
        </w:rPr>
        <w:t>'</w:t>
      </w:r>
      <w:r w:rsidR="00D97425" w:rsidRPr="00693DE6">
        <w:rPr>
          <w:rFonts w:ascii="Times New Roman" w:hAnsi="Times New Roman"/>
          <w:i/>
          <w:szCs w:val="24"/>
        </w:rPr>
        <w:t>ideal victim</w:t>
      </w:r>
      <w:r w:rsidR="00F72A5B">
        <w:rPr>
          <w:rFonts w:ascii="Times New Roman" w:hAnsi="Times New Roman"/>
          <w:i/>
          <w:szCs w:val="24"/>
        </w:rPr>
        <w:t>'</w:t>
      </w:r>
      <w:r w:rsidR="00D97425" w:rsidRPr="00693DE6">
        <w:rPr>
          <w:rFonts w:ascii="Times New Roman" w:hAnsi="Times New Roman"/>
          <w:szCs w:val="24"/>
        </w:rPr>
        <w:t xml:space="preserve"> </w:t>
      </w:r>
      <w:r w:rsidR="003E2528" w:rsidRPr="00693DE6">
        <w:rPr>
          <w:rFonts w:ascii="Times New Roman" w:hAnsi="Times New Roman"/>
          <w:szCs w:val="24"/>
        </w:rPr>
        <w:t>theory.</w:t>
      </w:r>
      <w:r w:rsidR="00D97425" w:rsidRPr="00693DE6">
        <w:rPr>
          <w:rFonts w:ascii="Times New Roman" w:hAnsi="Times New Roman"/>
          <w:szCs w:val="24"/>
        </w:rPr>
        <w:t xml:space="preserve"> The </w:t>
      </w:r>
      <w:r w:rsidR="00F72A5B">
        <w:rPr>
          <w:rFonts w:ascii="Times New Roman" w:hAnsi="Times New Roman"/>
          <w:szCs w:val="24"/>
        </w:rPr>
        <w:t>'</w:t>
      </w:r>
      <w:r w:rsidR="00D97425" w:rsidRPr="00693DE6">
        <w:rPr>
          <w:rFonts w:ascii="Times New Roman" w:hAnsi="Times New Roman"/>
          <w:szCs w:val="24"/>
        </w:rPr>
        <w:t>ideal victim</w:t>
      </w:r>
      <w:r w:rsidR="00F72A5B">
        <w:rPr>
          <w:rFonts w:ascii="Times New Roman" w:hAnsi="Times New Roman"/>
          <w:szCs w:val="24"/>
        </w:rPr>
        <w:t>'</w:t>
      </w:r>
      <w:r w:rsidR="00D97425" w:rsidRPr="00693DE6">
        <w:rPr>
          <w:rFonts w:ascii="Times New Roman" w:hAnsi="Times New Roman"/>
          <w:szCs w:val="24"/>
        </w:rPr>
        <w:t xml:space="preserve"> is a concept coined in criminology.</w:t>
      </w:r>
      <w:r w:rsidR="006D053F" w:rsidRPr="00693DE6">
        <w:rPr>
          <w:rFonts w:ascii="Times New Roman" w:hAnsi="Times New Roman"/>
          <w:szCs w:val="24"/>
        </w:rPr>
        <w:t xml:space="preserve"> </w:t>
      </w:r>
      <w:r w:rsidR="003E2528" w:rsidRPr="00693DE6">
        <w:rPr>
          <w:rFonts w:ascii="Times New Roman" w:hAnsi="Times New Roman"/>
          <w:szCs w:val="24"/>
        </w:rPr>
        <w:t>The ideal victim refers to</w:t>
      </w:r>
      <w:r w:rsidR="00D97425" w:rsidRPr="00693DE6">
        <w:rPr>
          <w:rFonts w:ascii="Times New Roman" w:hAnsi="Times New Roman"/>
          <w:szCs w:val="24"/>
        </w:rPr>
        <w:t xml:space="preserve"> </w:t>
      </w:r>
      <w:r w:rsidR="00F72A5B">
        <w:rPr>
          <w:rFonts w:ascii="Times New Roman" w:hAnsi="Times New Roman"/>
          <w:szCs w:val="24"/>
        </w:rPr>
        <w:t>'</w:t>
      </w:r>
      <w:r w:rsidR="00D97425" w:rsidRPr="0013199F">
        <w:rPr>
          <w:rFonts w:ascii="Times New Roman" w:hAnsi="Times New Roman"/>
          <w:szCs w:val="24"/>
        </w:rPr>
        <w:t>a person or category of individuals, who, when hit by crime, most readily are given the complete and legitimate status of being a victim</w:t>
      </w:r>
      <w:r w:rsidR="00D97425" w:rsidRPr="00693DE6">
        <w:rPr>
          <w:rFonts w:ascii="Times New Roman" w:hAnsi="Times New Roman"/>
          <w:i/>
          <w:szCs w:val="24"/>
        </w:rPr>
        <w:t>.</w:t>
      </w:r>
      <w:r w:rsidR="00F72A5B">
        <w:rPr>
          <w:rFonts w:ascii="Times New Roman" w:hAnsi="Times New Roman"/>
          <w:szCs w:val="24"/>
        </w:rPr>
        <w:t>'</w:t>
      </w:r>
      <w:r w:rsidR="00D97425" w:rsidRPr="00693DE6">
        <w:rPr>
          <w:rStyle w:val="FootnoteReference"/>
          <w:rFonts w:ascii="Times New Roman" w:hAnsi="Times New Roman"/>
          <w:szCs w:val="24"/>
        </w:rPr>
        <w:footnoteReference w:id="74"/>
      </w:r>
      <w:r w:rsidR="00D97425" w:rsidRPr="00693DE6">
        <w:rPr>
          <w:rFonts w:ascii="Times New Roman" w:hAnsi="Times New Roman"/>
          <w:szCs w:val="24"/>
        </w:rPr>
        <w:t xml:space="preserve">It is said that the ideal victim generates </w:t>
      </w:r>
      <w:r w:rsidR="00F72A5B">
        <w:rPr>
          <w:rFonts w:ascii="Times New Roman" w:hAnsi="Times New Roman"/>
          <w:szCs w:val="24"/>
        </w:rPr>
        <w:t>'</w:t>
      </w:r>
      <w:r w:rsidR="00D97425" w:rsidRPr="00693DE6">
        <w:rPr>
          <w:rFonts w:ascii="Times New Roman" w:hAnsi="Times New Roman"/>
          <w:i/>
          <w:szCs w:val="24"/>
        </w:rPr>
        <w:t xml:space="preserve">the </w:t>
      </w:r>
      <w:r w:rsidR="00D97425" w:rsidRPr="00693DE6">
        <w:rPr>
          <w:rFonts w:ascii="Times New Roman" w:hAnsi="Times New Roman"/>
          <w:i/>
          <w:szCs w:val="24"/>
        </w:rPr>
        <w:lastRenderedPageBreak/>
        <w:t>most sympathy</w:t>
      </w:r>
      <w:r w:rsidR="00F72A5B">
        <w:rPr>
          <w:rFonts w:ascii="Times New Roman" w:hAnsi="Times New Roman"/>
          <w:i/>
          <w:szCs w:val="24"/>
        </w:rPr>
        <w:t>'</w:t>
      </w:r>
      <w:r w:rsidR="00D97425" w:rsidRPr="00693DE6">
        <w:rPr>
          <w:rFonts w:ascii="Times New Roman" w:hAnsi="Times New Roman"/>
          <w:szCs w:val="24"/>
        </w:rPr>
        <w:t xml:space="preserve"> from society.</w:t>
      </w:r>
      <w:r w:rsidR="00D97425" w:rsidRPr="00693DE6">
        <w:rPr>
          <w:rStyle w:val="FootnoteReference"/>
          <w:rFonts w:ascii="Times New Roman" w:hAnsi="Times New Roman"/>
          <w:szCs w:val="24"/>
        </w:rPr>
        <w:footnoteReference w:id="75"/>
      </w:r>
      <w:r w:rsidR="00D97425" w:rsidRPr="00693DE6">
        <w:rPr>
          <w:rFonts w:ascii="Times New Roman" w:hAnsi="Times New Roman"/>
          <w:szCs w:val="24"/>
        </w:rPr>
        <w:t xml:space="preserve">Victims </w:t>
      </w:r>
      <w:r w:rsidR="003E2528" w:rsidRPr="00693DE6">
        <w:rPr>
          <w:rFonts w:ascii="Times New Roman" w:hAnsi="Times New Roman"/>
          <w:szCs w:val="24"/>
        </w:rPr>
        <w:t>that fall within this category</w:t>
      </w:r>
      <w:r w:rsidR="00D97425" w:rsidRPr="00693DE6">
        <w:rPr>
          <w:rFonts w:ascii="Times New Roman" w:hAnsi="Times New Roman"/>
          <w:szCs w:val="24"/>
        </w:rPr>
        <w:t xml:space="preserve"> are perceived as being </w:t>
      </w:r>
      <w:r w:rsidR="00F72A5B">
        <w:rPr>
          <w:rFonts w:ascii="Times New Roman" w:hAnsi="Times New Roman"/>
          <w:i/>
          <w:szCs w:val="24"/>
        </w:rPr>
        <w:t>'</w:t>
      </w:r>
      <w:r w:rsidR="00D97425" w:rsidRPr="00693DE6">
        <w:rPr>
          <w:rFonts w:ascii="Times New Roman" w:hAnsi="Times New Roman"/>
          <w:i/>
          <w:szCs w:val="24"/>
        </w:rPr>
        <w:t>weak</w:t>
      </w:r>
      <w:r w:rsidR="00F72A5B">
        <w:rPr>
          <w:rFonts w:ascii="Times New Roman" w:hAnsi="Times New Roman"/>
          <w:i/>
          <w:szCs w:val="24"/>
        </w:rPr>
        <w:t>'</w:t>
      </w:r>
      <w:r w:rsidR="00D97425" w:rsidRPr="00693DE6">
        <w:rPr>
          <w:rFonts w:ascii="Times New Roman" w:hAnsi="Times New Roman"/>
          <w:szCs w:val="24"/>
        </w:rPr>
        <w:t xml:space="preserve">, </w:t>
      </w:r>
      <w:r w:rsidR="00F72A5B">
        <w:rPr>
          <w:rFonts w:ascii="Times New Roman" w:hAnsi="Times New Roman"/>
          <w:i/>
          <w:szCs w:val="24"/>
        </w:rPr>
        <w:t>'</w:t>
      </w:r>
      <w:r w:rsidR="00D97425" w:rsidRPr="00693DE6">
        <w:rPr>
          <w:rFonts w:ascii="Times New Roman" w:hAnsi="Times New Roman"/>
          <w:i/>
          <w:szCs w:val="24"/>
        </w:rPr>
        <w:t>vulnerable</w:t>
      </w:r>
      <w:r w:rsidR="00D97425" w:rsidRPr="00693DE6">
        <w:rPr>
          <w:rFonts w:ascii="Times New Roman" w:hAnsi="Times New Roman"/>
          <w:szCs w:val="24"/>
        </w:rPr>
        <w:t>,</w:t>
      </w:r>
      <w:r w:rsidR="00F72A5B">
        <w:rPr>
          <w:rFonts w:ascii="Times New Roman" w:hAnsi="Times New Roman"/>
          <w:szCs w:val="24"/>
        </w:rPr>
        <w:t>’ '</w:t>
      </w:r>
      <w:r w:rsidR="00D97425" w:rsidRPr="00693DE6">
        <w:rPr>
          <w:rFonts w:ascii="Times New Roman" w:hAnsi="Times New Roman"/>
          <w:i/>
          <w:szCs w:val="24"/>
        </w:rPr>
        <w:t>physically disadvantaged</w:t>
      </w:r>
      <w:r w:rsidR="00F72A5B">
        <w:rPr>
          <w:rFonts w:ascii="Times New Roman" w:hAnsi="Times New Roman"/>
          <w:i/>
          <w:szCs w:val="24"/>
        </w:rPr>
        <w:t>'</w:t>
      </w:r>
      <w:r w:rsidR="00D97425" w:rsidRPr="00693DE6">
        <w:rPr>
          <w:rFonts w:ascii="Times New Roman" w:hAnsi="Times New Roman"/>
          <w:szCs w:val="24"/>
        </w:rPr>
        <w:t xml:space="preserve"> or </w:t>
      </w:r>
      <w:r w:rsidR="00F72A5B">
        <w:rPr>
          <w:rFonts w:ascii="Times New Roman" w:hAnsi="Times New Roman"/>
          <w:szCs w:val="24"/>
        </w:rPr>
        <w:t>'</w:t>
      </w:r>
      <w:r w:rsidR="00D97425" w:rsidRPr="00693DE6">
        <w:rPr>
          <w:rFonts w:ascii="Times New Roman" w:hAnsi="Times New Roman"/>
          <w:i/>
          <w:szCs w:val="24"/>
        </w:rPr>
        <w:t>emotionally distressed</w:t>
      </w:r>
      <w:r w:rsidR="00F72A5B">
        <w:rPr>
          <w:rFonts w:ascii="Times New Roman" w:hAnsi="Times New Roman"/>
          <w:i/>
          <w:szCs w:val="24"/>
        </w:rPr>
        <w:t>'</w:t>
      </w:r>
      <w:r w:rsidR="00D97425" w:rsidRPr="00693DE6">
        <w:rPr>
          <w:rFonts w:ascii="Times New Roman" w:hAnsi="Times New Roman"/>
          <w:szCs w:val="24"/>
        </w:rPr>
        <w:t>.</w:t>
      </w:r>
    </w:p>
    <w:p w14:paraId="251A7872" w14:textId="2205D635" w:rsidR="00D97425" w:rsidRPr="00693DE6" w:rsidRDefault="00D97425" w:rsidP="00A44194">
      <w:pPr>
        <w:spacing w:line="480" w:lineRule="auto"/>
        <w:jc w:val="both"/>
        <w:rPr>
          <w:rFonts w:ascii="Times New Roman" w:hAnsi="Times New Roman"/>
          <w:szCs w:val="24"/>
        </w:rPr>
      </w:pPr>
      <w:r w:rsidRPr="00693DE6">
        <w:rPr>
          <w:rFonts w:ascii="Times New Roman" w:hAnsi="Times New Roman"/>
          <w:szCs w:val="24"/>
        </w:rPr>
        <w:t>On the other hand, the offender is perceived to be powerful and intim</w:t>
      </w:r>
      <w:r w:rsidR="003E2528" w:rsidRPr="00693DE6">
        <w:rPr>
          <w:rFonts w:ascii="Times New Roman" w:hAnsi="Times New Roman"/>
          <w:szCs w:val="24"/>
        </w:rPr>
        <w:t>i</w:t>
      </w:r>
      <w:r w:rsidRPr="00693DE6">
        <w:rPr>
          <w:rFonts w:ascii="Times New Roman" w:hAnsi="Times New Roman"/>
          <w:szCs w:val="24"/>
        </w:rPr>
        <w:t>dating.</w:t>
      </w:r>
      <w:r w:rsidR="006D053F" w:rsidRPr="00693DE6">
        <w:rPr>
          <w:rFonts w:ascii="Times New Roman" w:hAnsi="Times New Roman"/>
          <w:szCs w:val="24"/>
        </w:rPr>
        <w:t xml:space="preserve"> </w:t>
      </w:r>
      <w:r w:rsidRPr="00693DE6">
        <w:rPr>
          <w:rFonts w:ascii="Times New Roman" w:hAnsi="Times New Roman"/>
          <w:szCs w:val="24"/>
        </w:rPr>
        <w:t>Therefore, this is society</w:t>
      </w:r>
      <w:r w:rsidR="00F72A5B">
        <w:rPr>
          <w:rFonts w:ascii="Times New Roman" w:hAnsi="Times New Roman"/>
          <w:szCs w:val="24"/>
        </w:rPr>
        <w:t>'</w:t>
      </w:r>
      <w:r w:rsidRPr="00693DE6">
        <w:rPr>
          <w:rFonts w:ascii="Times New Roman" w:hAnsi="Times New Roman"/>
          <w:szCs w:val="24"/>
        </w:rPr>
        <w:t>s standard for who</w:t>
      </w:r>
      <w:r w:rsidR="00A67FF0">
        <w:rPr>
          <w:rFonts w:ascii="Times New Roman" w:hAnsi="Times New Roman"/>
          <w:szCs w:val="24"/>
        </w:rPr>
        <w:t>m</w:t>
      </w:r>
      <w:r w:rsidRPr="00693DE6">
        <w:rPr>
          <w:rFonts w:ascii="Times New Roman" w:hAnsi="Times New Roman"/>
          <w:szCs w:val="24"/>
        </w:rPr>
        <w:t xml:space="preserve"> the ideal victim is.</w:t>
      </w:r>
      <w:r w:rsidR="002E6AB8" w:rsidRPr="00693DE6">
        <w:rPr>
          <w:rFonts w:ascii="Times New Roman" w:hAnsi="Times New Roman"/>
          <w:szCs w:val="24"/>
        </w:rPr>
        <w:t xml:space="preserve"> It is believed that once these features are present in the individual, such an individual is a</w:t>
      </w:r>
      <w:r w:rsidR="006D187C">
        <w:rPr>
          <w:rFonts w:ascii="Times New Roman" w:hAnsi="Times New Roman"/>
          <w:szCs w:val="24"/>
        </w:rPr>
        <w:t xml:space="preserve"> perfect</w:t>
      </w:r>
      <w:r w:rsidR="002E6AB8" w:rsidRPr="00693DE6">
        <w:rPr>
          <w:rFonts w:ascii="Times New Roman" w:hAnsi="Times New Roman"/>
          <w:szCs w:val="24"/>
        </w:rPr>
        <w:t xml:space="preserve"> victim</w:t>
      </w:r>
      <w:r w:rsidR="00A44194">
        <w:rPr>
          <w:rFonts w:ascii="Times New Roman" w:hAnsi="Times New Roman"/>
          <w:szCs w:val="24"/>
        </w:rPr>
        <w:t>.</w:t>
      </w:r>
      <w:r w:rsidR="001549D7">
        <w:rPr>
          <w:rFonts w:ascii="Times New Roman" w:hAnsi="Times New Roman"/>
          <w:szCs w:val="24"/>
        </w:rPr>
        <w:t xml:space="preserve"> Christie</w:t>
      </w:r>
      <w:r w:rsidRPr="00693DE6">
        <w:rPr>
          <w:rFonts w:ascii="Times New Roman" w:hAnsi="Times New Roman"/>
          <w:szCs w:val="24"/>
        </w:rPr>
        <w:t xml:space="preserve"> </w:t>
      </w:r>
      <w:r w:rsidR="001549D7">
        <w:rPr>
          <w:rFonts w:ascii="Times New Roman" w:hAnsi="Times New Roman"/>
          <w:szCs w:val="24"/>
        </w:rPr>
        <w:t>proposes that</w:t>
      </w:r>
      <w:r w:rsidRPr="00693DE6">
        <w:rPr>
          <w:rFonts w:ascii="Times New Roman" w:hAnsi="Times New Roman"/>
          <w:szCs w:val="24"/>
        </w:rPr>
        <w:t xml:space="preserve"> the concept of the </w:t>
      </w:r>
      <w:r w:rsidR="00F72A5B">
        <w:rPr>
          <w:rFonts w:ascii="Times New Roman" w:hAnsi="Times New Roman"/>
          <w:szCs w:val="24"/>
        </w:rPr>
        <w:t>'</w:t>
      </w:r>
      <w:r w:rsidRPr="00693DE6">
        <w:rPr>
          <w:rFonts w:ascii="Times New Roman" w:hAnsi="Times New Roman"/>
          <w:szCs w:val="24"/>
        </w:rPr>
        <w:t>ideal victim</w:t>
      </w:r>
      <w:r w:rsidR="00F72A5B">
        <w:rPr>
          <w:rFonts w:ascii="Times New Roman" w:hAnsi="Times New Roman"/>
          <w:szCs w:val="24"/>
        </w:rPr>
        <w:t>'</w:t>
      </w:r>
      <w:r w:rsidRPr="00693DE6">
        <w:rPr>
          <w:rFonts w:ascii="Times New Roman" w:hAnsi="Times New Roman"/>
          <w:szCs w:val="24"/>
        </w:rPr>
        <w:t xml:space="preserve"> could be a subjective phenomenal, mostly depending on the personal conviction of the person involved and the circumstances he/she finds himself.</w:t>
      </w:r>
      <w:r w:rsidR="002E6AB8" w:rsidRPr="00693DE6">
        <w:rPr>
          <w:rStyle w:val="FootnoteReference"/>
          <w:rFonts w:ascii="Times New Roman" w:hAnsi="Times New Roman"/>
          <w:szCs w:val="24"/>
        </w:rPr>
        <w:footnoteReference w:id="76"/>
      </w:r>
      <w:r w:rsidR="002E6AB8" w:rsidRPr="00693DE6">
        <w:rPr>
          <w:rFonts w:ascii="Times New Roman" w:hAnsi="Times New Roman"/>
          <w:szCs w:val="24"/>
        </w:rPr>
        <w:t xml:space="preserve"> </w:t>
      </w:r>
    </w:p>
    <w:p w14:paraId="038B7E0A" w14:textId="7583C941" w:rsidR="00071CDE" w:rsidRPr="00693DE6" w:rsidRDefault="00D97425" w:rsidP="00693DE6">
      <w:pPr>
        <w:spacing w:line="480" w:lineRule="auto"/>
        <w:jc w:val="both"/>
        <w:rPr>
          <w:rFonts w:ascii="Times New Roman" w:hAnsi="Times New Roman"/>
          <w:szCs w:val="24"/>
        </w:rPr>
      </w:pPr>
      <w:r w:rsidRPr="00693DE6">
        <w:rPr>
          <w:rFonts w:ascii="Times New Roman" w:hAnsi="Times New Roman"/>
          <w:szCs w:val="24"/>
        </w:rPr>
        <w:t xml:space="preserve"> In his terms, the ideal victim</w:t>
      </w:r>
      <w:r w:rsidR="00A44194">
        <w:rPr>
          <w:rFonts w:ascii="Times New Roman" w:hAnsi="Times New Roman"/>
          <w:szCs w:val="24"/>
        </w:rPr>
        <w:t xml:space="preserve"> enjoys </w:t>
      </w:r>
      <w:r w:rsidRPr="00693DE6">
        <w:rPr>
          <w:rFonts w:ascii="Times New Roman" w:hAnsi="Times New Roman"/>
          <w:szCs w:val="24"/>
        </w:rPr>
        <w:t xml:space="preserve">a kind of public status likened to the type and level of abstraction seen in </w:t>
      </w:r>
      <w:r w:rsidR="00F72A5B">
        <w:rPr>
          <w:rFonts w:ascii="Times New Roman" w:hAnsi="Times New Roman"/>
          <w:szCs w:val="24"/>
        </w:rPr>
        <w:t>'</w:t>
      </w:r>
      <w:r w:rsidRPr="00693DE6">
        <w:rPr>
          <w:rFonts w:ascii="Times New Roman" w:hAnsi="Times New Roman"/>
          <w:szCs w:val="24"/>
        </w:rPr>
        <w:t>her</w:t>
      </w:r>
      <w:r w:rsidR="002E6AB8" w:rsidRPr="00693DE6">
        <w:rPr>
          <w:rFonts w:ascii="Times New Roman" w:hAnsi="Times New Roman"/>
          <w:szCs w:val="24"/>
        </w:rPr>
        <w:t>o</w:t>
      </w:r>
      <w:r w:rsidR="00F72A5B">
        <w:rPr>
          <w:rFonts w:ascii="Times New Roman" w:hAnsi="Times New Roman"/>
          <w:szCs w:val="24"/>
        </w:rPr>
        <w:t>'</w:t>
      </w:r>
      <w:r w:rsidR="00A44194">
        <w:rPr>
          <w:rFonts w:ascii="Times New Roman" w:hAnsi="Times New Roman"/>
          <w:szCs w:val="24"/>
        </w:rPr>
        <w:t xml:space="preserve"> or a traitor</w:t>
      </w:r>
      <w:r w:rsidR="00F72A5B">
        <w:rPr>
          <w:rFonts w:ascii="Times New Roman" w:hAnsi="Times New Roman"/>
          <w:szCs w:val="24"/>
        </w:rPr>
        <w:t>'</w:t>
      </w:r>
      <w:r w:rsidRPr="00693DE6">
        <w:rPr>
          <w:rFonts w:ascii="Times New Roman" w:hAnsi="Times New Roman"/>
          <w:szCs w:val="24"/>
        </w:rPr>
        <w:t>.</w:t>
      </w:r>
      <w:r w:rsidRPr="00693DE6">
        <w:rPr>
          <w:rStyle w:val="FootnoteReference"/>
          <w:rFonts w:ascii="Times New Roman" w:hAnsi="Times New Roman"/>
          <w:szCs w:val="24"/>
        </w:rPr>
        <w:footnoteReference w:id="77"/>
      </w:r>
      <w:r w:rsidR="009B4C7F">
        <w:rPr>
          <w:rFonts w:ascii="Times New Roman" w:hAnsi="Times New Roman"/>
        </w:rPr>
        <w:t xml:space="preserve"> </w:t>
      </w:r>
      <w:r w:rsidR="00A44194">
        <w:rPr>
          <w:rFonts w:ascii="Times New Roman" w:hAnsi="Times New Roman"/>
        </w:rPr>
        <w:t>While Christie</w:t>
      </w:r>
      <w:r w:rsidR="00F72A5B">
        <w:rPr>
          <w:rFonts w:ascii="Times New Roman" w:hAnsi="Times New Roman"/>
        </w:rPr>
        <w:t>'</w:t>
      </w:r>
      <w:r w:rsidR="00A44194">
        <w:rPr>
          <w:rFonts w:ascii="Times New Roman" w:hAnsi="Times New Roman"/>
        </w:rPr>
        <w:t xml:space="preserve">s ideal victim theory </w:t>
      </w:r>
      <w:r w:rsidR="00A67FF0">
        <w:rPr>
          <w:rFonts w:ascii="Times New Roman" w:hAnsi="Times New Roman"/>
        </w:rPr>
        <w:t>helps understand</w:t>
      </w:r>
      <w:r w:rsidR="00A44194">
        <w:rPr>
          <w:rFonts w:ascii="Times New Roman" w:hAnsi="Times New Roman"/>
        </w:rPr>
        <w:t xml:space="preserve"> how persons acquire the status of victim in society, in the framework of the Rome Statute, the </w:t>
      </w:r>
      <w:r w:rsidR="006D187C">
        <w:rPr>
          <w:rFonts w:ascii="Times New Roman" w:hAnsi="Times New Roman"/>
        </w:rPr>
        <w:t>victim's concept</w:t>
      </w:r>
      <w:r w:rsidR="00A44194">
        <w:rPr>
          <w:rFonts w:ascii="Times New Roman" w:hAnsi="Times New Roman"/>
        </w:rPr>
        <w:t xml:space="preserve"> has a more specific, statutory definition. Victims are not automatically</w:t>
      </w:r>
      <w:r w:rsidR="00B27D69">
        <w:rPr>
          <w:rFonts w:ascii="Times New Roman" w:hAnsi="Times New Roman"/>
        </w:rPr>
        <w:t xml:space="preserve"> permitted to assume the</w:t>
      </w:r>
      <w:r w:rsidR="00A67FF0">
        <w:rPr>
          <w:rFonts w:ascii="Times New Roman" w:hAnsi="Times New Roman"/>
        </w:rPr>
        <w:t>ir</w:t>
      </w:r>
      <w:r w:rsidR="00A44194">
        <w:rPr>
          <w:rFonts w:ascii="Times New Roman" w:hAnsi="Times New Roman"/>
        </w:rPr>
        <w:t xml:space="preserve"> status. On the contrary, victim-applicants need to go through procedures to be grante</w:t>
      </w:r>
      <w:r w:rsidR="009B4C7F">
        <w:rPr>
          <w:rFonts w:ascii="Times New Roman" w:hAnsi="Times New Roman"/>
        </w:rPr>
        <w:t>d procedural sta</w:t>
      </w:r>
      <w:r w:rsidR="001549D7">
        <w:rPr>
          <w:rFonts w:ascii="Times New Roman" w:hAnsi="Times New Roman"/>
        </w:rPr>
        <w:t>t</w:t>
      </w:r>
      <w:r w:rsidR="009B4C7F">
        <w:rPr>
          <w:rFonts w:ascii="Times New Roman" w:hAnsi="Times New Roman"/>
        </w:rPr>
        <w:t xml:space="preserve">us by the </w:t>
      </w:r>
      <w:r w:rsidR="0012481D">
        <w:rPr>
          <w:rFonts w:ascii="Times New Roman" w:hAnsi="Times New Roman"/>
        </w:rPr>
        <w:t>c</w:t>
      </w:r>
      <w:r w:rsidR="009B4C7F">
        <w:rPr>
          <w:rFonts w:ascii="Times New Roman" w:hAnsi="Times New Roman"/>
        </w:rPr>
        <w:t>ourt</w:t>
      </w:r>
      <w:r w:rsidR="00071CDE" w:rsidRPr="00693DE6">
        <w:rPr>
          <w:rFonts w:ascii="Times New Roman" w:hAnsi="Times New Roman"/>
          <w:szCs w:val="24"/>
        </w:rPr>
        <w:t>.</w:t>
      </w:r>
      <w:r w:rsidR="00071CDE" w:rsidRPr="00693DE6">
        <w:rPr>
          <w:rStyle w:val="FootnoteReference"/>
          <w:rFonts w:ascii="Times New Roman" w:hAnsi="Times New Roman"/>
          <w:szCs w:val="24"/>
        </w:rPr>
        <w:footnoteReference w:id="78"/>
      </w:r>
      <w:r w:rsidR="009B4C7F" w:rsidRPr="009B4C7F">
        <w:rPr>
          <w:rFonts w:ascii="Times New Roman" w:hAnsi="Times New Roman"/>
        </w:rPr>
        <w:t xml:space="preserve"> </w:t>
      </w:r>
      <w:r w:rsidR="009B4C7F">
        <w:rPr>
          <w:rFonts w:ascii="Times New Roman" w:hAnsi="Times New Roman"/>
        </w:rPr>
        <w:t xml:space="preserve">However, in line with </w:t>
      </w:r>
      <w:r w:rsidR="009B4C7F" w:rsidRPr="006D4CC1">
        <w:rPr>
          <w:rFonts w:ascii="Times New Roman" w:hAnsi="Times New Roman"/>
        </w:rPr>
        <w:t>Christie</w:t>
      </w:r>
      <w:r w:rsidR="00F72A5B">
        <w:rPr>
          <w:rFonts w:ascii="Times New Roman" w:hAnsi="Times New Roman"/>
        </w:rPr>
        <w:t>'</w:t>
      </w:r>
      <w:r w:rsidR="009B4C7F" w:rsidRPr="006D4CC1">
        <w:rPr>
          <w:rFonts w:ascii="Times New Roman" w:hAnsi="Times New Roman"/>
        </w:rPr>
        <w:t xml:space="preserve"> analysis</w:t>
      </w:r>
      <w:r w:rsidR="001549D7">
        <w:rPr>
          <w:rFonts w:ascii="Times New Roman" w:hAnsi="Times New Roman"/>
        </w:rPr>
        <w:t>,</w:t>
      </w:r>
      <w:r w:rsidR="009B4C7F" w:rsidRPr="006D4CC1">
        <w:rPr>
          <w:rFonts w:ascii="Times New Roman" w:hAnsi="Times New Roman"/>
        </w:rPr>
        <w:t xml:space="preserve"> </w:t>
      </w:r>
      <w:r w:rsidR="009B4C7F">
        <w:rPr>
          <w:rFonts w:ascii="Times New Roman" w:hAnsi="Times New Roman"/>
        </w:rPr>
        <w:t xml:space="preserve">victims at the ICC </w:t>
      </w:r>
      <w:r w:rsidR="006D187C">
        <w:rPr>
          <w:rFonts w:ascii="Times New Roman" w:hAnsi="Times New Roman"/>
        </w:rPr>
        <w:t>must</w:t>
      </w:r>
      <w:r w:rsidR="009B4C7F">
        <w:rPr>
          <w:rFonts w:ascii="Times New Roman" w:hAnsi="Times New Roman"/>
        </w:rPr>
        <w:t xml:space="preserve"> fulfil the </w:t>
      </w:r>
      <w:r w:rsidR="001549D7">
        <w:rPr>
          <w:rFonts w:ascii="Times New Roman" w:hAnsi="Times New Roman"/>
        </w:rPr>
        <w:t>conditions to qualify as victims</w:t>
      </w:r>
      <w:r w:rsidR="009B4C7F">
        <w:rPr>
          <w:rFonts w:ascii="Times New Roman" w:hAnsi="Times New Roman"/>
        </w:rPr>
        <w:t>, such as reporting the crime to the police, making their case known and cooperating fully with the system by attending tr</w:t>
      </w:r>
      <w:r w:rsidR="001549D7">
        <w:rPr>
          <w:rFonts w:ascii="Times New Roman" w:hAnsi="Times New Roman"/>
        </w:rPr>
        <w:t>ial</w:t>
      </w:r>
      <w:r w:rsidR="009B4C7F">
        <w:rPr>
          <w:rFonts w:ascii="Times New Roman" w:hAnsi="Times New Roman"/>
        </w:rPr>
        <w:t>s and presenti</w:t>
      </w:r>
      <w:r w:rsidR="001549D7">
        <w:rPr>
          <w:rFonts w:ascii="Times New Roman" w:hAnsi="Times New Roman"/>
        </w:rPr>
        <w:t>n</w:t>
      </w:r>
      <w:r w:rsidR="009B4C7F">
        <w:rPr>
          <w:rFonts w:ascii="Times New Roman" w:hAnsi="Times New Roman"/>
        </w:rPr>
        <w:t>g testimony when requested.</w:t>
      </w:r>
      <w:r w:rsidR="001549D7">
        <w:rPr>
          <w:rFonts w:ascii="Times New Roman" w:hAnsi="Times New Roman"/>
        </w:rPr>
        <w:t xml:space="preserve"> </w:t>
      </w:r>
      <w:r w:rsidR="009B4C7F">
        <w:rPr>
          <w:rFonts w:ascii="Times New Roman" w:hAnsi="Times New Roman"/>
        </w:rPr>
        <w:t xml:space="preserve">It is the fulfilment of these </w:t>
      </w:r>
      <w:r w:rsidR="001549D7">
        <w:rPr>
          <w:rFonts w:ascii="Times New Roman" w:hAnsi="Times New Roman"/>
        </w:rPr>
        <w:t>prerequisites,</w:t>
      </w:r>
      <w:r w:rsidR="009B4C7F">
        <w:rPr>
          <w:rFonts w:ascii="Times New Roman" w:hAnsi="Times New Roman"/>
        </w:rPr>
        <w:t xml:space="preserve"> </w:t>
      </w:r>
      <w:r w:rsidR="001549D7">
        <w:rPr>
          <w:rFonts w:ascii="Times New Roman" w:hAnsi="Times New Roman"/>
        </w:rPr>
        <w:t xml:space="preserve">coupled with </w:t>
      </w:r>
      <w:r w:rsidR="009B4C7F">
        <w:rPr>
          <w:rFonts w:ascii="Times New Roman" w:hAnsi="Times New Roman"/>
        </w:rPr>
        <w:t xml:space="preserve">the </w:t>
      </w:r>
      <w:r w:rsidR="006D187C">
        <w:rPr>
          <w:rFonts w:ascii="Times New Roman" w:hAnsi="Times New Roman"/>
        </w:rPr>
        <w:t xml:space="preserve">court's </w:t>
      </w:r>
      <w:r w:rsidR="006D187C">
        <w:rPr>
          <w:rFonts w:ascii="Times New Roman" w:hAnsi="Times New Roman"/>
        </w:rPr>
        <w:lastRenderedPageBreak/>
        <w:t>authorisation</w:t>
      </w:r>
      <w:r w:rsidR="009B4C7F">
        <w:rPr>
          <w:rFonts w:ascii="Times New Roman" w:hAnsi="Times New Roman"/>
        </w:rPr>
        <w:t xml:space="preserve"> that </w:t>
      </w:r>
      <w:r w:rsidR="001549D7">
        <w:rPr>
          <w:rFonts w:ascii="Times New Roman" w:hAnsi="Times New Roman"/>
        </w:rPr>
        <w:t xml:space="preserve">confers the applicants with </w:t>
      </w:r>
      <w:r w:rsidR="008D04BA">
        <w:rPr>
          <w:rFonts w:ascii="Times New Roman" w:hAnsi="Times New Roman"/>
        </w:rPr>
        <w:t>victims' procedural statu</w:t>
      </w:r>
      <w:r w:rsidR="001549D7">
        <w:rPr>
          <w:rFonts w:ascii="Times New Roman" w:hAnsi="Times New Roman"/>
        </w:rPr>
        <w:t>s. Arguably,  an ideal victim might not qualify as a victim at the ICC if he/she does not meet the conditions set out in Article 85.</w:t>
      </w:r>
    </w:p>
    <w:p w14:paraId="196F0A32" w14:textId="724D455E" w:rsidR="00071CDE" w:rsidRPr="00693DE6" w:rsidRDefault="00071CDE" w:rsidP="009B4C7F">
      <w:pPr>
        <w:spacing w:line="480" w:lineRule="auto"/>
        <w:jc w:val="both"/>
        <w:rPr>
          <w:rFonts w:ascii="Times New Roman" w:hAnsi="Times New Roman"/>
          <w:szCs w:val="24"/>
        </w:rPr>
      </w:pPr>
      <w:r w:rsidRPr="00693DE6">
        <w:rPr>
          <w:rFonts w:ascii="Times New Roman" w:hAnsi="Times New Roman"/>
          <w:szCs w:val="24"/>
        </w:rPr>
        <w:t>Hall is critical of Christie</w:t>
      </w:r>
      <w:r w:rsidR="00F72A5B">
        <w:rPr>
          <w:rFonts w:ascii="Times New Roman" w:hAnsi="Times New Roman"/>
          <w:szCs w:val="24"/>
        </w:rPr>
        <w:t>'</w:t>
      </w:r>
      <w:r w:rsidRPr="00693DE6">
        <w:rPr>
          <w:rFonts w:ascii="Times New Roman" w:hAnsi="Times New Roman"/>
          <w:szCs w:val="24"/>
        </w:rPr>
        <w:t>s submission. Hall describes Christie</w:t>
      </w:r>
      <w:r w:rsidR="00F72A5B">
        <w:rPr>
          <w:rFonts w:ascii="Times New Roman" w:hAnsi="Times New Roman"/>
          <w:szCs w:val="24"/>
        </w:rPr>
        <w:t>'</w:t>
      </w:r>
      <w:r w:rsidRPr="00693DE6">
        <w:rPr>
          <w:rFonts w:ascii="Times New Roman" w:hAnsi="Times New Roman"/>
          <w:szCs w:val="24"/>
        </w:rPr>
        <w:t xml:space="preserve">s paradigm of </w:t>
      </w:r>
      <w:r w:rsidR="001549D7">
        <w:rPr>
          <w:rFonts w:ascii="Times New Roman" w:hAnsi="Times New Roman"/>
          <w:szCs w:val="24"/>
        </w:rPr>
        <w:t xml:space="preserve">the </w:t>
      </w:r>
      <w:r w:rsidRPr="00693DE6">
        <w:rPr>
          <w:rFonts w:ascii="Times New Roman" w:hAnsi="Times New Roman"/>
          <w:szCs w:val="24"/>
        </w:rPr>
        <w:t xml:space="preserve">ideal victim as </w:t>
      </w:r>
      <w:r w:rsidR="00F72A5B">
        <w:rPr>
          <w:rFonts w:ascii="Times New Roman" w:hAnsi="Times New Roman"/>
          <w:szCs w:val="24"/>
        </w:rPr>
        <w:t>'</w:t>
      </w:r>
      <w:r w:rsidRPr="00693DE6">
        <w:rPr>
          <w:rFonts w:ascii="Times New Roman" w:hAnsi="Times New Roman"/>
          <w:i/>
          <w:szCs w:val="24"/>
        </w:rPr>
        <w:t>arguably incomplete</w:t>
      </w:r>
      <w:r w:rsidR="00F72A5B">
        <w:rPr>
          <w:rFonts w:ascii="Times New Roman" w:hAnsi="Times New Roman"/>
          <w:i/>
          <w:szCs w:val="24"/>
        </w:rPr>
        <w:t>'</w:t>
      </w:r>
      <w:r w:rsidRPr="00693DE6">
        <w:rPr>
          <w:rFonts w:ascii="Times New Roman" w:hAnsi="Times New Roman"/>
          <w:szCs w:val="24"/>
        </w:rPr>
        <w:t xml:space="preserve"> </w:t>
      </w:r>
      <w:r w:rsidR="00AA7412" w:rsidRPr="00693DE6">
        <w:rPr>
          <w:rFonts w:ascii="Times New Roman" w:hAnsi="Times New Roman"/>
          <w:szCs w:val="24"/>
        </w:rPr>
        <w:t>because it excludes collective victims a</w:t>
      </w:r>
      <w:r w:rsidR="006D187C">
        <w:rPr>
          <w:rFonts w:ascii="Times New Roman" w:hAnsi="Times New Roman"/>
          <w:szCs w:val="24"/>
        </w:rPr>
        <w:t>nd</w:t>
      </w:r>
      <w:r w:rsidR="00AA7412" w:rsidRPr="00693DE6">
        <w:rPr>
          <w:rFonts w:ascii="Times New Roman" w:hAnsi="Times New Roman"/>
          <w:szCs w:val="24"/>
        </w:rPr>
        <w:t xml:space="preserve"> the position of corporate bodies into consideration.</w:t>
      </w:r>
      <w:r w:rsidR="00AA7412" w:rsidRPr="00693DE6">
        <w:rPr>
          <w:rStyle w:val="FootnoteReference"/>
          <w:rFonts w:ascii="Times New Roman" w:hAnsi="Times New Roman"/>
          <w:szCs w:val="24"/>
        </w:rPr>
        <w:footnoteReference w:id="79"/>
      </w:r>
      <w:r w:rsidR="00AA7412" w:rsidRPr="00693DE6">
        <w:rPr>
          <w:rFonts w:ascii="Times New Roman" w:hAnsi="Times New Roman"/>
          <w:szCs w:val="24"/>
        </w:rPr>
        <w:t>Perhaps Christie</w:t>
      </w:r>
      <w:r w:rsidR="00B57B07" w:rsidRPr="00693DE6">
        <w:rPr>
          <w:rFonts w:ascii="Times New Roman" w:hAnsi="Times New Roman"/>
          <w:szCs w:val="24"/>
        </w:rPr>
        <w:t xml:space="preserve"> intended</w:t>
      </w:r>
      <w:r w:rsidR="00AA7412" w:rsidRPr="00693DE6">
        <w:rPr>
          <w:rFonts w:ascii="Times New Roman" w:hAnsi="Times New Roman"/>
          <w:szCs w:val="24"/>
        </w:rPr>
        <w:t xml:space="preserve"> to explore the individuality of victim and its attendant consequences on such individual.</w:t>
      </w:r>
    </w:p>
    <w:p w14:paraId="53E6DB5B" w14:textId="3A9B89DD" w:rsidR="00AA7412" w:rsidRPr="00693DE6" w:rsidRDefault="00AA7412" w:rsidP="009B4C7F">
      <w:pPr>
        <w:spacing w:line="480" w:lineRule="auto"/>
        <w:jc w:val="both"/>
        <w:rPr>
          <w:rFonts w:ascii="Times New Roman" w:hAnsi="Times New Roman"/>
          <w:szCs w:val="24"/>
        </w:rPr>
      </w:pPr>
      <w:r w:rsidRPr="00693DE6">
        <w:rPr>
          <w:rFonts w:ascii="Times New Roman" w:hAnsi="Times New Roman"/>
          <w:szCs w:val="24"/>
        </w:rPr>
        <w:t>Fu</w:t>
      </w:r>
      <w:r w:rsidR="00B57B07" w:rsidRPr="00693DE6">
        <w:rPr>
          <w:rFonts w:ascii="Times New Roman" w:hAnsi="Times New Roman"/>
          <w:szCs w:val="24"/>
        </w:rPr>
        <w:t>r</w:t>
      </w:r>
      <w:r w:rsidRPr="00693DE6">
        <w:rPr>
          <w:rFonts w:ascii="Times New Roman" w:hAnsi="Times New Roman"/>
          <w:szCs w:val="24"/>
        </w:rPr>
        <w:t>thermore, Elias and Rock contend that society</w:t>
      </w:r>
      <w:r w:rsidR="00F72A5B">
        <w:rPr>
          <w:rFonts w:ascii="Times New Roman" w:hAnsi="Times New Roman"/>
          <w:szCs w:val="24"/>
        </w:rPr>
        <w:t>'</w:t>
      </w:r>
      <w:r w:rsidRPr="00693DE6">
        <w:rPr>
          <w:rFonts w:ascii="Times New Roman" w:hAnsi="Times New Roman"/>
          <w:szCs w:val="24"/>
        </w:rPr>
        <w:t>s narrow perception of victims and victimisat</w:t>
      </w:r>
      <w:r w:rsidR="00A22333" w:rsidRPr="00693DE6">
        <w:rPr>
          <w:rFonts w:ascii="Times New Roman" w:hAnsi="Times New Roman"/>
          <w:szCs w:val="24"/>
        </w:rPr>
        <w:t>ion flows from selective</w:t>
      </w:r>
      <w:r w:rsidRPr="00693DE6">
        <w:rPr>
          <w:rFonts w:ascii="Times New Roman" w:hAnsi="Times New Roman"/>
          <w:szCs w:val="24"/>
        </w:rPr>
        <w:t xml:space="preserve"> definitions of crime</w:t>
      </w:r>
      <w:r w:rsidR="00A22333" w:rsidRPr="00693DE6">
        <w:rPr>
          <w:rFonts w:ascii="Times New Roman" w:hAnsi="Times New Roman"/>
          <w:szCs w:val="24"/>
        </w:rPr>
        <w:t>,</w:t>
      </w:r>
      <w:r w:rsidRPr="00693DE6">
        <w:rPr>
          <w:rFonts w:ascii="Times New Roman" w:hAnsi="Times New Roman"/>
          <w:szCs w:val="24"/>
        </w:rPr>
        <w:t xml:space="preserve"> which was aggravated by political purposes.</w:t>
      </w:r>
      <w:r w:rsidR="00A22333" w:rsidRPr="00693DE6">
        <w:rPr>
          <w:rStyle w:val="FootnoteReference"/>
          <w:rFonts w:ascii="Times New Roman" w:hAnsi="Times New Roman"/>
          <w:szCs w:val="24"/>
        </w:rPr>
        <w:footnoteReference w:id="80"/>
      </w:r>
      <w:r w:rsidR="00C10AEA" w:rsidRPr="00693DE6">
        <w:rPr>
          <w:rFonts w:ascii="Times New Roman" w:hAnsi="Times New Roman"/>
          <w:szCs w:val="24"/>
        </w:rPr>
        <w:t>As such, the notion of victims an</w:t>
      </w:r>
      <w:r w:rsidR="009B4C7F">
        <w:rPr>
          <w:rFonts w:ascii="Times New Roman" w:hAnsi="Times New Roman"/>
          <w:szCs w:val="24"/>
        </w:rPr>
        <w:t>d victimisation are consequences</w:t>
      </w:r>
      <w:r w:rsidR="00C10AEA" w:rsidRPr="00693DE6">
        <w:rPr>
          <w:rFonts w:ascii="Times New Roman" w:hAnsi="Times New Roman"/>
          <w:szCs w:val="24"/>
        </w:rPr>
        <w:t xml:space="preserve"> of </w:t>
      </w:r>
      <w:r w:rsidR="006D187C">
        <w:rPr>
          <w:rFonts w:ascii="Times New Roman" w:hAnsi="Times New Roman"/>
          <w:szCs w:val="24"/>
        </w:rPr>
        <w:t>both offender and victim's social construction</w:t>
      </w:r>
      <w:r w:rsidR="00C10AEA" w:rsidRPr="00693DE6">
        <w:rPr>
          <w:rFonts w:ascii="Times New Roman" w:hAnsi="Times New Roman"/>
          <w:szCs w:val="24"/>
        </w:rPr>
        <w:t>.</w:t>
      </w:r>
      <w:r w:rsidR="00A22333" w:rsidRPr="00693DE6">
        <w:rPr>
          <w:rStyle w:val="FootnoteReference"/>
          <w:rFonts w:ascii="Times New Roman" w:hAnsi="Times New Roman"/>
          <w:szCs w:val="24"/>
        </w:rPr>
        <w:footnoteReference w:id="81"/>
      </w:r>
    </w:p>
    <w:p w14:paraId="5A7A1EEE" w14:textId="482CE349" w:rsidR="00D97425" w:rsidRPr="00693DE6" w:rsidRDefault="008D7992" w:rsidP="009B4C7F">
      <w:pPr>
        <w:spacing w:line="480" w:lineRule="auto"/>
        <w:jc w:val="both"/>
        <w:rPr>
          <w:rFonts w:ascii="Times New Roman" w:hAnsi="Times New Roman"/>
          <w:szCs w:val="24"/>
        </w:rPr>
      </w:pPr>
      <w:r>
        <w:rPr>
          <w:rFonts w:ascii="Times New Roman" w:hAnsi="Times New Roman"/>
          <w:szCs w:val="24"/>
        </w:rPr>
        <w:t>In some situations, many victims</w:t>
      </w:r>
      <w:r w:rsidR="00D97425" w:rsidRPr="00693DE6">
        <w:rPr>
          <w:rFonts w:ascii="Times New Roman" w:hAnsi="Times New Roman"/>
          <w:szCs w:val="24"/>
        </w:rPr>
        <w:t xml:space="preserve"> do not fit into the concept of </w:t>
      </w:r>
      <w:r w:rsidR="00F72A5B">
        <w:rPr>
          <w:rFonts w:ascii="Times New Roman" w:hAnsi="Times New Roman"/>
          <w:szCs w:val="24"/>
        </w:rPr>
        <w:t>'</w:t>
      </w:r>
      <w:r w:rsidR="00D97425" w:rsidRPr="00693DE6">
        <w:rPr>
          <w:rFonts w:ascii="Times New Roman" w:hAnsi="Times New Roman"/>
          <w:i/>
          <w:szCs w:val="24"/>
        </w:rPr>
        <w:t>ideal victim.</w:t>
      </w:r>
      <w:r w:rsidR="00F72A5B">
        <w:rPr>
          <w:rFonts w:ascii="Times New Roman" w:hAnsi="Times New Roman"/>
          <w:i/>
          <w:szCs w:val="24"/>
        </w:rPr>
        <w:t>'</w:t>
      </w:r>
      <w:r w:rsidR="00D97425" w:rsidRPr="00693DE6">
        <w:rPr>
          <w:rFonts w:ascii="Times New Roman" w:hAnsi="Times New Roman"/>
          <w:szCs w:val="24"/>
        </w:rPr>
        <w:t xml:space="preserve"> </w:t>
      </w:r>
      <w:r>
        <w:rPr>
          <w:rFonts w:ascii="Times New Roman" w:hAnsi="Times New Roman"/>
          <w:szCs w:val="24"/>
        </w:rPr>
        <w:t>Some victims</w:t>
      </w:r>
      <w:r w:rsidR="002E6AB8" w:rsidRPr="00693DE6">
        <w:rPr>
          <w:rFonts w:ascii="Times New Roman" w:hAnsi="Times New Roman"/>
          <w:szCs w:val="24"/>
        </w:rPr>
        <w:t xml:space="preserve"> may not be considered </w:t>
      </w:r>
      <w:r w:rsidR="00B27D69">
        <w:rPr>
          <w:rFonts w:ascii="Times New Roman" w:hAnsi="Times New Roman"/>
          <w:szCs w:val="24"/>
        </w:rPr>
        <w:t>entir</w:t>
      </w:r>
      <w:r w:rsidR="002E6AB8" w:rsidRPr="00693DE6">
        <w:rPr>
          <w:rFonts w:ascii="Times New Roman" w:hAnsi="Times New Roman"/>
          <w:szCs w:val="24"/>
        </w:rPr>
        <w:t>ely innocent</w:t>
      </w:r>
      <w:r w:rsidR="009B4C7F">
        <w:rPr>
          <w:rFonts w:ascii="Times New Roman" w:hAnsi="Times New Roman"/>
          <w:szCs w:val="24"/>
        </w:rPr>
        <w:t>(e.g</w:t>
      </w:r>
      <w:r>
        <w:rPr>
          <w:rFonts w:ascii="Times New Roman" w:hAnsi="Times New Roman"/>
          <w:szCs w:val="24"/>
        </w:rPr>
        <w:t>.</w:t>
      </w:r>
      <w:r w:rsidR="009B4C7F">
        <w:rPr>
          <w:rFonts w:ascii="Times New Roman" w:hAnsi="Times New Roman"/>
          <w:szCs w:val="24"/>
        </w:rPr>
        <w:t xml:space="preserve"> child soldiers)</w:t>
      </w:r>
      <w:r w:rsidR="002E6AB8" w:rsidRPr="00693DE6">
        <w:rPr>
          <w:rFonts w:ascii="Times New Roman" w:hAnsi="Times New Roman"/>
          <w:szCs w:val="24"/>
        </w:rPr>
        <w:t xml:space="preserve">. </w:t>
      </w:r>
      <w:r w:rsidR="006D053F" w:rsidRPr="00693DE6">
        <w:rPr>
          <w:rFonts w:ascii="Times New Roman" w:hAnsi="Times New Roman"/>
          <w:szCs w:val="24"/>
        </w:rPr>
        <w:t xml:space="preserve">In practice, one may not encounter an </w:t>
      </w:r>
      <w:r w:rsidR="00F72A5B">
        <w:rPr>
          <w:rFonts w:ascii="Times New Roman" w:hAnsi="Times New Roman"/>
          <w:szCs w:val="24"/>
        </w:rPr>
        <w:t>'</w:t>
      </w:r>
      <w:r w:rsidR="006D053F" w:rsidRPr="00693DE6">
        <w:rPr>
          <w:rFonts w:ascii="Times New Roman" w:hAnsi="Times New Roman"/>
          <w:szCs w:val="24"/>
        </w:rPr>
        <w:t>ideal victim</w:t>
      </w:r>
      <w:r w:rsidR="00F72A5B">
        <w:rPr>
          <w:rFonts w:ascii="Times New Roman" w:hAnsi="Times New Roman"/>
          <w:szCs w:val="24"/>
        </w:rPr>
        <w:t>'</w:t>
      </w:r>
      <w:r w:rsidR="006D053F" w:rsidRPr="00693DE6">
        <w:rPr>
          <w:rFonts w:ascii="Times New Roman" w:hAnsi="Times New Roman"/>
          <w:szCs w:val="24"/>
        </w:rPr>
        <w:t xml:space="preserve"> as a result of fluidity</w:t>
      </w:r>
      <w:r w:rsidR="002E6AB8" w:rsidRPr="00693DE6">
        <w:rPr>
          <w:rFonts w:ascii="Times New Roman" w:hAnsi="Times New Roman"/>
          <w:szCs w:val="24"/>
        </w:rPr>
        <w:t xml:space="preserve"> of status</w:t>
      </w:r>
      <w:r w:rsidR="006D053F" w:rsidRPr="00693DE6">
        <w:rPr>
          <w:rFonts w:ascii="Times New Roman" w:hAnsi="Times New Roman"/>
          <w:szCs w:val="24"/>
        </w:rPr>
        <w:t>. The Domin</w:t>
      </w:r>
      <w:r w:rsidR="00437998" w:rsidRPr="00693DE6">
        <w:rPr>
          <w:rFonts w:ascii="Times New Roman" w:hAnsi="Times New Roman"/>
          <w:szCs w:val="24"/>
        </w:rPr>
        <w:t>i</w:t>
      </w:r>
      <w:r w:rsidR="006D053F" w:rsidRPr="00693DE6">
        <w:rPr>
          <w:rFonts w:ascii="Times New Roman" w:hAnsi="Times New Roman"/>
          <w:szCs w:val="24"/>
        </w:rPr>
        <w:t xml:space="preserve">c </w:t>
      </w:r>
      <w:proofErr w:type="spellStart"/>
      <w:r w:rsidR="006D053F" w:rsidRPr="00693DE6">
        <w:rPr>
          <w:rFonts w:ascii="Times New Roman" w:hAnsi="Times New Roman"/>
          <w:szCs w:val="24"/>
        </w:rPr>
        <w:t>Ongwen</w:t>
      </w:r>
      <w:proofErr w:type="spellEnd"/>
      <w:r w:rsidR="006D053F" w:rsidRPr="00693DE6">
        <w:rPr>
          <w:rFonts w:ascii="Times New Roman" w:hAnsi="Times New Roman"/>
          <w:szCs w:val="24"/>
        </w:rPr>
        <w:t xml:space="preserve"> </w:t>
      </w:r>
      <w:r w:rsidR="00437998" w:rsidRPr="00693DE6">
        <w:rPr>
          <w:rFonts w:ascii="Times New Roman" w:hAnsi="Times New Roman"/>
          <w:szCs w:val="24"/>
        </w:rPr>
        <w:t>c</w:t>
      </w:r>
      <w:r w:rsidR="009B4C7F">
        <w:rPr>
          <w:rFonts w:ascii="Times New Roman" w:hAnsi="Times New Roman"/>
          <w:szCs w:val="24"/>
        </w:rPr>
        <w:t>ase illustrates the difficulties and blurring of the boundaries in defining victims.</w:t>
      </w:r>
      <w:r w:rsidR="00071CDE" w:rsidRPr="00693DE6">
        <w:rPr>
          <w:rFonts w:ascii="Times New Roman" w:hAnsi="Times New Roman"/>
          <w:szCs w:val="24"/>
        </w:rPr>
        <w:t xml:space="preserve"> </w:t>
      </w:r>
      <w:r w:rsidR="00437998" w:rsidRPr="00693DE6">
        <w:rPr>
          <w:rFonts w:ascii="Times New Roman" w:hAnsi="Times New Roman"/>
          <w:szCs w:val="24"/>
        </w:rPr>
        <w:t xml:space="preserve">Dominic </w:t>
      </w:r>
      <w:proofErr w:type="spellStart"/>
      <w:r w:rsidR="00437998" w:rsidRPr="00693DE6">
        <w:rPr>
          <w:rFonts w:ascii="Times New Roman" w:hAnsi="Times New Roman"/>
          <w:szCs w:val="24"/>
        </w:rPr>
        <w:t>Ongwen</w:t>
      </w:r>
      <w:proofErr w:type="spellEnd"/>
      <w:r w:rsidR="00437998" w:rsidRPr="00693DE6">
        <w:rPr>
          <w:rFonts w:ascii="Times New Roman" w:hAnsi="Times New Roman"/>
          <w:szCs w:val="24"/>
        </w:rPr>
        <w:t xml:space="preserve"> was conscripted under the age of 15 years and used to participate actively in hostilities.</w:t>
      </w:r>
      <w:r w:rsidR="00437998" w:rsidRPr="00693DE6">
        <w:rPr>
          <w:rStyle w:val="FootnoteReference"/>
          <w:rFonts w:ascii="Times New Roman" w:hAnsi="Times New Roman"/>
          <w:szCs w:val="24"/>
        </w:rPr>
        <w:footnoteReference w:id="82"/>
      </w:r>
      <w:r w:rsidR="006D187C">
        <w:rPr>
          <w:rFonts w:ascii="Times New Roman" w:hAnsi="Times New Roman"/>
          <w:szCs w:val="24"/>
        </w:rPr>
        <w:t xml:space="preserve">He rose through the </w:t>
      </w:r>
      <w:r w:rsidR="0044204B">
        <w:rPr>
          <w:rFonts w:ascii="Times New Roman" w:hAnsi="Times New Roman"/>
          <w:szCs w:val="24"/>
        </w:rPr>
        <w:t>army ranks</w:t>
      </w:r>
      <w:r w:rsidR="00437998" w:rsidRPr="00693DE6">
        <w:rPr>
          <w:rFonts w:ascii="Times New Roman" w:hAnsi="Times New Roman"/>
          <w:szCs w:val="24"/>
        </w:rPr>
        <w:t xml:space="preserve"> and became a </w:t>
      </w:r>
      <w:r w:rsidR="00437998" w:rsidRPr="00693DE6">
        <w:rPr>
          <w:rFonts w:ascii="Times New Roman" w:hAnsi="Times New Roman"/>
          <w:szCs w:val="24"/>
        </w:rPr>
        <w:lastRenderedPageBreak/>
        <w:t>commander of the Lord Resistant Army(LRV).</w:t>
      </w:r>
      <w:r>
        <w:rPr>
          <w:rFonts w:ascii="Times New Roman" w:hAnsi="Times New Roman"/>
          <w:szCs w:val="24"/>
        </w:rPr>
        <w:t xml:space="preserve"> </w:t>
      </w:r>
      <w:r w:rsidR="00437998" w:rsidRPr="00693DE6">
        <w:rPr>
          <w:rFonts w:ascii="Times New Roman" w:hAnsi="Times New Roman"/>
          <w:szCs w:val="24"/>
        </w:rPr>
        <w:t>One of the issues before the ICC is how to classify him.</w:t>
      </w:r>
      <w:r w:rsidR="002E6AB8" w:rsidRPr="00693DE6">
        <w:rPr>
          <w:rFonts w:ascii="Times New Roman" w:hAnsi="Times New Roman"/>
          <w:szCs w:val="24"/>
        </w:rPr>
        <w:t xml:space="preserve"> </w:t>
      </w:r>
      <w:proofErr w:type="spellStart"/>
      <w:r w:rsidR="00437998" w:rsidRPr="00693DE6">
        <w:rPr>
          <w:rFonts w:ascii="Times New Roman" w:hAnsi="Times New Roman"/>
          <w:szCs w:val="24"/>
        </w:rPr>
        <w:t>Ongwen</w:t>
      </w:r>
      <w:r w:rsidR="00F72A5B">
        <w:rPr>
          <w:rFonts w:ascii="Times New Roman" w:hAnsi="Times New Roman"/>
          <w:szCs w:val="24"/>
        </w:rPr>
        <w:t>'</w:t>
      </w:r>
      <w:r w:rsidR="00437998" w:rsidRPr="00693DE6">
        <w:rPr>
          <w:rFonts w:ascii="Times New Roman" w:hAnsi="Times New Roman"/>
          <w:szCs w:val="24"/>
        </w:rPr>
        <w:t>s</w:t>
      </w:r>
      <w:proofErr w:type="spellEnd"/>
      <w:r w:rsidR="00437998" w:rsidRPr="00693DE6">
        <w:rPr>
          <w:rFonts w:ascii="Times New Roman" w:hAnsi="Times New Roman"/>
          <w:szCs w:val="24"/>
        </w:rPr>
        <w:t xml:space="preserve"> position is a pendulum that swings between victim/perpetrator</w:t>
      </w:r>
      <w:r w:rsidR="002E6AB8" w:rsidRPr="00693DE6">
        <w:rPr>
          <w:rFonts w:ascii="Times New Roman" w:hAnsi="Times New Roman"/>
          <w:szCs w:val="24"/>
        </w:rPr>
        <w:t xml:space="preserve">/witness. </w:t>
      </w:r>
      <w:proofErr w:type="spellStart"/>
      <w:r w:rsidR="002E6AB8" w:rsidRPr="00693DE6">
        <w:rPr>
          <w:rFonts w:ascii="Times New Roman" w:hAnsi="Times New Roman"/>
          <w:szCs w:val="24"/>
        </w:rPr>
        <w:t>Ongwen</w:t>
      </w:r>
      <w:r w:rsidR="00F72A5B">
        <w:rPr>
          <w:rFonts w:ascii="Times New Roman" w:hAnsi="Times New Roman"/>
          <w:szCs w:val="24"/>
        </w:rPr>
        <w:t>'</w:t>
      </w:r>
      <w:r w:rsidR="009B1BB0" w:rsidRPr="00693DE6">
        <w:rPr>
          <w:rFonts w:ascii="Times New Roman" w:hAnsi="Times New Roman"/>
          <w:szCs w:val="24"/>
        </w:rPr>
        <w:t>s</w:t>
      </w:r>
      <w:proofErr w:type="spellEnd"/>
      <w:r w:rsidR="009B1BB0" w:rsidRPr="00693DE6">
        <w:rPr>
          <w:rFonts w:ascii="Times New Roman" w:hAnsi="Times New Roman"/>
          <w:szCs w:val="24"/>
        </w:rPr>
        <w:t xml:space="preserve"> case questions the ideal victim theory and explores the relationship between victim and perpetrator.</w:t>
      </w:r>
    </w:p>
    <w:p w14:paraId="1A016761" w14:textId="291B2702" w:rsidR="00D97425" w:rsidRPr="00693DE6" w:rsidRDefault="00D97425" w:rsidP="009B4C7F">
      <w:pPr>
        <w:spacing w:line="480" w:lineRule="auto"/>
        <w:jc w:val="both"/>
        <w:rPr>
          <w:rFonts w:ascii="Times New Roman" w:hAnsi="Times New Roman"/>
          <w:szCs w:val="24"/>
        </w:rPr>
      </w:pPr>
      <w:r w:rsidRPr="00693DE6">
        <w:rPr>
          <w:rFonts w:ascii="Times New Roman" w:hAnsi="Times New Roman"/>
          <w:szCs w:val="24"/>
        </w:rPr>
        <w:t>This</w:t>
      </w:r>
      <w:r w:rsidR="008D7992">
        <w:rPr>
          <w:rFonts w:ascii="Times New Roman" w:hAnsi="Times New Roman"/>
          <w:szCs w:val="24"/>
        </w:rPr>
        <w:t xml:space="preserve"> fluidity of status</w:t>
      </w:r>
      <w:r w:rsidRPr="00693DE6">
        <w:rPr>
          <w:rFonts w:ascii="Times New Roman" w:hAnsi="Times New Roman"/>
          <w:szCs w:val="24"/>
        </w:rPr>
        <w:t xml:space="preserve"> </w:t>
      </w:r>
      <w:r w:rsidR="008D7992">
        <w:rPr>
          <w:rFonts w:ascii="Times New Roman" w:hAnsi="Times New Roman"/>
          <w:szCs w:val="24"/>
        </w:rPr>
        <w:t>demonstrates</w:t>
      </w:r>
      <w:r w:rsidRPr="00693DE6">
        <w:rPr>
          <w:rFonts w:ascii="Times New Roman" w:hAnsi="Times New Roman"/>
          <w:szCs w:val="24"/>
        </w:rPr>
        <w:t xml:space="preserve"> </w:t>
      </w:r>
      <w:r w:rsidR="008D7992">
        <w:rPr>
          <w:rFonts w:ascii="Times New Roman" w:hAnsi="Times New Roman"/>
          <w:szCs w:val="24"/>
        </w:rPr>
        <w:t>the</w:t>
      </w:r>
      <w:r w:rsidRPr="00693DE6">
        <w:rPr>
          <w:rFonts w:ascii="Times New Roman" w:hAnsi="Times New Roman"/>
          <w:szCs w:val="24"/>
        </w:rPr>
        <w:t xml:space="preserve"> need to be explicit about</w:t>
      </w:r>
      <w:r w:rsidR="002E6AB8" w:rsidRPr="00693DE6">
        <w:rPr>
          <w:rFonts w:ascii="Times New Roman" w:hAnsi="Times New Roman"/>
          <w:szCs w:val="24"/>
        </w:rPr>
        <w:t xml:space="preserve"> what exactly </w:t>
      </w:r>
      <w:r w:rsidRPr="00693DE6">
        <w:rPr>
          <w:rFonts w:ascii="Times New Roman" w:hAnsi="Times New Roman"/>
          <w:szCs w:val="24"/>
        </w:rPr>
        <w:t xml:space="preserve">is meant by </w:t>
      </w:r>
      <w:r w:rsidR="00B57B07" w:rsidRPr="00693DE6">
        <w:rPr>
          <w:rFonts w:ascii="Times New Roman" w:hAnsi="Times New Roman"/>
          <w:szCs w:val="24"/>
        </w:rPr>
        <w:t xml:space="preserve">the </w:t>
      </w:r>
      <w:r w:rsidRPr="00693DE6">
        <w:rPr>
          <w:rFonts w:ascii="Times New Roman" w:hAnsi="Times New Roman"/>
          <w:szCs w:val="24"/>
        </w:rPr>
        <w:t xml:space="preserve">victim within the </w:t>
      </w:r>
      <w:r w:rsidR="006D187C">
        <w:rPr>
          <w:rFonts w:ascii="Times New Roman" w:hAnsi="Times New Roman"/>
          <w:szCs w:val="24"/>
        </w:rPr>
        <w:t>ICC ambience</w:t>
      </w:r>
      <w:r w:rsidRPr="00693DE6">
        <w:rPr>
          <w:rFonts w:ascii="Times New Roman" w:hAnsi="Times New Roman"/>
          <w:szCs w:val="24"/>
        </w:rPr>
        <w:t>. Rule 85 defines victim</w:t>
      </w:r>
      <w:r w:rsidR="006F5ECE" w:rsidRPr="00693DE6">
        <w:rPr>
          <w:rFonts w:ascii="Times New Roman" w:hAnsi="Times New Roman"/>
          <w:szCs w:val="24"/>
        </w:rPr>
        <w:t>s as</w:t>
      </w:r>
      <w:r w:rsidR="002E6AB8" w:rsidRPr="00693DE6">
        <w:rPr>
          <w:rFonts w:ascii="Times New Roman" w:hAnsi="Times New Roman"/>
          <w:szCs w:val="24"/>
        </w:rPr>
        <w:t xml:space="preserve"> a </w:t>
      </w:r>
      <w:r w:rsidR="006F5ECE" w:rsidRPr="00693DE6">
        <w:rPr>
          <w:rFonts w:ascii="Times New Roman" w:hAnsi="Times New Roman"/>
          <w:szCs w:val="24"/>
        </w:rPr>
        <w:t>natural or legal person who</w:t>
      </w:r>
      <w:r w:rsidRPr="00693DE6">
        <w:rPr>
          <w:rFonts w:ascii="Times New Roman" w:hAnsi="Times New Roman"/>
          <w:szCs w:val="24"/>
        </w:rPr>
        <w:t xml:space="preserve"> ha</w:t>
      </w:r>
      <w:r w:rsidR="008D7992">
        <w:rPr>
          <w:rFonts w:ascii="Times New Roman" w:hAnsi="Times New Roman"/>
          <w:szCs w:val="24"/>
        </w:rPr>
        <w:t>s</w:t>
      </w:r>
      <w:r w:rsidR="009B4C7F">
        <w:rPr>
          <w:rFonts w:ascii="Times New Roman" w:hAnsi="Times New Roman"/>
          <w:szCs w:val="24"/>
        </w:rPr>
        <w:t xml:space="preserve"> </w:t>
      </w:r>
      <w:r w:rsidRPr="00693DE6">
        <w:rPr>
          <w:rFonts w:ascii="Times New Roman" w:hAnsi="Times New Roman"/>
          <w:szCs w:val="24"/>
        </w:rPr>
        <w:t>suff</w:t>
      </w:r>
      <w:r w:rsidR="006F5ECE" w:rsidRPr="00693DE6">
        <w:rPr>
          <w:rFonts w:ascii="Times New Roman" w:hAnsi="Times New Roman"/>
          <w:szCs w:val="24"/>
        </w:rPr>
        <w:t>ered harm as a result of any crime</w:t>
      </w:r>
      <w:r w:rsidRPr="00693DE6">
        <w:rPr>
          <w:rFonts w:ascii="Times New Roman" w:hAnsi="Times New Roman"/>
          <w:szCs w:val="24"/>
        </w:rPr>
        <w:t xml:space="preserve"> committed within the jurisdiction of the </w:t>
      </w:r>
      <w:r w:rsidR="0012481D">
        <w:rPr>
          <w:rFonts w:ascii="Times New Roman" w:hAnsi="Times New Roman"/>
          <w:szCs w:val="24"/>
        </w:rPr>
        <w:t>c</w:t>
      </w:r>
      <w:r w:rsidRPr="00693DE6">
        <w:rPr>
          <w:rFonts w:ascii="Times New Roman" w:hAnsi="Times New Roman"/>
          <w:szCs w:val="24"/>
        </w:rPr>
        <w:t>ourt.</w:t>
      </w:r>
      <w:r w:rsidRPr="00693DE6">
        <w:rPr>
          <w:rStyle w:val="FootnoteReference"/>
          <w:rFonts w:ascii="Times New Roman" w:hAnsi="Times New Roman"/>
          <w:szCs w:val="24"/>
        </w:rPr>
        <w:footnoteReference w:id="83"/>
      </w:r>
      <w:r w:rsidRPr="00693DE6">
        <w:rPr>
          <w:rFonts w:ascii="Times New Roman" w:hAnsi="Times New Roman"/>
          <w:szCs w:val="24"/>
        </w:rPr>
        <w:t>The</w:t>
      </w:r>
      <w:r w:rsidR="0066209F">
        <w:rPr>
          <w:rFonts w:ascii="Times New Roman" w:hAnsi="Times New Roman"/>
          <w:szCs w:val="24"/>
        </w:rPr>
        <w:t>re must be a connection between the</w:t>
      </w:r>
      <w:r w:rsidRPr="00693DE6">
        <w:rPr>
          <w:rFonts w:ascii="Times New Roman" w:hAnsi="Times New Roman"/>
          <w:szCs w:val="24"/>
        </w:rPr>
        <w:t xml:space="preserve"> crime and the harm suffere</w:t>
      </w:r>
      <w:r w:rsidR="0066209F">
        <w:rPr>
          <w:rFonts w:ascii="Times New Roman" w:hAnsi="Times New Roman"/>
          <w:szCs w:val="24"/>
        </w:rPr>
        <w:t>d</w:t>
      </w:r>
      <w:r w:rsidRPr="00693DE6">
        <w:rPr>
          <w:rFonts w:ascii="Times New Roman" w:hAnsi="Times New Roman"/>
          <w:szCs w:val="24"/>
        </w:rPr>
        <w:t xml:space="preserve">. As simple as this definition appears, the conditions listed must be </w:t>
      </w:r>
      <w:r w:rsidR="006D187C">
        <w:rPr>
          <w:rFonts w:ascii="Times New Roman" w:hAnsi="Times New Roman"/>
          <w:szCs w:val="24"/>
        </w:rPr>
        <w:t>elucidated conjunctively</w:t>
      </w:r>
      <w:r w:rsidRPr="00693DE6">
        <w:rPr>
          <w:rFonts w:ascii="Times New Roman" w:hAnsi="Times New Roman"/>
          <w:szCs w:val="24"/>
        </w:rPr>
        <w:t xml:space="preserve">. Hence, an applicant must fulfil all </w:t>
      </w:r>
      <w:r w:rsidR="008D7992">
        <w:rPr>
          <w:rFonts w:ascii="Times New Roman" w:hAnsi="Times New Roman"/>
          <w:szCs w:val="24"/>
        </w:rPr>
        <w:t>requirement</w:t>
      </w:r>
      <w:r w:rsidRPr="00693DE6">
        <w:rPr>
          <w:rFonts w:ascii="Times New Roman" w:hAnsi="Times New Roman"/>
          <w:szCs w:val="24"/>
        </w:rPr>
        <w:t>s to be granted official status. Where the applicant does not qualify for one of the con</w:t>
      </w:r>
      <w:r w:rsidR="00B57B07" w:rsidRPr="00693DE6">
        <w:rPr>
          <w:rFonts w:ascii="Times New Roman" w:hAnsi="Times New Roman"/>
          <w:szCs w:val="24"/>
        </w:rPr>
        <w:t xml:space="preserve">dition, his request </w:t>
      </w:r>
      <w:r w:rsidR="002E6AB8" w:rsidRPr="00693DE6">
        <w:rPr>
          <w:rFonts w:ascii="Times New Roman" w:hAnsi="Times New Roman"/>
          <w:szCs w:val="24"/>
        </w:rPr>
        <w:t>may</w:t>
      </w:r>
      <w:r w:rsidRPr="00693DE6">
        <w:rPr>
          <w:rFonts w:ascii="Times New Roman" w:hAnsi="Times New Roman"/>
          <w:szCs w:val="24"/>
        </w:rPr>
        <w:t xml:space="preserve"> be rejected.</w:t>
      </w:r>
    </w:p>
    <w:p w14:paraId="42E7C2B0" w14:textId="64A55BD7" w:rsidR="00B435D4" w:rsidRDefault="006D187C" w:rsidP="00693DE6">
      <w:pPr>
        <w:spacing w:line="480" w:lineRule="auto"/>
        <w:jc w:val="both"/>
        <w:rPr>
          <w:rFonts w:ascii="Times New Roman" w:hAnsi="Times New Roman"/>
          <w:szCs w:val="24"/>
        </w:rPr>
      </w:pPr>
      <w:r>
        <w:rPr>
          <w:rFonts w:ascii="Times New Roman" w:hAnsi="Times New Roman"/>
          <w:szCs w:val="24"/>
        </w:rPr>
        <w:t>A victim's definition</w:t>
      </w:r>
      <w:r w:rsidR="006F5ECE" w:rsidRPr="00693DE6">
        <w:rPr>
          <w:rFonts w:ascii="Times New Roman" w:hAnsi="Times New Roman"/>
          <w:szCs w:val="24"/>
        </w:rPr>
        <w:t xml:space="preserve"> as laid down in Rule 85 does not include the posit</w:t>
      </w:r>
      <w:r w:rsidR="009B4C7F">
        <w:rPr>
          <w:rFonts w:ascii="Times New Roman" w:hAnsi="Times New Roman"/>
          <w:szCs w:val="24"/>
        </w:rPr>
        <w:t>ion of the offender/perpetrator-whether</w:t>
      </w:r>
      <w:r>
        <w:rPr>
          <w:rFonts w:ascii="Times New Roman" w:hAnsi="Times New Roman"/>
          <w:szCs w:val="24"/>
        </w:rPr>
        <w:t>,</w:t>
      </w:r>
      <w:r w:rsidR="009B4C7F">
        <w:rPr>
          <w:rFonts w:ascii="Times New Roman" w:hAnsi="Times New Roman"/>
          <w:szCs w:val="24"/>
        </w:rPr>
        <w:t xml:space="preserve"> the offender is </w:t>
      </w:r>
      <w:r w:rsidR="00F72A5B">
        <w:rPr>
          <w:rFonts w:ascii="Times New Roman" w:hAnsi="Times New Roman"/>
          <w:szCs w:val="24"/>
        </w:rPr>
        <w:t>'</w:t>
      </w:r>
      <w:r w:rsidR="009B4C7F" w:rsidRPr="009B4C7F">
        <w:rPr>
          <w:rFonts w:ascii="Times New Roman" w:hAnsi="Times New Roman"/>
          <w:i/>
          <w:szCs w:val="24"/>
        </w:rPr>
        <w:t>apprehended</w:t>
      </w:r>
      <w:r w:rsidR="00F72A5B">
        <w:rPr>
          <w:rFonts w:ascii="Times New Roman" w:hAnsi="Times New Roman"/>
          <w:szCs w:val="24"/>
        </w:rPr>
        <w:t>'</w:t>
      </w:r>
      <w:r w:rsidR="009B4C7F">
        <w:rPr>
          <w:rFonts w:ascii="Times New Roman" w:hAnsi="Times New Roman"/>
          <w:szCs w:val="24"/>
        </w:rPr>
        <w:t xml:space="preserve">, </w:t>
      </w:r>
      <w:r w:rsidR="00F72A5B">
        <w:rPr>
          <w:rFonts w:ascii="Times New Roman" w:hAnsi="Times New Roman"/>
          <w:szCs w:val="24"/>
        </w:rPr>
        <w:t>'</w:t>
      </w:r>
      <w:r w:rsidR="009B4C7F" w:rsidRPr="009B4C7F">
        <w:rPr>
          <w:rFonts w:ascii="Times New Roman" w:hAnsi="Times New Roman"/>
          <w:i/>
          <w:szCs w:val="24"/>
        </w:rPr>
        <w:t>prosecuted</w:t>
      </w:r>
      <w:r w:rsidR="00F72A5B">
        <w:rPr>
          <w:rFonts w:ascii="Times New Roman" w:hAnsi="Times New Roman"/>
          <w:szCs w:val="24"/>
        </w:rPr>
        <w:t>'</w:t>
      </w:r>
      <w:r w:rsidR="009B4C7F">
        <w:rPr>
          <w:rFonts w:ascii="Times New Roman" w:hAnsi="Times New Roman"/>
          <w:szCs w:val="24"/>
        </w:rPr>
        <w:t xml:space="preserve">, </w:t>
      </w:r>
      <w:r w:rsidR="00F72A5B">
        <w:rPr>
          <w:rFonts w:ascii="Times New Roman" w:hAnsi="Times New Roman"/>
          <w:szCs w:val="24"/>
        </w:rPr>
        <w:t>'</w:t>
      </w:r>
      <w:r w:rsidR="009B4C7F" w:rsidRPr="009B4C7F">
        <w:rPr>
          <w:rFonts w:ascii="Times New Roman" w:hAnsi="Times New Roman"/>
          <w:i/>
          <w:szCs w:val="24"/>
        </w:rPr>
        <w:t>identified</w:t>
      </w:r>
      <w:r w:rsidR="00F72A5B">
        <w:rPr>
          <w:rFonts w:ascii="Times New Roman" w:hAnsi="Times New Roman"/>
          <w:szCs w:val="24"/>
        </w:rPr>
        <w:t>'</w:t>
      </w:r>
      <w:r w:rsidR="00A35E1A">
        <w:rPr>
          <w:rFonts w:ascii="Times New Roman" w:hAnsi="Times New Roman"/>
          <w:szCs w:val="24"/>
        </w:rPr>
        <w:t xml:space="preserve"> or </w:t>
      </w:r>
      <w:r w:rsidR="00F72A5B">
        <w:rPr>
          <w:rFonts w:ascii="Times New Roman" w:hAnsi="Times New Roman"/>
          <w:szCs w:val="24"/>
        </w:rPr>
        <w:t>'</w:t>
      </w:r>
      <w:r w:rsidR="00A35E1A">
        <w:rPr>
          <w:rFonts w:ascii="Times New Roman" w:hAnsi="Times New Roman"/>
          <w:szCs w:val="24"/>
        </w:rPr>
        <w:t>convicted</w:t>
      </w:r>
      <w:r w:rsidR="00F72A5B">
        <w:rPr>
          <w:rFonts w:ascii="Times New Roman" w:hAnsi="Times New Roman"/>
          <w:szCs w:val="24"/>
        </w:rPr>
        <w:t>'</w:t>
      </w:r>
      <w:r w:rsidR="00A35E1A">
        <w:rPr>
          <w:rFonts w:ascii="Times New Roman" w:hAnsi="Times New Roman"/>
          <w:szCs w:val="24"/>
        </w:rPr>
        <w:t>.</w:t>
      </w:r>
      <w:r w:rsidR="00A35E1A">
        <w:rPr>
          <w:rStyle w:val="FootnoteReference"/>
          <w:rFonts w:ascii="Times New Roman" w:hAnsi="Times New Roman"/>
          <w:szCs w:val="24"/>
        </w:rPr>
        <w:footnoteReference w:id="84"/>
      </w:r>
      <w:r w:rsidR="00A35E1A">
        <w:rPr>
          <w:rFonts w:ascii="Times New Roman" w:hAnsi="Times New Roman"/>
          <w:szCs w:val="24"/>
        </w:rPr>
        <w:t xml:space="preserve"> The definition of victims as enunciated in the 1985 Declaration recognises victims regardless of the </w:t>
      </w:r>
      <w:r>
        <w:rPr>
          <w:rFonts w:ascii="Times New Roman" w:hAnsi="Times New Roman"/>
          <w:szCs w:val="24"/>
        </w:rPr>
        <w:t>offender's position</w:t>
      </w:r>
      <w:r w:rsidR="00A35E1A">
        <w:rPr>
          <w:rFonts w:ascii="Times New Roman" w:hAnsi="Times New Roman"/>
          <w:szCs w:val="24"/>
        </w:rPr>
        <w:t xml:space="preserve">. </w:t>
      </w:r>
      <w:r w:rsidR="006F5ECE" w:rsidRPr="00693DE6">
        <w:rPr>
          <w:rFonts w:ascii="Times New Roman" w:hAnsi="Times New Roman"/>
          <w:szCs w:val="24"/>
        </w:rPr>
        <w:t xml:space="preserve">The presence of </w:t>
      </w:r>
      <w:r w:rsidR="0000602B" w:rsidRPr="00693DE6">
        <w:rPr>
          <w:rFonts w:ascii="Times New Roman" w:hAnsi="Times New Roman"/>
          <w:szCs w:val="24"/>
        </w:rPr>
        <w:t xml:space="preserve">a link between the harm suffered and the crime committed, which must be under the </w:t>
      </w:r>
      <w:r>
        <w:rPr>
          <w:rFonts w:ascii="Times New Roman" w:hAnsi="Times New Roman"/>
          <w:szCs w:val="24"/>
        </w:rPr>
        <w:t>court's jurisdiction,</w:t>
      </w:r>
      <w:r w:rsidR="0000602B" w:rsidRPr="00693DE6">
        <w:rPr>
          <w:rFonts w:ascii="Times New Roman" w:hAnsi="Times New Roman"/>
          <w:szCs w:val="24"/>
        </w:rPr>
        <w:t xml:space="preserve"> </w:t>
      </w:r>
      <w:r w:rsidR="006A3F91">
        <w:rPr>
          <w:rFonts w:ascii="Times New Roman" w:hAnsi="Times New Roman"/>
          <w:szCs w:val="24"/>
        </w:rPr>
        <w:t>suffices</w:t>
      </w:r>
      <w:r w:rsidR="002E6AB8" w:rsidRPr="00693DE6">
        <w:rPr>
          <w:rFonts w:ascii="Times New Roman" w:hAnsi="Times New Roman"/>
          <w:szCs w:val="24"/>
        </w:rPr>
        <w:t xml:space="preserve"> </w:t>
      </w:r>
      <w:r w:rsidR="002E6AB8" w:rsidRPr="00693DE6">
        <w:rPr>
          <w:rFonts w:ascii="Times New Roman" w:hAnsi="Times New Roman"/>
          <w:szCs w:val="24"/>
        </w:rPr>
        <w:lastRenderedPageBreak/>
        <w:t>for</w:t>
      </w:r>
      <w:r w:rsidR="0000602B" w:rsidRPr="00693DE6">
        <w:rPr>
          <w:rFonts w:ascii="Times New Roman" w:hAnsi="Times New Roman"/>
          <w:szCs w:val="24"/>
        </w:rPr>
        <w:t xml:space="preserve"> victim</w:t>
      </w:r>
      <w:r w:rsidR="00A35E1A">
        <w:rPr>
          <w:rFonts w:ascii="Times New Roman" w:hAnsi="Times New Roman"/>
          <w:szCs w:val="24"/>
        </w:rPr>
        <w:t>-</w:t>
      </w:r>
      <w:r w:rsidR="0000602B" w:rsidRPr="00693DE6">
        <w:rPr>
          <w:rFonts w:ascii="Times New Roman" w:hAnsi="Times New Roman"/>
          <w:szCs w:val="24"/>
        </w:rPr>
        <w:t>applicant to qualify as a victim.</w:t>
      </w:r>
      <w:r w:rsidR="002E6AB8" w:rsidRPr="00693DE6">
        <w:rPr>
          <w:rFonts w:ascii="Times New Roman" w:hAnsi="Times New Roman"/>
          <w:szCs w:val="24"/>
        </w:rPr>
        <w:t xml:space="preserve"> </w:t>
      </w:r>
      <w:r w:rsidR="007B2F6F">
        <w:rPr>
          <w:rFonts w:ascii="Times New Roman" w:hAnsi="Times New Roman"/>
          <w:szCs w:val="24"/>
        </w:rPr>
        <w:t xml:space="preserve">This </w:t>
      </w:r>
      <w:r w:rsidR="00A35E1A">
        <w:rPr>
          <w:rFonts w:ascii="Times New Roman" w:hAnsi="Times New Roman"/>
          <w:szCs w:val="24"/>
        </w:rPr>
        <w:t xml:space="preserve">definition </w:t>
      </w:r>
      <w:r w:rsidR="007B2F6F">
        <w:rPr>
          <w:rFonts w:ascii="Times New Roman" w:hAnsi="Times New Roman"/>
          <w:szCs w:val="24"/>
        </w:rPr>
        <w:t>may raise</w:t>
      </w:r>
      <w:r w:rsidR="0000602B" w:rsidRPr="00693DE6">
        <w:rPr>
          <w:rFonts w:ascii="Times New Roman" w:hAnsi="Times New Roman"/>
          <w:szCs w:val="24"/>
        </w:rPr>
        <w:t xml:space="preserve"> question</w:t>
      </w:r>
      <w:r w:rsidR="007B2F6F">
        <w:rPr>
          <w:rFonts w:ascii="Times New Roman" w:hAnsi="Times New Roman"/>
          <w:szCs w:val="24"/>
        </w:rPr>
        <w:t>s over the presumption of</w:t>
      </w:r>
      <w:r w:rsidR="0000602B" w:rsidRPr="00693DE6">
        <w:rPr>
          <w:rFonts w:ascii="Times New Roman" w:hAnsi="Times New Roman"/>
          <w:szCs w:val="24"/>
        </w:rPr>
        <w:t xml:space="preserve"> the innocence of the alleged offender</w:t>
      </w:r>
      <w:r w:rsidR="00B435D4">
        <w:rPr>
          <w:rFonts w:ascii="Times New Roman" w:hAnsi="Times New Roman"/>
          <w:szCs w:val="24"/>
        </w:rPr>
        <w:t>.</w:t>
      </w:r>
    </w:p>
    <w:p w14:paraId="5024BA98" w14:textId="42B89900" w:rsidR="0019782D" w:rsidRDefault="0000602B" w:rsidP="00693DE6">
      <w:pPr>
        <w:spacing w:line="480" w:lineRule="auto"/>
        <w:jc w:val="both"/>
        <w:rPr>
          <w:rFonts w:ascii="Times New Roman" w:hAnsi="Times New Roman"/>
          <w:szCs w:val="24"/>
        </w:rPr>
      </w:pPr>
      <w:r w:rsidRPr="00693DE6">
        <w:rPr>
          <w:rFonts w:ascii="Times New Roman" w:hAnsi="Times New Roman"/>
          <w:szCs w:val="24"/>
        </w:rPr>
        <w:t>Human rights standard presume that an accused is innocent until the contrary is proved.</w:t>
      </w:r>
      <w:r w:rsidRPr="00693DE6">
        <w:rPr>
          <w:rStyle w:val="FootnoteReference"/>
          <w:rFonts w:ascii="Times New Roman" w:hAnsi="Times New Roman"/>
          <w:szCs w:val="24"/>
        </w:rPr>
        <w:footnoteReference w:id="85"/>
      </w:r>
      <w:r w:rsidRPr="00693DE6">
        <w:rPr>
          <w:rFonts w:ascii="Times New Roman" w:hAnsi="Times New Roman"/>
          <w:szCs w:val="24"/>
        </w:rPr>
        <w:t xml:space="preserve"> This provision protec</w:t>
      </w:r>
      <w:r w:rsidR="008D49D2" w:rsidRPr="00693DE6">
        <w:rPr>
          <w:rFonts w:ascii="Times New Roman" w:hAnsi="Times New Roman"/>
          <w:szCs w:val="24"/>
        </w:rPr>
        <w:t>ts the accu</w:t>
      </w:r>
      <w:r w:rsidR="00A35E1A">
        <w:rPr>
          <w:rFonts w:ascii="Times New Roman" w:hAnsi="Times New Roman"/>
          <w:szCs w:val="24"/>
        </w:rPr>
        <w:t xml:space="preserve">sed during pre-trial and </w:t>
      </w:r>
      <w:r w:rsidR="008D49D2" w:rsidRPr="00693DE6">
        <w:rPr>
          <w:rFonts w:ascii="Times New Roman" w:hAnsi="Times New Roman"/>
          <w:szCs w:val="24"/>
        </w:rPr>
        <w:t>tria</w:t>
      </w:r>
      <w:r w:rsidRPr="00693DE6">
        <w:rPr>
          <w:rFonts w:ascii="Times New Roman" w:hAnsi="Times New Roman"/>
          <w:szCs w:val="24"/>
        </w:rPr>
        <w:t>l</w:t>
      </w:r>
      <w:r w:rsidR="00A35E1A">
        <w:rPr>
          <w:rFonts w:ascii="Times New Roman" w:hAnsi="Times New Roman"/>
          <w:szCs w:val="24"/>
        </w:rPr>
        <w:t xml:space="preserve"> proceedings</w:t>
      </w:r>
      <w:r w:rsidRPr="00693DE6">
        <w:rPr>
          <w:rFonts w:ascii="Times New Roman" w:hAnsi="Times New Roman"/>
          <w:szCs w:val="24"/>
        </w:rPr>
        <w:t xml:space="preserve"> </w:t>
      </w:r>
      <w:r w:rsidR="00B57B07" w:rsidRPr="00693DE6">
        <w:rPr>
          <w:rFonts w:ascii="Times New Roman" w:hAnsi="Times New Roman"/>
          <w:szCs w:val="24"/>
        </w:rPr>
        <w:t>unti</w:t>
      </w:r>
      <w:r w:rsidRPr="00693DE6">
        <w:rPr>
          <w:rFonts w:ascii="Times New Roman" w:hAnsi="Times New Roman"/>
          <w:szCs w:val="24"/>
        </w:rPr>
        <w:t>l the determination of guilt or innocence.</w:t>
      </w:r>
      <w:r w:rsidR="00A35E1A">
        <w:rPr>
          <w:rFonts w:ascii="Times New Roman" w:hAnsi="Times New Roman"/>
          <w:szCs w:val="24"/>
        </w:rPr>
        <w:t xml:space="preserve"> The presumption of innocence is a fair trial right </w:t>
      </w:r>
      <w:r w:rsidR="006D187C">
        <w:rPr>
          <w:rFonts w:ascii="Times New Roman" w:hAnsi="Times New Roman"/>
          <w:szCs w:val="24"/>
        </w:rPr>
        <w:t xml:space="preserve">that sets the </w:t>
      </w:r>
      <w:r w:rsidR="00DE28B7">
        <w:rPr>
          <w:rFonts w:ascii="Times New Roman" w:hAnsi="Times New Roman"/>
          <w:szCs w:val="24"/>
        </w:rPr>
        <w:t>accused's treatment threshold</w:t>
      </w:r>
      <w:r w:rsidR="00A35E1A">
        <w:rPr>
          <w:rFonts w:ascii="Times New Roman" w:hAnsi="Times New Roman"/>
          <w:szCs w:val="24"/>
        </w:rPr>
        <w:t xml:space="preserve"> in criminal trials.</w:t>
      </w:r>
      <w:r w:rsidR="008D49D2" w:rsidRPr="00693DE6">
        <w:rPr>
          <w:rFonts w:ascii="Times New Roman" w:hAnsi="Times New Roman"/>
          <w:szCs w:val="24"/>
        </w:rPr>
        <w:t xml:space="preserve"> </w:t>
      </w:r>
      <w:r w:rsidRPr="00693DE6">
        <w:rPr>
          <w:rFonts w:ascii="Times New Roman" w:hAnsi="Times New Roman"/>
          <w:szCs w:val="24"/>
        </w:rPr>
        <w:t>This right is inalienable for the accused/defendant.</w:t>
      </w:r>
      <w:r w:rsidRPr="00693DE6">
        <w:rPr>
          <w:rStyle w:val="FootnoteReference"/>
          <w:rFonts w:ascii="Times New Roman" w:hAnsi="Times New Roman"/>
          <w:szCs w:val="24"/>
        </w:rPr>
        <w:footnoteReference w:id="86"/>
      </w:r>
      <w:r w:rsidRPr="00693DE6">
        <w:rPr>
          <w:rFonts w:ascii="Times New Roman" w:hAnsi="Times New Roman"/>
          <w:szCs w:val="24"/>
        </w:rPr>
        <w:t xml:space="preserve">It is </w:t>
      </w:r>
      <w:r w:rsidR="00A35E1A">
        <w:rPr>
          <w:rFonts w:ascii="Times New Roman" w:hAnsi="Times New Roman"/>
          <w:szCs w:val="24"/>
        </w:rPr>
        <w:t>essential</w:t>
      </w:r>
      <w:r w:rsidRPr="00693DE6">
        <w:rPr>
          <w:rFonts w:ascii="Times New Roman" w:hAnsi="Times New Roman"/>
          <w:szCs w:val="24"/>
        </w:rPr>
        <w:t xml:space="preserve"> protection with roots in human rights. </w:t>
      </w:r>
      <w:r w:rsidR="00B435D4">
        <w:rPr>
          <w:rFonts w:ascii="Times New Roman" w:hAnsi="Times New Roman"/>
          <w:szCs w:val="24"/>
        </w:rPr>
        <w:t xml:space="preserve">However, by granting individuals the status of victims of a crime already at the early stages of the criminal process may appear to presuppose the guilt of the suspect/accused person before trial. </w:t>
      </w:r>
    </w:p>
    <w:p w14:paraId="12E0432C" w14:textId="4A5F2F1E" w:rsidR="0000602B" w:rsidRPr="00693DE6" w:rsidRDefault="0000602B" w:rsidP="00693DE6">
      <w:pPr>
        <w:spacing w:line="480" w:lineRule="auto"/>
        <w:jc w:val="both"/>
        <w:rPr>
          <w:rFonts w:ascii="Times New Roman" w:hAnsi="Times New Roman"/>
          <w:szCs w:val="24"/>
        </w:rPr>
      </w:pPr>
      <w:r w:rsidRPr="00693DE6">
        <w:rPr>
          <w:rFonts w:ascii="Times New Roman" w:hAnsi="Times New Roman"/>
          <w:szCs w:val="24"/>
        </w:rPr>
        <w:t>The provisions of Rule 85 on victims enunciates the concept of victimhood as a legal category</w:t>
      </w:r>
      <w:r w:rsidR="009E0248">
        <w:rPr>
          <w:rFonts w:ascii="Times New Roman" w:hAnsi="Times New Roman"/>
          <w:szCs w:val="24"/>
        </w:rPr>
        <w:t>.</w:t>
      </w:r>
      <w:r w:rsidRPr="00693DE6">
        <w:rPr>
          <w:rStyle w:val="FootnoteReference"/>
          <w:rFonts w:ascii="Times New Roman" w:hAnsi="Times New Roman"/>
          <w:szCs w:val="24"/>
        </w:rPr>
        <w:footnoteReference w:id="87"/>
      </w:r>
      <w:r w:rsidRPr="00693DE6">
        <w:rPr>
          <w:rFonts w:ascii="Times New Roman" w:hAnsi="Times New Roman"/>
          <w:szCs w:val="24"/>
        </w:rPr>
        <w:t xml:space="preserve"> This</w:t>
      </w:r>
      <w:r w:rsidR="009E0248">
        <w:rPr>
          <w:rFonts w:ascii="Times New Roman" w:hAnsi="Times New Roman"/>
          <w:szCs w:val="24"/>
        </w:rPr>
        <w:t xml:space="preserve"> definition</w:t>
      </w:r>
      <w:r w:rsidRPr="00693DE6">
        <w:rPr>
          <w:rFonts w:ascii="Times New Roman" w:hAnsi="Times New Roman"/>
          <w:szCs w:val="24"/>
        </w:rPr>
        <w:t xml:space="preserve"> is also known as </w:t>
      </w:r>
      <w:r w:rsidR="00F72A5B">
        <w:rPr>
          <w:rFonts w:ascii="Times New Roman" w:hAnsi="Times New Roman"/>
          <w:szCs w:val="24"/>
        </w:rPr>
        <w:t>"</w:t>
      </w:r>
      <w:proofErr w:type="spellStart"/>
      <w:r w:rsidRPr="00693DE6">
        <w:rPr>
          <w:rFonts w:ascii="Times New Roman" w:hAnsi="Times New Roman"/>
          <w:i/>
          <w:szCs w:val="24"/>
        </w:rPr>
        <w:t>juridified</w:t>
      </w:r>
      <w:proofErr w:type="spellEnd"/>
      <w:r w:rsidR="00F72A5B">
        <w:rPr>
          <w:rFonts w:ascii="Times New Roman" w:hAnsi="Times New Roman"/>
          <w:szCs w:val="24"/>
        </w:rPr>
        <w:t>"</w:t>
      </w:r>
      <w:r w:rsidRPr="00693DE6">
        <w:rPr>
          <w:rFonts w:ascii="Times New Roman" w:hAnsi="Times New Roman"/>
          <w:szCs w:val="24"/>
        </w:rPr>
        <w:t xml:space="preserve"> victimhood.</w:t>
      </w:r>
      <w:r w:rsidRPr="00693DE6">
        <w:rPr>
          <w:rStyle w:val="FootnoteReference"/>
          <w:rFonts w:ascii="Times New Roman" w:hAnsi="Times New Roman"/>
          <w:szCs w:val="24"/>
        </w:rPr>
        <w:footnoteReference w:id="88"/>
      </w:r>
      <w:r w:rsidRPr="00693DE6">
        <w:rPr>
          <w:rFonts w:ascii="Times New Roman" w:hAnsi="Times New Roman"/>
          <w:szCs w:val="24"/>
        </w:rPr>
        <w:t xml:space="preserve"> This concept gives such victims recognised status. This recognition filters which victims are given the procedural</w:t>
      </w:r>
      <w:r w:rsidR="00330BAA" w:rsidRPr="00693DE6">
        <w:rPr>
          <w:rFonts w:ascii="Times New Roman" w:hAnsi="Times New Roman"/>
          <w:szCs w:val="24"/>
        </w:rPr>
        <w:t xml:space="preserve"> status</w:t>
      </w:r>
      <w:r w:rsidRPr="00693DE6">
        <w:rPr>
          <w:rFonts w:ascii="Times New Roman" w:hAnsi="Times New Roman"/>
          <w:szCs w:val="24"/>
        </w:rPr>
        <w:t xml:space="preserve"> to participate</w:t>
      </w:r>
      <w:r w:rsidR="00330BAA" w:rsidRPr="00693DE6">
        <w:rPr>
          <w:rFonts w:ascii="Times New Roman" w:hAnsi="Times New Roman"/>
          <w:szCs w:val="24"/>
        </w:rPr>
        <w:t xml:space="preserve"> and those that are</w:t>
      </w:r>
      <w:r w:rsidR="006D187C">
        <w:rPr>
          <w:rFonts w:ascii="Times New Roman" w:hAnsi="Times New Roman"/>
          <w:szCs w:val="24"/>
        </w:rPr>
        <w:t xml:space="preserve"> not authorised. </w:t>
      </w:r>
      <w:r w:rsidRPr="00693DE6">
        <w:rPr>
          <w:rFonts w:ascii="Times New Roman" w:hAnsi="Times New Roman"/>
          <w:szCs w:val="24"/>
        </w:rPr>
        <w:t xml:space="preserve">Without recognition by law, </w:t>
      </w:r>
      <w:r w:rsidR="006D187C">
        <w:rPr>
          <w:rFonts w:ascii="Times New Roman" w:hAnsi="Times New Roman"/>
          <w:szCs w:val="24"/>
        </w:rPr>
        <w:t>victims' voice</w:t>
      </w:r>
      <w:r w:rsidRPr="00693DE6">
        <w:rPr>
          <w:rFonts w:ascii="Times New Roman" w:hAnsi="Times New Roman"/>
          <w:szCs w:val="24"/>
        </w:rPr>
        <w:t>s may likely not be heard</w:t>
      </w:r>
      <w:r w:rsidR="009E0248">
        <w:rPr>
          <w:rFonts w:ascii="Times New Roman" w:hAnsi="Times New Roman"/>
          <w:szCs w:val="24"/>
        </w:rPr>
        <w:t>;</w:t>
      </w:r>
      <w:r w:rsidRPr="00693DE6">
        <w:rPr>
          <w:rFonts w:ascii="Times New Roman" w:hAnsi="Times New Roman"/>
          <w:szCs w:val="24"/>
        </w:rPr>
        <w:t xml:space="preserve"> neither would the platform be accessible to them.</w:t>
      </w:r>
      <w:r w:rsidR="00330BAA" w:rsidRPr="00693DE6">
        <w:rPr>
          <w:rFonts w:ascii="Times New Roman" w:hAnsi="Times New Roman"/>
          <w:szCs w:val="24"/>
        </w:rPr>
        <w:t xml:space="preserve"> </w:t>
      </w:r>
      <w:r w:rsidRPr="00693DE6">
        <w:rPr>
          <w:rFonts w:ascii="Times New Roman" w:hAnsi="Times New Roman"/>
          <w:szCs w:val="24"/>
        </w:rPr>
        <w:t xml:space="preserve">It could be construed that the recognition of victims by law predetermines the selection of a few. This is an idea propounded by Kendall and </w:t>
      </w:r>
      <w:r w:rsidRPr="00693DE6">
        <w:rPr>
          <w:rFonts w:ascii="Times New Roman" w:hAnsi="Times New Roman"/>
          <w:szCs w:val="24"/>
        </w:rPr>
        <w:lastRenderedPageBreak/>
        <w:t>Nouwen-‘</w:t>
      </w:r>
      <w:r w:rsidRPr="00693DE6">
        <w:rPr>
          <w:rFonts w:ascii="Times New Roman" w:hAnsi="Times New Roman"/>
          <w:i/>
          <w:szCs w:val="24"/>
        </w:rPr>
        <w:t>pyramid of victimhood</w:t>
      </w:r>
      <w:r w:rsidR="00F72A5B">
        <w:rPr>
          <w:rFonts w:ascii="Times New Roman" w:hAnsi="Times New Roman"/>
          <w:szCs w:val="24"/>
        </w:rPr>
        <w:t>'</w:t>
      </w:r>
      <w:r w:rsidRPr="00693DE6">
        <w:rPr>
          <w:rFonts w:ascii="Times New Roman" w:hAnsi="Times New Roman"/>
          <w:szCs w:val="24"/>
        </w:rPr>
        <w:t>.</w:t>
      </w:r>
      <w:r w:rsidRPr="00693DE6">
        <w:rPr>
          <w:rStyle w:val="FootnoteReference"/>
          <w:rFonts w:ascii="Times New Roman" w:hAnsi="Times New Roman"/>
          <w:szCs w:val="24"/>
        </w:rPr>
        <w:footnoteReference w:id="89"/>
      </w:r>
      <w:r w:rsidRPr="00693DE6">
        <w:rPr>
          <w:rFonts w:ascii="Times New Roman" w:hAnsi="Times New Roman"/>
          <w:szCs w:val="24"/>
        </w:rPr>
        <w:t xml:space="preserve"> Th</w:t>
      </w:r>
      <w:r w:rsidR="0012481D">
        <w:rPr>
          <w:rFonts w:ascii="Times New Roman" w:hAnsi="Times New Roman"/>
          <w:szCs w:val="24"/>
        </w:rPr>
        <w:t>e</w:t>
      </w:r>
      <w:r w:rsidRPr="00693DE6">
        <w:rPr>
          <w:rFonts w:ascii="Times New Roman" w:hAnsi="Times New Roman"/>
          <w:szCs w:val="24"/>
        </w:rPr>
        <w:t xml:space="preserve"> label polarises victims into two categories</w:t>
      </w:r>
      <w:r w:rsidR="0012481D">
        <w:rPr>
          <w:rFonts w:ascii="Times New Roman" w:hAnsi="Times New Roman"/>
          <w:szCs w:val="24"/>
        </w:rPr>
        <w:t xml:space="preserve">; </w:t>
      </w:r>
      <w:r w:rsidRPr="00693DE6">
        <w:rPr>
          <w:rFonts w:ascii="Times New Roman" w:hAnsi="Times New Roman"/>
          <w:szCs w:val="24"/>
        </w:rPr>
        <w:t>the victims of harm and the recognised victims</w:t>
      </w:r>
      <w:r w:rsidR="0019782D">
        <w:rPr>
          <w:rFonts w:ascii="Times New Roman" w:hAnsi="Times New Roman"/>
          <w:szCs w:val="24"/>
        </w:rPr>
        <w:t xml:space="preserve"> under </w:t>
      </w:r>
      <w:r w:rsidR="009E0248">
        <w:rPr>
          <w:rFonts w:ascii="Times New Roman" w:hAnsi="Times New Roman"/>
          <w:szCs w:val="24"/>
        </w:rPr>
        <w:t xml:space="preserve">the </w:t>
      </w:r>
      <w:r w:rsidR="0019782D">
        <w:rPr>
          <w:rFonts w:ascii="Times New Roman" w:hAnsi="Times New Roman"/>
          <w:szCs w:val="24"/>
        </w:rPr>
        <w:t>law</w:t>
      </w:r>
      <w:r w:rsidRPr="00693DE6">
        <w:rPr>
          <w:rFonts w:ascii="Times New Roman" w:hAnsi="Times New Roman"/>
          <w:szCs w:val="24"/>
        </w:rPr>
        <w:t>.</w:t>
      </w:r>
      <w:r w:rsidRPr="00693DE6">
        <w:rPr>
          <w:rStyle w:val="FootnoteReference"/>
          <w:rFonts w:ascii="Times New Roman" w:hAnsi="Times New Roman"/>
          <w:szCs w:val="24"/>
        </w:rPr>
        <w:footnoteReference w:id="90"/>
      </w:r>
      <w:r w:rsidRPr="00693DE6">
        <w:rPr>
          <w:rFonts w:ascii="Times New Roman" w:hAnsi="Times New Roman"/>
          <w:szCs w:val="24"/>
        </w:rPr>
        <w:t xml:space="preserve">It should be noted that victims of harm do not automatically qualify for recognition by the </w:t>
      </w:r>
      <w:r w:rsidR="0012481D">
        <w:rPr>
          <w:rFonts w:ascii="Times New Roman" w:hAnsi="Times New Roman"/>
          <w:szCs w:val="24"/>
        </w:rPr>
        <w:t>c</w:t>
      </w:r>
      <w:r w:rsidRPr="00693DE6">
        <w:rPr>
          <w:rFonts w:ascii="Times New Roman" w:hAnsi="Times New Roman"/>
          <w:szCs w:val="24"/>
        </w:rPr>
        <w:t xml:space="preserve">ourt. They are filtered in the process of victim applications and </w:t>
      </w:r>
      <w:r w:rsidR="00B57B07" w:rsidRPr="00693DE6">
        <w:rPr>
          <w:rFonts w:ascii="Times New Roman" w:hAnsi="Times New Roman"/>
          <w:szCs w:val="24"/>
        </w:rPr>
        <w:t xml:space="preserve">the </w:t>
      </w:r>
      <w:r w:rsidR="00BF790B">
        <w:rPr>
          <w:rFonts w:ascii="Times New Roman" w:hAnsi="Times New Roman"/>
          <w:szCs w:val="24"/>
        </w:rPr>
        <w:t>P</w:t>
      </w:r>
      <w:r w:rsidRPr="00693DE6">
        <w:rPr>
          <w:rFonts w:ascii="Times New Roman" w:hAnsi="Times New Roman"/>
          <w:szCs w:val="24"/>
        </w:rPr>
        <w:t>rosecutor</w:t>
      </w:r>
      <w:r w:rsidR="00F72A5B">
        <w:rPr>
          <w:rFonts w:ascii="Times New Roman" w:hAnsi="Times New Roman"/>
          <w:szCs w:val="24"/>
        </w:rPr>
        <w:t>'</w:t>
      </w:r>
      <w:r w:rsidRPr="00693DE6">
        <w:rPr>
          <w:rFonts w:ascii="Times New Roman" w:hAnsi="Times New Roman"/>
          <w:szCs w:val="24"/>
        </w:rPr>
        <w:t xml:space="preserve">s choice of charges. The filter goes through application for </w:t>
      </w:r>
      <w:r w:rsidR="006D187C">
        <w:rPr>
          <w:rFonts w:ascii="Times New Roman" w:hAnsi="Times New Roman"/>
          <w:szCs w:val="24"/>
        </w:rPr>
        <w:t>victims' statu</w:t>
      </w:r>
      <w:r w:rsidRPr="00693DE6">
        <w:rPr>
          <w:rFonts w:ascii="Times New Roman" w:hAnsi="Times New Roman"/>
          <w:szCs w:val="24"/>
        </w:rPr>
        <w:t>s, fulfilling the criteria in Rule 85 and Article 68(3).</w:t>
      </w:r>
      <w:r w:rsidRPr="00693DE6">
        <w:rPr>
          <w:rStyle w:val="FootnoteReference"/>
          <w:rFonts w:ascii="Times New Roman" w:hAnsi="Times New Roman"/>
          <w:szCs w:val="24"/>
        </w:rPr>
        <w:footnoteReference w:id="91"/>
      </w:r>
      <w:r w:rsidR="00330BAA" w:rsidRPr="00693DE6">
        <w:rPr>
          <w:rFonts w:ascii="Times New Roman" w:hAnsi="Times New Roman"/>
          <w:szCs w:val="24"/>
        </w:rPr>
        <w:t xml:space="preserve"> </w:t>
      </w:r>
      <w:r w:rsidR="006D187C">
        <w:rPr>
          <w:rFonts w:ascii="Times New Roman" w:hAnsi="Times New Roman"/>
          <w:szCs w:val="24"/>
        </w:rPr>
        <w:t xml:space="preserve">As such, to </w:t>
      </w:r>
      <w:r w:rsidR="00330BAA" w:rsidRPr="00693DE6">
        <w:rPr>
          <w:rFonts w:ascii="Times New Roman" w:hAnsi="Times New Roman"/>
          <w:szCs w:val="24"/>
        </w:rPr>
        <w:t xml:space="preserve">qualify for participation, </w:t>
      </w:r>
      <w:r w:rsidR="00192A7D" w:rsidRPr="00693DE6">
        <w:rPr>
          <w:rFonts w:ascii="Times New Roman" w:hAnsi="Times New Roman"/>
          <w:szCs w:val="24"/>
        </w:rPr>
        <w:t>Rule 85 and Article 68(3) must be read conjunctively.</w:t>
      </w:r>
    </w:p>
    <w:p w14:paraId="77F850B8" w14:textId="2A6FFC78" w:rsidR="00192A7D" w:rsidRPr="00693DE6" w:rsidRDefault="00FD20AA" w:rsidP="000C4174">
      <w:pPr>
        <w:pStyle w:val="Heading2"/>
      </w:pPr>
      <w:bookmarkStart w:id="9" w:name="_Toc60235788"/>
      <w:r w:rsidRPr="00693DE6">
        <w:t>1.</w:t>
      </w:r>
      <w:r w:rsidR="00A53FBA">
        <w:t>8</w:t>
      </w:r>
      <w:r w:rsidR="00090102" w:rsidRPr="00693DE6">
        <w:t xml:space="preserve"> Literature </w:t>
      </w:r>
      <w:r w:rsidR="003060D6">
        <w:t>on the themes of this thesis</w:t>
      </w:r>
      <w:bookmarkEnd w:id="9"/>
    </w:p>
    <w:p w14:paraId="0C3D94BD" w14:textId="6512AD3F" w:rsidR="00B2167A" w:rsidRPr="00693DE6" w:rsidRDefault="00B2167A" w:rsidP="00693DE6">
      <w:pPr>
        <w:spacing w:line="480" w:lineRule="auto"/>
        <w:jc w:val="both"/>
        <w:rPr>
          <w:rFonts w:ascii="Times New Roman" w:hAnsi="Times New Roman"/>
          <w:szCs w:val="24"/>
        </w:rPr>
      </w:pPr>
      <w:r w:rsidRPr="00693DE6">
        <w:rPr>
          <w:rFonts w:ascii="Times New Roman" w:hAnsi="Times New Roman"/>
          <w:szCs w:val="24"/>
        </w:rPr>
        <w:t>Having d</w:t>
      </w:r>
      <w:r w:rsidR="00E349CE" w:rsidRPr="00693DE6">
        <w:rPr>
          <w:rFonts w:ascii="Times New Roman" w:hAnsi="Times New Roman"/>
          <w:szCs w:val="24"/>
        </w:rPr>
        <w:t xml:space="preserve">iscussed victimhood and victims, the following section shall review </w:t>
      </w:r>
      <w:r w:rsidR="00B57B07" w:rsidRPr="00693DE6">
        <w:rPr>
          <w:rFonts w:ascii="Times New Roman" w:hAnsi="Times New Roman"/>
          <w:szCs w:val="24"/>
        </w:rPr>
        <w:t xml:space="preserve">the </w:t>
      </w:r>
      <w:r w:rsidR="00E349CE" w:rsidRPr="00693DE6">
        <w:rPr>
          <w:rFonts w:ascii="Times New Roman" w:hAnsi="Times New Roman"/>
          <w:szCs w:val="24"/>
        </w:rPr>
        <w:t>literature on</w:t>
      </w:r>
      <w:r w:rsidR="003060D6">
        <w:rPr>
          <w:rFonts w:ascii="Times New Roman" w:hAnsi="Times New Roman"/>
          <w:szCs w:val="24"/>
        </w:rPr>
        <w:t xml:space="preserve"> th</w:t>
      </w:r>
      <w:r w:rsidR="006D187C">
        <w:rPr>
          <w:rFonts w:ascii="Times New Roman" w:hAnsi="Times New Roman"/>
          <w:szCs w:val="24"/>
        </w:rPr>
        <w:t>is thesis's three theme</w:t>
      </w:r>
      <w:r w:rsidR="003060D6">
        <w:rPr>
          <w:rFonts w:ascii="Times New Roman" w:hAnsi="Times New Roman"/>
          <w:szCs w:val="24"/>
        </w:rPr>
        <w:t>s</w:t>
      </w:r>
      <w:r w:rsidR="00B643E6" w:rsidRPr="00693DE6">
        <w:rPr>
          <w:rFonts w:ascii="Times New Roman" w:hAnsi="Times New Roman"/>
          <w:szCs w:val="24"/>
        </w:rPr>
        <w:t>.</w:t>
      </w:r>
      <w:r w:rsidR="00591BF6" w:rsidRPr="00693DE6">
        <w:rPr>
          <w:rFonts w:ascii="Times New Roman" w:hAnsi="Times New Roman"/>
          <w:szCs w:val="24"/>
        </w:rPr>
        <w:t xml:space="preserve"> </w:t>
      </w:r>
      <w:r w:rsidR="00B643E6" w:rsidRPr="00693DE6">
        <w:rPr>
          <w:rFonts w:ascii="Times New Roman" w:hAnsi="Times New Roman"/>
          <w:szCs w:val="24"/>
        </w:rPr>
        <w:t>The first will add</w:t>
      </w:r>
      <w:r w:rsidR="003060D6">
        <w:rPr>
          <w:rFonts w:ascii="Times New Roman" w:hAnsi="Times New Roman"/>
          <w:szCs w:val="24"/>
        </w:rPr>
        <w:t>ress the available literature o</w:t>
      </w:r>
      <w:r w:rsidR="00020CA7">
        <w:rPr>
          <w:rFonts w:ascii="Times New Roman" w:hAnsi="Times New Roman"/>
          <w:szCs w:val="24"/>
        </w:rPr>
        <w:t>n</w:t>
      </w:r>
      <w:r w:rsidR="00B643E6" w:rsidRPr="00693DE6">
        <w:rPr>
          <w:rFonts w:ascii="Times New Roman" w:hAnsi="Times New Roman"/>
          <w:szCs w:val="24"/>
        </w:rPr>
        <w:t xml:space="preserve"> </w:t>
      </w:r>
      <w:r w:rsidR="006D187C">
        <w:rPr>
          <w:rFonts w:ascii="Times New Roman" w:hAnsi="Times New Roman"/>
          <w:szCs w:val="24"/>
        </w:rPr>
        <w:t>prosecutorial discretion's impact</w:t>
      </w:r>
      <w:r w:rsidR="003060D6">
        <w:rPr>
          <w:rFonts w:ascii="Times New Roman" w:hAnsi="Times New Roman"/>
          <w:szCs w:val="24"/>
        </w:rPr>
        <w:t xml:space="preserve"> on </w:t>
      </w:r>
      <w:r w:rsidR="00B643E6" w:rsidRPr="00693DE6">
        <w:rPr>
          <w:rFonts w:ascii="Times New Roman" w:hAnsi="Times New Roman"/>
          <w:szCs w:val="24"/>
        </w:rPr>
        <w:t>victims</w:t>
      </w:r>
      <w:r w:rsidR="00F72A5B">
        <w:rPr>
          <w:rFonts w:ascii="Times New Roman" w:hAnsi="Times New Roman"/>
          <w:szCs w:val="24"/>
        </w:rPr>
        <w:t>'</w:t>
      </w:r>
      <w:r w:rsidR="00B643E6" w:rsidRPr="00693DE6">
        <w:rPr>
          <w:rFonts w:ascii="Times New Roman" w:hAnsi="Times New Roman"/>
          <w:szCs w:val="24"/>
        </w:rPr>
        <w:t xml:space="preserve"> rights and interests.</w:t>
      </w:r>
      <w:r w:rsidR="00B57B07" w:rsidRPr="00693DE6">
        <w:rPr>
          <w:rFonts w:ascii="Times New Roman" w:hAnsi="Times New Roman"/>
          <w:szCs w:val="24"/>
        </w:rPr>
        <w:t xml:space="preserve"> </w:t>
      </w:r>
      <w:r w:rsidR="00B643E6" w:rsidRPr="00693DE6">
        <w:rPr>
          <w:rFonts w:ascii="Times New Roman" w:hAnsi="Times New Roman"/>
          <w:szCs w:val="24"/>
        </w:rPr>
        <w:t xml:space="preserve">The second part will discuss the literature </w:t>
      </w:r>
      <w:r w:rsidR="00591BF6" w:rsidRPr="00693DE6">
        <w:rPr>
          <w:rFonts w:ascii="Times New Roman" w:hAnsi="Times New Roman"/>
          <w:szCs w:val="24"/>
        </w:rPr>
        <w:t>on victims</w:t>
      </w:r>
      <w:r w:rsidR="00F72A5B">
        <w:rPr>
          <w:rFonts w:ascii="Times New Roman" w:hAnsi="Times New Roman"/>
          <w:szCs w:val="24"/>
        </w:rPr>
        <w:t>'</w:t>
      </w:r>
      <w:r w:rsidR="00591BF6" w:rsidRPr="00693DE6">
        <w:rPr>
          <w:rFonts w:ascii="Times New Roman" w:hAnsi="Times New Roman"/>
          <w:szCs w:val="24"/>
        </w:rPr>
        <w:t xml:space="preserve"> rights and interests during</w:t>
      </w:r>
      <w:r w:rsidR="00B57B07" w:rsidRPr="00693DE6">
        <w:rPr>
          <w:rFonts w:ascii="Times New Roman" w:hAnsi="Times New Roman"/>
          <w:szCs w:val="24"/>
        </w:rPr>
        <w:t xml:space="preserve"> the </w:t>
      </w:r>
      <w:r w:rsidR="00591BF6" w:rsidRPr="00693DE6">
        <w:rPr>
          <w:rFonts w:ascii="Times New Roman" w:hAnsi="Times New Roman"/>
          <w:szCs w:val="24"/>
        </w:rPr>
        <w:t>criminal trial.</w:t>
      </w:r>
      <w:r w:rsidR="00B57B07" w:rsidRPr="00693DE6">
        <w:rPr>
          <w:rFonts w:ascii="Times New Roman" w:hAnsi="Times New Roman"/>
          <w:szCs w:val="24"/>
        </w:rPr>
        <w:t xml:space="preserve"> </w:t>
      </w:r>
      <w:r w:rsidR="00591BF6" w:rsidRPr="00693DE6">
        <w:rPr>
          <w:rFonts w:ascii="Times New Roman" w:hAnsi="Times New Roman"/>
          <w:szCs w:val="24"/>
        </w:rPr>
        <w:t>The third and last question is the impact of</w:t>
      </w:r>
      <w:r w:rsidR="003060D6">
        <w:rPr>
          <w:rFonts w:ascii="Times New Roman" w:hAnsi="Times New Roman"/>
          <w:szCs w:val="24"/>
        </w:rPr>
        <w:t xml:space="preserve"> victims</w:t>
      </w:r>
      <w:r w:rsidR="00F72A5B">
        <w:rPr>
          <w:rFonts w:ascii="Times New Roman" w:hAnsi="Times New Roman"/>
          <w:szCs w:val="24"/>
        </w:rPr>
        <w:t>'</w:t>
      </w:r>
      <w:r w:rsidR="003060D6">
        <w:rPr>
          <w:rFonts w:ascii="Times New Roman" w:hAnsi="Times New Roman"/>
          <w:szCs w:val="24"/>
        </w:rPr>
        <w:t xml:space="preserve"> rights and interest on</w:t>
      </w:r>
      <w:r w:rsidR="00591BF6" w:rsidRPr="00693DE6">
        <w:rPr>
          <w:rFonts w:ascii="Times New Roman" w:hAnsi="Times New Roman"/>
          <w:szCs w:val="24"/>
        </w:rPr>
        <w:t xml:space="preserve"> sentencing.</w:t>
      </w:r>
    </w:p>
    <w:p w14:paraId="0F046C2F" w14:textId="3FECB083" w:rsidR="00FF3EC5" w:rsidRDefault="00D9706A" w:rsidP="00693DE6">
      <w:pPr>
        <w:spacing w:line="480" w:lineRule="auto"/>
        <w:jc w:val="both"/>
        <w:rPr>
          <w:rFonts w:ascii="Times New Roman" w:hAnsi="Times New Roman"/>
          <w:szCs w:val="24"/>
        </w:rPr>
      </w:pPr>
      <w:r w:rsidRPr="00693DE6">
        <w:rPr>
          <w:rFonts w:ascii="Times New Roman" w:hAnsi="Times New Roman"/>
          <w:szCs w:val="24"/>
        </w:rPr>
        <w:t>While on the first sub-question, abundant literature exists on prosecutorial discretion,</w:t>
      </w:r>
      <w:r w:rsidR="009F05CD" w:rsidRPr="00693DE6">
        <w:rPr>
          <w:rFonts w:ascii="Times New Roman" w:hAnsi="Times New Roman"/>
          <w:szCs w:val="24"/>
        </w:rPr>
        <w:t xml:space="preserve"> </w:t>
      </w:r>
      <w:r w:rsidRPr="00693DE6">
        <w:rPr>
          <w:rFonts w:ascii="Times New Roman" w:hAnsi="Times New Roman"/>
          <w:szCs w:val="24"/>
        </w:rPr>
        <w:t xml:space="preserve">most of this literature concentrates on </w:t>
      </w:r>
      <w:r w:rsidR="00B57B07" w:rsidRPr="00693DE6">
        <w:rPr>
          <w:rFonts w:ascii="Times New Roman" w:hAnsi="Times New Roman"/>
          <w:szCs w:val="24"/>
        </w:rPr>
        <w:t xml:space="preserve">the </w:t>
      </w:r>
      <w:r w:rsidRPr="00693DE6">
        <w:rPr>
          <w:rFonts w:ascii="Times New Roman" w:hAnsi="Times New Roman"/>
          <w:szCs w:val="24"/>
        </w:rPr>
        <w:t>independence of the OTP and ac</w:t>
      </w:r>
      <w:r w:rsidR="009F05CD" w:rsidRPr="00693DE6">
        <w:rPr>
          <w:rFonts w:ascii="Times New Roman" w:hAnsi="Times New Roman"/>
          <w:szCs w:val="24"/>
        </w:rPr>
        <w:t>ademic de</w:t>
      </w:r>
      <w:r w:rsidRPr="00693DE6">
        <w:rPr>
          <w:rFonts w:ascii="Times New Roman" w:hAnsi="Times New Roman"/>
          <w:szCs w:val="24"/>
        </w:rPr>
        <w:t>bate on how the OTP exercises discretion on the interests of justice.</w:t>
      </w:r>
      <w:r w:rsidRPr="00693DE6">
        <w:rPr>
          <w:rStyle w:val="FootnoteReference"/>
          <w:rFonts w:ascii="Times New Roman" w:hAnsi="Times New Roman"/>
          <w:szCs w:val="24"/>
        </w:rPr>
        <w:footnoteReference w:id="92"/>
      </w:r>
      <w:r w:rsidRPr="00693DE6">
        <w:rPr>
          <w:rFonts w:ascii="Times New Roman" w:hAnsi="Times New Roman"/>
          <w:szCs w:val="24"/>
        </w:rPr>
        <w:t>.</w:t>
      </w:r>
      <w:r w:rsidR="003060D6">
        <w:rPr>
          <w:rFonts w:ascii="Times New Roman" w:hAnsi="Times New Roman"/>
          <w:szCs w:val="24"/>
        </w:rPr>
        <w:t xml:space="preserve">Not much </w:t>
      </w:r>
      <w:r w:rsidR="003060D6">
        <w:rPr>
          <w:rFonts w:ascii="Times New Roman" w:hAnsi="Times New Roman"/>
          <w:szCs w:val="24"/>
        </w:rPr>
        <w:lastRenderedPageBreak/>
        <w:t>literature</w:t>
      </w:r>
      <w:r w:rsidR="00B57B07" w:rsidRPr="00693DE6">
        <w:rPr>
          <w:rFonts w:ascii="Times New Roman" w:hAnsi="Times New Roman"/>
          <w:szCs w:val="24"/>
        </w:rPr>
        <w:t xml:space="preserve"> studies</w:t>
      </w:r>
      <w:r w:rsidRPr="00693DE6">
        <w:rPr>
          <w:rFonts w:ascii="Times New Roman" w:hAnsi="Times New Roman"/>
          <w:szCs w:val="24"/>
        </w:rPr>
        <w:t xml:space="preserve"> ha</w:t>
      </w:r>
      <w:r w:rsidR="00020CA7">
        <w:rPr>
          <w:rFonts w:ascii="Times New Roman" w:hAnsi="Times New Roman"/>
          <w:szCs w:val="24"/>
        </w:rPr>
        <w:t>ve</w:t>
      </w:r>
      <w:r w:rsidRPr="00693DE6">
        <w:rPr>
          <w:rFonts w:ascii="Times New Roman" w:hAnsi="Times New Roman"/>
          <w:szCs w:val="24"/>
        </w:rPr>
        <w:t xml:space="preserve"> examined the implications of broad prosecutorial discretion on victims</w:t>
      </w:r>
      <w:r w:rsidR="00F72A5B">
        <w:rPr>
          <w:rFonts w:ascii="Times New Roman" w:hAnsi="Times New Roman"/>
          <w:szCs w:val="24"/>
        </w:rPr>
        <w:t>'</w:t>
      </w:r>
      <w:r w:rsidRPr="00693DE6">
        <w:rPr>
          <w:rFonts w:ascii="Times New Roman" w:hAnsi="Times New Roman"/>
          <w:szCs w:val="24"/>
        </w:rPr>
        <w:t xml:space="preserve"> rights and interests.</w:t>
      </w:r>
      <w:r w:rsidRPr="00693DE6">
        <w:rPr>
          <w:rStyle w:val="FootnoteReference"/>
          <w:rFonts w:ascii="Times New Roman" w:hAnsi="Times New Roman"/>
          <w:szCs w:val="24"/>
        </w:rPr>
        <w:footnoteReference w:id="93"/>
      </w:r>
      <w:r w:rsidR="003060D6">
        <w:rPr>
          <w:rFonts w:ascii="Times New Roman" w:hAnsi="Times New Roman"/>
          <w:szCs w:val="24"/>
        </w:rPr>
        <w:t xml:space="preserve"> With respect to the second sub-question, regarding</w:t>
      </w:r>
      <w:r w:rsidR="009F05CD" w:rsidRPr="00693DE6">
        <w:rPr>
          <w:rFonts w:ascii="Times New Roman" w:hAnsi="Times New Roman"/>
          <w:szCs w:val="24"/>
        </w:rPr>
        <w:t xml:space="preserve"> victims</w:t>
      </w:r>
      <w:r w:rsidR="00F72A5B">
        <w:rPr>
          <w:rFonts w:ascii="Times New Roman" w:hAnsi="Times New Roman"/>
          <w:szCs w:val="24"/>
        </w:rPr>
        <w:t>'</w:t>
      </w:r>
      <w:r w:rsidR="009F05CD" w:rsidRPr="00693DE6">
        <w:rPr>
          <w:rFonts w:ascii="Times New Roman" w:hAnsi="Times New Roman"/>
          <w:szCs w:val="24"/>
        </w:rPr>
        <w:t xml:space="preserve"> rights and interests in their participation in criminal trials, quite a lot has been written on this. Nevertheless, </w:t>
      </w:r>
      <w:r w:rsidR="003F32A5" w:rsidRPr="00693DE6">
        <w:rPr>
          <w:rFonts w:ascii="Times New Roman" w:hAnsi="Times New Roman"/>
          <w:szCs w:val="24"/>
        </w:rPr>
        <w:t xml:space="preserve"> </w:t>
      </w:r>
      <w:r w:rsidR="009F05CD" w:rsidRPr="00693DE6">
        <w:rPr>
          <w:rFonts w:ascii="Times New Roman" w:hAnsi="Times New Roman"/>
          <w:szCs w:val="24"/>
        </w:rPr>
        <w:t>it appears more attention has been drawn to procedural fairness for the accus</w:t>
      </w:r>
      <w:r w:rsidR="00CD4474">
        <w:rPr>
          <w:rFonts w:ascii="Times New Roman" w:hAnsi="Times New Roman"/>
          <w:szCs w:val="24"/>
        </w:rPr>
        <w:t>ed when compared to the victims, rather than on the management of the rights and interests of victims at trial, as a function of access to justice.</w:t>
      </w:r>
      <w:r w:rsidR="003F32A5" w:rsidRPr="00693DE6">
        <w:rPr>
          <w:rFonts w:ascii="Times New Roman" w:hAnsi="Times New Roman"/>
          <w:szCs w:val="24"/>
        </w:rPr>
        <w:t xml:space="preserve"> </w:t>
      </w:r>
      <w:r w:rsidR="0012481D">
        <w:rPr>
          <w:rFonts w:ascii="Times New Roman" w:hAnsi="Times New Roman"/>
          <w:szCs w:val="24"/>
        </w:rPr>
        <w:t>Concerning</w:t>
      </w:r>
      <w:r w:rsidR="00CD4474">
        <w:rPr>
          <w:rFonts w:ascii="Times New Roman" w:hAnsi="Times New Roman"/>
          <w:szCs w:val="24"/>
        </w:rPr>
        <w:t xml:space="preserve"> the third sub-question, relating to victims</w:t>
      </w:r>
      <w:r w:rsidR="00F72A5B">
        <w:rPr>
          <w:rFonts w:ascii="Times New Roman" w:hAnsi="Times New Roman"/>
          <w:szCs w:val="24"/>
        </w:rPr>
        <w:t>'</w:t>
      </w:r>
      <w:r w:rsidR="00CD4474">
        <w:rPr>
          <w:rFonts w:ascii="Times New Roman" w:hAnsi="Times New Roman"/>
          <w:szCs w:val="24"/>
        </w:rPr>
        <w:t xml:space="preserve"> rights and interests in sentencing, a review of </w:t>
      </w:r>
      <w:r w:rsidR="00020CA7">
        <w:rPr>
          <w:rFonts w:ascii="Times New Roman" w:hAnsi="Times New Roman"/>
          <w:szCs w:val="24"/>
        </w:rPr>
        <w:t xml:space="preserve">the </w:t>
      </w:r>
      <w:r w:rsidR="00CD4474">
        <w:rPr>
          <w:rFonts w:ascii="Times New Roman" w:hAnsi="Times New Roman"/>
          <w:szCs w:val="24"/>
        </w:rPr>
        <w:t>literature suggest</w:t>
      </w:r>
      <w:r w:rsidR="00020CA7">
        <w:rPr>
          <w:rFonts w:ascii="Times New Roman" w:hAnsi="Times New Roman"/>
          <w:szCs w:val="24"/>
        </w:rPr>
        <w:t>s</w:t>
      </w:r>
      <w:r w:rsidR="00CD4474">
        <w:rPr>
          <w:rFonts w:ascii="Times New Roman" w:hAnsi="Times New Roman"/>
          <w:szCs w:val="24"/>
        </w:rPr>
        <w:t xml:space="preserve"> </w:t>
      </w:r>
      <w:r w:rsidR="00B771C2">
        <w:rPr>
          <w:rFonts w:ascii="Times New Roman" w:hAnsi="Times New Roman"/>
          <w:szCs w:val="24"/>
        </w:rPr>
        <w:t>literature is scarc</w:t>
      </w:r>
      <w:r w:rsidR="00CD4474">
        <w:rPr>
          <w:rFonts w:ascii="Times New Roman" w:hAnsi="Times New Roman"/>
          <w:szCs w:val="24"/>
        </w:rPr>
        <w:t>e on the implications of victims</w:t>
      </w:r>
      <w:r w:rsidR="00F72A5B">
        <w:rPr>
          <w:rFonts w:ascii="Times New Roman" w:hAnsi="Times New Roman"/>
          <w:szCs w:val="24"/>
        </w:rPr>
        <w:t>'</w:t>
      </w:r>
      <w:r w:rsidR="00CD4474">
        <w:rPr>
          <w:rFonts w:ascii="Times New Roman" w:hAnsi="Times New Roman"/>
          <w:szCs w:val="24"/>
        </w:rPr>
        <w:t xml:space="preserve"> rights and interests in sentencing.</w:t>
      </w:r>
      <w:r w:rsidR="00B771C2">
        <w:rPr>
          <w:rFonts w:ascii="Times New Roman" w:hAnsi="Times New Roman"/>
          <w:szCs w:val="24"/>
        </w:rPr>
        <w:t xml:space="preserve"> </w:t>
      </w:r>
      <w:r w:rsidR="003E52B1" w:rsidRPr="00693DE6">
        <w:rPr>
          <w:rFonts w:ascii="Times New Roman" w:hAnsi="Times New Roman"/>
          <w:szCs w:val="24"/>
        </w:rPr>
        <w:t>The following section shall examine the literature regarding these issues</w:t>
      </w:r>
      <w:r w:rsidR="00B771C2">
        <w:rPr>
          <w:rFonts w:ascii="Times New Roman" w:hAnsi="Times New Roman"/>
          <w:szCs w:val="24"/>
        </w:rPr>
        <w:t>.</w:t>
      </w:r>
    </w:p>
    <w:p w14:paraId="140123BA" w14:textId="22D1A515" w:rsidR="00A53FBA" w:rsidRDefault="00A53FBA" w:rsidP="00A44B61">
      <w:pPr>
        <w:pStyle w:val="Heading3"/>
      </w:pPr>
      <w:bookmarkStart w:id="10" w:name="_Toc60235789"/>
      <w:r>
        <w:t>1.8.1</w:t>
      </w:r>
      <w:r w:rsidR="006A6F31">
        <w:t xml:space="preserve"> </w:t>
      </w:r>
      <w:r w:rsidRPr="00A53FBA">
        <w:t>Prosecutorial discretion</w:t>
      </w:r>
      <w:bookmarkEnd w:id="10"/>
    </w:p>
    <w:p w14:paraId="37B6F41B" w14:textId="283AD553" w:rsidR="004D337A" w:rsidRPr="00A53FBA" w:rsidRDefault="00B2041B" w:rsidP="00693DE6">
      <w:pPr>
        <w:spacing w:line="480" w:lineRule="auto"/>
        <w:jc w:val="both"/>
        <w:rPr>
          <w:rFonts w:ascii="Times New Roman" w:hAnsi="Times New Roman"/>
          <w:b/>
          <w:bCs/>
          <w:szCs w:val="24"/>
        </w:rPr>
      </w:pPr>
      <w:r w:rsidRPr="00693DE6">
        <w:rPr>
          <w:rFonts w:ascii="Times New Roman" w:hAnsi="Times New Roman"/>
          <w:szCs w:val="24"/>
        </w:rPr>
        <w:t>As mentioned earlier, w</w:t>
      </w:r>
      <w:r w:rsidR="004D337A" w:rsidRPr="00693DE6">
        <w:rPr>
          <w:rFonts w:ascii="Times New Roman" w:hAnsi="Times New Roman"/>
          <w:szCs w:val="24"/>
        </w:rPr>
        <w:t xml:space="preserve">hile several studies have investigated the </w:t>
      </w:r>
      <w:proofErr w:type="spellStart"/>
      <w:r w:rsidR="00F85F5D">
        <w:rPr>
          <w:rFonts w:ascii="Times New Roman" w:hAnsi="Times New Roman"/>
          <w:szCs w:val="24"/>
        </w:rPr>
        <w:t>ICCprosecutor's</w:t>
      </w:r>
      <w:proofErr w:type="spellEnd"/>
      <w:r w:rsidR="00F85F5D">
        <w:rPr>
          <w:rFonts w:ascii="Times New Roman" w:hAnsi="Times New Roman"/>
          <w:szCs w:val="24"/>
        </w:rPr>
        <w:t xml:space="preserve"> broad powers</w:t>
      </w:r>
      <w:r w:rsidR="004D337A" w:rsidRPr="00693DE6">
        <w:rPr>
          <w:rFonts w:ascii="Times New Roman" w:hAnsi="Times New Roman"/>
          <w:szCs w:val="24"/>
        </w:rPr>
        <w:t xml:space="preserve">, most of the debates are pitched on the controversies surrounding the </w:t>
      </w:r>
      <w:r w:rsidR="006D187C">
        <w:rPr>
          <w:rFonts w:ascii="Times New Roman" w:hAnsi="Times New Roman"/>
          <w:szCs w:val="24"/>
        </w:rPr>
        <w:t>Prosecutor's independence</w:t>
      </w:r>
      <w:r w:rsidR="004D337A" w:rsidRPr="00693DE6">
        <w:rPr>
          <w:rFonts w:ascii="Times New Roman" w:hAnsi="Times New Roman"/>
          <w:szCs w:val="24"/>
        </w:rPr>
        <w:t xml:space="preserve">, particularly </w:t>
      </w:r>
      <w:r w:rsidR="00B57B07" w:rsidRPr="00693DE6">
        <w:rPr>
          <w:rFonts w:ascii="Times New Roman" w:hAnsi="Times New Roman"/>
          <w:szCs w:val="24"/>
        </w:rPr>
        <w:t>concerning</w:t>
      </w:r>
      <w:r w:rsidR="004D337A" w:rsidRPr="00693DE6">
        <w:rPr>
          <w:rFonts w:ascii="Times New Roman" w:hAnsi="Times New Roman"/>
          <w:szCs w:val="24"/>
        </w:rPr>
        <w:t xml:space="preserve"> selecting situations, </w:t>
      </w:r>
      <w:r w:rsidR="00B57B07" w:rsidRPr="00693DE6">
        <w:rPr>
          <w:rFonts w:ascii="Times New Roman" w:hAnsi="Times New Roman"/>
          <w:szCs w:val="24"/>
        </w:rPr>
        <w:t>P</w:t>
      </w:r>
      <w:r w:rsidR="004D337A" w:rsidRPr="00693DE6">
        <w:rPr>
          <w:rFonts w:ascii="Times New Roman" w:hAnsi="Times New Roman"/>
          <w:szCs w:val="24"/>
        </w:rPr>
        <w:t xml:space="preserve">roprio motu </w:t>
      </w:r>
      <w:r w:rsidR="004D337A" w:rsidRPr="00693DE6">
        <w:rPr>
          <w:rFonts w:ascii="Times New Roman" w:hAnsi="Times New Roman"/>
          <w:szCs w:val="24"/>
        </w:rPr>
        <w:lastRenderedPageBreak/>
        <w:t>investigations,</w:t>
      </w:r>
      <w:r w:rsidR="004D337A" w:rsidRPr="00693DE6">
        <w:rPr>
          <w:rStyle w:val="FootnoteReference"/>
          <w:rFonts w:ascii="Times New Roman" w:hAnsi="Times New Roman"/>
          <w:szCs w:val="24"/>
        </w:rPr>
        <w:footnoteReference w:id="94"/>
      </w:r>
      <w:r w:rsidR="004D337A" w:rsidRPr="00693DE6">
        <w:rPr>
          <w:rFonts w:ascii="Times New Roman" w:hAnsi="Times New Roman"/>
          <w:szCs w:val="24"/>
        </w:rPr>
        <w:t xml:space="preserve"> interests of justice and politics.</w:t>
      </w:r>
      <w:r w:rsidR="0038790D" w:rsidRPr="00693DE6">
        <w:rPr>
          <w:rStyle w:val="FootnoteReference"/>
          <w:rFonts w:ascii="Times New Roman" w:hAnsi="Times New Roman"/>
          <w:szCs w:val="24"/>
        </w:rPr>
        <w:footnoteReference w:id="95"/>
      </w:r>
      <w:r w:rsidR="004D337A" w:rsidRPr="00693DE6">
        <w:rPr>
          <w:rFonts w:ascii="Times New Roman" w:hAnsi="Times New Roman"/>
          <w:szCs w:val="24"/>
        </w:rPr>
        <w:t xml:space="preserve"> </w:t>
      </w:r>
      <w:r w:rsidR="00AC20F6" w:rsidRPr="00693DE6">
        <w:rPr>
          <w:rFonts w:ascii="Times New Roman" w:hAnsi="Times New Roman"/>
          <w:szCs w:val="24"/>
        </w:rPr>
        <w:t xml:space="preserve">However, a few </w:t>
      </w:r>
      <w:r w:rsidR="00646E83">
        <w:rPr>
          <w:rFonts w:ascii="Times New Roman" w:hAnsi="Times New Roman"/>
          <w:szCs w:val="24"/>
        </w:rPr>
        <w:t xml:space="preserve">works of </w:t>
      </w:r>
      <w:r w:rsidR="00AC20F6" w:rsidRPr="00693DE6">
        <w:rPr>
          <w:rFonts w:ascii="Times New Roman" w:hAnsi="Times New Roman"/>
          <w:szCs w:val="24"/>
        </w:rPr>
        <w:t>scholarships</w:t>
      </w:r>
      <w:r w:rsidR="00646E83">
        <w:rPr>
          <w:rFonts w:ascii="Times New Roman" w:hAnsi="Times New Roman"/>
          <w:szCs w:val="24"/>
        </w:rPr>
        <w:t xml:space="preserve"> examines</w:t>
      </w:r>
      <w:r w:rsidR="00AC20F6" w:rsidRPr="00693DE6">
        <w:rPr>
          <w:rFonts w:ascii="Times New Roman" w:hAnsi="Times New Roman"/>
          <w:szCs w:val="24"/>
        </w:rPr>
        <w:t xml:space="preserve"> how prosecutorial discretion affects victims.</w:t>
      </w:r>
      <w:r w:rsidRPr="00693DE6">
        <w:rPr>
          <w:rFonts w:ascii="Times New Roman" w:hAnsi="Times New Roman"/>
          <w:szCs w:val="24"/>
        </w:rPr>
        <w:t xml:space="preserve"> </w:t>
      </w:r>
      <w:proofErr w:type="spellStart"/>
      <w:r w:rsidR="00AC20F6" w:rsidRPr="00693DE6">
        <w:rPr>
          <w:rFonts w:ascii="Times New Roman" w:hAnsi="Times New Roman"/>
          <w:szCs w:val="24"/>
        </w:rPr>
        <w:t>Aptel</w:t>
      </w:r>
      <w:proofErr w:type="spellEnd"/>
      <w:r w:rsidR="00AC20F6" w:rsidRPr="00693DE6">
        <w:rPr>
          <w:rFonts w:ascii="Times New Roman" w:hAnsi="Times New Roman"/>
          <w:szCs w:val="24"/>
        </w:rPr>
        <w:t xml:space="preserve"> </w:t>
      </w:r>
      <w:r w:rsidR="0021119A" w:rsidRPr="00693DE6">
        <w:rPr>
          <w:rFonts w:ascii="Times New Roman" w:hAnsi="Times New Roman"/>
          <w:szCs w:val="24"/>
        </w:rPr>
        <w:t xml:space="preserve">shows that the broad prosecutorial discretion of the Prosecutor precludes </w:t>
      </w:r>
      <w:r w:rsidR="00F84B53" w:rsidRPr="00693DE6">
        <w:rPr>
          <w:rFonts w:ascii="Times New Roman" w:hAnsi="Times New Roman"/>
          <w:szCs w:val="24"/>
        </w:rPr>
        <w:t>victims</w:t>
      </w:r>
      <w:r w:rsidR="00F72A5B">
        <w:rPr>
          <w:rFonts w:ascii="Times New Roman" w:hAnsi="Times New Roman"/>
          <w:szCs w:val="24"/>
        </w:rPr>
        <w:t>'</w:t>
      </w:r>
      <w:r w:rsidR="00F84B53" w:rsidRPr="00693DE6">
        <w:rPr>
          <w:rFonts w:ascii="Times New Roman" w:hAnsi="Times New Roman"/>
          <w:szCs w:val="24"/>
        </w:rPr>
        <w:t xml:space="preserve"> right to remedy.</w:t>
      </w:r>
      <w:r w:rsidR="00F84B53" w:rsidRPr="00693DE6">
        <w:rPr>
          <w:rStyle w:val="FootnoteReference"/>
          <w:rFonts w:ascii="Times New Roman" w:hAnsi="Times New Roman"/>
          <w:szCs w:val="24"/>
        </w:rPr>
        <w:footnoteReference w:id="96"/>
      </w:r>
      <w:r w:rsidR="0021119A" w:rsidRPr="00693DE6">
        <w:rPr>
          <w:rFonts w:ascii="Times New Roman" w:hAnsi="Times New Roman"/>
          <w:szCs w:val="24"/>
        </w:rPr>
        <w:t xml:space="preserve">She argues that from </w:t>
      </w:r>
      <w:r w:rsidR="006D187C">
        <w:rPr>
          <w:rFonts w:ascii="Times New Roman" w:hAnsi="Times New Roman"/>
          <w:szCs w:val="24"/>
        </w:rPr>
        <w:t xml:space="preserve">the </w:t>
      </w:r>
      <w:r w:rsidR="0021119A" w:rsidRPr="00693DE6">
        <w:rPr>
          <w:rFonts w:ascii="Times New Roman" w:hAnsi="Times New Roman"/>
          <w:szCs w:val="24"/>
        </w:rPr>
        <w:t>Prosecution</w:t>
      </w:r>
      <w:r w:rsidR="00F72A5B">
        <w:rPr>
          <w:rFonts w:ascii="Times New Roman" w:hAnsi="Times New Roman"/>
          <w:szCs w:val="24"/>
        </w:rPr>
        <w:t>'</w:t>
      </w:r>
      <w:r w:rsidR="0021119A" w:rsidRPr="00693DE6">
        <w:rPr>
          <w:rFonts w:ascii="Times New Roman" w:hAnsi="Times New Roman"/>
          <w:szCs w:val="24"/>
        </w:rPr>
        <w:t xml:space="preserve"> selection of crimes to the complementarity paradigm, many victims of se</w:t>
      </w:r>
      <w:r w:rsidR="0012481D">
        <w:rPr>
          <w:rFonts w:ascii="Times New Roman" w:hAnsi="Times New Roman"/>
          <w:szCs w:val="24"/>
        </w:rPr>
        <w:t>vere</w:t>
      </w:r>
      <w:r w:rsidR="0021119A" w:rsidRPr="00693DE6">
        <w:rPr>
          <w:rFonts w:ascii="Times New Roman" w:hAnsi="Times New Roman"/>
          <w:szCs w:val="24"/>
        </w:rPr>
        <w:t xml:space="preserve"> violations of human rights and humanitarian law are denied access to </w:t>
      </w:r>
      <w:r w:rsidR="00B771C2">
        <w:rPr>
          <w:rFonts w:ascii="Times New Roman" w:hAnsi="Times New Roman"/>
          <w:szCs w:val="24"/>
        </w:rPr>
        <w:t xml:space="preserve">a </w:t>
      </w:r>
      <w:r w:rsidR="0021119A" w:rsidRPr="00693DE6">
        <w:rPr>
          <w:rFonts w:ascii="Times New Roman" w:hAnsi="Times New Roman"/>
          <w:szCs w:val="24"/>
        </w:rPr>
        <w:t>judicial remedy.</w:t>
      </w:r>
      <w:r w:rsidR="0021119A" w:rsidRPr="00693DE6">
        <w:rPr>
          <w:rStyle w:val="FootnoteReference"/>
          <w:rFonts w:ascii="Times New Roman" w:hAnsi="Times New Roman"/>
          <w:szCs w:val="24"/>
        </w:rPr>
        <w:footnoteReference w:id="97"/>
      </w:r>
      <w:r w:rsidR="0021119A" w:rsidRPr="00693DE6">
        <w:rPr>
          <w:rFonts w:ascii="Times New Roman" w:hAnsi="Times New Roman"/>
          <w:szCs w:val="24"/>
        </w:rPr>
        <w:t xml:space="preserve">She suggested that the ICC </w:t>
      </w:r>
      <w:r w:rsidR="00646E83">
        <w:rPr>
          <w:rFonts w:ascii="Times New Roman" w:hAnsi="Times New Roman"/>
          <w:szCs w:val="24"/>
        </w:rPr>
        <w:t xml:space="preserve">ought to </w:t>
      </w:r>
      <w:r w:rsidR="0021119A" w:rsidRPr="00693DE6">
        <w:rPr>
          <w:rFonts w:ascii="Times New Roman" w:hAnsi="Times New Roman"/>
          <w:szCs w:val="24"/>
        </w:rPr>
        <w:t>be opened to a broader range of charges.</w:t>
      </w:r>
    </w:p>
    <w:p w14:paraId="00BF9005" w14:textId="086E5041" w:rsidR="00184E09" w:rsidRDefault="00646E83" w:rsidP="00693DE6">
      <w:pPr>
        <w:spacing w:line="480" w:lineRule="auto"/>
        <w:jc w:val="both"/>
        <w:rPr>
          <w:rFonts w:ascii="Times New Roman" w:hAnsi="Times New Roman"/>
          <w:szCs w:val="24"/>
        </w:rPr>
      </w:pPr>
      <w:r>
        <w:rPr>
          <w:rFonts w:ascii="Times New Roman" w:hAnsi="Times New Roman"/>
          <w:szCs w:val="24"/>
        </w:rPr>
        <w:t xml:space="preserve">A similar conclusion was reached by </w:t>
      </w:r>
      <w:r w:rsidR="00B57B07" w:rsidRPr="00693DE6">
        <w:rPr>
          <w:rFonts w:ascii="Times New Roman" w:hAnsi="Times New Roman"/>
          <w:szCs w:val="24"/>
        </w:rPr>
        <w:t>Schabas</w:t>
      </w:r>
      <w:r>
        <w:rPr>
          <w:rFonts w:ascii="Times New Roman" w:hAnsi="Times New Roman"/>
          <w:szCs w:val="24"/>
        </w:rPr>
        <w:t xml:space="preserve">, who examines prosecutorial discretion in the selection of situations and cases via the criteria </w:t>
      </w:r>
      <w:r w:rsidR="00FB793A" w:rsidRPr="00693DE6">
        <w:rPr>
          <w:rFonts w:ascii="Times New Roman" w:hAnsi="Times New Roman"/>
          <w:szCs w:val="24"/>
        </w:rPr>
        <w:t xml:space="preserve">of </w:t>
      </w:r>
      <w:r w:rsidR="00F72A5B">
        <w:rPr>
          <w:rFonts w:ascii="Times New Roman" w:hAnsi="Times New Roman"/>
          <w:szCs w:val="24"/>
        </w:rPr>
        <w:t>'</w:t>
      </w:r>
      <w:r w:rsidR="00FB793A" w:rsidRPr="00693DE6">
        <w:rPr>
          <w:rFonts w:ascii="Times New Roman" w:hAnsi="Times New Roman"/>
          <w:i/>
          <w:szCs w:val="24"/>
        </w:rPr>
        <w:t>interests of justice</w:t>
      </w:r>
      <w:r w:rsidR="00F72A5B">
        <w:rPr>
          <w:rFonts w:ascii="Times New Roman" w:hAnsi="Times New Roman"/>
          <w:i/>
          <w:szCs w:val="24"/>
        </w:rPr>
        <w:t>'</w:t>
      </w:r>
      <w:r w:rsidR="00FB793A" w:rsidRPr="00693DE6">
        <w:rPr>
          <w:rFonts w:ascii="Times New Roman" w:hAnsi="Times New Roman"/>
          <w:szCs w:val="24"/>
        </w:rPr>
        <w:t xml:space="preserve"> and </w:t>
      </w:r>
      <w:r w:rsidR="00F72A5B">
        <w:rPr>
          <w:rFonts w:ascii="Times New Roman" w:hAnsi="Times New Roman"/>
          <w:szCs w:val="24"/>
        </w:rPr>
        <w:t>'</w:t>
      </w:r>
      <w:r w:rsidR="006F4815" w:rsidRPr="00693DE6">
        <w:rPr>
          <w:rFonts w:ascii="Times New Roman" w:hAnsi="Times New Roman"/>
          <w:i/>
          <w:szCs w:val="24"/>
        </w:rPr>
        <w:t>g</w:t>
      </w:r>
      <w:r w:rsidR="00FB793A" w:rsidRPr="00693DE6">
        <w:rPr>
          <w:rFonts w:ascii="Times New Roman" w:hAnsi="Times New Roman"/>
          <w:i/>
          <w:szCs w:val="24"/>
        </w:rPr>
        <w:t>r</w:t>
      </w:r>
      <w:r w:rsidR="006F4815" w:rsidRPr="00693DE6">
        <w:rPr>
          <w:rFonts w:ascii="Times New Roman" w:hAnsi="Times New Roman"/>
          <w:i/>
          <w:szCs w:val="24"/>
        </w:rPr>
        <w:t>a</w:t>
      </w:r>
      <w:r w:rsidR="00FB793A" w:rsidRPr="00693DE6">
        <w:rPr>
          <w:rFonts w:ascii="Times New Roman" w:hAnsi="Times New Roman"/>
          <w:i/>
          <w:szCs w:val="24"/>
        </w:rPr>
        <w:t>vity</w:t>
      </w:r>
      <w:r w:rsidR="00F72A5B">
        <w:rPr>
          <w:rFonts w:ascii="Times New Roman" w:hAnsi="Times New Roman"/>
          <w:szCs w:val="24"/>
        </w:rPr>
        <w:t>'</w:t>
      </w:r>
      <w:r w:rsidR="006F4815" w:rsidRPr="00693DE6">
        <w:rPr>
          <w:rFonts w:ascii="Times New Roman" w:hAnsi="Times New Roman"/>
          <w:szCs w:val="24"/>
        </w:rPr>
        <w:t>.</w:t>
      </w:r>
      <w:r w:rsidR="006F4815" w:rsidRPr="00693DE6">
        <w:rPr>
          <w:rStyle w:val="FootnoteReference"/>
          <w:rFonts w:ascii="Times New Roman" w:hAnsi="Times New Roman"/>
          <w:szCs w:val="24"/>
        </w:rPr>
        <w:footnoteReference w:id="98"/>
      </w:r>
      <w:r w:rsidR="00B2041B" w:rsidRPr="00693DE6">
        <w:rPr>
          <w:rFonts w:ascii="Times New Roman" w:hAnsi="Times New Roman"/>
          <w:szCs w:val="24"/>
        </w:rPr>
        <w:t xml:space="preserve">From </w:t>
      </w:r>
      <w:r w:rsidR="004F7AD0" w:rsidRPr="00693DE6">
        <w:rPr>
          <w:rFonts w:ascii="Times New Roman" w:hAnsi="Times New Roman"/>
          <w:szCs w:val="24"/>
        </w:rPr>
        <w:t xml:space="preserve">his article, it appears that some victims inadvertently fall into the impunity gap because the Prosecutor </w:t>
      </w:r>
      <w:r w:rsidR="00B57B07" w:rsidRPr="00693DE6">
        <w:rPr>
          <w:rFonts w:ascii="Times New Roman" w:hAnsi="Times New Roman"/>
          <w:szCs w:val="24"/>
        </w:rPr>
        <w:t>decides</w:t>
      </w:r>
      <w:r w:rsidR="004F7AD0" w:rsidRPr="00693DE6">
        <w:rPr>
          <w:rFonts w:ascii="Times New Roman" w:hAnsi="Times New Roman"/>
          <w:szCs w:val="24"/>
        </w:rPr>
        <w:t xml:space="preserve"> </w:t>
      </w:r>
      <w:r w:rsidR="00B57B07" w:rsidRPr="00693DE6">
        <w:rPr>
          <w:rFonts w:ascii="Times New Roman" w:hAnsi="Times New Roman"/>
          <w:szCs w:val="24"/>
        </w:rPr>
        <w:t xml:space="preserve">the </w:t>
      </w:r>
      <w:r w:rsidR="004F7AD0" w:rsidRPr="00693DE6">
        <w:rPr>
          <w:rFonts w:ascii="Times New Roman" w:hAnsi="Times New Roman"/>
          <w:szCs w:val="24"/>
        </w:rPr>
        <w:t>selection of situations.</w:t>
      </w:r>
      <w:r w:rsidR="00B2041B" w:rsidRPr="00693DE6">
        <w:rPr>
          <w:rFonts w:ascii="Times New Roman" w:hAnsi="Times New Roman"/>
          <w:szCs w:val="24"/>
        </w:rPr>
        <w:t xml:space="preserve"> </w:t>
      </w:r>
      <w:r w:rsidR="004F7AD0" w:rsidRPr="00693DE6">
        <w:rPr>
          <w:rFonts w:ascii="Times New Roman" w:hAnsi="Times New Roman"/>
          <w:szCs w:val="24"/>
        </w:rPr>
        <w:t xml:space="preserve">Some of these </w:t>
      </w:r>
      <w:r w:rsidR="004F7AD0" w:rsidRPr="00693DE6">
        <w:rPr>
          <w:rFonts w:ascii="Times New Roman" w:hAnsi="Times New Roman"/>
          <w:szCs w:val="24"/>
        </w:rPr>
        <w:lastRenderedPageBreak/>
        <w:t xml:space="preserve">decisions </w:t>
      </w:r>
      <w:r w:rsidR="00B2041B" w:rsidRPr="00693DE6">
        <w:rPr>
          <w:rFonts w:ascii="Times New Roman" w:hAnsi="Times New Roman"/>
          <w:szCs w:val="24"/>
        </w:rPr>
        <w:t xml:space="preserve">he thinks </w:t>
      </w:r>
      <w:r w:rsidR="004F7AD0" w:rsidRPr="00693DE6">
        <w:rPr>
          <w:rFonts w:ascii="Times New Roman" w:hAnsi="Times New Roman"/>
          <w:szCs w:val="24"/>
        </w:rPr>
        <w:t>lack objectivity.</w:t>
      </w:r>
      <w:r w:rsidR="00B2041B" w:rsidRPr="00693DE6">
        <w:rPr>
          <w:rStyle w:val="FootnoteReference"/>
          <w:rFonts w:ascii="Times New Roman" w:hAnsi="Times New Roman"/>
          <w:szCs w:val="24"/>
        </w:rPr>
        <w:footnoteReference w:id="99"/>
      </w:r>
      <w:r w:rsidR="004F7AD0" w:rsidRPr="00693DE6">
        <w:rPr>
          <w:rFonts w:ascii="Times New Roman" w:hAnsi="Times New Roman"/>
          <w:szCs w:val="24"/>
        </w:rPr>
        <w:t>It is also noted that controversy exist</w:t>
      </w:r>
      <w:r w:rsidR="00B57B07" w:rsidRPr="00693DE6">
        <w:rPr>
          <w:rFonts w:ascii="Times New Roman" w:hAnsi="Times New Roman"/>
          <w:szCs w:val="24"/>
        </w:rPr>
        <w:t>s</w:t>
      </w:r>
      <w:r w:rsidR="004F7AD0" w:rsidRPr="00693DE6">
        <w:rPr>
          <w:rFonts w:ascii="Times New Roman" w:hAnsi="Times New Roman"/>
          <w:szCs w:val="24"/>
        </w:rPr>
        <w:t xml:space="preserve"> as to the definition of </w:t>
      </w:r>
      <w:r w:rsidR="00F72A5B">
        <w:rPr>
          <w:rFonts w:ascii="Times New Roman" w:hAnsi="Times New Roman"/>
          <w:szCs w:val="24"/>
        </w:rPr>
        <w:t>'</w:t>
      </w:r>
      <w:r w:rsidR="004F7AD0" w:rsidRPr="00693DE6">
        <w:rPr>
          <w:rFonts w:ascii="Times New Roman" w:hAnsi="Times New Roman"/>
          <w:i/>
          <w:szCs w:val="24"/>
        </w:rPr>
        <w:t>interests of justice</w:t>
      </w:r>
      <w:r w:rsidR="00F72A5B">
        <w:rPr>
          <w:rFonts w:ascii="Times New Roman" w:hAnsi="Times New Roman"/>
          <w:i/>
          <w:szCs w:val="24"/>
        </w:rPr>
        <w:t>'</w:t>
      </w:r>
      <w:r w:rsidR="004F7AD0" w:rsidRPr="00693DE6">
        <w:rPr>
          <w:rFonts w:ascii="Times New Roman" w:hAnsi="Times New Roman"/>
          <w:szCs w:val="24"/>
        </w:rPr>
        <w:t xml:space="preserve">. </w:t>
      </w:r>
      <w:r w:rsidR="00B2041B" w:rsidRPr="00693DE6">
        <w:rPr>
          <w:rFonts w:ascii="Times New Roman" w:hAnsi="Times New Roman"/>
          <w:szCs w:val="24"/>
        </w:rPr>
        <w:t xml:space="preserve">Given that it is within the </w:t>
      </w:r>
      <w:r w:rsidR="006D187C">
        <w:rPr>
          <w:rFonts w:ascii="Times New Roman" w:hAnsi="Times New Roman"/>
          <w:szCs w:val="24"/>
        </w:rPr>
        <w:t>ICC Prosecutor's ambit</w:t>
      </w:r>
      <w:r w:rsidR="00B2041B" w:rsidRPr="00693DE6">
        <w:rPr>
          <w:rFonts w:ascii="Times New Roman" w:hAnsi="Times New Roman"/>
          <w:szCs w:val="24"/>
        </w:rPr>
        <w:t xml:space="preserve"> to determine the </w:t>
      </w:r>
      <w:r w:rsidR="00F72A5B">
        <w:rPr>
          <w:rFonts w:ascii="Times New Roman" w:hAnsi="Times New Roman"/>
          <w:szCs w:val="24"/>
        </w:rPr>
        <w:t>'</w:t>
      </w:r>
      <w:r w:rsidR="00B2041B" w:rsidRPr="00693DE6">
        <w:rPr>
          <w:rFonts w:ascii="Times New Roman" w:hAnsi="Times New Roman"/>
          <w:szCs w:val="24"/>
        </w:rPr>
        <w:t>interests of justice</w:t>
      </w:r>
      <w:r w:rsidR="00F72A5B">
        <w:rPr>
          <w:rFonts w:ascii="Times New Roman" w:hAnsi="Times New Roman"/>
          <w:szCs w:val="24"/>
        </w:rPr>
        <w:t>'</w:t>
      </w:r>
      <w:r w:rsidR="00B2041B" w:rsidRPr="00693DE6">
        <w:rPr>
          <w:rFonts w:ascii="Times New Roman" w:hAnsi="Times New Roman"/>
          <w:szCs w:val="24"/>
        </w:rPr>
        <w:t xml:space="preserve">, </w:t>
      </w:r>
      <w:r w:rsidR="004A2018" w:rsidRPr="00693DE6">
        <w:rPr>
          <w:rFonts w:ascii="Times New Roman" w:hAnsi="Times New Roman"/>
          <w:szCs w:val="24"/>
        </w:rPr>
        <w:t>most times</w:t>
      </w:r>
      <w:r w:rsidR="00B57B07" w:rsidRPr="00693DE6">
        <w:rPr>
          <w:rFonts w:ascii="Times New Roman" w:hAnsi="Times New Roman"/>
          <w:szCs w:val="24"/>
        </w:rPr>
        <w:t>,</w:t>
      </w:r>
      <w:r w:rsidR="004A2018" w:rsidRPr="00693DE6">
        <w:rPr>
          <w:rFonts w:ascii="Times New Roman" w:hAnsi="Times New Roman"/>
          <w:szCs w:val="24"/>
        </w:rPr>
        <w:t xml:space="preserve"> the Prosecutor</w:t>
      </w:r>
      <w:r w:rsidR="00F72A5B">
        <w:rPr>
          <w:rFonts w:ascii="Times New Roman" w:hAnsi="Times New Roman"/>
          <w:szCs w:val="24"/>
        </w:rPr>
        <w:t>'</w:t>
      </w:r>
      <w:r w:rsidR="004A2018" w:rsidRPr="00693DE6">
        <w:rPr>
          <w:rFonts w:ascii="Times New Roman" w:hAnsi="Times New Roman"/>
          <w:szCs w:val="24"/>
        </w:rPr>
        <w:t>s conception of interest of justice may not be consistent.</w:t>
      </w:r>
    </w:p>
    <w:p w14:paraId="5004CBFC" w14:textId="6A1B8FC7" w:rsidR="00AF5029" w:rsidRDefault="00AF5029" w:rsidP="00693DE6">
      <w:pPr>
        <w:spacing w:line="480" w:lineRule="auto"/>
        <w:jc w:val="both"/>
        <w:rPr>
          <w:rFonts w:ascii="Times New Roman" w:hAnsi="Times New Roman"/>
          <w:szCs w:val="24"/>
        </w:rPr>
      </w:pPr>
      <w:r>
        <w:rPr>
          <w:rFonts w:ascii="Times New Roman" w:hAnsi="Times New Roman"/>
          <w:szCs w:val="24"/>
        </w:rPr>
        <w:t xml:space="preserve">For instance, Guzman calls our attention to the </w:t>
      </w:r>
      <w:r w:rsidR="006D187C">
        <w:rPr>
          <w:rFonts w:ascii="Times New Roman" w:hAnsi="Times New Roman"/>
          <w:szCs w:val="24"/>
        </w:rPr>
        <w:t>former ICC prosecutor's reluctance</w:t>
      </w:r>
      <w:r>
        <w:rPr>
          <w:rFonts w:ascii="Times New Roman" w:hAnsi="Times New Roman"/>
          <w:szCs w:val="24"/>
        </w:rPr>
        <w:t xml:space="preserve"> to prosecute sexual violence.</w:t>
      </w:r>
      <w:r w:rsidR="00020CA7">
        <w:rPr>
          <w:rFonts w:ascii="Times New Roman" w:hAnsi="Times New Roman"/>
          <w:szCs w:val="24"/>
        </w:rPr>
        <w:t xml:space="preserve"> </w:t>
      </w:r>
      <w:r>
        <w:rPr>
          <w:rFonts w:ascii="Times New Roman" w:hAnsi="Times New Roman"/>
          <w:szCs w:val="24"/>
        </w:rPr>
        <w:t xml:space="preserve">Guzman argues that gender bias assumptions </w:t>
      </w:r>
      <w:r w:rsidR="00020CA7">
        <w:rPr>
          <w:rFonts w:ascii="Times New Roman" w:hAnsi="Times New Roman"/>
          <w:szCs w:val="24"/>
        </w:rPr>
        <w:t>are</w:t>
      </w:r>
      <w:r>
        <w:rPr>
          <w:rFonts w:ascii="Times New Roman" w:hAnsi="Times New Roman"/>
          <w:szCs w:val="24"/>
        </w:rPr>
        <w:t xml:space="preserve"> not unconnected to the recognition of substantive crimes.</w:t>
      </w:r>
      <w:r>
        <w:rPr>
          <w:rStyle w:val="FootnoteReference"/>
          <w:rFonts w:ascii="Times New Roman" w:hAnsi="Times New Roman"/>
          <w:szCs w:val="24"/>
        </w:rPr>
        <w:footnoteReference w:id="100"/>
      </w:r>
      <w:r>
        <w:rPr>
          <w:rFonts w:ascii="Times New Roman" w:hAnsi="Times New Roman"/>
          <w:szCs w:val="24"/>
        </w:rPr>
        <w:t>They are deeply rooted</w:t>
      </w:r>
      <w:r w:rsidR="0066209F">
        <w:rPr>
          <w:rFonts w:ascii="Times New Roman" w:hAnsi="Times New Roman"/>
          <w:szCs w:val="24"/>
        </w:rPr>
        <w:t xml:space="preserve"> in</w:t>
      </w:r>
      <w:r>
        <w:rPr>
          <w:rFonts w:ascii="Times New Roman" w:hAnsi="Times New Roman"/>
          <w:szCs w:val="24"/>
        </w:rPr>
        <w:t xml:space="preserve"> informal instit</w:t>
      </w:r>
      <w:r w:rsidR="00020CA7">
        <w:rPr>
          <w:rFonts w:ascii="Times New Roman" w:hAnsi="Times New Roman"/>
          <w:szCs w:val="24"/>
        </w:rPr>
        <w:t>u</w:t>
      </w:r>
      <w:r>
        <w:rPr>
          <w:rFonts w:ascii="Times New Roman" w:hAnsi="Times New Roman"/>
          <w:szCs w:val="24"/>
        </w:rPr>
        <w:t>tions that they permeate legal procedures, investigations and conduct of trials.</w:t>
      </w:r>
      <w:r>
        <w:rPr>
          <w:rStyle w:val="FootnoteReference"/>
          <w:rFonts w:ascii="Times New Roman" w:hAnsi="Times New Roman"/>
          <w:szCs w:val="24"/>
        </w:rPr>
        <w:footnoteReference w:id="101"/>
      </w:r>
      <w:r>
        <w:rPr>
          <w:rFonts w:ascii="Times New Roman" w:hAnsi="Times New Roman"/>
          <w:szCs w:val="24"/>
        </w:rPr>
        <w:t>The failure to prosecute SGBV at the ICC could be due to the traditional beli</w:t>
      </w:r>
      <w:r w:rsidR="00020CA7">
        <w:rPr>
          <w:rFonts w:ascii="Times New Roman" w:hAnsi="Times New Roman"/>
          <w:szCs w:val="24"/>
        </w:rPr>
        <w:t>e</w:t>
      </w:r>
      <w:r>
        <w:rPr>
          <w:rFonts w:ascii="Times New Roman" w:hAnsi="Times New Roman"/>
          <w:szCs w:val="24"/>
        </w:rPr>
        <w:t xml:space="preserve">f that sexual violence is a lesser crime or the perception that sexual violence is </w:t>
      </w:r>
      <w:r w:rsidR="00F72A5B">
        <w:rPr>
          <w:rFonts w:ascii="Times New Roman" w:hAnsi="Times New Roman"/>
          <w:szCs w:val="24"/>
        </w:rPr>
        <w:t>'</w:t>
      </w:r>
      <w:r>
        <w:rPr>
          <w:rFonts w:ascii="Times New Roman" w:hAnsi="Times New Roman"/>
          <w:szCs w:val="24"/>
        </w:rPr>
        <w:t xml:space="preserve">weapon of </w:t>
      </w:r>
      <w:proofErr w:type="spellStart"/>
      <w:r>
        <w:rPr>
          <w:rFonts w:ascii="Times New Roman" w:hAnsi="Times New Roman"/>
          <w:szCs w:val="24"/>
        </w:rPr>
        <w:t>war</w:t>
      </w:r>
      <w:r w:rsidR="00F72A5B">
        <w:rPr>
          <w:rFonts w:ascii="Times New Roman" w:hAnsi="Times New Roman"/>
          <w:szCs w:val="24"/>
        </w:rPr>
        <w:t>'</w:t>
      </w:r>
      <w:r>
        <w:rPr>
          <w:rFonts w:ascii="Times New Roman" w:hAnsi="Times New Roman"/>
          <w:szCs w:val="24"/>
        </w:rPr>
        <w:t>.While</w:t>
      </w:r>
      <w:proofErr w:type="spellEnd"/>
      <w:r>
        <w:rPr>
          <w:rFonts w:ascii="Times New Roman" w:hAnsi="Times New Roman"/>
          <w:szCs w:val="24"/>
        </w:rPr>
        <w:t xml:space="preserve"> some authors concluded that due to the nature of SGBV, it requires a higher evidentiary burden,</w:t>
      </w:r>
      <w:r w:rsidR="00976D97">
        <w:rPr>
          <w:rStyle w:val="FootnoteReference"/>
          <w:rFonts w:ascii="Times New Roman" w:hAnsi="Times New Roman"/>
          <w:szCs w:val="24"/>
        </w:rPr>
        <w:footnoteReference w:id="102"/>
      </w:r>
      <w:r>
        <w:rPr>
          <w:rFonts w:ascii="Times New Roman" w:hAnsi="Times New Roman"/>
          <w:szCs w:val="24"/>
        </w:rPr>
        <w:t xml:space="preserve"> one could argue that this statement is embedded in gender </w:t>
      </w:r>
      <w:r>
        <w:rPr>
          <w:rFonts w:ascii="Times New Roman" w:hAnsi="Times New Roman"/>
          <w:szCs w:val="24"/>
        </w:rPr>
        <w:lastRenderedPageBreak/>
        <w:t>bias</w:t>
      </w:r>
      <w:r w:rsidR="0066209F">
        <w:rPr>
          <w:rFonts w:ascii="Times New Roman" w:hAnsi="Times New Roman"/>
          <w:szCs w:val="24"/>
        </w:rPr>
        <w:t xml:space="preserve"> assumptions</w:t>
      </w:r>
      <w:r>
        <w:rPr>
          <w:rFonts w:ascii="Times New Roman" w:hAnsi="Times New Roman"/>
          <w:szCs w:val="24"/>
        </w:rPr>
        <w:t>.</w:t>
      </w:r>
      <w:r w:rsidR="00020CA7">
        <w:rPr>
          <w:rFonts w:ascii="Times New Roman" w:hAnsi="Times New Roman"/>
          <w:szCs w:val="24"/>
        </w:rPr>
        <w:t xml:space="preserve"> </w:t>
      </w:r>
      <w:r>
        <w:rPr>
          <w:rFonts w:ascii="Times New Roman" w:hAnsi="Times New Roman"/>
          <w:szCs w:val="24"/>
        </w:rPr>
        <w:t>Civil society and activis</w:t>
      </w:r>
      <w:r w:rsidR="00020CA7">
        <w:rPr>
          <w:rFonts w:ascii="Times New Roman" w:hAnsi="Times New Roman"/>
          <w:szCs w:val="24"/>
        </w:rPr>
        <w:t>ts</w:t>
      </w:r>
      <w:r>
        <w:rPr>
          <w:rFonts w:ascii="Times New Roman" w:hAnsi="Times New Roman"/>
          <w:szCs w:val="24"/>
        </w:rPr>
        <w:t xml:space="preserve"> called the </w:t>
      </w:r>
      <w:r w:rsidR="006D187C">
        <w:rPr>
          <w:rFonts w:ascii="Times New Roman" w:hAnsi="Times New Roman"/>
          <w:szCs w:val="24"/>
        </w:rPr>
        <w:t>Prosecutor's attention</w:t>
      </w:r>
      <w:r>
        <w:rPr>
          <w:rFonts w:ascii="Times New Roman" w:hAnsi="Times New Roman"/>
          <w:szCs w:val="24"/>
        </w:rPr>
        <w:t xml:space="preserve"> to his deliberate exclusion of sexual violence from the charges.</w:t>
      </w:r>
      <w:r>
        <w:rPr>
          <w:rStyle w:val="FootnoteReference"/>
          <w:rFonts w:ascii="Times New Roman" w:hAnsi="Times New Roman"/>
          <w:szCs w:val="24"/>
        </w:rPr>
        <w:footnoteReference w:id="103"/>
      </w:r>
    </w:p>
    <w:p w14:paraId="631256EA" w14:textId="6BBFE19A" w:rsidR="00F0598A" w:rsidRPr="006D4CC1" w:rsidRDefault="00F0598A" w:rsidP="00F0598A">
      <w:pPr>
        <w:spacing w:line="480" w:lineRule="auto"/>
        <w:jc w:val="both"/>
        <w:rPr>
          <w:rFonts w:ascii="Times New Roman" w:hAnsi="Times New Roman"/>
        </w:rPr>
      </w:pPr>
      <w:proofErr w:type="spellStart"/>
      <w:r>
        <w:rPr>
          <w:rFonts w:ascii="Times New Roman" w:hAnsi="Times New Roman"/>
          <w:szCs w:val="24"/>
        </w:rPr>
        <w:t>SaCuoto</w:t>
      </w:r>
      <w:proofErr w:type="spellEnd"/>
      <w:r>
        <w:rPr>
          <w:rFonts w:ascii="Times New Roman" w:hAnsi="Times New Roman"/>
          <w:szCs w:val="24"/>
        </w:rPr>
        <w:t xml:space="preserve"> and Clearly criticised the </w:t>
      </w:r>
      <w:r w:rsidR="006D187C">
        <w:rPr>
          <w:rFonts w:ascii="Times New Roman" w:hAnsi="Times New Roman"/>
          <w:szCs w:val="24"/>
        </w:rPr>
        <w:t>prosecutor's insensitivity</w:t>
      </w:r>
      <w:r>
        <w:rPr>
          <w:rFonts w:ascii="Times New Roman" w:hAnsi="Times New Roman"/>
          <w:szCs w:val="24"/>
        </w:rPr>
        <w:t xml:space="preserve"> to the girls and women who suffered sexual violence and several challenges th</w:t>
      </w:r>
      <w:r w:rsidR="00020CA7">
        <w:rPr>
          <w:rFonts w:ascii="Times New Roman" w:hAnsi="Times New Roman"/>
          <w:szCs w:val="24"/>
        </w:rPr>
        <w:t>is</w:t>
      </w:r>
      <w:r>
        <w:rPr>
          <w:rFonts w:ascii="Times New Roman" w:hAnsi="Times New Roman"/>
          <w:szCs w:val="24"/>
        </w:rPr>
        <w:t xml:space="preserve"> category of victims faced</w:t>
      </w:r>
      <w:r>
        <w:rPr>
          <w:rStyle w:val="FootnoteReference"/>
          <w:rFonts w:ascii="Times New Roman" w:hAnsi="Times New Roman"/>
          <w:szCs w:val="24"/>
        </w:rPr>
        <w:footnoteReference w:id="104"/>
      </w:r>
      <w:r>
        <w:rPr>
          <w:rFonts w:ascii="Times New Roman" w:hAnsi="Times New Roman"/>
          <w:szCs w:val="24"/>
        </w:rPr>
        <w:t>.</w:t>
      </w:r>
      <w:r w:rsidR="00020CA7">
        <w:rPr>
          <w:rFonts w:ascii="Times New Roman" w:hAnsi="Times New Roman"/>
          <w:szCs w:val="24"/>
        </w:rPr>
        <w:t xml:space="preserve"> </w:t>
      </w:r>
      <w:r>
        <w:rPr>
          <w:rFonts w:ascii="Times New Roman" w:hAnsi="Times New Roman"/>
          <w:szCs w:val="24"/>
        </w:rPr>
        <w:t xml:space="preserve">The girls were targeted as sex slaves of soldiers and forced to be soldiers or </w:t>
      </w:r>
      <w:r w:rsidR="00F72A5B">
        <w:rPr>
          <w:rFonts w:ascii="Times New Roman" w:hAnsi="Times New Roman"/>
          <w:szCs w:val="24"/>
        </w:rPr>
        <w:t>'</w:t>
      </w:r>
      <w:r w:rsidR="00020CA7">
        <w:rPr>
          <w:rFonts w:ascii="Times New Roman" w:hAnsi="Times New Roman"/>
          <w:szCs w:val="24"/>
        </w:rPr>
        <w:t>wives</w:t>
      </w:r>
      <w:r w:rsidR="00F72A5B">
        <w:rPr>
          <w:rFonts w:ascii="Times New Roman" w:hAnsi="Times New Roman"/>
          <w:szCs w:val="24"/>
        </w:rPr>
        <w:t>'</w:t>
      </w:r>
      <w:r w:rsidR="00020CA7">
        <w:rPr>
          <w:rFonts w:ascii="Times New Roman" w:hAnsi="Times New Roman"/>
          <w:szCs w:val="24"/>
        </w:rPr>
        <w:t xml:space="preserve"> because of</w:t>
      </w:r>
      <w:r w:rsidRPr="00F0598A">
        <w:rPr>
          <w:rFonts w:ascii="Times New Roman" w:hAnsi="Times New Roman"/>
        </w:rPr>
        <w:t xml:space="preserve"> </w:t>
      </w:r>
      <w:r w:rsidRPr="006D4CC1">
        <w:rPr>
          <w:rFonts w:ascii="Times New Roman" w:hAnsi="Times New Roman"/>
        </w:rPr>
        <w:t>vulnerabilities, which was exploited.</w:t>
      </w:r>
      <w:r w:rsidRPr="006D4CC1">
        <w:rPr>
          <w:rStyle w:val="FootnoteReference"/>
          <w:rFonts w:ascii="Times New Roman" w:hAnsi="Times New Roman"/>
        </w:rPr>
        <w:footnoteReference w:id="105"/>
      </w:r>
      <w:r w:rsidRPr="006D4CC1">
        <w:rPr>
          <w:rFonts w:ascii="Times New Roman" w:hAnsi="Times New Roman"/>
        </w:rPr>
        <w:t xml:space="preserve"> </w:t>
      </w:r>
    </w:p>
    <w:p w14:paraId="519D488A" w14:textId="7DC1770A" w:rsidR="00C40BA5" w:rsidRPr="00693DE6" w:rsidRDefault="006D187C" w:rsidP="00F0598A">
      <w:pPr>
        <w:spacing w:line="480" w:lineRule="auto"/>
        <w:jc w:val="both"/>
        <w:rPr>
          <w:rFonts w:ascii="Times New Roman" w:hAnsi="Times New Roman"/>
          <w:szCs w:val="24"/>
        </w:rPr>
      </w:pPr>
      <w:r>
        <w:rPr>
          <w:rFonts w:ascii="Times New Roman" w:hAnsi="Times New Roman"/>
          <w:szCs w:val="24"/>
        </w:rPr>
        <w:t>It is also necessary to mention that there are instances in which the Prosecutor has</w:t>
      </w:r>
      <w:r w:rsidR="00CC06AC" w:rsidRPr="00693DE6">
        <w:rPr>
          <w:rFonts w:ascii="Times New Roman" w:hAnsi="Times New Roman"/>
          <w:szCs w:val="24"/>
        </w:rPr>
        <w:t xml:space="preserve"> developed an inter</w:t>
      </w:r>
      <w:r w:rsidR="00B57B07" w:rsidRPr="00693DE6">
        <w:rPr>
          <w:rFonts w:ascii="Times New Roman" w:hAnsi="Times New Roman"/>
          <w:szCs w:val="24"/>
        </w:rPr>
        <w:t>twine</w:t>
      </w:r>
      <w:r w:rsidR="00CC06AC" w:rsidRPr="00693DE6">
        <w:rPr>
          <w:rFonts w:ascii="Times New Roman" w:hAnsi="Times New Roman"/>
          <w:szCs w:val="24"/>
        </w:rPr>
        <w:t>d relat</w:t>
      </w:r>
      <w:r w:rsidR="00C40BA5" w:rsidRPr="00693DE6">
        <w:rPr>
          <w:rFonts w:ascii="Times New Roman" w:hAnsi="Times New Roman"/>
          <w:szCs w:val="24"/>
        </w:rPr>
        <w:t>ionship</w:t>
      </w:r>
      <w:r w:rsidR="00F73470">
        <w:rPr>
          <w:rFonts w:ascii="Times New Roman" w:hAnsi="Times New Roman"/>
          <w:szCs w:val="24"/>
        </w:rPr>
        <w:t xml:space="preserve"> with victims</w:t>
      </w:r>
      <w:r w:rsidR="00C40BA5" w:rsidRPr="00693DE6">
        <w:rPr>
          <w:rFonts w:ascii="Times New Roman" w:hAnsi="Times New Roman"/>
          <w:szCs w:val="24"/>
        </w:rPr>
        <w:t xml:space="preserve"> as</w:t>
      </w:r>
      <w:r w:rsidR="00CC06AC" w:rsidRPr="00693DE6">
        <w:rPr>
          <w:rFonts w:ascii="Times New Roman" w:hAnsi="Times New Roman"/>
          <w:szCs w:val="24"/>
        </w:rPr>
        <w:t xml:space="preserve"> a competing/ contradicting relationship.</w:t>
      </w:r>
      <w:r w:rsidR="00C40BA5" w:rsidRPr="00693DE6">
        <w:rPr>
          <w:rFonts w:ascii="Times New Roman" w:hAnsi="Times New Roman"/>
          <w:szCs w:val="24"/>
        </w:rPr>
        <w:t xml:space="preserve"> </w:t>
      </w:r>
      <w:r w:rsidR="00E81559" w:rsidRPr="00693DE6">
        <w:rPr>
          <w:rFonts w:ascii="Times New Roman" w:hAnsi="Times New Roman"/>
          <w:szCs w:val="24"/>
        </w:rPr>
        <w:t>While the Prosecutor represents general or community interests, the victims represent their interests. Interesting</w:t>
      </w:r>
      <w:r w:rsidR="00F73470">
        <w:rPr>
          <w:rFonts w:ascii="Times New Roman" w:hAnsi="Times New Roman"/>
          <w:szCs w:val="24"/>
        </w:rPr>
        <w:t>ly</w:t>
      </w:r>
      <w:r w:rsidR="00E81559" w:rsidRPr="00693DE6">
        <w:rPr>
          <w:rFonts w:ascii="Times New Roman" w:hAnsi="Times New Roman"/>
          <w:szCs w:val="24"/>
        </w:rPr>
        <w:t xml:space="preserve"> these interests may overlap.</w:t>
      </w:r>
      <w:r w:rsidR="00020CA7">
        <w:rPr>
          <w:rFonts w:ascii="Times New Roman" w:hAnsi="Times New Roman"/>
          <w:szCs w:val="24"/>
        </w:rPr>
        <w:t xml:space="preserve"> </w:t>
      </w:r>
      <w:r w:rsidR="00F73470">
        <w:rPr>
          <w:rFonts w:ascii="Times New Roman" w:hAnsi="Times New Roman"/>
          <w:szCs w:val="24"/>
        </w:rPr>
        <w:t>However, this is not always the case.</w:t>
      </w:r>
      <w:r w:rsidR="00B57B07" w:rsidRPr="00693DE6">
        <w:rPr>
          <w:rFonts w:ascii="Times New Roman" w:hAnsi="Times New Roman"/>
          <w:szCs w:val="24"/>
        </w:rPr>
        <w:t xml:space="preserve"> </w:t>
      </w:r>
      <w:r w:rsidR="00F73470">
        <w:rPr>
          <w:rFonts w:ascii="Times New Roman" w:hAnsi="Times New Roman"/>
          <w:szCs w:val="24"/>
        </w:rPr>
        <w:t>In either of these</w:t>
      </w:r>
      <w:r w:rsidR="00E81559" w:rsidRPr="00693DE6">
        <w:rPr>
          <w:rFonts w:ascii="Times New Roman" w:hAnsi="Times New Roman"/>
          <w:szCs w:val="24"/>
        </w:rPr>
        <w:t xml:space="preserve"> context</w:t>
      </w:r>
      <w:r w:rsidR="00020CA7">
        <w:rPr>
          <w:rFonts w:ascii="Times New Roman" w:hAnsi="Times New Roman"/>
          <w:szCs w:val="24"/>
        </w:rPr>
        <w:t>s</w:t>
      </w:r>
      <w:r w:rsidR="00E81559" w:rsidRPr="00693DE6">
        <w:rPr>
          <w:rFonts w:ascii="Times New Roman" w:hAnsi="Times New Roman"/>
          <w:szCs w:val="24"/>
        </w:rPr>
        <w:t>, victims are</w:t>
      </w:r>
      <w:r w:rsidR="00B57B07" w:rsidRPr="00693DE6">
        <w:rPr>
          <w:rFonts w:ascii="Times New Roman" w:hAnsi="Times New Roman"/>
          <w:szCs w:val="24"/>
        </w:rPr>
        <w:t xml:space="preserve"> </w:t>
      </w:r>
      <w:r w:rsidR="00F73470">
        <w:rPr>
          <w:rFonts w:ascii="Times New Roman" w:hAnsi="Times New Roman"/>
          <w:szCs w:val="24"/>
        </w:rPr>
        <w:t>independent parties</w:t>
      </w:r>
      <w:r w:rsidR="00E81559" w:rsidRPr="00693DE6">
        <w:rPr>
          <w:rFonts w:ascii="Times New Roman" w:hAnsi="Times New Roman"/>
          <w:szCs w:val="24"/>
        </w:rPr>
        <w:t>.</w:t>
      </w:r>
      <w:r w:rsidR="00E81559" w:rsidRPr="00693DE6">
        <w:rPr>
          <w:rStyle w:val="FootnoteReference"/>
          <w:rFonts w:ascii="Times New Roman" w:hAnsi="Times New Roman"/>
          <w:szCs w:val="24"/>
        </w:rPr>
        <w:footnoteReference w:id="106"/>
      </w:r>
      <w:r w:rsidR="00F73470">
        <w:rPr>
          <w:rFonts w:ascii="Times New Roman" w:hAnsi="Times New Roman"/>
          <w:szCs w:val="24"/>
        </w:rPr>
        <w:t>Kofi Anan noted</w:t>
      </w:r>
      <w:r w:rsidR="005A5A1C" w:rsidRPr="00693DE6">
        <w:rPr>
          <w:rFonts w:ascii="Times New Roman" w:hAnsi="Times New Roman"/>
          <w:szCs w:val="24"/>
        </w:rPr>
        <w:t xml:space="preserve"> that </w:t>
      </w:r>
      <w:r w:rsidR="00F72A5B">
        <w:rPr>
          <w:rFonts w:ascii="Times New Roman" w:hAnsi="Times New Roman"/>
          <w:szCs w:val="24"/>
        </w:rPr>
        <w:t>'</w:t>
      </w:r>
      <w:r w:rsidR="005A5A1C" w:rsidRPr="00F73470">
        <w:rPr>
          <w:rFonts w:ascii="Times New Roman" w:hAnsi="Times New Roman"/>
          <w:szCs w:val="24"/>
        </w:rPr>
        <w:t>[t]he overriding interests must be that of the victims</w:t>
      </w:r>
      <w:r w:rsidR="00F72A5B">
        <w:rPr>
          <w:rFonts w:ascii="Times New Roman" w:hAnsi="Times New Roman"/>
          <w:szCs w:val="24"/>
        </w:rPr>
        <w:t>'</w:t>
      </w:r>
      <w:r w:rsidR="005A5A1C" w:rsidRPr="00693DE6">
        <w:rPr>
          <w:rFonts w:ascii="Times New Roman" w:hAnsi="Times New Roman"/>
          <w:szCs w:val="24"/>
        </w:rPr>
        <w:t>, and the international community as a whole</w:t>
      </w:r>
      <w:r w:rsidR="00F72A5B">
        <w:rPr>
          <w:rFonts w:ascii="Times New Roman" w:hAnsi="Times New Roman"/>
          <w:szCs w:val="24"/>
        </w:rPr>
        <w:t>'</w:t>
      </w:r>
      <w:r w:rsidR="005A5A1C" w:rsidRPr="00693DE6">
        <w:rPr>
          <w:rStyle w:val="FootnoteReference"/>
          <w:rFonts w:ascii="Times New Roman" w:hAnsi="Times New Roman"/>
          <w:szCs w:val="24"/>
        </w:rPr>
        <w:footnoteReference w:id="107"/>
      </w:r>
      <w:r w:rsidR="001324BC" w:rsidRPr="00693DE6">
        <w:rPr>
          <w:rFonts w:ascii="Times New Roman" w:hAnsi="Times New Roman"/>
          <w:szCs w:val="24"/>
        </w:rPr>
        <w:t xml:space="preserve">It is believed that since victims are not a </w:t>
      </w:r>
      <w:r w:rsidR="001324BC" w:rsidRPr="00693DE6">
        <w:rPr>
          <w:rFonts w:ascii="Times New Roman" w:hAnsi="Times New Roman"/>
          <w:szCs w:val="24"/>
        </w:rPr>
        <w:lastRenderedPageBreak/>
        <w:t>homogenous group, this leave</w:t>
      </w:r>
      <w:r w:rsidR="00C40BA5" w:rsidRPr="00693DE6">
        <w:rPr>
          <w:rFonts w:ascii="Times New Roman" w:hAnsi="Times New Roman"/>
          <w:szCs w:val="24"/>
        </w:rPr>
        <w:t>s</w:t>
      </w:r>
      <w:r w:rsidR="001324BC" w:rsidRPr="00693DE6">
        <w:rPr>
          <w:rFonts w:ascii="Times New Roman" w:hAnsi="Times New Roman"/>
          <w:szCs w:val="24"/>
        </w:rPr>
        <w:t xml:space="preserve"> room for </w:t>
      </w:r>
      <w:r w:rsidR="00B57B07" w:rsidRPr="00693DE6">
        <w:rPr>
          <w:rFonts w:ascii="Times New Roman" w:hAnsi="Times New Roman"/>
          <w:szCs w:val="24"/>
        </w:rPr>
        <w:t xml:space="preserve">a </w:t>
      </w:r>
      <w:r w:rsidR="001324BC" w:rsidRPr="00693DE6">
        <w:rPr>
          <w:rFonts w:ascii="Times New Roman" w:hAnsi="Times New Roman"/>
          <w:szCs w:val="24"/>
        </w:rPr>
        <w:t>differing</w:t>
      </w:r>
      <w:r w:rsidR="00F73470">
        <w:rPr>
          <w:rFonts w:ascii="Times New Roman" w:hAnsi="Times New Roman"/>
          <w:szCs w:val="24"/>
        </w:rPr>
        <w:t>(possibly competing)</w:t>
      </w:r>
      <w:r w:rsidR="001324BC" w:rsidRPr="00693DE6">
        <w:rPr>
          <w:rFonts w:ascii="Times New Roman" w:hAnsi="Times New Roman"/>
          <w:szCs w:val="24"/>
        </w:rPr>
        <w:t xml:space="preserve"> opinion</w:t>
      </w:r>
      <w:r w:rsidR="00F73470">
        <w:rPr>
          <w:rFonts w:ascii="Times New Roman" w:hAnsi="Times New Roman"/>
          <w:szCs w:val="24"/>
        </w:rPr>
        <w:t>s</w:t>
      </w:r>
      <w:r w:rsidR="001324BC" w:rsidRPr="00693DE6">
        <w:rPr>
          <w:rFonts w:ascii="Times New Roman" w:hAnsi="Times New Roman"/>
          <w:szCs w:val="24"/>
        </w:rPr>
        <w:t>, views and interests.</w:t>
      </w:r>
      <w:r w:rsidR="001324BC" w:rsidRPr="00693DE6">
        <w:rPr>
          <w:rStyle w:val="FootnoteReference"/>
          <w:rFonts w:ascii="Times New Roman" w:hAnsi="Times New Roman"/>
          <w:szCs w:val="24"/>
        </w:rPr>
        <w:footnoteReference w:id="108"/>
      </w:r>
    </w:p>
    <w:p w14:paraId="19F4C7CD" w14:textId="4F1A296C" w:rsidR="00412CA4" w:rsidRDefault="00184E09" w:rsidP="008D2D51">
      <w:pPr>
        <w:spacing w:line="480" w:lineRule="auto"/>
        <w:jc w:val="both"/>
        <w:rPr>
          <w:rFonts w:ascii="Times New Roman" w:hAnsi="Times New Roman"/>
          <w:szCs w:val="24"/>
        </w:rPr>
      </w:pPr>
      <w:r w:rsidRPr="00693DE6">
        <w:rPr>
          <w:rFonts w:ascii="Times New Roman" w:hAnsi="Times New Roman"/>
          <w:szCs w:val="24"/>
        </w:rPr>
        <w:t xml:space="preserve">This thesis intends to </w:t>
      </w:r>
      <w:r w:rsidR="00412CA4">
        <w:rPr>
          <w:rFonts w:ascii="Times New Roman" w:hAnsi="Times New Roman"/>
          <w:szCs w:val="24"/>
        </w:rPr>
        <w:t xml:space="preserve">explore the impact of the </w:t>
      </w:r>
      <w:r w:rsidR="006D187C">
        <w:rPr>
          <w:rFonts w:ascii="Times New Roman" w:hAnsi="Times New Roman"/>
          <w:szCs w:val="24"/>
        </w:rPr>
        <w:t>Prosecutor's decisions</w:t>
      </w:r>
      <w:r w:rsidR="00412CA4">
        <w:rPr>
          <w:rFonts w:ascii="Times New Roman" w:hAnsi="Times New Roman"/>
          <w:szCs w:val="24"/>
        </w:rPr>
        <w:t xml:space="preserve"> on victims</w:t>
      </w:r>
      <w:r w:rsidR="00F72A5B">
        <w:rPr>
          <w:rFonts w:ascii="Times New Roman" w:hAnsi="Times New Roman"/>
          <w:szCs w:val="24"/>
        </w:rPr>
        <w:t>'</w:t>
      </w:r>
      <w:r w:rsidR="00412CA4">
        <w:rPr>
          <w:rFonts w:ascii="Times New Roman" w:hAnsi="Times New Roman"/>
          <w:szCs w:val="24"/>
        </w:rPr>
        <w:t xml:space="preserve"> rights and interests at the ICC.</w:t>
      </w:r>
      <w:r w:rsidR="00020CA7">
        <w:rPr>
          <w:rFonts w:ascii="Times New Roman" w:hAnsi="Times New Roman"/>
          <w:szCs w:val="24"/>
        </w:rPr>
        <w:t xml:space="preserve"> </w:t>
      </w:r>
      <w:r w:rsidR="00A53FBA">
        <w:rPr>
          <w:rFonts w:ascii="Times New Roman" w:hAnsi="Times New Roman"/>
          <w:szCs w:val="24"/>
        </w:rPr>
        <w:t xml:space="preserve">Which </w:t>
      </w:r>
      <w:r w:rsidR="00412CA4">
        <w:rPr>
          <w:rFonts w:ascii="Times New Roman" w:hAnsi="Times New Roman"/>
          <w:szCs w:val="24"/>
        </w:rPr>
        <w:t>will enable us to understand how the role and functions of the OTP contribute towards victims</w:t>
      </w:r>
      <w:r w:rsidR="00F72A5B">
        <w:rPr>
          <w:rFonts w:ascii="Times New Roman" w:hAnsi="Times New Roman"/>
          <w:szCs w:val="24"/>
        </w:rPr>
        <w:t>'</w:t>
      </w:r>
      <w:r w:rsidR="00412CA4">
        <w:rPr>
          <w:rFonts w:ascii="Times New Roman" w:hAnsi="Times New Roman"/>
          <w:szCs w:val="24"/>
        </w:rPr>
        <w:t xml:space="preserve"> access to justice at the ICC.</w:t>
      </w:r>
    </w:p>
    <w:p w14:paraId="134F925A" w14:textId="6EAE4CD3" w:rsidR="006A6F31" w:rsidRDefault="006A6F31" w:rsidP="00A44B61">
      <w:pPr>
        <w:pStyle w:val="Heading3"/>
      </w:pPr>
      <w:bookmarkStart w:id="11" w:name="_Toc60235790"/>
      <w:r w:rsidRPr="006A6F31">
        <w:t>1.8.2 Trial Process</w:t>
      </w:r>
      <w:bookmarkEnd w:id="11"/>
    </w:p>
    <w:p w14:paraId="5EA1CC00" w14:textId="45AA4D1E" w:rsidR="002D5314" w:rsidRPr="006A6F31" w:rsidRDefault="0066209F" w:rsidP="008D2D51">
      <w:pPr>
        <w:spacing w:line="480" w:lineRule="auto"/>
        <w:jc w:val="both"/>
        <w:rPr>
          <w:rFonts w:ascii="Times New Roman" w:hAnsi="Times New Roman"/>
          <w:b/>
          <w:bCs/>
          <w:szCs w:val="24"/>
        </w:rPr>
      </w:pPr>
      <w:r>
        <w:rPr>
          <w:rFonts w:ascii="Times New Roman" w:hAnsi="Times New Roman"/>
          <w:szCs w:val="24"/>
        </w:rPr>
        <w:t>In dispute resolution, r</w:t>
      </w:r>
      <w:r w:rsidR="00E22E45">
        <w:rPr>
          <w:rFonts w:ascii="Times New Roman" w:hAnsi="Times New Roman"/>
          <w:szCs w:val="24"/>
        </w:rPr>
        <w:t xml:space="preserve">esearch indicates that </w:t>
      </w:r>
      <w:r>
        <w:rPr>
          <w:rFonts w:ascii="Times New Roman" w:hAnsi="Times New Roman"/>
          <w:szCs w:val="24"/>
        </w:rPr>
        <w:t>participants prioritise the process more than the outcome.</w:t>
      </w:r>
      <w:r w:rsidR="00F54CE2" w:rsidRPr="00693DE6">
        <w:rPr>
          <w:rFonts w:ascii="Times New Roman" w:hAnsi="Times New Roman"/>
          <w:szCs w:val="24"/>
        </w:rPr>
        <w:t xml:space="preserve"> </w:t>
      </w:r>
      <w:r w:rsidR="006D187C">
        <w:rPr>
          <w:rFonts w:ascii="Times New Roman" w:hAnsi="Times New Roman"/>
          <w:szCs w:val="24"/>
        </w:rPr>
        <w:t>This positively impacts</w:t>
      </w:r>
      <w:r w:rsidR="00F54CE2" w:rsidRPr="00693DE6">
        <w:rPr>
          <w:rFonts w:ascii="Times New Roman" w:hAnsi="Times New Roman"/>
          <w:szCs w:val="24"/>
        </w:rPr>
        <w:t xml:space="preserve"> their experience and perception of the </w:t>
      </w:r>
      <w:r w:rsidR="0012481D">
        <w:rPr>
          <w:rFonts w:ascii="Times New Roman" w:hAnsi="Times New Roman"/>
          <w:szCs w:val="24"/>
        </w:rPr>
        <w:t>c</w:t>
      </w:r>
      <w:r w:rsidR="00F54CE2" w:rsidRPr="00693DE6">
        <w:rPr>
          <w:rFonts w:ascii="Times New Roman" w:hAnsi="Times New Roman"/>
          <w:szCs w:val="24"/>
        </w:rPr>
        <w:t>ourt.</w:t>
      </w:r>
      <w:r w:rsidR="00F54CE2" w:rsidRPr="00693DE6">
        <w:rPr>
          <w:rStyle w:val="FootnoteReference"/>
          <w:rFonts w:ascii="Times New Roman" w:hAnsi="Times New Roman"/>
          <w:szCs w:val="24"/>
        </w:rPr>
        <w:footnoteReference w:id="109"/>
      </w:r>
      <w:r w:rsidR="00F54CE2" w:rsidRPr="00693DE6">
        <w:rPr>
          <w:rFonts w:ascii="Times New Roman" w:hAnsi="Times New Roman"/>
          <w:szCs w:val="24"/>
        </w:rPr>
        <w:t>Voice is a form of participation in the procedure which gives</w:t>
      </w:r>
      <w:r w:rsidR="00E22E45">
        <w:rPr>
          <w:rFonts w:ascii="Times New Roman" w:hAnsi="Times New Roman"/>
          <w:szCs w:val="24"/>
        </w:rPr>
        <w:t xml:space="preserve"> victims a sense of belonging</w:t>
      </w:r>
      <w:r w:rsidR="00F54CE2" w:rsidRPr="00693DE6">
        <w:rPr>
          <w:rFonts w:ascii="Times New Roman" w:hAnsi="Times New Roman"/>
          <w:szCs w:val="24"/>
        </w:rPr>
        <w:t xml:space="preserve">. One of the </w:t>
      </w:r>
      <w:r w:rsidR="0012481D">
        <w:rPr>
          <w:rFonts w:ascii="Times New Roman" w:hAnsi="Times New Roman"/>
          <w:szCs w:val="24"/>
        </w:rPr>
        <w:t xml:space="preserve">concerns </w:t>
      </w:r>
      <w:r w:rsidR="00F54CE2" w:rsidRPr="00693DE6">
        <w:rPr>
          <w:rFonts w:ascii="Times New Roman" w:hAnsi="Times New Roman"/>
          <w:szCs w:val="24"/>
        </w:rPr>
        <w:t>of parties in conflict resolution is the desire to be heard.</w:t>
      </w:r>
      <w:r w:rsidR="006A6F31">
        <w:rPr>
          <w:rStyle w:val="FootnoteReference"/>
          <w:rFonts w:ascii="Times New Roman" w:hAnsi="Times New Roman"/>
          <w:szCs w:val="24"/>
        </w:rPr>
        <w:footnoteReference w:id="110"/>
      </w:r>
      <w:r w:rsidR="00FA7114" w:rsidRPr="00693DE6">
        <w:rPr>
          <w:rFonts w:ascii="Times New Roman" w:hAnsi="Times New Roman"/>
          <w:szCs w:val="24"/>
        </w:rPr>
        <w:t xml:space="preserve"> </w:t>
      </w:r>
      <w:r w:rsidR="00F54CE2" w:rsidRPr="00693DE6">
        <w:rPr>
          <w:rFonts w:ascii="Times New Roman" w:hAnsi="Times New Roman"/>
          <w:szCs w:val="24"/>
        </w:rPr>
        <w:t>It fol</w:t>
      </w:r>
      <w:r w:rsidR="00FA7114" w:rsidRPr="00693DE6">
        <w:rPr>
          <w:rFonts w:ascii="Times New Roman" w:hAnsi="Times New Roman"/>
          <w:szCs w:val="24"/>
        </w:rPr>
        <w:t>lows that they would want to vo</w:t>
      </w:r>
      <w:r w:rsidR="00F54CE2" w:rsidRPr="00693DE6">
        <w:rPr>
          <w:rFonts w:ascii="Times New Roman" w:hAnsi="Times New Roman"/>
          <w:szCs w:val="24"/>
        </w:rPr>
        <w:t xml:space="preserve">ice out and get the opportunities to convey their needs and give </w:t>
      </w:r>
      <w:r w:rsidR="00020CA7">
        <w:rPr>
          <w:rFonts w:ascii="Times New Roman" w:hAnsi="Times New Roman"/>
          <w:szCs w:val="24"/>
        </w:rPr>
        <w:t xml:space="preserve">an </w:t>
      </w:r>
      <w:r w:rsidR="00F54CE2" w:rsidRPr="00693DE6">
        <w:rPr>
          <w:rFonts w:ascii="Times New Roman" w:hAnsi="Times New Roman"/>
          <w:szCs w:val="24"/>
        </w:rPr>
        <w:t>account of their stories.</w:t>
      </w:r>
      <w:r w:rsidR="00020CA7">
        <w:rPr>
          <w:rFonts w:ascii="Times New Roman" w:hAnsi="Times New Roman"/>
          <w:szCs w:val="24"/>
        </w:rPr>
        <w:t xml:space="preserve"> </w:t>
      </w:r>
      <w:r w:rsidR="00A53FBA">
        <w:rPr>
          <w:rFonts w:ascii="Times New Roman" w:hAnsi="Times New Roman"/>
          <w:szCs w:val="24"/>
        </w:rPr>
        <w:t>B</w:t>
      </w:r>
      <w:r w:rsidR="00F54CE2" w:rsidRPr="00693DE6">
        <w:rPr>
          <w:rFonts w:ascii="Times New Roman" w:hAnsi="Times New Roman"/>
          <w:szCs w:val="24"/>
        </w:rPr>
        <w:t>efore the case is determined</w:t>
      </w:r>
      <w:r w:rsidR="00A53FBA">
        <w:rPr>
          <w:rFonts w:ascii="Times New Roman" w:hAnsi="Times New Roman"/>
          <w:szCs w:val="24"/>
        </w:rPr>
        <w:t xml:space="preserve">, </w:t>
      </w:r>
      <w:r w:rsidR="00AE3B9B">
        <w:rPr>
          <w:rFonts w:ascii="Times New Roman" w:hAnsi="Times New Roman"/>
          <w:szCs w:val="24"/>
        </w:rPr>
        <w:t xml:space="preserve">possibly, it </w:t>
      </w:r>
      <w:r w:rsidR="00F54CE2" w:rsidRPr="00693DE6">
        <w:rPr>
          <w:rFonts w:ascii="Times New Roman" w:hAnsi="Times New Roman"/>
          <w:szCs w:val="24"/>
        </w:rPr>
        <w:t xml:space="preserve">may </w:t>
      </w:r>
      <w:r w:rsidR="006D187C">
        <w:rPr>
          <w:rFonts w:ascii="Times New Roman" w:hAnsi="Times New Roman"/>
          <w:szCs w:val="24"/>
        </w:rPr>
        <w:t>impact</w:t>
      </w:r>
      <w:r w:rsidR="00E22E45">
        <w:rPr>
          <w:rFonts w:ascii="Times New Roman" w:hAnsi="Times New Roman"/>
          <w:szCs w:val="24"/>
        </w:rPr>
        <w:t xml:space="preserve"> victims</w:t>
      </w:r>
      <w:r w:rsidR="00F72A5B">
        <w:rPr>
          <w:rFonts w:ascii="Times New Roman" w:hAnsi="Times New Roman"/>
          <w:szCs w:val="24"/>
        </w:rPr>
        <w:t>'</w:t>
      </w:r>
      <w:r w:rsidR="00E22E45">
        <w:rPr>
          <w:rFonts w:ascii="Times New Roman" w:hAnsi="Times New Roman"/>
          <w:szCs w:val="24"/>
        </w:rPr>
        <w:t xml:space="preserve"> </w:t>
      </w:r>
      <w:r w:rsidR="00F54CE2" w:rsidRPr="00693DE6">
        <w:rPr>
          <w:rFonts w:ascii="Times New Roman" w:hAnsi="Times New Roman"/>
          <w:szCs w:val="24"/>
        </w:rPr>
        <w:t xml:space="preserve">experience on the system, regardless of the </w:t>
      </w:r>
      <w:r w:rsidR="00752F50">
        <w:rPr>
          <w:rFonts w:ascii="Times New Roman" w:hAnsi="Times New Roman"/>
          <w:szCs w:val="24"/>
        </w:rPr>
        <w:t>decision.</w:t>
      </w:r>
    </w:p>
    <w:p w14:paraId="001C159D" w14:textId="666E564D" w:rsidR="00E22E45" w:rsidRPr="00693DE6" w:rsidRDefault="00E22E45" w:rsidP="008D2D51">
      <w:pPr>
        <w:spacing w:line="480" w:lineRule="auto"/>
        <w:jc w:val="both"/>
        <w:rPr>
          <w:rFonts w:ascii="Times New Roman" w:hAnsi="Times New Roman"/>
          <w:szCs w:val="24"/>
        </w:rPr>
      </w:pPr>
      <w:r w:rsidRPr="00B13796">
        <w:rPr>
          <w:rFonts w:ascii="Times New Roman" w:hAnsi="Times New Roman"/>
          <w:szCs w:val="24"/>
        </w:rPr>
        <w:t xml:space="preserve">Procedural justice ensures that due process is granted to victims during their interaction with the </w:t>
      </w:r>
      <w:r w:rsidR="0012481D">
        <w:rPr>
          <w:rFonts w:ascii="Times New Roman" w:hAnsi="Times New Roman"/>
          <w:szCs w:val="24"/>
        </w:rPr>
        <w:t>c</w:t>
      </w:r>
      <w:r w:rsidRPr="00B13796">
        <w:rPr>
          <w:rFonts w:ascii="Times New Roman" w:hAnsi="Times New Roman"/>
          <w:szCs w:val="24"/>
        </w:rPr>
        <w:t>ourt.</w:t>
      </w:r>
      <w:r w:rsidRPr="00B13796">
        <w:rPr>
          <w:rFonts w:ascii="Times New Roman" w:hAnsi="Times New Roman"/>
          <w:szCs w:val="24"/>
          <w:vertAlign w:val="superscript"/>
        </w:rPr>
        <w:footnoteReference w:id="111"/>
      </w:r>
      <w:r>
        <w:rPr>
          <w:rFonts w:ascii="Times New Roman" w:hAnsi="Times New Roman"/>
          <w:szCs w:val="24"/>
        </w:rPr>
        <w:t xml:space="preserve"> </w:t>
      </w:r>
      <w:r w:rsidRPr="00B13796">
        <w:rPr>
          <w:rFonts w:ascii="Times New Roman" w:hAnsi="Times New Roman"/>
          <w:szCs w:val="24"/>
        </w:rPr>
        <w:t>It has been reported that victims</w:t>
      </w:r>
      <w:r w:rsidR="00F72A5B">
        <w:rPr>
          <w:rFonts w:ascii="Times New Roman" w:hAnsi="Times New Roman"/>
          <w:szCs w:val="24"/>
        </w:rPr>
        <w:t>'</w:t>
      </w:r>
      <w:r w:rsidRPr="00B13796">
        <w:rPr>
          <w:rFonts w:ascii="Times New Roman" w:hAnsi="Times New Roman"/>
          <w:szCs w:val="24"/>
        </w:rPr>
        <w:t xml:space="preserve"> derive satisfaction if the procedures </w:t>
      </w:r>
      <w:r w:rsidRPr="00B13796">
        <w:rPr>
          <w:rFonts w:ascii="Times New Roman" w:hAnsi="Times New Roman"/>
          <w:szCs w:val="24"/>
        </w:rPr>
        <w:lastRenderedPageBreak/>
        <w:t>are fair.</w:t>
      </w:r>
      <w:r>
        <w:rPr>
          <w:rFonts w:ascii="Times New Roman" w:hAnsi="Times New Roman"/>
          <w:szCs w:val="24"/>
        </w:rPr>
        <w:t xml:space="preserve"> P</w:t>
      </w:r>
      <w:r w:rsidRPr="00B13796">
        <w:rPr>
          <w:rFonts w:ascii="Times New Roman" w:hAnsi="Times New Roman"/>
          <w:szCs w:val="24"/>
        </w:rPr>
        <w:t>rocedural fairness influences the reactions as well as responses of people at the receiving end of decision-making processes.</w:t>
      </w:r>
      <w:r>
        <w:rPr>
          <w:rFonts w:ascii="Times New Roman" w:hAnsi="Times New Roman"/>
          <w:szCs w:val="24"/>
        </w:rPr>
        <w:t xml:space="preserve"> </w:t>
      </w:r>
      <w:r w:rsidR="007132BE">
        <w:rPr>
          <w:rFonts w:ascii="Times New Roman" w:hAnsi="Times New Roman"/>
          <w:szCs w:val="24"/>
        </w:rPr>
        <w:t xml:space="preserve">Arguably, </w:t>
      </w:r>
      <w:r w:rsidRPr="00B13796">
        <w:rPr>
          <w:rFonts w:ascii="Times New Roman" w:hAnsi="Times New Roman"/>
          <w:szCs w:val="24"/>
        </w:rPr>
        <w:t xml:space="preserve">the fairness of </w:t>
      </w:r>
      <w:r w:rsidR="00020CA7">
        <w:rPr>
          <w:rFonts w:ascii="Times New Roman" w:hAnsi="Times New Roman"/>
          <w:szCs w:val="24"/>
        </w:rPr>
        <w:t xml:space="preserve">the </w:t>
      </w:r>
      <w:r w:rsidRPr="00B13796">
        <w:rPr>
          <w:rFonts w:ascii="Times New Roman" w:hAnsi="Times New Roman"/>
          <w:szCs w:val="24"/>
        </w:rPr>
        <w:t>procedure does have a strong impression on the recipient of the decision-making.</w:t>
      </w:r>
      <w:r w:rsidRPr="00B13796">
        <w:rPr>
          <w:rFonts w:ascii="Times New Roman" w:hAnsi="Times New Roman"/>
          <w:szCs w:val="24"/>
          <w:vertAlign w:val="superscript"/>
        </w:rPr>
        <w:footnoteReference w:id="112"/>
      </w:r>
    </w:p>
    <w:p w14:paraId="5075D3F1" w14:textId="3FBA0C6C" w:rsidR="00F54CE2" w:rsidRPr="00693DE6" w:rsidRDefault="00AB67F3" w:rsidP="00693DE6">
      <w:pPr>
        <w:spacing w:line="480" w:lineRule="auto"/>
        <w:jc w:val="both"/>
        <w:rPr>
          <w:rFonts w:ascii="Times New Roman" w:hAnsi="Times New Roman"/>
          <w:szCs w:val="24"/>
        </w:rPr>
      </w:pPr>
      <w:r>
        <w:rPr>
          <w:rFonts w:ascii="Times New Roman" w:hAnsi="Times New Roman"/>
          <w:szCs w:val="24"/>
        </w:rPr>
        <w:t>When victims</w:t>
      </w:r>
      <w:r w:rsidR="00F72A5B">
        <w:rPr>
          <w:rFonts w:ascii="Times New Roman" w:hAnsi="Times New Roman"/>
          <w:szCs w:val="24"/>
        </w:rPr>
        <w:t>'</w:t>
      </w:r>
      <w:r w:rsidR="00F54CE2" w:rsidRPr="00693DE6">
        <w:rPr>
          <w:rFonts w:ascii="Times New Roman" w:hAnsi="Times New Roman"/>
          <w:szCs w:val="24"/>
        </w:rPr>
        <w:t xml:space="preserve"> voice</w:t>
      </w:r>
      <w:r>
        <w:rPr>
          <w:rFonts w:ascii="Times New Roman" w:hAnsi="Times New Roman"/>
          <w:szCs w:val="24"/>
        </w:rPr>
        <w:t>s are</w:t>
      </w:r>
      <w:r w:rsidR="007132BE">
        <w:rPr>
          <w:rFonts w:ascii="Times New Roman" w:hAnsi="Times New Roman"/>
          <w:szCs w:val="24"/>
        </w:rPr>
        <w:t xml:space="preserve"> considered</w:t>
      </w:r>
      <w:r>
        <w:rPr>
          <w:rFonts w:ascii="Times New Roman" w:hAnsi="Times New Roman"/>
          <w:szCs w:val="24"/>
        </w:rPr>
        <w:t>,</w:t>
      </w:r>
      <w:r w:rsidR="00F54CE2" w:rsidRPr="00693DE6">
        <w:rPr>
          <w:rFonts w:ascii="Times New Roman" w:hAnsi="Times New Roman"/>
          <w:szCs w:val="24"/>
        </w:rPr>
        <w:t xml:space="preserve"> </w:t>
      </w:r>
      <w:r>
        <w:rPr>
          <w:rFonts w:ascii="Times New Roman" w:hAnsi="Times New Roman"/>
          <w:szCs w:val="24"/>
        </w:rPr>
        <w:t>it</w:t>
      </w:r>
      <w:r w:rsidR="00F54CE2" w:rsidRPr="00693DE6">
        <w:rPr>
          <w:rFonts w:ascii="Times New Roman" w:hAnsi="Times New Roman"/>
          <w:szCs w:val="24"/>
        </w:rPr>
        <w:t xml:space="preserve"> gives them a sense of belonging.</w:t>
      </w:r>
      <w:r w:rsidR="00FA7114" w:rsidRPr="00693DE6">
        <w:rPr>
          <w:rFonts w:ascii="Times New Roman" w:hAnsi="Times New Roman"/>
          <w:szCs w:val="24"/>
        </w:rPr>
        <w:t xml:space="preserve"> </w:t>
      </w:r>
      <w:r w:rsidR="00F54CE2" w:rsidRPr="00693DE6">
        <w:rPr>
          <w:rFonts w:ascii="Times New Roman" w:hAnsi="Times New Roman"/>
          <w:szCs w:val="24"/>
        </w:rPr>
        <w:t>However, one question that arises is the extent of the influence of their voice.</w:t>
      </w:r>
      <w:r w:rsidR="00FA7114" w:rsidRPr="00693DE6">
        <w:rPr>
          <w:rFonts w:ascii="Times New Roman" w:hAnsi="Times New Roman"/>
          <w:szCs w:val="24"/>
        </w:rPr>
        <w:t xml:space="preserve"> </w:t>
      </w:r>
      <w:r w:rsidR="00F54CE2" w:rsidRPr="00693DE6">
        <w:rPr>
          <w:rFonts w:ascii="Times New Roman" w:hAnsi="Times New Roman"/>
          <w:szCs w:val="24"/>
        </w:rPr>
        <w:t>Does it come in</w:t>
      </w:r>
      <w:r>
        <w:rPr>
          <w:rFonts w:ascii="Times New Roman" w:hAnsi="Times New Roman"/>
          <w:szCs w:val="24"/>
        </w:rPr>
        <w:t xml:space="preserve"> the</w:t>
      </w:r>
      <w:r w:rsidR="00F54CE2" w:rsidRPr="00693DE6">
        <w:rPr>
          <w:rFonts w:ascii="Times New Roman" w:hAnsi="Times New Roman"/>
          <w:szCs w:val="24"/>
        </w:rPr>
        <w:t xml:space="preserve"> form of information gathering, consultation or expr</w:t>
      </w:r>
      <w:r>
        <w:rPr>
          <w:rFonts w:ascii="Times New Roman" w:hAnsi="Times New Roman"/>
          <w:szCs w:val="24"/>
        </w:rPr>
        <w:t>ession?</w:t>
      </w:r>
      <w:r w:rsidR="00020CA7">
        <w:rPr>
          <w:rFonts w:ascii="Times New Roman" w:hAnsi="Times New Roman"/>
          <w:szCs w:val="24"/>
        </w:rPr>
        <w:t xml:space="preserve"> </w:t>
      </w:r>
      <w:r>
        <w:rPr>
          <w:rFonts w:ascii="Times New Roman" w:hAnsi="Times New Roman"/>
          <w:szCs w:val="24"/>
        </w:rPr>
        <w:t xml:space="preserve">Some </w:t>
      </w:r>
      <w:r w:rsidR="006D187C">
        <w:rPr>
          <w:rFonts w:ascii="Times New Roman" w:hAnsi="Times New Roman"/>
          <w:szCs w:val="24"/>
        </w:rPr>
        <w:t>participation types</w:t>
      </w:r>
      <w:r>
        <w:rPr>
          <w:rFonts w:ascii="Times New Roman" w:hAnsi="Times New Roman"/>
          <w:szCs w:val="24"/>
        </w:rPr>
        <w:t xml:space="preserve"> may </w:t>
      </w:r>
      <w:r w:rsidR="00B633CD">
        <w:rPr>
          <w:rFonts w:ascii="Times New Roman" w:hAnsi="Times New Roman"/>
          <w:szCs w:val="24"/>
        </w:rPr>
        <w:t xml:space="preserve">amplify the </w:t>
      </w:r>
      <w:r w:rsidR="00F54CE2" w:rsidRPr="00693DE6">
        <w:rPr>
          <w:rFonts w:ascii="Times New Roman" w:hAnsi="Times New Roman"/>
          <w:szCs w:val="24"/>
        </w:rPr>
        <w:t>victims</w:t>
      </w:r>
      <w:r w:rsidR="00F72A5B">
        <w:rPr>
          <w:rFonts w:ascii="Times New Roman" w:hAnsi="Times New Roman"/>
          <w:szCs w:val="24"/>
        </w:rPr>
        <w:t>'</w:t>
      </w:r>
      <w:r>
        <w:rPr>
          <w:rFonts w:ascii="Times New Roman" w:hAnsi="Times New Roman"/>
          <w:szCs w:val="24"/>
        </w:rPr>
        <w:t xml:space="preserve"> voice, but this</w:t>
      </w:r>
      <w:r w:rsidR="00F54CE2" w:rsidRPr="00693DE6">
        <w:rPr>
          <w:rFonts w:ascii="Times New Roman" w:hAnsi="Times New Roman"/>
          <w:szCs w:val="24"/>
        </w:rPr>
        <w:t xml:space="preserve"> does not mean </w:t>
      </w:r>
      <w:r>
        <w:rPr>
          <w:rFonts w:ascii="Times New Roman" w:hAnsi="Times New Roman"/>
          <w:szCs w:val="24"/>
        </w:rPr>
        <w:t xml:space="preserve">that </w:t>
      </w:r>
      <w:r w:rsidR="00F54CE2" w:rsidRPr="00693DE6">
        <w:rPr>
          <w:rFonts w:ascii="Times New Roman" w:hAnsi="Times New Roman"/>
          <w:szCs w:val="24"/>
        </w:rPr>
        <w:t>their v</w:t>
      </w:r>
      <w:r w:rsidR="007132BE">
        <w:rPr>
          <w:rFonts w:ascii="Times New Roman" w:hAnsi="Times New Roman"/>
          <w:szCs w:val="24"/>
        </w:rPr>
        <w:t>iew</w:t>
      </w:r>
      <w:r w:rsidR="00F54CE2" w:rsidRPr="00693DE6">
        <w:rPr>
          <w:rFonts w:ascii="Times New Roman" w:hAnsi="Times New Roman"/>
          <w:szCs w:val="24"/>
        </w:rPr>
        <w:t>s would influence the decision.</w:t>
      </w:r>
      <w:r w:rsidR="00020CA7">
        <w:rPr>
          <w:rFonts w:ascii="Times New Roman" w:hAnsi="Times New Roman"/>
          <w:szCs w:val="24"/>
        </w:rPr>
        <w:t xml:space="preserve"> </w:t>
      </w:r>
      <w:r w:rsidR="006D187C">
        <w:rPr>
          <w:rFonts w:ascii="Times New Roman" w:hAnsi="Times New Roman"/>
          <w:szCs w:val="24"/>
        </w:rPr>
        <w:t>Therefore, having a say in proceedings may</w:t>
      </w:r>
      <w:r>
        <w:rPr>
          <w:rFonts w:ascii="Times New Roman" w:hAnsi="Times New Roman"/>
          <w:szCs w:val="24"/>
        </w:rPr>
        <w:t xml:space="preserve"> serve other, non-justiciable purposes, such as therapeutic purposes.</w:t>
      </w:r>
      <w:r w:rsidR="00F54CE2" w:rsidRPr="00693DE6">
        <w:rPr>
          <w:rFonts w:ascii="Times New Roman" w:hAnsi="Times New Roman"/>
          <w:szCs w:val="24"/>
        </w:rPr>
        <w:t xml:space="preserve"> </w:t>
      </w:r>
    </w:p>
    <w:p w14:paraId="5350AF53" w14:textId="5D886552" w:rsidR="00F54CE2" w:rsidRPr="00693DE6" w:rsidRDefault="00084AE0" w:rsidP="00693DE6">
      <w:pPr>
        <w:spacing w:line="480" w:lineRule="auto"/>
        <w:jc w:val="both"/>
        <w:rPr>
          <w:rFonts w:ascii="Times New Roman" w:hAnsi="Times New Roman"/>
          <w:szCs w:val="24"/>
        </w:rPr>
      </w:pPr>
      <w:r>
        <w:rPr>
          <w:rFonts w:ascii="Times New Roman" w:hAnsi="Times New Roman"/>
          <w:szCs w:val="24"/>
        </w:rPr>
        <w:t>In this respect</w:t>
      </w:r>
      <w:r w:rsidR="00AB67F3">
        <w:rPr>
          <w:rFonts w:ascii="Times New Roman" w:hAnsi="Times New Roman"/>
          <w:szCs w:val="24"/>
        </w:rPr>
        <w:t>,</w:t>
      </w:r>
      <w:r>
        <w:rPr>
          <w:rFonts w:ascii="Times New Roman" w:hAnsi="Times New Roman"/>
          <w:szCs w:val="24"/>
        </w:rPr>
        <w:t xml:space="preserve"> </w:t>
      </w:r>
      <w:r w:rsidR="00AB67F3">
        <w:rPr>
          <w:rFonts w:ascii="Times New Roman" w:hAnsi="Times New Roman"/>
          <w:szCs w:val="24"/>
        </w:rPr>
        <w:t xml:space="preserve">Haslam and </w:t>
      </w:r>
      <w:proofErr w:type="spellStart"/>
      <w:r w:rsidR="00AB67F3">
        <w:rPr>
          <w:rFonts w:ascii="Times New Roman" w:hAnsi="Times New Roman"/>
          <w:szCs w:val="24"/>
        </w:rPr>
        <w:t>Dembour</w:t>
      </w:r>
      <w:proofErr w:type="spellEnd"/>
      <w:r w:rsidR="00AB67F3">
        <w:rPr>
          <w:rFonts w:ascii="Times New Roman" w:hAnsi="Times New Roman"/>
          <w:szCs w:val="24"/>
        </w:rPr>
        <w:t xml:space="preserve"> found</w:t>
      </w:r>
      <w:r w:rsidR="00F54CE2" w:rsidRPr="00693DE6">
        <w:rPr>
          <w:rFonts w:ascii="Times New Roman" w:hAnsi="Times New Roman"/>
          <w:szCs w:val="24"/>
        </w:rPr>
        <w:t xml:space="preserve"> that victim-witnesses were </w:t>
      </w:r>
      <w:r w:rsidR="00F72A5B">
        <w:rPr>
          <w:rFonts w:ascii="Times New Roman" w:hAnsi="Times New Roman"/>
          <w:szCs w:val="24"/>
        </w:rPr>
        <w:t>'</w:t>
      </w:r>
      <w:r w:rsidR="00F54CE2" w:rsidRPr="00693DE6">
        <w:rPr>
          <w:rFonts w:ascii="Times New Roman" w:hAnsi="Times New Roman"/>
          <w:szCs w:val="24"/>
        </w:rPr>
        <w:t>effectively silenced</w:t>
      </w:r>
      <w:r w:rsidR="00F72A5B">
        <w:rPr>
          <w:rFonts w:ascii="Times New Roman" w:hAnsi="Times New Roman"/>
          <w:szCs w:val="24"/>
        </w:rPr>
        <w:t>'</w:t>
      </w:r>
      <w:r w:rsidR="00F54CE2" w:rsidRPr="00693DE6">
        <w:rPr>
          <w:rFonts w:ascii="Times New Roman" w:hAnsi="Times New Roman"/>
          <w:szCs w:val="24"/>
        </w:rPr>
        <w:t xml:space="preserve"> during the  Krstic proceedings at the ICTY.</w:t>
      </w:r>
      <w:r w:rsidR="00F54CE2" w:rsidRPr="00693DE6">
        <w:rPr>
          <w:rStyle w:val="FootnoteReference"/>
          <w:rFonts w:ascii="Times New Roman" w:hAnsi="Times New Roman"/>
          <w:szCs w:val="24"/>
        </w:rPr>
        <w:footnoteReference w:id="113"/>
      </w:r>
      <w:r w:rsidR="00B633CD">
        <w:rPr>
          <w:rFonts w:ascii="Times New Roman" w:hAnsi="Times New Roman"/>
          <w:szCs w:val="24"/>
        </w:rPr>
        <w:t>An implication of</w:t>
      </w:r>
      <w:r w:rsidR="00F54CE2" w:rsidRPr="00693DE6">
        <w:rPr>
          <w:rFonts w:ascii="Times New Roman" w:hAnsi="Times New Roman"/>
          <w:szCs w:val="24"/>
        </w:rPr>
        <w:t xml:space="preserve"> the demands of the legal process on participation</w:t>
      </w:r>
      <w:r w:rsidR="00AB67F3">
        <w:rPr>
          <w:rFonts w:ascii="Times New Roman" w:hAnsi="Times New Roman"/>
          <w:szCs w:val="24"/>
        </w:rPr>
        <w:t xml:space="preserve"> as witnesses</w:t>
      </w:r>
      <w:r w:rsidR="00F54CE2" w:rsidRPr="00693DE6">
        <w:rPr>
          <w:rFonts w:ascii="Times New Roman" w:hAnsi="Times New Roman"/>
          <w:szCs w:val="24"/>
        </w:rPr>
        <w:t>.</w:t>
      </w:r>
      <w:r w:rsidR="00F54CE2" w:rsidRPr="00693DE6">
        <w:rPr>
          <w:rStyle w:val="FootnoteReference"/>
          <w:rFonts w:ascii="Times New Roman" w:hAnsi="Times New Roman"/>
          <w:szCs w:val="24"/>
        </w:rPr>
        <w:footnoteReference w:id="114"/>
      </w:r>
      <w:r w:rsidR="00F54CE2" w:rsidRPr="00693DE6">
        <w:rPr>
          <w:rFonts w:ascii="Times New Roman" w:hAnsi="Times New Roman"/>
          <w:szCs w:val="24"/>
        </w:rPr>
        <w:t xml:space="preserve">As such, the </w:t>
      </w:r>
      <w:r w:rsidR="00B633CD">
        <w:rPr>
          <w:rFonts w:ascii="Times New Roman" w:hAnsi="Times New Roman"/>
          <w:szCs w:val="24"/>
        </w:rPr>
        <w:t>ICTY failed to meet the</w:t>
      </w:r>
      <w:r w:rsidR="006D187C">
        <w:rPr>
          <w:rFonts w:ascii="Times New Roman" w:hAnsi="Times New Roman"/>
          <w:szCs w:val="24"/>
        </w:rPr>
        <w:t>se victim-witnesses' need</w:t>
      </w:r>
      <w:r w:rsidR="00B633CD">
        <w:rPr>
          <w:rFonts w:ascii="Times New Roman" w:hAnsi="Times New Roman"/>
          <w:szCs w:val="24"/>
        </w:rPr>
        <w:t>s</w:t>
      </w:r>
      <w:r w:rsidR="00F54CE2" w:rsidRPr="00693DE6">
        <w:rPr>
          <w:rFonts w:ascii="Times New Roman" w:hAnsi="Times New Roman"/>
          <w:szCs w:val="24"/>
        </w:rPr>
        <w:t xml:space="preserve"> because they had to act primarily as witnesses, without giving them the platform to tell their stories.</w:t>
      </w:r>
    </w:p>
    <w:p w14:paraId="5962E528" w14:textId="4E705CE5" w:rsidR="002D5314" w:rsidRPr="00693DE6" w:rsidRDefault="00F54CE2" w:rsidP="00084AE0">
      <w:pPr>
        <w:spacing w:line="480" w:lineRule="auto"/>
        <w:jc w:val="both"/>
        <w:rPr>
          <w:rFonts w:ascii="Times New Roman" w:hAnsi="Times New Roman"/>
          <w:szCs w:val="24"/>
        </w:rPr>
      </w:pPr>
      <w:r w:rsidRPr="00693DE6">
        <w:rPr>
          <w:rFonts w:ascii="Times New Roman" w:hAnsi="Times New Roman"/>
          <w:szCs w:val="24"/>
        </w:rPr>
        <w:t>In international crim</w:t>
      </w:r>
      <w:r w:rsidR="002468FB" w:rsidRPr="00693DE6">
        <w:rPr>
          <w:rFonts w:ascii="Times New Roman" w:hAnsi="Times New Roman"/>
          <w:szCs w:val="24"/>
        </w:rPr>
        <w:t xml:space="preserve">inal justice, </w:t>
      </w:r>
      <w:r w:rsidR="006D187C">
        <w:rPr>
          <w:rFonts w:ascii="Times New Roman" w:hAnsi="Times New Roman"/>
          <w:szCs w:val="24"/>
        </w:rPr>
        <w:t>the Legal Representatives of Victims(LRVs) often</w:t>
      </w:r>
      <w:r w:rsidR="00084AE0">
        <w:rPr>
          <w:rFonts w:ascii="Times New Roman" w:hAnsi="Times New Roman"/>
          <w:szCs w:val="24"/>
        </w:rPr>
        <w:t xml:space="preserve"> serve as conduits or</w:t>
      </w:r>
      <w:r w:rsidRPr="00693DE6">
        <w:rPr>
          <w:rFonts w:ascii="Times New Roman" w:hAnsi="Times New Roman"/>
          <w:szCs w:val="24"/>
        </w:rPr>
        <w:t xml:space="preserve"> voice</w:t>
      </w:r>
      <w:r w:rsidR="00084AE0">
        <w:rPr>
          <w:rFonts w:ascii="Times New Roman" w:hAnsi="Times New Roman"/>
          <w:szCs w:val="24"/>
        </w:rPr>
        <w:t>s</w:t>
      </w:r>
      <w:r w:rsidRPr="00693DE6">
        <w:rPr>
          <w:rFonts w:ascii="Times New Roman" w:hAnsi="Times New Roman"/>
          <w:szCs w:val="24"/>
        </w:rPr>
        <w:t xml:space="preserve"> of the victims. These LRVs make opening and closing statements, as well as observations.</w:t>
      </w:r>
      <w:r w:rsidR="002468FB" w:rsidRPr="00693DE6">
        <w:rPr>
          <w:rFonts w:ascii="Times New Roman" w:hAnsi="Times New Roman"/>
          <w:szCs w:val="24"/>
        </w:rPr>
        <w:t xml:space="preserve"> </w:t>
      </w:r>
      <w:r w:rsidRPr="00693DE6">
        <w:rPr>
          <w:rFonts w:ascii="Times New Roman" w:hAnsi="Times New Roman"/>
          <w:szCs w:val="24"/>
        </w:rPr>
        <w:t>They do these on behalf of the victims because the</w:t>
      </w:r>
      <w:r w:rsidR="007B0716">
        <w:rPr>
          <w:rFonts w:ascii="Times New Roman" w:hAnsi="Times New Roman"/>
          <w:szCs w:val="24"/>
        </w:rPr>
        <w:t>y</w:t>
      </w:r>
      <w:r w:rsidRPr="00693DE6">
        <w:rPr>
          <w:rFonts w:ascii="Times New Roman" w:hAnsi="Times New Roman"/>
          <w:szCs w:val="24"/>
        </w:rPr>
        <w:t xml:space="preserve"> are not permitted to participate directly</w:t>
      </w:r>
      <w:r w:rsidR="005B1FBB" w:rsidRPr="00693DE6">
        <w:rPr>
          <w:rFonts w:ascii="Times New Roman" w:hAnsi="Times New Roman"/>
          <w:szCs w:val="24"/>
        </w:rPr>
        <w:t xml:space="preserve">, </w:t>
      </w:r>
      <w:r w:rsidRPr="00693DE6">
        <w:rPr>
          <w:rFonts w:ascii="Times New Roman" w:hAnsi="Times New Roman"/>
          <w:szCs w:val="24"/>
        </w:rPr>
        <w:t>only in</w:t>
      </w:r>
      <w:r w:rsidR="00084AE0">
        <w:rPr>
          <w:rFonts w:ascii="Times New Roman" w:hAnsi="Times New Roman"/>
          <w:szCs w:val="24"/>
        </w:rPr>
        <w:t xml:space="preserve"> exceptional cases. Nevertheless</w:t>
      </w:r>
      <w:r w:rsidRPr="00693DE6">
        <w:rPr>
          <w:rFonts w:ascii="Times New Roman" w:hAnsi="Times New Roman"/>
          <w:szCs w:val="24"/>
        </w:rPr>
        <w:t xml:space="preserve">, </w:t>
      </w:r>
      <w:r w:rsidR="00A67B31" w:rsidRPr="00693DE6">
        <w:rPr>
          <w:rFonts w:ascii="Times New Roman" w:hAnsi="Times New Roman"/>
          <w:szCs w:val="24"/>
        </w:rPr>
        <w:t xml:space="preserve">the </w:t>
      </w:r>
      <w:r w:rsidRPr="00693DE6">
        <w:rPr>
          <w:rFonts w:ascii="Times New Roman" w:hAnsi="Times New Roman"/>
          <w:szCs w:val="24"/>
        </w:rPr>
        <w:lastRenderedPageBreak/>
        <w:t>majority of victims reported that they had a voice in the ICC during the pre</w:t>
      </w:r>
      <w:r w:rsidR="002468FB" w:rsidRPr="00693DE6">
        <w:rPr>
          <w:rFonts w:ascii="Times New Roman" w:hAnsi="Times New Roman"/>
          <w:szCs w:val="24"/>
        </w:rPr>
        <w:t>-</w:t>
      </w:r>
      <w:r w:rsidRPr="00693DE6">
        <w:rPr>
          <w:rFonts w:ascii="Times New Roman" w:hAnsi="Times New Roman"/>
          <w:szCs w:val="24"/>
        </w:rPr>
        <w:t>trial stage.</w:t>
      </w:r>
      <w:r w:rsidRPr="00693DE6">
        <w:rPr>
          <w:rStyle w:val="FootnoteReference"/>
          <w:rFonts w:ascii="Times New Roman" w:hAnsi="Times New Roman"/>
          <w:szCs w:val="24"/>
        </w:rPr>
        <w:footnoteReference w:id="115"/>
      </w:r>
      <w:r w:rsidRPr="00693DE6">
        <w:rPr>
          <w:rFonts w:ascii="Times New Roman" w:hAnsi="Times New Roman"/>
          <w:szCs w:val="24"/>
        </w:rPr>
        <w:t>Some victims opine</w:t>
      </w:r>
      <w:r w:rsidR="00084AE0">
        <w:rPr>
          <w:rFonts w:ascii="Times New Roman" w:hAnsi="Times New Roman"/>
          <w:szCs w:val="24"/>
        </w:rPr>
        <w:t>d</w:t>
      </w:r>
      <w:r w:rsidRPr="00693DE6">
        <w:rPr>
          <w:rFonts w:ascii="Times New Roman" w:hAnsi="Times New Roman"/>
          <w:szCs w:val="24"/>
        </w:rPr>
        <w:t xml:space="preserve"> that the submission of individual applicati</w:t>
      </w:r>
      <w:r w:rsidR="005B1FBB" w:rsidRPr="00693DE6">
        <w:rPr>
          <w:rFonts w:ascii="Times New Roman" w:hAnsi="Times New Roman"/>
          <w:szCs w:val="24"/>
        </w:rPr>
        <w:t xml:space="preserve">ons was an indication that </w:t>
      </w:r>
      <w:r w:rsidR="00792C0B">
        <w:rPr>
          <w:rFonts w:ascii="Times New Roman" w:hAnsi="Times New Roman"/>
          <w:szCs w:val="24"/>
        </w:rPr>
        <w:t xml:space="preserve">the court acknowledged </w:t>
      </w:r>
      <w:r w:rsidR="005B1FBB" w:rsidRPr="00693DE6">
        <w:rPr>
          <w:rFonts w:ascii="Times New Roman" w:hAnsi="Times New Roman"/>
          <w:szCs w:val="24"/>
        </w:rPr>
        <w:t>their</w:t>
      </w:r>
      <w:r w:rsidRPr="00693DE6">
        <w:rPr>
          <w:rFonts w:ascii="Times New Roman" w:hAnsi="Times New Roman"/>
          <w:szCs w:val="24"/>
        </w:rPr>
        <w:t xml:space="preserve"> views</w:t>
      </w:r>
      <w:r w:rsidR="00FC49F2" w:rsidRPr="00693DE6">
        <w:rPr>
          <w:rFonts w:ascii="Times New Roman" w:hAnsi="Times New Roman"/>
          <w:szCs w:val="24"/>
        </w:rPr>
        <w:t>.</w:t>
      </w:r>
      <w:r w:rsidRPr="00693DE6">
        <w:rPr>
          <w:rFonts w:ascii="Times New Roman" w:hAnsi="Times New Roman"/>
          <w:szCs w:val="24"/>
        </w:rPr>
        <w:t xml:space="preserve"> </w:t>
      </w:r>
      <w:r w:rsidR="00812B8B">
        <w:rPr>
          <w:rFonts w:ascii="Times New Roman" w:hAnsi="Times New Roman"/>
          <w:szCs w:val="24"/>
        </w:rPr>
        <w:t xml:space="preserve">However, </w:t>
      </w:r>
      <w:r w:rsidR="00792C0B">
        <w:rPr>
          <w:rFonts w:ascii="Times New Roman" w:hAnsi="Times New Roman"/>
          <w:szCs w:val="24"/>
        </w:rPr>
        <w:t>we</w:t>
      </w:r>
      <w:r w:rsidR="00812B8B">
        <w:rPr>
          <w:rFonts w:ascii="Times New Roman" w:hAnsi="Times New Roman"/>
          <w:szCs w:val="24"/>
        </w:rPr>
        <w:t xml:space="preserve"> should b</w:t>
      </w:r>
      <w:r w:rsidR="00792C0B">
        <w:rPr>
          <w:rFonts w:ascii="Times New Roman" w:hAnsi="Times New Roman"/>
          <w:szCs w:val="24"/>
        </w:rPr>
        <w:t>ear</w:t>
      </w:r>
      <w:r w:rsidR="00812B8B">
        <w:rPr>
          <w:rFonts w:ascii="Times New Roman" w:hAnsi="Times New Roman"/>
          <w:szCs w:val="24"/>
        </w:rPr>
        <w:t xml:space="preserve"> in mind that the submission</w:t>
      </w:r>
      <w:r w:rsidR="007132BE">
        <w:rPr>
          <w:rFonts w:ascii="Times New Roman" w:hAnsi="Times New Roman"/>
          <w:szCs w:val="24"/>
        </w:rPr>
        <w:t>s</w:t>
      </w:r>
      <w:r w:rsidR="00812B8B">
        <w:rPr>
          <w:rFonts w:ascii="Times New Roman" w:hAnsi="Times New Roman"/>
          <w:szCs w:val="24"/>
        </w:rPr>
        <w:t xml:space="preserve"> of applications </w:t>
      </w:r>
      <w:r w:rsidR="00792C0B">
        <w:rPr>
          <w:rFonts w:ascii="Times New Roman" w:hAnsi="Times New Roman"/>
          <w:szCs w:val="24"/>
        </w:rPr>
        <w:t>are</w:t>
      </w:r>
      <w:r w:rsidR="00812B8B">
        <w:rPr>
          <w:rFonts w:ascii="Times New Roman" w:hAnsi="Times New Roman"/>
          <w:szCs w:val="24"/>
        </w:rPr>
        <w:t xml:space="preserve"> not an automatic qualification f</w:t>
      </w:r>
      <w:r w:rsidR="00020CA7">
        <w:rPr>
          <w:rFonts w:ascii="Times New Roman" w:hAnsi="Times New Roman"/>
          <w:szCs w:val="24"/>
        </w:rPr>
        <w:t>or</w:t>
      </w:r>
      <w:r w:rsidR="00812B8B">
        <w:rPr>
          <w:rFonts w:ascii="Times New Roman" w:hAnsi="Times New Roman"/>
          <w:szCs w:val="24"/>
        </w:rPr>
        <w:t xml:space="preserve"> being considered a victim within the ICC framework.</w:t>
      </w:r>
      <w:r w:rsidR="00020CA7">
        <w:rPr>
          <w:rFonts w:ascii="Times New Roman" w:hAnsi="Times New Roman"/>
          <w:szCs w:val="24"/>
        </w:rPr>
        <w:t xml:space="preserve"> </w:t>
      </w:r>
      <w:r w:rsidR="00812B8B">
        <w:rPr>
          <w:rFonts w:ascii="Times New Roman" w:hAnsi="Times New Roman"/>
          <w:szCs w:val="24"/>
        </w:rPr>
        <w:t>It</w:t>
      </w:r>
      <w:r w:rsidRPr="00693DE6">
        <w:rPr>
          <w:rFonts w:ascii="Times New Roman" w:hAnsi="Times New Roman"/>
          <w:szCs w:val="24"/>
        </w:rPr>
        <w:t xml:space="preserve"> is </w:t>
      </w:r>
      <w:r w:rsidR="006D187C">
        <w:rPr>
          <w:rFonts w:ascii="Times New Roman" w:hAnsi="Times New Roman"/>
          <w:szCs w:val="24"/>
        </w:rPr>
        <w:t>best</w:t>
      </w:r>
      <w:r w:rsidRPr="00693DE6">
        <w:rPr>
          <w:rFonts w:ascii="Times New Roman" w:hAnsi="Times New Roman"/>
          <w:szCs w:val="24"/>
        </w:rPr>
        <w:t xml:space="preserve"> described as recognition of their suffering</w:t>
      </w:r>
      <w:r w:rsidR="00020CA7">
        <w:rPr>
          <w:rFonts w:ascii="Times New Roman" w:hAnsi="Times New Roman"/>
          <w:szCs w:val="24"/>
        </w:rPr>
        <w:t>,</w:t>
      </w:r>
      <w:r w:rsidRPr="00693DE6">
        <w:rPr>
          <w:rFonts w:ascii="Times New Roman" w:hAnsi="Times New Roman"/>
          <w:szCs w:val="24"/>
        </w:rPr>
        <w:t xml:space="preserve"> but this is subject to conditions set out in Rule 85. </w:t>
      </w:r>
    </w:p>
    <w:p w14:paraId="41FE1FD9" w14:textId="61560831" w:rsidR="00091A42" w:rsidRPr="00693DE6" w:rsidRDefault="00091A42" w:rsidP="00693DE6">
      <w:pPr>
        <w:spacing w:line="480" w:lineRule="auto"/>
        <w:jc w:val="both"/>
        <w:rPr>
          <w:rFonts w:ascii="Times New Roman" w:hAnsi="Times New Roman"/>
          <w:szCs w:val="24"/>
        </w:rPr>
      </w:pPr>
      <w:proofErr w:type="spellStart"/>
      <w:r w:rsidRPr="00693DE6">
        <w:rPr>
          <w:rFonts w:ascii="Times New Roman" w:hAnsi="Times New Roman"/>
          <w:szCs w:val="24"/>
        </w:rPr>
        <w:t>SaCouto</w:t>
      </w:r>
      <w:proofErr w:type="spellEnd"/>
      <w:r w:rsidRPr="00693DE6">
        <w:rPr>
          <w:rFonts w:ascii="Times New Roman" w:hAnsi="Times New Roman"/>
          <w:szCs w:val="24"/>
        </w:rPr>
        <w:t xml:space="preserve"> and Cleary in their study submit that instead of granting participation rights(mostly theoretical)  at the investigation stage, the </w:t>
      </w:r>
      <w:r w:rsidR="0012481D">
        <w:rPr>
          <w:rFonts w:ascii="Times New Roman" w:hAnsi="Times New Roman"/>
          <w:szCs w:val="24"/>
        </w:rPr>
        <w:t>c</w:t>
      </w:r>
      <w:r w:rsidRPr="00693DE6">
        <w:rPr>
          <w:rFonts w:ascii="Times New Roman" w:hAnsi="Times New Roman"/>
          <w:szCs w:val="24"/>
        </w:rPr>
        <w:t>ourt should place more attention</w:t>
      </w:r>
      <w:r w:rsidR="0084293B">
        <w:rPr>
          <w:rFonts w:ascii="Times New Roman" w:hAnsi="Times New Roman"/>
          <w:szCs w:val="24"/>
        </w:rPr>
        <w:t xml:space="preserve"> on</w:t>
      </w:r>
      <w:r w:rsidRPr="00693DE6">
        <w:rPr>
          <w:rFonts w:ascii="Times New Roman" w:hAnsi="Times New Roman"/>
          <w:szCs w:val="24"/>
        </w:rPr>
        <w:t xml:space="preserve"> making information available to victims and prompting them to communicate with the </w:t>
      </w:r>
      <w:r w:rsidR="0012481D">
        <w:rPr>
          <w:rFonts w:ascii="Times New Roman" w:hAnsi="Times New Roman"/>
          <w:szCs w:val="24"/>
        </w:rPr>
        <w:t>c</w:t>
      </w:r>
      <w:r w:rsidRPr="00693DE6">
        <w:rPr>
          <w:rFonts w:ascii="Times New Roman" w:hAnsi="Times New Roman"/>
          <w:szCs w:val="24"/>
        </w:rPr>
        <w:t xml:space="preserve">ourt. </w:t>
      </w:r>
      <w:r w:rsidR="007132BE">
        <w:rPr>
          <w:rFonts w:ascii="Times New Roman" w:hAnsi="Times New Roman"/>
          <w:szCs w:val="24"/>
        </w:rPr>
        <w:t xml:space="preserve">Information </w:t>
      </w:r>
      <w:r w:rsidRPr="00693DE6">
        <w:rPr>
          <w:rFonts w:ascii="Times New Roman" w:hAnsi="Times New Roman"/>
          <w:szCs w:val="24"/>
        </w:rPr>
        <w:t>also includes notifying potential victims about the range of specific rights available to them and clarifying to victims how participation might affect them.</w:t>
      </w:r>
      <w:r w:rsidRPr="00693DE6">
        <w:rPr>
          <w:rStyle w:val="FootnoteReference"/>
          <w:rFonts w:ascii="Times New Roman" w:hAnsi="Times New Roman"/>
          <w:szCs w:val="24"/>
        </w:rPr>
        <w:footnoteReference w:id="116"/>
      </w:r>
      <w:r w:rsidR="00792C0B">
        <w:rPr>
          <w:rFonts w:ascii="Times New Roman" w:hAnsi="Times New Roman"/>
          <w:szCs w:val="24"/>
        </w:rPr>
        <w:t xml:space="preserve">Providing victims with information at the investigation phase cannot replace their involvement because they crave for recognition at this </w:t>
      </w:r>
      <w:r w:rsidR="0012481D">
        <w:rPr>
          <w:rFonts w:ascii="Times New Roman" w:hAnsi="Times New Roman"/>
          <w:szCs w:val="24"/>
        </w:rPr>
        <w:t>S</w:t>
      </w:r>
      <w:r w:rsidR="00792C0B">
        <w:rPr>
          <w:rFonts w:ascii="Times New Roman" w:hAnsi="Times New Roman"/>
          <w:szCs w:val="24"/>
        </w:rPr>
        <w:t>tage.</w:t>
      </w:r>
    </w:p>
    <w:p w14:paraId="4D18AC63" w14:textId="77777777" w:rsidR="009D20A9" w:rsidRPr="00693DE6" w:rsidRDefault="009D20A9" w:rsidP="00693DE6">
      <w:pPr>
        <w:spacing w:line="480" w:lineRule="auto"/>
        <w:jc w:val="both"/>
        <w:rPr>
          <w:rFonts w:ascii="Times New Roman" w:hAnsi="Times New Roman"/>
          <w:szCs w:val="24"/>
        </w:rPr>
      </w:pPr>
      <w:r w:rsidRPr="00693DE6">
        <w:rPr>
          <w:rFonts w:ascii="Times New Roman" w:hAnsi="Times New Roman"/>
          <w:szCs w:val="24"/>
        </w:rPr>
        <w:t>Some victimo</w:t>
      </w:r>
      <w:r w:rsidR="0084293B">
        <w:rPr>
          <w:rFonts w:ascii="Times New Roman" w:hAnsi="Times New Roman"/>
          <w:szCs w:val="24"/>
        </w:rPr>
        <w:t>logical studies have suggested</w:t>
      </w:r>
      <w:r w:rsidRPr="00693DE6">
        <w:rPr>
          <w:rFonts w:ascii="Times New Roman" w:hAnsi="Times New Roman"/>
          <w:szCs w:val="24"/>
        </w:rPr>
        <w:t xml:space="preserve"> that victims have preferences when encountering the criminal justice system.</w:t>
      </w:r>
      <w:r w:rsidRPr="00693DE6">
        <w:rPr>
          <w:rStyle w:val="FootnoteReference"/>
          <w:rFonts w:ascii="Times New Roman" w:hAnsi="Times New Roman"/>
          <w:szCs w:val="24"/>
        </w:rPr>
        <w:footnoteReference w:id="117"/>
      </w:r>
      <w:r w:rsidRPr="00693DE6">
        <w:rPr>
          <w:rFonts w:ascii="Times New Roman" w:hAnsi="Times New Roman"/>
          <w:szCs w:val="24"/>
        </w:rPr>
        <w:t xml:space="preserve"> </w:t>
      </w:r>
      <w:r w:rsidR="0084293B">
        <w:rPr>
          <w:rFonts w:ascii="Times New Roman" w:hAnsi="Times New Roman"/>
          <w:szCs w:val="24"/>
        </w:rPr>
        <w:t>These preferences include</w:t>
      </w:r>
      <w:r w:rsidR="00020CA7">
        <w:rPr>
          <w:rFonts w:ascii="Times New Roman" w:hAnsi="Times New Roman"/>
          <w:szCs w:val="24"/>
        </w:rPr>
        <w:t xml:space="preserve"> </w:t>
      </w:r>
      <w:r w:rsidRPr="00693DE6">
        <w:rPr>
          <w:rFonts w:ascii="Times New Roman" w:hAnsi="Times New Roman"/>
          <w:szCs w:val="24"/>
        </w:rPr>
        <w:t>respect, voice and fair treatment</w:t>
      </w:r>
      <w:r w:rsidR="005D1E37">
        <w:rPr>
          <w:rFonts w:ascii="Times New Roman" w:hAnsi="Times New Roman"/>
          <w:szCs w:val="24"/>
        </w:rPr>
        <w:t>.</w:t>
      </w:r>
    </w:p>
    <w:p w14:paraId="469A22AA" w14:textId="2CEB1E98" w:rsidR="003E17BF" w:rsidRPr="00693DE6" w:rsidRDefault="003E17BF" w:rsidP="00693DE6">
      <w:pPr>
        <w:spacing w:line="480" w:lineRule="auto"/>
        <w:jc w:val="both"/>
        <w:rPr>
          <w:rFonts w:ascii="Times New Roman" w:hAnsi="Times New Roman"/>
          <w:szCs w:val="24"/>
        </w:rPr>
      </w:pPr>
      <w:r w:rsidRPr="00693DE6">
        <w:rPr>
          <w:rFonts w:ascii="Times New Roman" w:hAnsi="Times New Roman"/>
          <w:szCs w:val="24"/>
        </w:rPr>
        <w:lastRenderedPageBreak/>
        <w:t>Rec</w:t>
      </w:r>
      <w:r w:rsidR="00A218BE" w:rsidRPr="00693DE6">
        <w:rPr>
          <w:rFonts w:ascii="Times New Roman" w:hAnsi="Times New Roman"/>
          <w:szCs w:val="24"/>
        </w:rPr>
        <w:t xml:space="preserve">ognition and respect for victims may enhance their </w:t>
      </w:r>
      <w:r w:rsidRPr="00693DE6">
        <w:rPr>
          <w:rFonts w:ascii="Times New Roman" w:hAnsi="Times New Roman"/>
          <w:szCs w:val="24"/>
        </w:rPr>
        <w:t>sense of belonging.</w:t>
      </w:r>
      <w:r w:rsidR="00792C0B">
        <w:rPr>
          <w:rFonts w:ascii="Times New Roman" w:hAnsi="Times New Roman"/>
          <w:szCs w:val="24"/>
        </w:rPr>
        <w:t xml:space="preserve"> </w:t>
      </w:r>
      <w:r w:rsidRPr="00693DE6">
        <w:rPr>
          <w:rFonts w:ascii="Times New Roman" w:hAnsi="Times New Roman"/>
          <w:szCs w:val="24"/>
        </w:rPr>
        <w:t>Meredith contends that it is pertinent to differentiate between victims who have suffered harm and those who can access redress for the</w:t>
      </w:r>
      <w:r w:rsidR="006D187C">
        <w:rPr>
          <w:rFonts w:ascii="Times New Roman" w:hAnsi="Times New Roman"/>
          <w:szCs w:val="24"/>
        </w:rPr>
        <w:t>ir harm</w:t>
      </w:r>
      <w:r w:rsidRPr="00693DE6">
        <w:rPr>
          <w:rFonts w:ascii="Times New Roman" w:hAnsi="Times New Roman"/>
          <w:szCs w:val="24"/>
        </w:rPr>
        <w:t>.</w:t>
      </w:r>
      <w:r w:rsidRPr="00693DE6">
        <w:rPr>
          <w:rStyle w:val="FootnoteReference"/>
          <w:rFonts w:ascii="Times New Roman" w:hAnsi="Times New Roman"/>
          <w:szCs w:val="24"/>
        </w:rPr>
        <w:footnoteReference w:id="118"/>
      </w:r>
      <w:r w:rsidRPr="00693DE6">
        <w:rPr>
          <w:rFonts w:ascii="Times New Roman" w:hAnsi="Times New Roman"/>
          <w:szCs w:val="24"/>
        </w:rPr>
        <w:t>He reports that the official recognition of a victim</w:t>
      </w:r>
      <w:r w:rsidR="00F72A5B">
        <w:rPr>
          <w:rFonts w:ascii="Times New Roman" w:hAnsi="Times New Roman"/>
          <w:szCs w:val="24"/>
        </w:rPr>
        <w:t>'</w:t>
      </w:r>
      <w:r w:rsidRPr="00693DE6">
        <w:rPr>
          <w:rFonts w:ascii="Times New Roman" w:hAnsi="Times New Roman"/>
          <w:szCs w:val="24"/>
        </w:rPr>
        <w:t>s right may restore their dignity and enable them to seek redress.</w:t>
      </w:r>
      <w:r w:rsidRPr="00693DE6">
        <w:rPr>
          <w:rStyle w:val="FootnoteReference"/>
          <w:rFonts w:ascii="Times New Roman" w:hAnsi="Times New Roman"/>
          <w:szCs w:val="24"/>
        </w:rPr>
        <w:footnoteReference w:id="119"/>
      </w:r>
      <w:r w:rsidRPr="00693DE6">
        <w:rPr>
          <w:rFonts w:ascii="Times New Roman" w:hAnsi="Times New Roman"/>
          <w:szCs w:val="24"/>
        </w:rPr>
        <w:t xml:space="preserve">The principles of fairness and respect create an equal platform and give them a sense of belonging. Therefore, this aims to strike a balance in the criminal proceedings. Previous studies by Thibaut and Walker and Tyler have highlighted the significance of these principles-fairness and respect. They opine that the people judge an adequate and fair trial based on the process and procedures employed rather than the outcome in criminal justice. Also, they </w:t>
      </w:r>
      <w:r w:rsidR="000F7FE7">
        <w:rPr>
          <w:rFonts w:ascii="Times New Roman" w:hAnsi="Times New Roman"/>
          <w:szCs w:val="24"/>
        </w:rPr>
        <w:t>believ</w:t>
      </w:r>
      <w:r w:rsidRPr="00693DE6">
        <w:rPr>
          <w:rFonts w:ascii="Times New Roman" w:hAnsi="Times New Roman"/>
          <w:szCs w:val="24"/>
        </w:rPr>
        <w:t>e the effectiveness of criminal proceedings based on their contact with the legal authorities.</w:t>
      </w:r>
      <w:r w:rsidRPr="00693DE6">
        <w:rPr>
          <w:rStyle w:val="FootnoteReference"/>
          <w:rFonts w:ascii="Times New Roman" w:hAnsi="Times New Roman"/>
          <w:szCs w:val="24"/>
        </w:rPr>
        <w:footnoteReference w:id="120"/>
      </w:r>
    </w:p>
    <w:p w14:paraId="22309F4A" w14:textId="3DA538B2" w:rsidR="00425762" w:rsidRPr="00693DE6" w:rsidRDefault="00425762" w:rsidP="00693DE6">
      <w:pPr>
        <w:spacing w:line="480" w:lineRule="auto"/>
        <w:jc w:val="both"/>
        <w:rPr>
          <w:rFonts w:ascii="Times New Roman" w:hAnsi="Times New Roman"/>
          <w:szCs w:val="24"/>
        </w:rPr>
      </w:pPr>
      <w:r w:rsidRPr="00693DE6">
        <w:rPr>
          <w:rFonts w:ascii="Times New Roman" w:hAnsi="Times New Roman"/>
          <w:szCs w:val="24"/>
        </w:rPr>
        <w:t xml:space="preserve">The recognition by the </w:t>
      </w:r>
      <w:r w:rsidR="0012481D">
        <w:rPr>
          <w:rFonts w:ascii="Times New Roman" w:hAnsi="Times New Roman"/>
          <w:szCs w:val="24"/>
        </w:rPr>
        <w:t>c</w:t>
      </w:r>
      <w:r w:rsidRPr="00693DE6">
        <w:rPr>
          <w:rFonts w:ascii="Times New Roman" w:hAnsi="Times New Roman"/>
          <w:szCs w:val="24"/>
        </w:rPr>
        <w:t>ourt to a large extent determines which voices are heard and which are not.</w:t>
      </w:r>
      <w:r w:rsidRPr="00693DE6">
        <w:rPr>
          <w:rStyle w:val="FootnoteReference"/>
          <w:rFonts w:ascii="Times New Roman" w:hAnsi="Times New Roman"/>
          <w:szCs w:val="24"/>
        </w:rPr>
        <w:footnoteReference w:id="121"/>
      </w:r>
      <w:r w:rsidRPr="00693DE6">
        <w:rPr>
          <w:rFonts w:ascii="Times New Roman" w:hAnsi="Times New Roman"/>
          <w:szCs w:val="24"/>
        </w:rPr>
        <w:t xml:space="preserve"> This recognition is likened to a double-edged sword because at this stage,</w:t>
      </w:r>
      <w:r w:rsidR="00020CA7">
        <w:rPr>
          <w:rFonts w:ascii="Times New Roman" w:hAnsi="Times New Roman"/>
          <w:szCs w:val="24"/>
        </w:rPr>
        <w:t xml:space="preserve"> and</w:t>
      </w:r>
      <w:r w:rsidRPr="00693DE6">
        <w:rPr>
          <w:rFonts w:ascii="Times New Roman" w:hAnsi="Times New Roman"/>
          <w:szCs w:val="24"/>
        </w:rPr>
        <w:t xml:space="preserve"> some victims do not qualify by the discretion of the </w:t>
      </w:r>
      <w:r w:rsidR="0012481D">
        <w:rPr>
          <w:rFonts w:ascii="Times New Roman" w:hAnsi="Times New Roman"/>
          <w:szCs w:val="24"/>
        </w:rPr>
        <w:t>c</w:t>
      </w:r>
      <w:r w:rsidRPr="00693DE6">
        <w:rPr>
          <w:rFonts w:ascii="Times New Roman" w:hAnsi="Times New Roman"/>
          <w:szCs w:val="24"/>
        </w:rPr>
        <w:t>ourt.</w:t>
      </w:r>
      <w:r w:rsidR="00484764" w:rsidRPr="00693DE6">
        <w:rPr>
          <w:rFonts w:ascii="Times New Roman" w:hAnsi="Times New Roman"/>
          <w:szCs w:val="24"/>
        </w:rPr>
        <w:t xml:space="preserve"> </w:t>
      </w:r>
      <w:r w:rsidRPr="00693DE6">
        <w:rPr>
          <w:rFonts w:ascii="Times New Roman" w:hAnsi="Times New Roman"/>
          <w:szCs w:val="24"/>
        </w:rPr>
        <w:t xml:space="preserve">This could be on the basis that their situation is not considered as an </w:t>
      </w:r>
      <w:r w:rsidR="00F72A5B">
        <w:rPr>
          <w:rFonts w:ascii="Times New Roman" w:hAnsi="Times New Roman"/>
          <w:szCs w:val="24"/>
        </w:rPr>
        <w:t>'</w:t>
      </w:r>
      <w:r w:rsidRPr="00693DE6">
        <w:rPr>
          <w:rFonts w:ascii="Times New Roman" w:hAnsi="Times New Roman"/>
          <w:szCs w:val="24"/>
        </w:rPr>
        <w:t>international crime</w:t>
      </w:r>
      <w:r w:rsidR="00F72A5B">
        <w:rPr>
          <w:rFonts w:ascii="Times New Roman" w:hAnsi="Times New Roman"/>
          <w:szCs w:val="24"/>
        </w:rPr>
        <w:t>'</w:t>
      </w:r>
      <w:r w:rsidRPr="00693DE6">
        <w:rPr>
          <w:rFonts w:ascii="Times New Roman" w:hAnsi="Times New Roman"/>
          <w:szCs w:val="24"/>
        </w:rPr>
        <w:t>.</w:t>
      </w:r>
      <w:r w:rsidRPr="00693DE6">
        <w:rPr>
          <w:rStyle w:val="FootnoteReference"/>
          <w:rFonts w:ascii="Times New Roman" w:hAnsi="Times New Roman"/>
          <w:szCs w:val="24"/>
        </w:rPr>
        <w:footnoteReference w:id="122"/>
      </w:r>
      <w:r w:rsidRPr="00693DE6">
        <w:rPr>
          <w:rFonts w:ascii="Times New Roman" w:hAnsi="Times New Roman"/>
          <w:szCs w:val="24"/>
        </w:rPr>
        <w:t xml:space="preserve">This </w:t>
      </w:r>
      <w:r w:rsidR="005D1E37">
        <w:rPr>
          <w:rFonts w:ascii="Times New Roman" w:hAnsi="Times New Roman"/>
          <w:szCs w:val="24"/>
        </w:rPr>
        <w:t>may filter</w:t>
      </w:r>
      <w:r w:rsidRPr="00693DE6">
        <w:rPr>
          <w:rFonts w:ascii="Times New Roman" w:hAnsi="Times New Roman"/>
          <w:szCs w:val="24"/>
        </w:rPr>
        <w:t xml:space="preserve"> and subsequently</w:t>
      </w:r>
      <w:r w:rsidR="005D1E37">
        <w:rPr>
          <w:rFonts w:ascii="Times New Roman" w:hAnsi="Times New Roman"/>
          <w:szCs w:val="24"/>
        </w:rPr>
        <w:t xml:space="preserve"> </w:t>
      </w:r>
      <w:r w:rsidR="002B327F">
        <w:rPr>
          <w:rFonts w:ascii="Times New Roman" w:hAnsi="Times New Roman"/>
          <w:szCs w:val="24"/>
        </w:rPr>
        <w:t xml:space="preserve">polarise the victims, Kendall and Nouwen observe that the </w:t>
      </w:r>
      <w:r w:rsidR="002B327F">
        <w:rPr>
          <w:rFonts w:ascii="Times New Roman" w:hAnsi="Times New Roman"/>
          <w:szCs w:val="24"/>
        </w:rPr>
        <w:lastRenderedPageBreak/>
        <w:t>Prosecutor's selection</w:t>
      </w:r>
      <w:r w:rsidR="00665A70" w:rsidRPr="00693DE6">
        <w:rPr>
          <w:rFonts w:ascii="Times New Roman" w:hAnsi="Times New Roman"/>
          <w:szCs w:val="24"/>
        </w:rPr>
        <w:t xml:space="preserve"> distinguishes between </w:t>
      </w:r>
      <w:r w:rsidR="00F72A5B">
        <w:rPr>
          <w:rFonts w:ascii="Times New Roman" w:hAnsi="Times New Roman"/>
          <w:szCs w:val="24"/>
        </w:rPr>
        <w:t>"</w:t>
      </w:r>
      <w:proofErr w:type="spellStart"/>
      <w:r w:rsidR="00942711" w:rsidRPr="00693DE6">
        <w:rPr>
          <w:rFonts w:ascii="Times New Roman" w:hAnsi="Times New Roman"/>
          <w:szCs w:val="24"/>
        </w:rPr>
        <w:t>juridified</w:t>
      </w:r>
      <w:proofErr w:type="spellEnd"/>
      <w:r w:rsidR="00F72A5B">
        <w:rPr>
          <w:rFonts w:ascii="Times New Roman" w:hAnsi="Times New Roman"/>
          <w:szCs w:val="24"/>
        </w:rPr>
        <w:t>"</w:t>
      </w:r>
      <w:r w:rsidR="00942711" w:rsidRPr="00693DE6">
        <w:rPr>
          <w:rFonts w:ascii="Times New Roman" w:hAnsi="Times New Roman"/>
          <w:szCs w:val="24"/>
        </w:rPr>
        <w:t xml:space="preserve"> and victims in the bottom of the pyramid</w:t>
      </w:r>
      <w:r w:rsidR="008E08C2" w:rsidRPr="00693DE6">
        <w:rPr>
          <w:rFonts w:ascii="Times New Roman" w:hAnsi="Times New Roman"/>
          <w:szCs w:val="24"/>
        </w:rPr>
        <w:t>.</w:t>
      </w:r>
      <w:r w:rsidR="008E08C2" w:rsidRPr="00693DE6">
        <w:rPr>
          <w:rStyle w:val="FootnoteReference"/>
          <w:rFonts w:ascii="Times New Roman" w:hAnsi="Times New Roman"/>
          <w:szCs w:val="24"/>
        </w:rPr>
        <w:footnoteReference w:id="123"/>
      </w:r>
      <w:r w:rsidR="008E08C2" w:rsidRPr="00693DE6">
        <w:rPr>
          <w:rFonts w:ascii="Times New Roman" w:hAnsi="Times New Roman"/>
          <w:szCs w:val="24"/>
        </w:rPr>
        <w:t xml:space="preserve">The </w:t>
      </w:r>
      <w:r w:rsidR="00484764" w:rsidRPr="00693DE6">
        <w:rPr>
          <w:rFonts w:ascii="Times New Roman" w:hAnsi="Times New Roman"/>
          <w:szCs w:val="24"/>
        </w:rPr>
        <w:t xml:space="preserve">ICC recognises the </w:t>
      </w:r>
      <w:r w:rsidR="00F72A5B">
        <w:rPr>
          <w:rFonts w:ascii="Times New Roman" w:hAnsi="Times New Roman"/>
          <w:szCs w:val="24"/>
        </w:rPr>
        <w:t>"</w:t>
      </w:r>
      <w:proofErr w:type="spellStart"/>
      <w:r w:rsidR="00484764" w:rsidRPr="00693DE6">
        <w:rPr>
          <w:rFonts w:ascii="Times New Roman" w:hAnsi="Times New Roman"/>
          <w:szCs w:val="24"/>
        </w:rPr>
        <w:t>juridified</w:t>
      </w:r>
      <w:proofErr w:type="spellEnd"/>
      <w:r w:rsidR="00F72A5B">
        <w:rPr>
          <w:rFonts w:ascii="Times New Roman" w:hAnsi="Times New Roman"/>
          <w:szCs w:val="24"/>
        </w:rPr>
        <w:t>"</w:t>
      </w:r>
      <w:r w:rsidR="00484764" w:rsidRPr="00693DE6">
        <w:rPr>
          <w:rFonts w:ascii="Times New Roman" w:hAnsi="Times New Roman"/>
          <w:szCs w:val="24"/>
        </w:rPr>
        <w:t xml:space="preserve"> victims</w:t>
      </w:r>
      <w:r w:rsidR="00942711" w:rsidRPr="00693DE6">
        <w:rPr>
          <w:rFonts w:ascii="Times New Roman" w:hAnsi="Times New Roman"/>
          <w:szCs w:val="24"/>
        </w:rPr>
        <w:t xml:space="preserve"> while the latter</w:t>
      </w:r>
      <w:r w:rsidR="008E08C2" w:rsidRPr="00693DE6">
        <w:rPr>
          <w:rFonts w:ascii="Times New Roman" w:hAnsi="Times New Roman"/>
          <w:szCs w:val="24"/>
        </w:rPr>
        <w:t xml:space="preserve"> victims are victims with no legal recognition.</w:t>
      </w:r>
      <w:r w:rsidR="006D31B7" w:rsidRPr="00693DE6">
        <w:rPr>
          <w:rFonts w:ascii="Times New Roman" w:hAnsi="Times New Roman"/>
          <w:szCs w:val="24"/>
        </w:rPr>
        <w:t xml:space="preserve"> </w:t>
      </w:r>
      <w:r w:rsidR="00484764" w:rsidRPr="00693DE6">
        <w:rPr>
          <w:rFonts w:ascii="Times New Roman" w:hAnsi="Times New Roman"/>
          <w:szCs w:val="24"/>
        </w:rPr>
        <w:t>This recognition</w:t>
      </w:r>
      <w:r w:rsidR="008E08C2" w:rsidRPr="00693DE6">
        <w:rPr>
          <w:rFonts w:ascii="Times New Roman" w:hAnsi="Times New Roman"/>
          <w:szCs w:val="24"/>
        </w:rPr>
        <w:t xml:space="preserve"> does not </w:t>
      </w:r>
      <w:r w:rsidR="00354F70" w:rsidRPr="00693DE6">
        <w:rPr>
          <w:rFonts w:ascii="Times New Roman" w:hAnsi="Times New Roman"/>
          <w:szCs w:val="24"/>
        </w:rPr>
        <w:t>preclude the unrecognised</w:t>
      </w:r>
      <w:r w:rsidR="008E08C2" w:rsidRPr="00693DE6">
        <w:rPr>
          <w:rFonts w:ascii="Times New Roman" w:hAnsi="Times New Roman"/>
          <w:szCs w:val="24"/>
        </w:rPr>
        <w:t xml:space="preserve"> victims from being v</w:t>
      </w:r>
      <w:r w:rsidR="005D1E37">
        <w:rPr>
          <w:rFonts w:ascii="Times New Roman" w:hAnsi="Times New Roman"/>
          <w:szCs w:val="24"/>
        </w:rPr>
        <w:t>ictims.</w:t>
      </w:r>
      <w:r w:rsidR="00020CA7">
        <w:rPr>
          <w:rFonts w:ascii="Times New Roman" w:hAnsi="Times New Roman"/>
          <w:szCs w:val="24"/>
        </w:rPr>
        <w:t xml:space="preserve"> </w:t>
      </w:r>
      <w:r w:rsidR="005D1E37">
        <w:rPr>
          <w:rFonts w:ascii="Times New Roman" w:hAnsi="Times New Roman"/>
          <w:szCs w:val="24"/>
        </w:rPr>
        <w:t>It is a polarisation that</w:t>
      </w:r>
      <w:r w:rsidR="008E08C2" w:rsidRPr="00693DE6">
        <w:rPr>
          <w:rFonts w:ascii="Times New Roman" w:hAnsi="Times New Roman"/>
          <w:szCs w:val="24"/>
        </w:rPr>
        <w:t xml:space="preserve"> reduced their chances of obtaining justice.</w:t>
      </w:r>
      <w:r w:rsidR="006D31B7" w:rsidRPr="00693DE6">
        <w:rPr>
          <w:rFonts w:ascii="Times New Roman" w:hAnsi="Times New Roman"/>
          <w:szCs w:val="24"/>
        </w:rPr>
        <w:t xml:space="preserve"> </w:t>
      </w:r>
      <w:r w:rsidR="008E08C2" w:rsidRPr="00693DE6">
        <w:rPr>
          <w:rFonts w:ascii="Times New Roman" w:hAnsi="Times New Roman"/>
          <w:szCs w:val="24"/>
        </w:rPr>
        <w:t>Thus, victims that fall in this category</w:t>
      </w:r>
      <w:r w:rsidR="00942711" w:rsidRPr="00693DE6">
        <w:rPr>
          <w:rFonts w:ascii="Times New Roman" w:hAnsi="Times New Roman"/>
          <w:szCs w:val="24"/>
        </w:rPr>
        <w:t>.</w:t>
      </w:r>
      <w:r w:rsidR="006D31B7" w:rsidRPr="00693DE6">
        <w:rPr>
          <w:rFonts w:ascii="Times New Roman" w:hAnsi="Times New Roman"/>
          <w:szCs w:val="24"/>
        </w:rPr>
        <w:t xml:space="preserve"> </w:t>
      </w:r>
      <w:r w:rsidR="00942711" w:rsidRPr="00693DE6">
        <w:rPr>
          <w:rFonts w:ascii="Times New Roman" w:hAnsi="Times New Roman"/>
          <w:szCs w:val="24"/>
        </w:rPr>
        <w:t>In addition, Nouwen and Kendall also highlight the danger of legal representation of victim</w:t>
      </w:r>
      <w:r w:rsidR="002B327F">
        <w:rPr>
          <w:rFonts w:ascii="Times New Roman" w:hAnsi="Times New Roman"/>
          <w:szCs w:val="24"/>
        </w:rPr>
        <w:t>s. T</w:t>
      </w:r>
      <w:r w:rsidR="00942711" w:rsidRPr="00693DE6">
        <w:rPr>
          <w:rFonts w:ascii="Times New Roman" w:hAnsi="Times New Roman"/>
          <w:szCs w:val="24"/>
        </w:rPr>
        <w:t xml:space="preserve">hey posit that the </w:t>
      </w:r>
      <w:r w:rsidR="002B327F">
        <w:rPr>
          <w:rFonts w:ascii="Times New Roman" w:hAnsi="Times New Roman"/>
          <w:szCs w:val="24"/>
        </w:rPr>
        <w:t xml:space="preserve">ICC's representational practices preclude </w:t>
      </w:r>
      <w:r w:rsidR="005B0069">
        <w:rPr>
          <w:rFonts w:ascii="Times New Roman" w:hAnsi="Times New Roman"/>
          <w:szCs w:val="24"/>
        </w:rPr>
        <w:t>each victim's individual specifics</w:t>
      </w:r>
      <w:r w:rsidR="002B327F">
        <w:rPr>
          <w:rFonts w:ascii="Times New Roman" w:hAnsi="Times New Roman"/>
          <w:szCs w:val="24"/>
        </w:rPr>
        <w:t>; rather, the victims are represented on a general level,</w:t>
      </w:r>
      <w:r w:rsidR="00942711" w:rsidRPr="00693DE6">
        <w:rPr>
          <w:rFonts w:ascii="Times New Roman" w:hAnsi="Times New Roman"/>
          <w:szCs w:val="24"/>
        </w:rPr>
        <w:t xml:space="preserve"> which </w:t>
      </w:r>
      <w:r w:rsidR="00F72A5B">
        <w:rPr>
          <w:rFonts w:ascii="Times New Roman" w:hAnsi="Times New Roman"/>
          <w:szCs w:val="24"/>
        </w:rPr>
        <w:t>'</w:t>
      </w:r>
      <w:r w:rsidR="00942711" w:rsidRPr="005D1E37">
        <w:rPr>
          <w:rFonts w:ascii="Times New Roman" w:hAnsi="Times New Roman"/>
          <w:szCs w:val="24"/>
        </w:rPr>
        <w:t>suggests</w:t>
      </w:r>
      <w:r w:rsidR="008E08C2" w:rsidRPr="005D1E37">
        <w:rPr>
          <w:rFonts w:ascii="Times New Roman" w:hAnsi="Times New Roman"/>
          <w:szCs w:val="24"/>
        </w:rPr>
        <w:t xml:space="preserve"> </w:t>
      </w:r>
      <w:r w:rsidR="00942711" w:rsidRPr="005D1E37">
        <w:rPr>
          <w:rFonts w:ascii="Times New Roman" w:hAnsi="Times New Roman"/>
          <w:szCs w:val="24"/>
        </w:rPr>
        <w:t>a</w:t>
      </w:r>
      <w:r w:rsidR="00942711" w:rsidRPr="00693DE6">
        <w:rPr>
          <w:rFonts w:ascii="Times New Roman" w:hAnsi="Times New Roman"/>
          <w:i/>
          <w:szCs w:val="24"/>
        </w:rPr>
        <w:t xml:space="preserve"> </w:t>
      </w:r>
      <w:r w:rsidR="00942711" w:rsidRPr="005D1E37">
        <w:rPr>
          <w:rFonts w:ascii="Times New Roman" w:hAnsi="Times New Roman"/>
          <w:szCs w:val="24"/>
        </w:rPr>
        <w:t>symbolic unity</w:t>
      </w:r>
      <w:r w:rsidR="00F72A5B">
        <w:rPr>
          <w:rFonts w:ascii="Times New Roman" w:hAnsi="Times New Roman"/>
          <w:szCs w:val="24"/>
        </w:rPr>
        <w:t>'</w:t>
      </w:r>
      <w:r w:rsidR="00942711" w:rsidRPr="00693DE6">
        <w:rPr>
          <w:rFonts w:ascii="Times New Roman" w:hAnsi="Times New Roman"/>
          <w:i/>
          <w:szCs w:val="24"/>
        </w:rPr>
        <w:t xml:space="preserve"> </w:t>
      </w:r>
      <w:r w:rsidR="00942711" w:rsidRPr="005D1E37">
        <w:rPr>
          <w:rFonts w:ascii="Times New Roman" w:hAnsi="Times New Roman"/>
          <w:szCs w:val="24"/>
        </w:rPr>
        <w:t>and authority</w:t>
      </w:r>
      <w:r w:rsidR="00F72A5B">
        <w:rPr>
          <w:rFonts w:ascii="Times New Roman" w:hAnsi="Times New Roman"/>
          <w:i/>
          <w:szCs w:val="24"/>
        </w:rPr>
        <w:t>'</w:t>
      </w:r>
      <w:r w:rsidR="00942711" w:rsidRPr="00693DE6">
        <w:rPr>
          <w:rFonts w:ascii="Times New Roman" w:hAnsi="Times New Roman"/>
          <w:i/>
          <w:szCs w:val="24"/>
        </w:rPr>
        <w:t>.</w:t>
      </w:r>
      <w:r w:rsidR="00942711" w:rsidRPr="00693DE6">
        <w:rPr>
          <w:rStyle w:val="FootnoteReference"/>
          <w:rFonts w:ascii="Times New Roman" w:hAnsi="Times New Roman"/>
          <w:i/>
          <w:szCs w:val="24"/>
        </w:rPr>
        <w:footnoteReference w:id="124"/>
      </w:r>
      <w:r w:rsidR="00942711" w:rsidRPr="00693DE6">
        <w:rPr>
          <w:rFonts w:ascii="Times New Roman" w:hAnsi="Times New Roman"/>
          <w:szCs w:val="24"/>
        </w:rPr>
        <w:t xml:space="preserve"> From their perspectives, this generalisation seems rights because it is founded on the notion that victims</w:t>
      </w:r>
      <w:r w:rsidR="00F72A5B">
        <w:rPr>
          <w:rFonts w:ascii="Times New Roman" w:hAnsi="Times New Roman"/>
          <w:szCs w:val="24"/>
        </w:rPr>
        <w:t>'</w:t>
      </w:r>
      <w:r w:rsidR="00942711" w:rsidRPr="00693DE6">
        <w:rPr>
          <w:rFonts w:ascii="Times New Roman" w:hAnsi="Times New Roman"/>
          <w:szCs w:val="24"/>
        </w:rPr>
        <w:t xml:space="preserve"> experiences emanate from the</w:t>
      </w:r>
      <w:r w:rsidR="00F72A5B">
        <w:rPr>
          <w:rFonts w:ascii="Times New Roman" w:hAnsi="Times New Roman"/>
          <w:szCs w:val="24"/>
        </w:rPr>
        <w:t xml:space="preserve">' </w:t>
      </w:r>
      <w:r w:rsidR="00942711" w:rsidRPr="00693DE6">
        <w:rPr>
          <w:rFonts w:ascii="Times New Roman" w:hAnsi="Times New Roman"/>
          <w:szCs w:val="24"/>
        </w:rPr>
        <w:t>uncontested</w:t>
      </w:r>
      <w:r w:rsidR="00F72A5B">
        <w:rPr>
          <w:rFonts w:ascii="Times New Roman" w:hAnsi="Times New Roman"/>
          <w:szCs w:val="24"/>
        </w:rPr>
        <w:t>'</w:t>
      </w:r>
      <w:r w:rsidR="00942711" w:rsidRPr="00693DE6">
        <w:rPr>
          <w:rFonts w:ascii="Times New Roman" w:hAnsi="Times New Roman"/>
          <w:szCs w:val="24"/>
        </w:rPr>
        <w:t xml:space="preserve"> fact</w:t>
      </w:r>
      <w:r w:rsidR="0012481D">
        <w:rPr>
          <w:rFonts w:ascii="Times New Roman" w:hAnsi="Times New Roman"/>
          <w:szCs w:val="24"/>
        </w:rPr>
        <w:t>s</w:t>
      </w:r>
      <w:r w:rsidR="00942711" w:rsidRPr="00693DE6">
        <w:rPr>
          <w:rFonts w:ascii="Times New Roman" w:hAnsi="Times New Roman"/>
          <w:szCs w:val="24"/>
        </w:rPr>
        <w:t xml:space="preserve"> that they have suffered harm/loss.</w:t>
      </w:r>
      <w:r w:rsidR="00484764" w:rsidRPr="00693DE6">
        <w:rPr>
          <w:rFonts w:ascii="Times New Roman" w:hAnsi="Times New Roman"/>
          <w:szCs w:val="24"/>
        </w:rPr>
        <w:t xml:space="preserve"> </w:t>
      </w:r>
      <w:r w:rsidR="00CA0973" w:rsidRPr="00693DE6">
        <w:rPr>
          <w:rFonts w:ascii="Times New Roman" w:hAnsi="Times New Roman"/>
          <w:szCs w:val="24"/>
        </w:rPr>
        <w:t>On the other side, this generalisation of victims through representation(LRVs)  subverts their ability to hold accountable those who represent.</w:t>
      </w:r>
      <w:r w:rsidR="00CA0973" w:rsidRPr="00693DE6">
        <w:rPr>
          <w:rStyle w:val="FootnoteReference"/>
          <w:rFonts w:ascii="Times New Roman" w:hAnsi="Times New Roman"/>
          <w:szCs w:val="24"/>
        </w:rPr>
        <w:footnoteReference w:id="125"/>
      </w:r>
      <w:r w:rsidR="00CA0973" w:rsidRPr="00693DE6">
        <w:rPr>
          <w:rFonts w:ascii="Times New Roman" w:hAnsi="Times New Roman"/>
          <w:szCs w:val="24"/>
        </w:rPr>
        <w:t xml:space="preserve"> Thus, victims here have no legal personality nor power to hold accountable</w:t>
      </w:r>
      <w:r w:rsidR="00020CA7">
        <w:rPr>
          <w:rFonts w:ascii="Times New Roman" w:hAnsi="Times New Roman"/>
          <w:szCs w:val="24"/>
        </w:rPr>
        <w:t>,</w:t>
      </w:r>
      <w:r w:rsidR="00CA0973" w:rsidRPr="00693DE6">
        <w:rPr>
          <w:rFonts w:ascii="Times New Roman" w:hAnsi="Times New Roman"/>
          <w:szCs w:val="24"/>
        </w:rPr>
        <w:t xml:space="preserve"> their legal representatives.</w:t>
      </w:r>
      <w:r w:rsidR="006D31B7" w:rsidRPr="00693DE6">
        <w:rPr>
          <w:rFonts w:ascii="Times New Roman" w:hAnsi="Times New Roman"/>
          <w:szCs w:val="24"/>
        </w:rPr>
        <w:t xml:space="preserve"> </w:t>
      </w:r>
      <w:r w:rsidR="00CA0973" w:rsidRPr="00693DE6">
        <w:rPr>
          <w:rFonts w:ascii="Times New Roman" w:hAnsi="Times New Roman"/>
          <w:szCs w:val="24"/>
        </w:rPr>
        <w:t xml:space="preserve">This is referred to as </w:t>
      </w:r>
      <w:r w:rsidR="00F72A5B">
        <w:rPr>
          <w:rFonts w:ascii="Times New Roman" w:hAnsi="Times New Roman"/>
          <w:szCs w:val="24"/>
        </w:rPr>
        <w:t>'</w:t>
      </w:r>
      <w:r w:rsidR="00CA0973" w:rsidRPr="00693DE6">
        <w:rPr>
          <w:rFonts w:ascii="Times New Roman" w:hAnsi="Times New Roman"/>
          <w:szCs w:val="24"/>
        </w:rPr>
        <w:t>abstract victimhood</w:t>
      </w:r>
      <w:r w:rsidR="00F72A5B">
        <w:rPr>
          <w:rFonts w:ascii="Times New Roman" w:hAnsi="Times New Roman"/>
          <w:szCs w:val="24"/>
        </w:rPr>
        <w:t>'</w:t>
      </w:r>
      <w:r w:rsidR="00CA0973" w:rsidRPr="00693DE6">
        <w:rPr>
          <w:rFonts w:ascii="Times New Roman" w:hAnsi="Times New Roman"/>
          <w:szCs w:val="24"/>
        </w:rPr>
        <w:t>.</w:t>
      </w:r>
      <w:r w:rsidR="00CA0973" w:rsidRPr="00693DE6">
        <w:rPr>
          <w:rStyle w:val="FootnoteReference"/>
          <w:rFonts w:ascii="Times New Roman" w:hAnsi="Times New Roman"/>
          <w:szCs w:val="24"/>
        </w:rPr>
        <w:footnoteReference w:id="126"/>
      </w:r>
    </w:p>
    <w:p w14:paraId="3E5B90F5" w14:textId="587986DB" w:rsidR="006D31B7" w:rsidRDefault="00CA0973" w:rsidP="00693DE6">
      <w:pPr>
        <w:spacing w:line="480" w:lineRule="auto"/>
        <w:jc w:val="both"/>
        <w:rPr>
          <w:rFonts w:ascii="Times New Roman" w:hAnsi="Times New Roman"/>
          <w:szCs w:val="24"/>
        </w:rPr>
      </w:pPr>
      <w:r w:rsidRPr="00693DE6">
        <w:rPr>
          <w:rFonts w:ascii="Times New Roman" w:hAnsi="Times New Roman"/>
          <w:szCs w:val="24"/>
        </w:rPr>
        <w:t xml:space="preserve">Similarly, </w:t>
      </w:r>
      <w:proofErr w:type="spellStart"/>
      <w:r w:rsidRPr="00693DE6">
        <w:rPr>
          <w:rFonts w:ascii="Times New Roman" w:hAnsi="Times New Roman"/>
          <w:szCs w:val="24"/>
        </w:rPr>
        <w:t>Killean</w:t>
      </w:r>
      <w:proofErr w:type="spellEnd"/>
      <w:r w:rsidRPr="00693DE6">
        <w:rPr>
          <w:rFonts w:ascii="Times New Roman" w:hAnsi="Times New Roman"/>
          <w:szCs w:val="24"/>
        </w:rPr>
        <w:t xml:space="preserve"> a</w:t>
      </w:r>
      <w:r w:rsidR="00D249ED" w:rsidRPr="00693DE6">
        <w:rPr>
          <w:rFonts w:ascii="Times New Roman" w:hAnsi="Times New Roman"/>
          <w:szCs w:val="24"/>
        </w:rPr>
        <w:t xml:space="preserve">nd Moffett contend that the use of common legal representation restricts </w:t>
      </w:r>
      <w:r w:rsidR="002B327F">
        <w:rPr>
          <w:rFonts w:ascii="Times New Roman" w:hAnsi="Times New Roman"/>
          <w:szCs w:val="24"/>
        </w:rPr>
        <w:t>individual victims' voice</w:t>
      </w:r>
      <w:r w:rsidR="00D249ED" w:rsidRPr="00693DE6">
        <w:rPr>
          <w:rFonts w:ascii="Times New Roman" w:hAnsi="Times New Roman"/>
          <w:szCs w:val="24"/>
        </w:rPr>
        <w:t>.</w:t>
      </w:r>
      <w:r w:rsidR="00484764" w:rsidRPr="00693DE6">
        <w:rPr>
          <w:rFonts w:ascii="Times New Roman" w:hAnsi="Times New Roman"/>
          <w:szCs w:val="24"/>
        </w:rPr>
        <w:t xml:space="preserve"> </w:t>
      </w:r>
      <w:r w:rsidR="00D249ED" w:rsidRPr="00693DE6">
        <w:rPr>
          <w:rFonts w:ascii="Times New Roman" w:hAnsi="Times New Roman"/>
          <w:szCs w:val="24"/>
        </w:rPr>
        <w:t>They submit that victims</w:t>
      </w:r>
      <w:r w:rsidR="00F72A5B">
        <w:rPr>
          <w:rFonts w:ascii="Times New Roman" w:hAnsi="Times New Roman"/>
          <w:szCs w:val="24"/>
        </w:rPr>
        <w:t>'</w:t>
      </w:r>
      <w:r w:rsidR="00D249ED" w:rsidRPr="00693DE6">
        <w:rPr>
          <w:rFonts w:ascii="Times New Roman" w:hAnsi="Times New Roman"/>
          <w:szCs w:val="24"/>
        </w:rPr>
        <w:t xml:space="preserve"> voices through common representation ha</w:t>
      </w:r>
      <w:r w:rsidR="00484764" w:rsidRPr="00693DE6">
        <w:rPr>
          <w:rFonts w:ascii="Times New Roman" w:hAnsi="Times New Roman"/>
          <w:szCs w:val="24"/>
        </w:rPr>
        <w:t>ve</w:t>
      </w:r>
      <w:r w:rsidR="00D249ED" w:rsidRPr="00693DE6">
        <w:rPr>
          <w:rFonts w:ascii="Times New Roman" w:hAnsi="Times New Roman"/>
          <w:szCs w:val="24"/>
        </w:rPr>
        <w:t xml:space="preserve"> been </w:t>
      </w:r>
      <w:r w:rsidR="00F72A5B">
        <w:rPr>
          <w:rFonts w:ascii="Times New Roman" w:hAnsi="Times New Roman"/>
          <w:szCs w:val="24"/>
        </w:rPr>
        <w:t>'</w:t>
      </w:r>
      <w:r w:rsidR="00D249ED" w:rsidRPr="00693DE6">
        <w:rPr>
          <w:rFonts w:ascii="Times New Roman" w:hAnsi="Times New Roman"/>
          <w:szCs w:val="24"/>
        </w:rPr>
        <w:t>collectivised</w:t>
      </w:r>
      <w:r w:rsidR="00F72A5B">
        <w:rPr>
          <w:rFonts w:ascii="Times New Roman" w:hAnsi="Times New Roman"/>
          <w:szCs w:val="24"/>
        </w:rPr>
        <w:t>'</w:t>
      </w:r>
      <w:r w:rsidR="00D249ED" w:rsidRPr="00693DE6">
        <w:rPr>
          <w:rFonts w:ascii="Times New Roman" w:hAnsi="Times New Roman"/>
          <w:szCs w:val="24"/>
        </w:rPr>
        <w:t>.</w:t>
      </w:r>
      <w:r w:rsidR="00D249ED" w:rsidRPr="00693DE6">
        <w:rPr>
          <w:rStyle w:val="FootnoteReference"/>
          <w:rFonts w:ascii="Times New Roman" w:hAnsi="Times New Roman"/>
          <w:szCs w:val="24"/>
        </w:rPr>
        <w:footnoteReference w:id="127"/>
      </w:r>
      <w:r w:rsidR="00D249ED" w:rsidRPr="00693DE6">
        <w:rPr>
          <w:rFonts w:ascii="Times New Roman" w:hAnsi="Times New Roman"/>
          <w:szCs w:val="24"/>
        </w:rPr>
        <w:t xml:space="preserve">  </w:t>
      </w:r>
      <w:r w:rsidR="006D31B7" w:rsidRPr="00693DE6">
        <w:rPr>
          <w:rFonts w:ascii="Times New Roman" w:hAnsi="Times New Roman"/>
          <w:szCs w:val="24"/>
        </w:rPr>
        <w:t xml:space="preserve">In </w:t>
      </w:r>
      <w:proofErr w:type="spellStart"/>
      <w:r w:rsidR="006D31B7" w:rsidRPr="00693DE6">
        <w:rPr>
          <w:rFonts w:ascii="Times New Roman" w:hAnsi="Times New Roman"/>
          <w:szCs w:val="24"/>
        </w:rPr>
        <w:t>Donat-Catin</w:t>
      </w:r>
      <w:r w:rsidR="00F72A5B">
        <w:rPr>
          <w:rFonts w:ascii="Times New Roman" w:hAnsi="Times New Roman"/>
          <w:szCs w:val="24"/>
        </w:rPr>
        <w:t>'</w:t>
      </w:r>
      <w:r w:rsidR="006D31B7" w:rsidRPr="00693DE6">
        <w:rPr>
          <w:rFonts w:ascii="Times New Roman" w:hAnsi="Times New Roman"/>
          <w:szCs w:val="24"/>
        </w:rPr>
        <w:t>s</w:t>
      </w:r>
      <w:proofErr w:type="spellEnd"/>
      <w:r w:rsidR="006D31B7" w:rsidRPr="00693DE6">
        <w:rPr>
          <w:rFonts w:ascii="Times New Roman" w:hAnsi="Times New Roman"/>
          <w:szCs w:val="24"/>
        </w:rPr>
        <w:t xml:space="preserve"> words, </w:t>
      </w:r>
      <w:r w:rsidR="00F72A5B">
        <w:rPr>
          <w:rFonts w:ascii="Times New Roman" w:hAnsi="Times New Roman"/>
          <w:szCs w:val="24"/>
        </w:rPr>
        <w:t>"</w:t>
      </w:r>
      <w:r w:rsidR="006D31B7" w:rsidRPr="00693DE6">
        <w:rPr>
          <w:rFonts w:ascii="Times New Roman" w:hAnsi="Times New Roman"/>
          <w:szCs w:val="24"/>
        </w:rPr>
        <w:t>there is no effective access to justice without skilful and responsible representation</w:t>
      </w:r>
      <w:r w:rsidR="00F72A5B">
        <w:rPr>
          <w:rFonts w:ascii="Times New Roman" w:hAnsi="Times New Roman"/>
          <w:szCs w:val="24"/>
        </w:rPr>
        <w:t>"</w:t>
      </w:r>
      <w:r w:rsidR="006D31B7" w:rsidRPr="00693DE6">
        <w:rPr>
          <w:rFonts w:ascii="Times New Roman" w:hAnsi="Times New Roman"/>
          <w:szCs w:val="24"/>
        </w:rPr>
        <w:t>.</w:t>
      </w:r>
      <w:r w:rsidR="006D31B7" w:rsidRPr="00693DE6">
        <w:rPr>
          <w:rStyle w:val="FootnoteReference"/>
          <w:rFonts w:ascii="Times New Roman" w:hAnsi="Times New Roman"/>
          <w:szCs w:val="24"/>
        </w:rPr>
        <w:footnoteReference w:id="128"/>
      </w:r>
      <w:r w:rsidR="006D31B7" w:rsidRPr="00693DE6">
        <w:rPr>
          <w:rFonts w:ascii="Times New Roman" w:hAnsi="Times New Roman"/>
          <w:szCs w:val="24"/>
        </w:rPr>
        <w:t xml:space="preserve">This </w:t>
      </w:r>
      <w:r w:rsidR="006D31B7" w:rsidRPr="00693DE6">
        <w:rPr>
          <w:rFonts w:ascii="Times New Roman" w:hAnsi="Times New Roman"/>
          <w:szCs w:val="24"/>
        </w:rPr>
        <w:lastRenderedPageBreak/>
        <w:t>underscores the importance of victims</w:t>
      </w:r>
      <w:r w:rsidR="00F72A5B">
        <w:rPr>
          <w:rFonts w:ascii="Times New Roman" w:hAnsi="Times New Roman"/>
          <w:szCs w:val="24"/>
        </w:rPr>
        <w:t>'</w:t>
      </w:r>
      <w:r w:rsidR="006D31B7" w:rsidRPr="00693DE6">
        <w:rPr>
          <w:rFonts w:ascii="Times New Roman" w:hAnsi="Times New Roman"/>
          <w:szCs w:val="24"/>
        </w:rPr>
        <w:t xml:space="preserve"> access to justice.</w:t>
      </w:r>
      <w:r w:rsidR="007132BE">
        <w:rPr>
          <w:rFonts w:ascii="Times New Roman" w:hAnsi="Times New Roman"/>
          <w:szCs w:val="24"/>
        </w:rPr>
        <w:t xml:space="preserve"> </w:t>
      </w:r>
      <w:proofErr w:type="spellStart"/>
      <w:r w:rsidR="006D31B7" w:rsidRPr="00693DE6">
        <w:rPr>
          <w:rFonts w:ascii="Times New Roman" w:hAnsi="Times New Roman"/>
          <w:szCs w:val="24"/>
        </w:rPr>
        <w:t>Mejijian</w:t>
      </w:r>
      <w:proofErr w:type="spellEnd"/>
      <w:r w:rsidR="006D31B7" w:rsidRPr="00693DE6">
        <w:rPr>
          <w:rFonts w:ascii="Times New Roman" w:hAnsi="Times New Roman"/>
          <w:szCs w:val="24"/>
        </w:rPr>
        <w:t xml:space="preserve"> and Varughese point out that the right to legal representation is the most</w:t>
      </w:r>
      <w:r w:rsidR="00F72A5B">
        <w:rPr>
          <w:rFonts w:ascii="Times New Roman" w:hAnsi="Times New Roman"/>
          <w:szCs w:val="24"/>
        </w:rPr>
        <w:t xml:space="preserve">' </w:t>
      </w:r>
      <w:r w:rsidR="006D31B7" w:rsidRPr="00693DE6">
        <w:rPr>
          <w:rFonts w:ascii="Times New Roman" w:hAnsi="Times New Roman"/>
          <w:szCs w:val="24"/>
        </w:rPr>
        <w:t>procedurally challenging</w:t>
      </w:r>
      <w:r w:rsidR="00F72A5B">
        <w:rPr>
          <w:rFonts w:ascii="Times New Roman" w:hAnsi="Times New Roman"/>
          <w:szCs w:val="24"/>
        </w:rPr>
        <w:t>'</w:t>
      </w:r>
      <w:r w:rsidR="006D31B7" w:rsidRPr="00693DE6">
        <w:rPr>
          <w:rFonts w:ascii="Times New Roman" w:hAnsi="Times New Roman"/>
          <w:szCs w:val="24"/>
        </w:rPr>
        <w:t xml:space="preserve"> aspect in the ICC.</w:t>
      </w:r>
      <w:r w:rsidR="006D31B7" w:rsidRPr="00693DE6">
        <w:rPr>
          <w:rStyle w:val="FootnoteReference"/>
          <w:rFonts w:ascii="Times New Roman" w:hAnsi="Times New Roman"/>
          <w:szCs w:val="24"/>
        </w:rPr>
        <w:footnoteReference w:id="129"/>
      </w:r>
      <w:r w:rsidR="006D31B7" w:rsidRPr="00693DE6">
        <w:rPr>
          <w:rFonts w:ascii="Times New Roman" w:hAnsi="Times New Roman"/>
          <w:szCs w:val="24"/>
        </w:rPr>
        <w:t xml:space="preserve"> As noted earlier, victims are not allowed to </w:t>
      </w:r>
      <w:r w:rsidR="007132BE">
        <w:rPr>
          <w:rFonts w:ascii="Times New Roman" w:hAnsi="Times New Roman"/>
          <w:szCs w:val="24"/>
        </w:rPr>
        <w:t>choose their LRV directly</w:t>
      </w:r>
      <w:r w:rsidR="006D31B7" w:rsidRPr="00693DE6">
        <w:rPr>
          <w:rFonts w:ascii="Times New Roman" w:hAnsi="Times New Roman"/>
          <w:szCs w:val="24"/>
        </w:rPr>
        <w:t xml:space="preserve">. </w:t>
      </w:r>
      <w:r w:rsidR="007132BE">
        <w:rPr>
          <w:rFonts w:ascii="Times New Roman" w:hAnsi="Times New Roman"/>
          <w:szCs w:val="24"/>
        </w:rPr>
        <w:t>Selection of LRVs</w:t>
      </w:r>
      <w:r w:rsidR="006D31B7" w:rsidRPr="00693DE6">
        <w:rPr>
          <w:rFonts w:ascii="Times New Roman" w:hAnsi="Times New Roman"/>
          <w:szCs w:val="24"/>
        </w:rPr>
        <w:t xml:space="preserve"> is always </w:t>
      </w:r>
      <w:r w:rsidR="00792C0B">
        <w:rPr>
          <w:rFonts w:ascii="Times New Roman" w:hAnsi="Times New Roman"/>
          <w:szCs w:val="24"/>
        </w:rPr>
        <w:t>mad</w:t>
      </w:r>
      <w:r w:rsidR="006D31B7" w:rsidRPr="00693DE6">
        <w:rPr>
          <w:rFonts w:ascii="Times New Roman" w:hAnsi="Times New Roman"/>
          <w:szCs w:val="24"/>
        </w:rPr>
        <w:t>e by the Chambers(registry). Perhaps the most se</w:t>
      </w:r>
      <w:r w:rsidR="00792C0B">
        <w:rPr>
          <w:rFonts w:ascii="Times New Roman" w:hAnsi="Times New Roman"/>
          <w:szCs w:val="24"/>
        </w:rPr>
        <w:t>vere</w:t>
      </w:r>
      <w:r w:rsidR="006D31B7" w:rsidRPr="00693DE6">
        <w:rPr>
          <w:rFonts w:ascii="Times New Roman" w:hAnsi="Times New Roman"/>
          <w:szCs w:val="24"/>
        </w:rPr>
        <w:t xml:space="preserve"> disadvantage of the ICC</w:t>
      </w:r>
      <w:r w:rsidR="00F72A5B">
        <w:rPr>
          <w:rFonts w:ascii="Times New Roman" w:hAnsi="Times New Roman"/>
          <w:szCs w:val="24"/>
        </w:rPr>
        <w:t>'</w:t>
      </w:r>
      <w:r w:rsidR="006D31B7" w:rsidRPr="00693DE6">
        <w:rPr>
          <w:rFonts w:ascii="Times New Roman" w:hAnsi="Times New Roman"/>
          <w:szCs w:val="24"/>
        </w:rPr>
        <w:t xml:space="preserve">s method is that it could undermine </w:t>
      </w:r>
      <w:r w:rsidR="00484764" w:rsidRPr="00693DE6">
        <w:rPr>
          <w:rFonts w:ascii="Times New Roman" w:hAnsi="Times New Roman"/>
          <w:szCs w:val="24"/>
        </w:rPr>
        <w:t xml:space="preserve">the </w:t>
      </w:r>
      <w:r w:rsidR="006D31B7" w:rsidRPr="00693DE6">
        <w:rPr>
          <w:rFonts w:ascii="Times New Roman" w:hAnsi="Times New Roman"/>
          <w:szCs w:val="24"/>
        </w:rPr>
        <w:t xml:space="preserve">crime victim agency. Crime victim agency is defined as the autonomy of crime victims to make </w:t>
      </w:r>
      <w:r w:rsidR="00484764" w:rsidRPr="00693DE6">
        <w:rPr>
          <w:rFonts w:ascii="Times New Roman" w:hAnsi="Times New Roman"/>
          <w:szCs w:val="24"/>
        </w:rPr>
        <w:t xml:space="preserve">a </w:t>
      </w:r>
      <w:r w:rsidR="006D31B7" w:rsidRPr="00693DE6">
        <w:rPr>
          <w:rFonts w:ascii="Times New Roman" w:hAnsi="Times New Roman"/>
          <w:szCs w:val="24"/>
        </w:rPr>
        <w:t>fundamental decision about their lives.</w:t>
      </w:r>
      <w:r w:rsidR="006D31B7" w:rsidRPr="00693DE6">
        <w:rPr>
          <w:rStyle w:val="FootnoteReference"/>
          <w:rFonts w:ascii="Times New Roman" w:hAnsi="Times New Roman"/>
          <w:szCs w:val="24"/>
        </w:rPr>
        <w:footnoteReference w:id="130"/>
      </w:r>
      <w:r w:rsidR="006D31B7" w:rsidRPr="00693DE6">
        <w:rPr>
          <w:rFonts w:ascii="Times New Roman" w:hAnsi="Times New Roman"/>
          <w:szCs w:val="24"/>
        </w:rPr>
        <w:t>Th</w:t>
      </w:r>
      <w:r w:rsidR="005E3405">
        <w:rPr>
          <w:rFonts w:ascii="Times New Roman" w:hAnsi="Times New Roman"/>
          <w:szCs w:val="24"/>
        </w:rPr>
        <w:t xml:space="preserve">e </w:t>
      </w:r>
      <w:r w:rsidR="00534804">
        <w:rPr>
          <w:rFonts w:ascii="Times New Roman" w:hAnsi="Times New Roman"/>
          <w:szCs w:val="24"/>
        </w:rPr>
        <w:t>crime victim</w:t>
      </w:r>
      <w:r w:rsidR="006D31B7" w:rsidRPr="00693DE6">
        <w:rPr>
          <w:rFonts w:ascii="Times New Roman" w:hAnsi="Times New Roman"/>
          <w:szCs w:val="24"/>
        </w:rPr>
        <w:t xml:space="preserve"> includes their right and power to make </w:t>
      </w:r>
      <w:r w:rsidR="00792C0B">
        <w:rPr>
          <w:rFonts w:ascii="Times New Roman" w:hAnsi="Times New Roman"/>
          <w:szCs w:val="24"/>
        </w:rPr>
        <w:t>crucial</w:t>
      </w:r>
      <w:r w:rsidR="006D31B7" w:rsidRPr="00693DE6">
        <w:rPr>
          <w:rFonts w:ascii="Times New Roman" w:hAnsi="Times New Roman"/>
          <w:szCs w:val="24"/>
        </w:rPr>
        <w:t xml:space="preserve"> decisions that could </w:t>
      </w:r>
      <w:r w:rsidR="00534804">
        <w:rPr>
          <w:rFonts w:ascii="Times New Roman" w:hAnsi="Times New Roman"/>
          <w:szCs w:val="24"/>
        </w:rPr>
        <w:t>affect</w:t>
      </w:r>
      <w:r w:rsidR="006D31B7" w:rsidRPr="00693DE6">
        <w:rPr>
          <w:rFonts w:ascii="Times New Roman" w:hAnsi="Times New Roman"/>
          <w:szCs w:val="24"/>
        </w:rPr>
        <w:t xml:space="preserve"> their situations.</w:t>
      </w:r>
      <w:r w:rsidR="007C6B01" w:rsidRPr="00693DE6">
        <w:rPr>
          <w:rFonts w:ascii="Times New Roman" w:hAnsi="Times New Roman"/>
          <w:szCs w:val="24"/>
        </w:rPr>
        <w:t xml:space="preserve"> </w:t>
      </w:r>
      <w:r w:rsidR="006D31B7" w:rsidRPr="00693DE6">
        <w:rPr>
          <w:rFonts w:ascii="Times New Roman" w:hAnsi="Times New Roman"/>
          <w:szCs w:val="24"/>
        </w:rPr>
        <w:t>Since it is not within their powers to choose LRVs, this reduces the degree of control they may exercise.</w:t>
      </w:r>
      <w:r w:rsidR="00484764" w:rsidRPr="00693DE6">
        <w:rPr>
          <w:rFonts w:ascii="Times New Roman" w:hAnsi="Times New Roman"/>
          <w:szCs w:val="24"/>
        </w:rPr>
        <w:t xml:space="preserve"> </w:t>
      </w:r>
      <w:r w:rsidR="007C6B01" w:rsidRPr="00693DE6">
        <w:rPr>
          <w:rFonts w:ascii="Times New Roman" w:hAnsi="Times New Roman"/>
          <w:szCs w:val="24"/>
        </w:rPr>
        <w:t xml:space="preserve">The right to legal representation and the quality of the interaction between the LRVs </w:t>
      </w:r>
      <w:r w:rsidR="005D1E37">
        <w:rPr>
          <w:rFonts w:ascii="Times New Roman" w:hAnsi="Times New Roman"/>
          <w:szCs w:val="24"/>
        </w:rPr>
        <w:t>and victims should be respected</w:t>
      </w:r>
      <w:r w:rsidR="007C6B01" w:rsidRPr="00693DE6">
        <w:rPr>
          <w:rFonts w:ascii="Times New Roman" w:hAnsi="Times New Roman"/>
          <w:szCs w:val="24"/>
        </w:rPr>
        <w:t>. Chapter three shall explore this fully.</w:t>
      </w:r>
    </w:p>
    <w:p w14:paraId="518BF860" w14:textId="56FFFE9E" w:rsidR="007132BE" w:rsidRDefault="007132BE" w:rsidP="00A44B61">
      <w:pPr>
        <w:pStyle w:val="Heading3"/>
      </w:pPr>
      <w:bookmarkStart w:id="12" w:name="_Toc60235791"/>
      <w:r w:rsidRPr="007132BE">
        <w:t>1.8.3</w:t>
      </w:r>
      <w:r>
        <w:t xml:space="preserve"> </w:t>
      </w:r>
      <w:r w:rsidRPr="007132BE">
        <w:t>Sentencing</w:t>
      </w:r>
      <w:bookmarkEnd w:id="12"/>
    </w:p>
    <w:p w14:paraId="36FFBFC2" w14:textId="5571B218" w:rsidR="000D3B3C" w:rsidRDefault="000D3B3C" w:rsidP="000D3B3C">
      <w:pPr>
        <w:spacing w:line="480" w:lineRule="auto"/>
        <w:jc w:val="both"/>
        <w:rPr>
          <w:rFonts w:ascii="Times New Roman" w:hAnsi="Times New Roman"/>
          <w:szCs w:val="24"/>
        </w:rPr>
      </w:pPr>
      <w:r w:rsidRPr="006D4CC1">
        <w:rPr>
          <w:rFonts w:ascii="Times New Roman" w:hAnsi="Times New Roman"/>
          <w:szCs w:val="24"/>
        </w:rPr>
        <w:t xml:space="preserve">A large and growing body of literature has investigated victim participation at the ICC. Hence, </w:t>
      </w:r>
      <w:r w:rsidR="003527EF">
        <w:rPr>
          <w:rFonts w:ascii="Times New Roman" w:hAnsi="Times New Roman"/>
          <w:szCs w:val="24"/>
        </w:rPr>
        <w:t>an increasing body of published studies describes</w:t>
      </w:r>
      <w:r w:rsidRPr="006D4CC1">
        <w:rPr>
          <w:rFonts w:ascii="Times New Roman" w:hAnsi="Times New Roman"/>
          <w:szCs w:val="24"/>
        </w:rPr>
        <w:t xml:space="preserve"> </w:t>
      </w:r>
      <w:r w:rsidR="002B327F">
        <w:rPr>
          <w:rFonts w:ascii="Times New Roman" w:hAnsi="Times New Roman"/>
          <w:szCs w:val="24"/>
        </w:rPr>
        <w:t>victims' role</w:t>
      </w:r>
      <w:r w:rsidRPr="006D4CC1">
        <w:rPr>
          <w:rFonts w:ascii="Times New Roman" w:hAnsi="Times New Roman"/>
          <w:szCs w:val="24"/>
        </w:rPr>
        <w:t xml:space="preserve"> during victim participation and its evolution. </w:t>
      </w:r>
      <w:r>
        <w:rPr>
          <w:rFonts w:ascii="Times New Roman" w:hAnsi="Times New Roman"/>
          <w:szCs w:val="24"/>
        </w:rPr>
        <w:t xml:space="preserve">However, </w:t>
      </w:r>
      <w:r w:rsidR="0012481D">
        <w:rPr>
          <w:rFonts w:ascii="Times New Roman" w:hAnsi="Times New Roman"/>
          <w:szCs w:val="24"/>
        </w:rPr>
        <w:t>literature is scarc</w:t>
      </w:r>
      <w:r>
        <w:rPr>
          <w:rFonts w:ascii="Times New Roman" w:hAnsi="Times New Roman"/>
          <w:szCs w:val="24"/>
        </w:rPr>
        <w:t xml:space="preserve">e on the management of </w:t>
      </w:r>
      <w:r w:rsidR="002B327F">
        <w:rPr>
          <w:rFonts w:ascii="Times New Roman" w:hAnsi="Times New Roman"/>
          <w:szCs w:val="24"/>
        </w:rPr>
        <w:t>victims' rights and interests during sentencing, and the impact of victims'</w:t>
      </w:r>
      <w:r w:rsidRPr="006D4CC1">
        <w:rPr>
          <w:rFonts w:ascii="Times New Roman" w:hAnsi="Times New Roman"/>
          <w:szCs w:val="24"/>
        </w:rPr>
        <w:t xml:space="preserve"> </w:t>
      </w:r>
      <w:r w:rsidR="002B327F">
        <w:rPr>
          <w:rFonts w:ascii="Times New Roman" w:hAnsi="Times New Roman"/>
          <w:szCs w:val="24"/>
        </w:rPr>
        <w:t>involvement</w:t>
      </w:r>
      <w:r w:rsidRPr="006D4CC1">
        <w:rPr>
          <w:rFonts w:ascii="Times New Roman" w:hAnsi="Times New Roman"/>
          <w:szCs w:val="24"/>
        </w:rPr>
        <w:t xml:space="preserve"> on sentence decision</w:t>
      </w:r>
      <w:r>
        <w:rPr>
          <w:rFonts w:ascii="Times New Roman" w:hAnsi="Times New Roman"/>
          <w:szCs w:val="24"/>
        </w:rPr>
        <w:t xml:space="preserve"> is</w:t>
      </w:r>
      <w:r w:rsidRPr="006D4CC1">
        <w:rPr>
          <w:rFonts w:ascii="Times New Roman" w:hAnsi="Times New Roman"/>
          <w:szCs w:val="24"/>
        </w:rPr>
        <w:t xml:space="preserve">? </w:t>
      </w:r>
      <w:r>
        <w:rPr>
          <w:rFonts w:ascii="Times New Roman" w:hAnsi="Times New Roman"/>
          <w:szCs w:val="24"/>
        </w:rPr>
        <w:t>Clearly</w:t>
      </w:r>
      <w:r w:rsidRPr="006D4CC1">
        <w:rPr>
          <w:rFonts w:ascii="Times New Roman" w:hAnsi="Times New Roman"/>
          <w:szCs w:val="24"/>
        </w:rPr>
        <w:t>, victims have interest</w:t>
      </w:r>
      <w:r>
        <w:rPr>
          <w:rFonts w:ascii="Times New Roman" w:hAnsi="Times New Roman"/>
          <w:szCs w:val="24"/>
        </w:rPr>
        <w:t>s</w:t>
      </w:r>
      <w:r w:rsidRPr="006D4CC1">
        <w:rPr>
          <w:rFonts w:ascii="Times New Roman" w:hAnsi="Times New Roman"/>
          <w:szCs w:val="24"/>
        </w:rPr>
        <w:t xml:space="preserve"> in reparations, </w:t>
      </w:r>
      <w:r w:rsidR="0094310D">
        <w:rPr>
          <w:rFonts w:ascii="Times New Roman" w:hAnsi="Times New Roman"/>
          <w:szCs w:val="24"/>
        </w:rPr>
        <w:t xml:space="preserve">justice truth, </w:t>
      </w:r>
      <w:r w:rsidRPr="006D4CC1">
        <w:rPr>
          <w:rFonts w:ascii="Times New Roman" w:hAnsi="Times New Roman"/>
          <w:szCs w:val="24"/>
        </w:rPr>
        <w:t>protection from potential harm</w:t>
      </w:r>
      <w:r w:rsidR="0094310D">
        <w:rPr>
          <w:rFonts w:ascii="Times New Roman" w:hAnsi="Times New Roman"/>
          <w:szCs w:val="24"/>
        </w:rPr>
        <w:t xml:space="preserve"> </w:t>
      </w:r>
      <w:r w:rsidRPr="006D4CC1">
        <w:rPr>
          <w:rFonts w:ascii="Times New Roman" w:hAnsi="Times New Roman"/>
          <w:szCs w:val="24"/>
        </w:rPr>
        <w:t>and sentence</w:t>
      </w:r>
      <w:r>
        <w:rPr>
          <w:rFonts w:ascii="Times New Roman" w:hAnsi="Times New Roman"/>
          <w:szCs w:val="24"/>
        </w:rPr>
        <w:t xml:space="preserve"> </w:t>
      </w:r>
      <w:r w:rsidRPr="006D4CC1">
        <w:rPr>
          <w:rFonts w:ascii="Times New Roman" w:hAnsi="Times New Roman"/>
          <w:szCs w:val="24"/>
        </w:rPr>
        <w:t>(disposition</w:t>
      </w:r>
      <w:r>
        <w:rPr>
          <w:rFonts w:ascii="Times New Roman" w:hAnsi="Times New Roman"/>
          <w:szCs w:val="24"/>
        </w:rPr>
        <w:t>).</w:t>
      </w:r>
    </w:p>
    <w:p w14:paraId="53EB50DC" w14:textId="3408C231" w:rsidR="005A095D" w:rsidRDefault="000D3B3C" w:rsidP="00693DE6">
      <w:pPr>
        <w:spacing w:line="480" w:lineRule="auto"/>
        <w:jc w:val="both"/>
        <w:rPr>
          <w:rFonts w:ascii="Times New Roman" w:hAnsi="Times New Roman"/>
          <w:szCs w:val="24"/>
        </w:rPr>
      </w:pPr>
      <w:r>
        <w:rPr>
          <w:rFonts w:ascii="Times New Roman" w:hAnsi="Times New Roman"/>
          <w:szCs w:val="24"/>
        </w:rPr>
        <w:lastRenderedPageBreak/>
        <w:t>I</w:t>
      </w:r>
      <w:r w:rsidR="00BD0B9D" w:rsidRPr="00693DE6">
        <w:rPr>
          <w:rFonts w:ascii="Times New Roman" w:hAnsi="Times New Roman"/>
          <w:szCs w:val="24"/>
        </w:rPr>
        <w:t>t is noted that not much has been written about victims</w:t>
      </w:r>
      <w:r w:rsidR="00F72A5B">
        <w:rPr>
          <w:rFonts w:ascii="Times New Roman" w:hAnsi="Times New Roman"/>
          <w:szCs w:val="24"/>
        </w:rPr>
        <w:t>'</w:t>
      </w:r>
      <w:r w:rsidR="00BD0B9D" w:rsidRPr="00693DE6">
        <w:rPr>
          <w:rFonts w:ascii="Times New Roman" w:hAnsi="Times New Roman"/>
          <w:szCs w:val="24"/>
        </w:rPr>
        <w:t xml:space="preserve"> rights and interests in sentencing</w:t>
      </w:r>
      <w:r w:rsidR="005A095D">
        <w:rPr>
          <w:rFonts w:ascii="Times New Roman" w:hAnsi="Times New Roman"/>
          <w:szCs w:val="24"/>
        </w:rPr>
        <w:t>.</w:t>
      </w:r>
      <w:r w:rsidR="00020CA7">
        <w:rPr>
          <w:rFonts w:ascii="Times New Roman" w:hAnsi="Times New Roman"/>
          <w:szCs w:val="24"/>
        </w:rPr>
        <w:t xml:space="preserve"> </w:t>
      </w:r>
      <w:r w:rsidR="00BD0B9D" w:rsidRPr="00693DE6">
        <w:rPr>
          <w:rFonts w:ascii="Times New Roman" w:hAnsi="Times New Roman"/>
          <w:szCs w:val="24"/>
        </w:rPr>
        <w:t>This thesis inte</w:t>
      </w:r>
      <w:r w:rsidR="005A095D">
        <w:rPr>
          <w:rFonts w:ascii="Times New Roman" w:hAnsi="Times New Roman"/>
          <w:szCs w:val="24"/>
        </w:rPr>
        <w:t>nds to examine the</w:t>
      </w:r>
      <w:r w:rsidR="00BD0B9D" w:rsidRPr="00693DE6">
        <w:rPr>
          <w:rFonts w:ascii="Times New Roman" w:hAnsi="Times New Roman"/>
          <w:szCs w:val="24"/>
        </w:rPr>
        <w:t xml:space="preserve"> rights</w:t>
      </w:r>
      <w:r w:rsidR="005A095D">
        <w:rPr>
          <w:rFonts w:ascii="Times New Roman" w:hAnsi="Times New Roman"/>
          <w:szCs w:val="24"/>
        </w:rPr>
        <w:t xml:space="preserve"> and interests </w:t>
      </w:r>
      <w:r w:rsidR="00BD0B9D" w:rsidRPr="00693DE6">
        <w:rPr>
          <w:rFonts w:ascii="Times New Roman" w:hAnsi="Times New Roman"/>
          <w:szCs w:val="24"/>
        </w:rPr>
        <w:t xml:space="preserve">of victims in </w:t>
      </w:r>
      <w:r w:rsidR="00484764" w:rsidRPr="00693DE6">
        <w:rPr>
          <w:rFonts w:ascii="Times New Roman" w:hAnsi="Times New Roman"/>
          <w:szCs w:val="24"/>
        </w:rPr>
        <w:t xml:space="preserve">the </w:t>
      </w:r>
      <w:r w:rsidR="00BD0B9D" w:rsidRPr="00693DE6">
        <w:rPr>
          <w:rFonts w:ascii="Times New Roman" w:hAnsi="Times New Roman"/>
          <w:szCs w:val="24"/>
        </w:rPr>
        <w:t>sentencing decision.</w:t>
      </w:r>
      <w:r w:rsidR="00DC542A" w:rsidRPr="00693DE6">
        <w:rPr>
          <w:rFonts w:ascii="Times New Roman" w:hAnsi="Times New Roman"/>
          <w:szCs w:val="24"/>
        </w:rPr>
        <w:t xml:space="preserve"> Baumgartner </w:t>
      </w:r>
      <w:r w:rsidR="005A095D">
        <w:rPr>
          <w:rFonts w:ascii="Times New Roman" w:hAnsi="Times New Roman"/>
          <w:szCs w:val="24"/>
        </w:rPr>
        <w:t>was one of the first to draw</w:t>
      </w:r>
      <w:r w:rsidR="00DC542A" w:rsidRPr="00693DE6">
        <w:rPr>
          <w:rFonts w:ascii="Times New Roman" w:hAnsi="Times New Roman"/>
          <w:szCs w:val="24"/>
        </w:rPr>
        <w:t xml:space="preserve"> our attention to how victim participation may influence sentencing and punishment.</w:t>
      </w:r>
      <w:r w:rsidR="00DC542A" w:rsidRPr="00693DE6">
        <w:rPr>
          <w:rStyle w:val="FootnoteReference"/>
          <w:rFonts w:ascii="Times New Roman" w:hAnsi="Times New Roman"/>
          <w:szCs w:val="24"/>
        </w:rPr>
        <w:footnoteReference w:id="131"/>
      </w:r>
      <w:r w:rsidR="00DC542A" w:rsidRPr="00693DE6">
        <w:rPr>
          <w:rFonts w:ascii="Times New Roman" w:hAnsi="Times New Roman"/>
          <w:szCs w:val="24"/>
        </w:rPr>
        <w:t xml:space="preserve">However, </w:t>
      </w:r>
      <w:r w:rsidR="005A095D">
        <w:rPr>
          <w:rFonts w:ascii="Times New Roman" w:hAnsi="Times New Roman"/>
          <w:szCs w:val="24"/>
        </w:rPr>
        <w:t>when she conducted her research, none of the cases before the ICC had reached the sentencing stage.</w:t>
      </w:r>
      <w:r w:rsidR="00DC542A" w:rsidRPr="00693DE6">
        <w:rPr>
          <w:rFonts w:ascii="Times New Roman" w:hAnsi="Times New Roman"/>
          <w:szCs w:val="24"/>
        </w:rPr>
        <w:t xml:space="preserve"> </w:t>
      </w:r>
    </w:p>
    <w:p w14:paraId="0589E822" w14:textId="43F65F05" w:rsidR="00835E86" w:rsidRPr="00693DE6" w:rsidRDefault="00864B38" w:rsidP="00693DE6">
      <w:pPr>
        <w:spacing w:line="480" w:lineRule="auto"/>
        <w:jc w:val="both"/>
        <w:rPr>
          <w:rFonts w:ascii="Times New Roman" w:hAnsi="Times New Roman"/>
          <w:szCs w:val="24"/>
        </w:rPr>
      </w:pPr>
      <w:r w:rsidRPr="00693DE6">
        <w:rPr>
          <w:rFonts w:ascii="Times New Roman" w:hAnsi="Times New Roman"/>
          <w:szCs w:val="24"/>
        </w:rPr>
        <w:t>Ashworth contested victims</w:t>
      </w:r>
      <w:r w:rsidR="00F72A5B">
        <w:rPr>
          <w:rFonts w:ascii="Times New Roman" w:hAnsi="Times New Roman"/>
          <w:szCs w:val="24"/>
        </w:rPr>
        <w:t>'</w:t>
      </w:r>
      <w:r w:rsidRPr="00693DE6">
        <w:rPr>
          <w:rFonts w:ascii="Times New Roman" w:hAnsi="Times New Roman"/>
          <w:szCs w:val="24"/>
        </w:rPr>
        <w:t xml:space="preserve"> legitimate interest in the disposition of the offender. From Ashworth</w:t>
      </w:r>
      <w:r w:rsidR="00F72A5B">
        <w:rPr>
          <w:rFonts w:ascii="Times New Roman" w:hAnsi="Times New Roman"/>
          <w:szCs w:val="24"/>
        </w:rPr>
        <w:t>'</w:t>
      </w:r>
      <w:r w:rsidRPr="00693DE6">
        <w:rPr>
          <w:rFonts w:ascii="Times New Roman" w:hAnsi="Times New Roman"/>
          <w:szCs w:val="24"/>
        </w:rPr>
        <w:t xml:space="preserve">s perspective, </w:t>
      </w:r>
      <w:r w:rsidR="00F72A5B">
        <w:rPr>
          <w:rFonts w:ascii="Times New Roman" w:hAnsi="Times New Roman"/>
          <w:szCs w:val="24"/>
        </w:rPr>
        <w:t>"</w:t>
      </w:r>
      <w:r w:rsidRPr="005A095D">
        <w:rPr>
          <w:rFonts w:ascii="Times New Roman" w:hAnsi="Times New Roman"/>
          <w:szCs w:val="24"/>
        </w:rPr>
        <w:t>it would be wrong to suggest that the victim has no legitimate interest  in the disposition of the offender in his or her case, but the victim</w:t>
      </w:r>
      <w:r w:rsidR="00F72A5B">
        <w:rPr>
          <w:rFonts w:ascii="Times New Roman" w:hAnsi="Times New Roman"/>
          <w:szCs w:val="24"/>
        </w:rPr>
        <w:t>'</w:t>
      </w:r>
      <w:r w:rsidRPr="005A095D">
        <w:rPr>
          <w:rFonts w:ascii="Times New Roman" w:hAnsi="Times New Roman"/>
          <w:szCs w:val="24"/>
        </w:rPr>
        <w:t>s interest is surely no greater than yours or mine</w:t>
      </w:r>
      <w:r w:rsidRPr="00693DE6">
        <w:rPr>
          <w:rFonts w:ascii="Times New Roman" w:hAnsi="Times New Roman"/>
          <w:szCs w:val="24"/>
        </w:rPr>
        <w:t>.</w:t>
      </w:r>
      <w:r w:rsidR="00F72A5B">
        <w:rPr>
          <w:rFonts w:ascii="Times New Roman" w:hAnsi="Times New Roman"/>
          <w:szCs w:val="24"/>
        </w:rPr>
        <w:t>"</w:t>
      </w:r>
      <w:r w:rsidRPr="00693DE6">
        <w:rPr>
          <w:rStyle w:val="FootnoteReference"/>
          <w:rFonts w:ascii="Times New Roman" w:hAnsi="Times New Roman"/>
          <w:szCs w:val="24"/>
        </w:rPr>
        <w:footnoteReference w:id="132"/>
      </w:r>
      <w:r w:rsidR="00E55EE7" w:rsidRPr="00693DE6">
        <w:rPr>
          <w:rFonts w:ascii="Times New Roman" w:hAnsi="Times New Roman"/>
          <w:szCs w:val="24"/>
        </w:rPr>
        <w:t xml:space="preserve"> Here he compared the victims</w:t>
      </w:r>
      <w:r w:rsidR="00F72A5B">
        <w:rPr>
          <w:rFonts w:ascii="Times New Roman" w:hAnsi="Times New Roman"/>
          <w:szCs w:val="24"/>
        </w:rPr>
        <w:t>'</w:t>
      </w:r>
      <w:r w:rsidR="00E55EE7" w:rsidRPr="00693DE6">
        <w:rPr>
          <w:rFonts w:ascii="Times New Roman" w:hAnsi="Times New Roman"/>
          <w:szCs w:val="24"/>
        </w:rPr>
        <w:t xml:space="preserve"> interest to </w:t>
      </w:r>
      <w:r w:rsidR="00F72A5B">
        <w:rPr>
          <w:rFonts w:ascii="Times New Roman" w:hAnsi="Times New Roman"/>
          <w:szCs w:val="24"/>
        </w:rPr>
        <w:t>'</w:t>
      </w:r>
      <w:r w:rsidR="00E55EE7" w:rsidRPr="00693DE6">
        <w:rPr>
          <w:rFonts w:ascii="Times New Roman" w:hAnsi="Times New Roman"/>
          <w:szCs w:val="24"/>
        </w:rPr>
        <w:t>one of many citizen</w:t>
      </w:r>
      <w:r w:rsidR="00484764" w:rsidRPr="00693DE6">
        <w:rPr>
          <w:rFonts w:ascii="Times New Roman" w:hAnsi="Times New Roman"/>
          <w:szCs w:val="24"/>
        </w:rPr>
        <w:t>s</w:t>
      </w:r>
      <w:r w:rsidR="00F72A5B">
        <w:rPr>
          <w:rFonts w:ascii="Times New Roman" w:hAnsi="Times New Roman"/>
          <w:szCs w:val="24"/>
        </w:rPr>
        <w:t>'</w:t>
      </w:r>
      <w:r w:rsidR="00E55EE7" w:rsidRPr="00693DE6">
        <w:rPr>
          <w:rFonts w:ascii="Times New Roman" w:hAnsi="Times New Roman"/>
          <w:szCs w:val="24"/>
        </w:rPr>
        <w:t xml:space="preserve"> who is part of the community.</w:t>
      </w:r>
      <w:r w:rsidR="007C6B01" w:rsidRPr="00693DE6">
        <w:rPr>
          <w:rFonts w:ascii="Times New Roman" w:hAnsi="Times New Roman"/>
          <w:szCs w:val="24"/>
        </w:rPr>
        <w:t xml:space="preserve"> </w:t>
      </w:r>
      <w:r w:rsidR="00E55EE7" w:rsidRPr="00693DE6">
        <w:rPr>
          <w:rFonts w:ascii="Times New Roman" w:hAnsi="Times New Roman"/>
          <w:szCs w:val="24"/>
        </w:rPr>
        <w:t>Ashworth</w:t>
      </w:r>
      <w:r w:rsidR="00F72A5B">
        <w:rPr>
          <w:rFonts w:ascii="Times New Roman" w:hAnsi="Times New Roman"/>
          <w:szCs w:val="24"/>
        </w:rPr>
        <w:t>'</w:t>
      </w:r>
      <w:r w:rsidR="00E55EE7" w:rsidRPr="00693DE6">
        <w:rPr>
          <w:rFonts w:ascii="Times New Roman" w:hAnsi="Times New Roman"/>
          <w:szCs w:val="24"/>
        </w:rPr>
        <w:t xml:space="preserve">s assertion is flawed because he failed to </w:t>
      </w:r>
      <w:r w:rsidR="000D3B3C">
        <w:rPr>
          <w:rFonts w:ascii="Times New Roman" w:hAnsi="Times New Roman"/>
          <w:szCs w:val="24"/>
        </w:rPr>
        <w:t>sufficient</w:t>
      </w:r>
      <w:r w:rsidR="00E55EE7" w:rsidRPr="00693DE6">
        <w:rPr>
          <w:rFonts w:ascii="Times New Roman" w:hAnsi="Times New Roman"/>
          <w:szCs w:val="24"/>
        </w:rPr>
        <w:t>ly differentiate that victims</w:t>
      </w:r>
      <w:r w:rsidR="00F72A5B">
        <w:rPr>
          <w:rFonts w:ascii="Times New Roman" w:hAnsi="Times New Roman"/>
          <w:szCs w:val="24"/>
        </w:rPr>
        <w:t>'</w:t>
      </w:r>
      <w:r w:rsidR="00E55EE7" w:rsidRPr="00693DE6">
        <w:rPr>
          <w:rFonts w:ascii="Times New Roman" w:hAnsi="Times New Roman"/>
          <w:szCs w:val="24"/>
        </w:rPr>
        <w:t xml:space="preserve"> interest emerges from the personal harm they have suffered because of the </w:t>
      </w:r>
      <w:r w:rsidR="002B327F">
        <w:rPr>
          <w:rFonts w:ascii="Times New Roman" w:hAnsi="Times New Roman"/>
          <w:szCs w:val="24"/>
        </w:rPr>
        <w:t>offender's crime inflicted on them</w:t>
      </w:r>
      <w:r w:rsidR="00E55EE7" w:rsidRPr="00693DE6">
        <w:rPr>
          <w:rFonts w:ascii="Times New Roman" w:hAnsi="Times New Roman"/>
          <w:szCs w:val="24"/>
        </w:rPr>
        <w:t>.</w:t>
      </w:r>
      <w:r w:rsidR="00484764" w:rsidRPr="00693DE6">
        <w:rPr>
          <w:rFonts w:ascii="Times New Roman" w:hAnsi="Times New Roman"/>
          <w:szCs w:val="24"/>
        </w:rPr>
        <w:t xml:space="preserve"> </w:t>
      </w:r>
      <w:r w:rsidR="00E55EE7" w:rsidRPr="00693DE6">
        <w:rPr>
          <w:rFonts w:ascii="Times New Roman" w:hAnsi="Times New Roman"/>
          <w:szCs w:val="24"/>
        </w:rPr>
        <w:t xml:space="preserve">The community interest is classified into the category </w:t>
      </w:r>
      <w:r w:rsidR="00484764" w:rsidRPr="00693DE6">
        <w:rPr>
          <w:rFonts w:ascii="Times New Roman" w:hAnsi="Times New Roman"/>
          <w:szCs w:val="24"/>
        </w:rPr>
        <w:t>o</w:t>
      </w:r>
      <w:r w:rsidR="00E55EE7" w:rsidRPr="00693DE6">
        <w:rPr>
          <w:rFonts w:ascii="Times New Roman" w:hAnsi="Times New Roman"/>
          <w:szCs w:val="24"/>
        </w:rPr>
        <w:t xml:space="preserve">f </w:t>
      </w:r>
      <w:r w:rsidR="00F72A5B">
        <w:rPr>
          <w:rFonts w:ascii="Times New Roman" w:hAnsi="Times New Roman"/>
          <w:szCs w:val="24"/>
        </w:rPr>
        <w:t>'</w:t>
      </w:r>
      <w:r w:rsidR="00E55EE7" w:rsidRPr="00693DE6">
        <w:rPr>
          <w:rFonts w:ascii="Times New Roman" w:hAnsi="Times New Roman"/>
          <w:szCs w:val="24"/>
        </w:rPr>
        <w:t xml:space="preserve">general public </w:t>
      </w:r>
      <w:proofErr w:type="spellStart"/>
      <w:r w:rsidR="00E55EE7" w:rsidRPr="00693DE6">
        <w:rPr>
          <w:rFonts w:ascii="Times New Roman" w:hAnsi="Times New Roman"/>
          <w:szCs w:val="24"/>
        </w:rPr>
        <w:t>interest</w:t>
      </w:r>
      <w:r w:rsidR="00F72A5B">
        <w:rPr>
          <w:rFonts w:ascii="Times New Roman" w:hAnsi="Times New Roman"/>
          <w:szCs w:val="24"/>
        </w:rPr>
        <w:t>'</w:t>
      </w:r>
      <w:r w:rsidR="00E55EE7" w:rsidRPr="00693DE6">
        <w:rPr>
          <w:rFonts w:ascii="Times New Roman" w:hAnsi="Times New Roman"/>
          <w:szCs w:val="24"/>
        </w:rPr>
        <w:t>.Which</w:t>
      </w:r>
      <w:proofErr w:type="spellEnd"/>
      <w:r w:rsidR="00E55EE7" w:rsidRPr="00693DE6">
        <w:rPr>
          <w:rFonts w:ascii="Times New Roman" w:hAnsi="Times New Roman"/>
          <w:szCs w:val="24"/>
        </w:rPr>
        <w:t xml:space="preserve"> means that the ordinary citizens are remotely affected as opposed to victims.</w:t>
      </w:r>
      <w:r w:rsidR="007C6B01" w:rsidRPr="00693DE6">
        <w:rPr>
          <w:rFonts w:ascii="Times New Roman" w:hAnsi="Times New Roman"/>
          <w:szCs w:val="24"/>
        </w:rPr>
        <w:t xml:space="preserve"> </w:t>
      </w:r>
      <w:r w:rsidR="00E55EE7" w:rsidRPr="00693DE6">
        <w:rPr>
          <w:rFonts w:ascii="Times New Roman" w:hAnsi="Times New Roman"/>
          <w:szCs w:val="24"/>
        </w:rPr>
        <w:t xml:space="preserve">Therefore, the reference of Ashworth to the social contract reasoning does not dig deeper. One other reasonable explanation for his </w:t>
      </w:r>
      <w:r w:rsidR="000D3B3C">
        <w:rPr>
          <w:rFonts w:ascii="Times New Roman" w:hAnsi="Times New Roman"/>
          <w:szCs w:val="24"/>
        </w:rPr>
        <w:t>think</w:t>
      </w:r>
      <w:r w:rsidR="00E55EE7" w:rsidRPr="00693DE6">
        <w:rPr>
          <w:rFonts w:ascii="Times New Roman" w:hAnsi="Times New Roman"/>
          <w:szCs w:val="24"/>
        </w:rPr>
        <w:t xml:space="preserve">ing could be </w:t>
      </w:r>
      <w:r w:rsidR="0094310D">
        <w:rPr>
          <w:rFonts w:ascii="Times New Roman" w:hAnsi="Times New Roman"/>
          <w:szCs w:val="24"/>
        </w:rPr>
        <w:t>because</w:t>
      </w:r>
      <w:r w:rsidR="00E55EE7" w:rsidRPr="00693DE6">
        <w:rPr>
          <w:rFonts w:ascii="Times New Roman" w:hAnsi="Times New Roman"/>
          <w:szCs w:val="24"/>
        </w:rPr>
        <w:t xml:space="preserve"> his argument was </w:t>
      </w:r>
      <w:r w:rsidR="0012481D">
        <w:rPr>
          <w:rFonts w:ascii="Times New Roman" w:hAnsi="Times New Roman"/>
          <w:szCs w:val="24"/>
        </w:rPr>
        <w:t xml:space="preserve">limited </w:t>
      </w:r>
      <w:r w:rsidR="00E55EE7" w:rsidRPr="00693DE6">
        <w:rPr>
          <w:rFonts w:ascii="Times New Roman" w:hAnsi="Times New Roman"/>
          <w:szCs w:val="24"/>
        </w:rPr>
        <w:t>within the ambience of restorative justice.</w:t>
      </w:r>
      <w:r w:rsidR="0094310D">
        <w:rPr>
          <w:rFonts w:ascii="Times New Roman" w:hAnsi="Times New Roman"/>
          <w:szCs w:val="24"/>
        </w:rPr>
        <w:t xml:space="preserve"> Victims look forward to the determination of the punishment.</w:t>
      </w:r>
    </w:p>
    <w:p w14:paraId="169B1C86" w14:textId="111E87BB" w:rsidR="0087426C" w:rsidRPr="00693DE6" w:rsidRDefault="0087426C" w:rsidP="00693DE6">
      <w:pPr>
        <w:spacing w:line="480" w:lineRule="auto"/>
        <w:jc w:val="both"/>
        <w:rPr>
          <w:rFonts w:ascii="Times New Roman" w:hAnsi="Times New Roman"/>
          <w:szCs w:val="24"/>
        </w:rPr>
      </w:pPr>
      <w:proofErr w:type="spellStart"/>
      <w:r w:rsidRPr="00693DE6">
        <w:rPr>
          <w:rFonts w:ascii="Times New Roman" w:hAnsi="Times New Roman"/>
          <w:szCs w:val="24"/>
        </w:rPr>
        <w:lastRenderedPageBreak/>
        <w:t>Henham</w:t>
      </w:r>
      <w:proofErr w:type="spellEnd"/>
      <w:r w:rsidRPr="00693DE6">
        <w:rPr>
          <w:rFonts w:ascii="Times New Roman" w:hAnsi="Times New Roman"/>
          <w:szCs w:val="24"/>
        </w:rPr>
        <w:t xml:space="preserve"> </w:t>
      </w:r>
      <w:r w:rsidR="00BF63B2" w:rsidRPr="00693DE6">
        <w:rPr>
          <w:rFonts w:ascii="Times New Roman" w:hAnsi="Times New Roman"/>
          <w:szCs w:val="24"/>
        </w:rPr>
        <w:t>suggest</w:t>
      </w:r>
      <w:r w:rsidR="0021753A" w:rsidRPr="00693DE6">
        <w:rPr>
          <w:rFonts w:ascii="Times New Roman" w:hAnsi="Times New Roman"/>
          <w:szCs w:val="24"/>
        </w:rPr>
        <w:t>s</w:t>
      </w:r>
      <w:r w:rsidR="00BF63B2" w:rsidRPr="00693DE6">
        <w:rPr>
          <w:rFonts w:ascii="Times New Roman" w:hAnsi="Times New Roman"/>
          <w:szCs w:val="24"/>
        </w:rPr>
        <w:t xml:space="preserve"> that international tribun</w:t>
      </w:r>
      <w:r w:rsidR="00E90EBF" w:rsidRPr="00693DE6">
        <w:rPr>
          <w:rFonts w:ascii="Times New Roman" w:hAnsi="Times New Roman"/>
          <w:szCs w:val="24"/>
        </w:rPr>
        <w:t>als and courts should attempt to articulate substantive justifications for sentencing.</w:t>
      </w:r>
      <w:r w:rsidR="0021753A" w:rsidRPr="00693DE6">
        <w:rPr>
          <w:rStyle w:val="FootnoteReference"/>
          <w:rFonts w:ascii="Times New Roman" w:hAnsi="Times New Roman"/>
          <w:szCs w:val="24"/>
        </w:rPr>
        <w:footnoteReference w:id="133"/>
      </w:r>
      <w:r w:rsidR="00E90EBF" w:rsidRPr="00693DE6">
        <w:rPr>
          <w:rFonts w:ascii="Times New Roman" w:hAnsi="Times New Roman"/>
          <w:szCs w:val="24"/>
        </w:rPr>
        <w:t xml:space="preserve">He also argues that these courts do not clearly distinguish between the general </w:t>
      </w:r>
      <w:r w:rsidR="000D3B3C">
        <w:rPr>
          <w:rFonts w:ascii="Times New Roman" w:hAnsi="Times New Roman"/>
          <w:szCs w:val="24"/>
        </w:rPr>
        <w:t>ground</w:t>
      </w:r>
      <w:r w:rsidR="00E90EBF" w:rsidRPr="00693DE6">
        <w:rPr>
          <w:rFonts w:ascii="Times New Roman" w:hAnsi="Times New Roman"/>
          <w:szCs w:val="24"/>
        </w:rPr>
        <w:t xml:space="preserve">s for </w:t>
      </w:r>
      <w:r w:rsidR="0021753A" w:rsidRPr="00693DE6">
        <w:rPr>
          <w:rFonts w:ascii="Times New Roman" w:hAnsi="Times New Roman"/>
          <w:szCs w:val="24"/>
        </w:rPr>
        <w:t>punishment</w:t>
      </w:r>
      <w:r w:rsidR="00E90EBF" w:rsidRPr="00693DE6">
        <w:rPr>
          <w:rFonts w:ascii="Times New Roman" w:hAnsi="Times New Roman"/>
          <w:szCs w:val="24"/>
        </w:rPr>
        <w:t xml:space="preserve"> and </w:t>
      </w:r>
      <w:r w:rsidR="0021753A" w:rsidRPr="00693DE6">
        <w:rPr>
          <w:rFonts w:ascii="Times New Roman" w:hAnsi="Times New Roman"/>
          <w:szCs w:val="24"/>
        </w:rPr>
        <w:t>the specific aims of punishment in concrete cases.</w:t>
      </w:r>
      <w:r w:rsidR="00484764" w:rsidRPr="00693DE6">
        <w:rPr>
          <w:rFonts w:ascii="Times New Roman" w:hAnsi="Times New Roman"/>
          <w:szCs w:val="24"/>
        </w:rPr>
        <w:t xml:space="preserve"> </w:t>
      </w:r>
      <w:r w:rsidR="0021753A" w:rsidRPr="00693DE6">
        <w:rPr>
          <w:rFonts w:ascii="Times New Roman" w:hAnsi="Times New Roman"/>
          <w:szCs w:val="24"/>
        </w:rPr>
        <w:t>In his opinion, there exists fluidity between objectives, purposes, principles, function or policy.</w:t>
      </w:r>
    </w:p>
    <w:p w14:paraId="57A1EEAF" w14:textId="08F53012" w:rsidR="00F979C2" w:rsidRPr="00693DE6" w:rsidRDefault="00D9785B" w:rsidP="00693DE6">
      <w:pPr>
        <w:spacing w:line="480" w:lineRule="auto"/>
        <w:jc w:val="both"/>
        <w:rPr>
          <w:rFonts w:ascii="Times New Roman" w:hAnsi="Times New Roman"/>
          <w:szCs w:val="24"/>
        </w:rPr>
      </w:pPr>
      <w:r>
        <w:rPr>
          <w:rFonts w:ascii="Times New Roman" w:hAnsi="Times New Roman"/>
          <w:szCs w:val="24"/>
        </w:rPr>
        <w:t xml:space="preserve">In the same vein, </w:t>
      </w:r>
      <w:r w:rsidR="002B327F">
        <w:rPr>
          <w:rFonts w:ascii="Times New Roman" w:hAnsi="Times New Roman"/>
          <w:szCs w:val="24"/>
        </w:rPr>
        <w:t>Van Zyl Smith points our attention to the limitations</w:t>
      </w:r>
      <w:r>
        <w:rPr>
          <w:rFonts w:ascii="Times New Roman" w:hAnsi="Times New Roman"/>
          <w:szCs w:val="24"/>
        </w:rPr>
        <w:t xml:space="preserve"> of</w:t>
      </w:r>
      <w:r w:rsidR="002B327F">
        <w:rPr>
          <w:rFonts w:ascii="Times New Roman" w:hAnsi="Times New Roman"/>
          <w:szCs w:val="24"/>
        </w:rPr>
        <w:t xml:space="preserve"> sentencing provisions in the ICC Statut</w:t>
      </w:r>
      <w:r>
        <w:rPr>
          <w:rFonts w:ascii="Times New Roman" w:hAnsi="Times New Roman"/>
          <w:szCs w:val="24"/>
        </w:rPr>
        <w:t>e.</w:t>
      </w:r>
      <w:r w:rsidR="00511D60" w:rsidRPr="00693DE6">
        <w:rPr>
          <w:rFonts w:ascii="Times New Roman" w:hAnsi="Times New Roman"/>
          <w:szCs w:val="24"/>
        </w:rPr>
        <w:t xml:space="preserve"> He </w:t>
      </w:r>
      <w:r w:rsidR="009F6632" w:rsidRPr="00693DE6">
        <w:rPr>
          <w:rFonts w:ascii="Times New Roman" w:hAnsi="Times New Roman"/>
          <w:szCs w:val="24"/>
        </w:rPr>
        <w:t xml:space="preserve">posits that challenges that flow from establishing reliable processes through international agreement </w:t>
      </w:r>
      <w:r w:rsidR="002B327F">
        <w:rPr>
          <w:rFonts w:ascii="Times New Roman" w:hAnsi="Times New Roman"/>
          <w:szCs w:val="24"/>
        </w:rPr>
        <w:t>reflect</w:t>
      </w:r>
      <w:r w:rsidR="009F6632" w:rsidRPr="00693DE6">
        <w:rPr>
          <w:rFonts w:ascii="Times New Roman" w:hAnsi="Times New Roman"/>
          <w:szCs w:val="24"/>
        </w:rPr>
        <w:t xml:space="preserve"> the confined nature of </w:t>
      </w:r>
      <w:r w:rsidR="00484764" w:rsidRPr="00693DE6">
        <w:rPr>
          <w:rFonts w:ascii="Times New Roman" w:hAnsi="Times New Roman"/>
          <w:szCs w:val="24"/>
        </w:rPr>
        <w:t xml:space="preserve">the </w:t>
      </w:r>
      <w:r w:rsidR="009F6632" w:rsidRPr="00693DE6">
        <w:rPr>
          <w:rFonts w:ascii="Times New Roman" w:hAnsi="Times New Roman"/>
          <w:szCs w:val="24"/>
        </w:rPr>
        <w:t>punitive rationale for international sentencing</w:t>
      </w:r>
      <w:r w:rsidR="00E41B45">
        <w:rPr>
          <w:rFonts w:ascii="Times New Roman" w:hAnsi="Times New Roman"/>
          <w:szCs w:val="24"/>
        </w:rPr>
        <w:t xml:space="preserve">, </w:t>
      </w:r>
      <w:r w:rsidR="00E41B45">
        <w:rPr>
          <w:rStyle w:val="FootnoteReference"/>
          <w:rFonts w:ascii="Times New Roman" w:hAnsi="Times New Roman"/>
          <w:szCs w:val="24"/>
        </w:rPr>
        <w:footnoteReference w:id="134"/>
      </w:r>
      <w:r w:rsidR="00E41B45">
        <w:rPr>
          <w:rFonts w:ascii="Times New Roman" w:hAnsi="Times New Roman"/>
          <w:szCs w:val="24"/>
        </w:rPr>
        <w:t>g</w:t>
      </w:r>
      <w:r w:rsidR="00FA7114" w:rsidRPr="00693DE6">
        <w:rPr>
          <w:rFonts w:ascii="Times New Roman" w:hAnsi="Times New Roman"/>
          <w:szCs w:val="24"/>
        </w:rPr>
        <w:t xml:space="preserve">iven that </w:t>
      </w:r>
      <w:r w:rsidR="005A095D">
        <w:rPr>
          <w:rFonts w:ascii="Times New Roman" w:hAnsi="Times New Roman"/>
          <w:szCs w:val="24"/>
        </w:rPr>
        <w:t xml:space="preserve">the maximum penalty that the </w:t>
      </w:r>
      <w:r w:rsidR="0012481D">
        <w:rPr>
          <w:rFonts w:ascii="Times New Roman" w:hAnsi="Times New Roman"/>
          <w:szCs w:val="24"/>
        </w:rPr>
        <w:t>c</w:t>
      </w:r>
      <w:r w:rsidR="005A095D">
        <w:rPr>
          <w:rFonts w:ascii="Times New Roman" w:hAnsi="Times New Roman"/>
          <w:szCs w:val="24"/>
        </w:rPr>
        <w:t>ourt could award is 30 years or life imprisonment</w:t>
      </w:r>
      <w:r w:rsidR="00F979C2" w:rsidRPr="00693DE6">
        <w:rPr>
          <w:rFonts w:ascii="Times New Roman" w:hAnsi="Times New Roman"/>
          <w:szCs w:val="24"/>
        </w:rPr>
        <w:t>.</w:t>
      </w:r>
    </w:p>
    <w:p w14:paraId="7A4E9DA4" w14:textId="05BE72A1" w:rsidR="00F979C2" w:rsidRPr="00E41B45" w:rsidRDefault="00F979C2" w:rsidP="00693DE6">
      <w:pPr>
        <w:spacing w:line="480" w:lineRule="auto"/>
        <w:jc w:val="both"/>
        <w:rPr>
          <w:rFonts w:ascii="Times New Roman" w:hAnsi="Times New Roman"/>
          <w:iCs/>
          <w:szCs w:val="24"/>
        </w:rPr>
      </w:pPr>
      <w:r w:rsidRPr="00693DE6">
        <w:rPr>
          <w:rFonts w:ascii="Times New Roman" w:hAnsi="Times New Roman"/>
          <w:szCs w:val="24"/>
        </w:rPr>
        <w:t>Goldstone cautions</w:t>
      </w:r>
      <w:r w:rsidR="005A095D">
        <w:rPr>
          <w:rFonts w:ascii="Times New Roman" w:hAnsi="Times New Roman"/>
          <w:szCs w:val="24"/>
        </w:rPr>
        <w:t xml:space="preserve"> against always equating justice with the number of convictions.</w:t>
      </w:r>
      <w:r w:rsidR="00020CA7">
        <w:rPr>
          <w:rFonts w:ascii="Times New Roman" w:hAnsi="Times New Roman"/>
          <w:szCs w:val="24"/>
        </w:rPr>
        <w:t xml:space="preserve"> </w:t>
      </w:r>
      <w:r w:rsidR="00D24132" w:rsidRPr="00693DE6">
        <w:rPr>
          <w:rFonts w:ascii="Times New Roman" w:hAnsi="Times New Roman"/>
          <w:szCs w:val="24"/>
        </w:rPr>
        <w:t xml:space="preserve">In his words, </w:t>
      </w:r>
      <w:r w:rsidR="00F72A5B">
        <w:rPr>
          <w:rFonts w:ascii="Times New Roman" w:hAnsi="Times New Roman"/>
          <w:szCs w:val="24"/>
        </w:rPr>
        <w:t>"</w:t>
      </w:r>
      <w:r w:rsidR="00D24132" w:rsidRPr="005A095D">
        <w:rPr>
          <w:rFonts w:ascii="Times New Roman" w:hAnsi="Times New Roman"/>
          <w:szCs w:val="24"/>
        </w:rPr>
        <w:t>the fairness of any criminal justice system must be judged by acquittals and not by convictions</w:t>
      </w:r>
      <w:r w:rsidR="00F427C9" w:rsidRPr="005A095D">
        <w:rPr>
          <w:rFonts w:ascii="Times New Roman" w:hAnsi="Times New Roman"/>
          <w:szCs w:val="24"/>
        </w:rPr>
        <w:t>…..acquittal do</w:t>
      </w:r>
      <w:r w:rsidR="00484764" w:rsidRPr="005A095D">
        <w:rPr>
          <w:rFonts w:ascii="Times New Roman" w:hAnsi="Times New Roman"/>
          <w:szCs w:val="24"/>
        </w:rPr>
        <w:t>es</w:t>
      </w:r>
      <w:r w:rsidR="00F427C9" w:rsidRPr="005A095D">
        <w:rPr>
          <w:rFonts w:ascii="Times New Roman" w:hAnsi="Times New Roman"/>
          <w:szCs w:val="24"/>
        </w:rPr>
        <w:t xml:space="preserve"> not necessarily follow from any inadequacies in the office of the prosecutor</w:t>
      </w:r>
      <w:r w:rsidR="00F427C9" w:rsidRPr="00693DE6">
        <w:rPr>
          <w:rFonts w:ascii="Times New Roman" w:hAnsi="Times New Roman"/>
          <w:i/>
          <w:szCs w:val="24"/>
        </w:rPr>
        <w:t>.</w:t>
      </w:r>
      <w:r w:rsidR="00F72A5B">
        <w:rPr>
          <w:rFonts w:ascii="Times New Roman" w:hAnsi="Times New Roman"/>
          <w:i/>
          <w:szCs w:val="24"/>
        </w:rPr>
        <w:t>"</w:t>
      </w:r>
      <w:r w:rsidR="00F427C9" w:rsidRPr="00693DE6">
        <w:rPr>
          <w:rStyle w:val="FootnoteReference"/>
          <w:rFonts w:ascii="Times New Roman" w:hAnsi="Times New Roman"/>
          <w:i/>
          <w:szCs w:val="24"/>
        </w:rPr>
        <w:footnoteReference w:id="135"/>
      </w:r>
      <w:r w:rsidR="00E41B45">
        <w:rPr>
          <w:rFonts w:ascii="Times New Roman" w:hAnsi="Times New Roman"/>
          <w:iCs/>
          <w:szCs w:val="24"/>
        </w:rPr>
        <w:t xml:space="preserve">  Therefore. Justice could be the discharge of the accused where there are doubts as to his guilt.</w:t>
      </w:r>
    </w:p>
    <w:p w14:paraId="35029643" w14:textId="6BA2B163" w:rsidR="007C6B01" w:rsidRPr="00693DE6" w:rsidRDefault="005A095D" w:rsidP="00693DE6">
      <w:pPr>
        <w:spacing w:line="480" w:lineRule="auto"/>
        <w:jc w:val="both"/>
        <w:rPr>
          <w:rFonts w:ascii="Times New Roman" w:hAnsi="Times New Roman"/>
          <w:i/>
          <w:szCs w:val="24"/>
        </w:rPr>
      </w:pPr>
      <w:r>
        <w:rPr>
          <w:rFonts w:ascii="Times New Roman" w:hAnsi="Times New Roman"/>
          <w:szCs w:val="24"/>
        </w:rPr>
        <w:lastRenderedPageBreak/>
        <w:t xml:space="preserve">This statement brings to </w:t>
      </w:r>
      <w:r w:rsidR="007C6B01" w:rsidRPr="00693DE6">
        <w:rPr>
          <w:rFonts w:ascii="Times New Roman" w:hAnsi="Times New Roman"/>
          <w:szCs w:val="24"/>
        </w:rPr>
        <w:t xml:space="preserve">light the fact that the Prosecutor is not under an obligation to </w:t>
      </w:r>
      <w:r>
        <w:rPr>
          <w:rFonts w:ascii="Times New Roman" w:hAnsi="Times New Roman"/>
          <w:szCs w:val="24"/>
        </w:rPr>
        <w:t xml:space="preserve">always </w:t>
      </w:r>
      <w:r w:rsidR="007C6B01" w:rsidRPr="00693DE6">
        <w:rPr>
          <w:rFonts w:ascii="Times New Roman" w:hAnsi="Times New Roman"/>
          <w:szCs w:val="24"/>
        </w:rPr>
        <w:t>secure</w:t>
      </w:r>
      <w:r w:rsidR="00484764" w:rsidRPr="00693DE6">
        <w:rPr>
          <w:rFonts w:ascii="Times New Roman" w:hAnsi="Times New Roman"/>
          <w:szCs w:val="24"/>
        </w:rPr>
        <w:t xml:space="preserve"> </w:t>
      </w:r>
      <w:r w:rsidR="007C6B01" w:rsidRPr="00693DE6">
        <w:rPr>
          <w:rFonts w:ascii="Times New Roman" w:hAnsi="Times New Roman"/>
          <w:szCs w:val="24"/>
        </w:rPr>
        <w:t>conviction</w:t>
      </w:r>
      <w:r>
        <w:rPr>
          <w:rFonts w:ascii="Times New Roman" w:hAnsi="Times New Roman"/>
          <w:szCs w:val="24"/>
        </w:rPr>
        <w:t>s</w:t>
      </w:r>
      <w:r w:rsidR="007C6B01" w:rsidRPr="00693DE6">
        <w:rPr>
          <w:rFonts w:ascii="Times New Roman" w:hAnsi="Times New Roman"/>
          <w:szCs w:val="24"/>
        </w:rPr>
        <w:t>,</w:t>
      </w:r>
      <w:r w:rsidR="00484764" w:rsidRPr="00693DE6">
        <w:rPr>
          <w:rFonts w:ascii="Times New Roman" w:hAnsi="Times New Roman"/>
          <w:szCs w:val="24"/>
        </w:rPr>
        <w:t xml:space="preserve"> </w:t>
      </w:r>
      <w:r w:rsidR="007C6B01" w:rsidRPr="00693DE6">
        <w:rPr>
          <w:rFonts w:ascii="Times New Roman" w:hAnsi="Times New Roman"/>
          <w:szCs w:val="24"/>
        </w:rPr>
        <w:t xml:space="preserve">especially where the rights of the accused to </w:t>
      </w:r>
      <w:r w:rsidR="00484764" w:rsidRPr="00693DE6">
        <w:rPr>
          <w:rFonts w:ascii="Times New Roman" w:hAnsi="Times New Roman"/>
          <w:szCs w:val="24"/>
        </w:rPr>
        <w:t xml:space="preserve">a </w:t>
      </w:r>
      <w:r w:rsidR="007C6B01" w:rsidRPr="00693DE6">
        <w:rPr>
          <w:rFonts w:ascii="Times New Roman" w:hAnsi="Times New Roman"/>
          <w:szCs w:val="24"/>
        </w:rPr>
        <w:t>fair trial is at stake.</w:t>
      </w:r>
      <w:r w:rsidR="00484764" w:rsidRPr="00693DE6">
        <w:rPr>
          <w:rFonts w:ascii="Times New Roman" w:hAnsi="Times New Roman"/>
          <w:szCs w:val="24"/>
        </w:rPr>
        <w:t xml:space="preserve"> </w:t>
      </w:r>
      <w:r w:rsidR="007C6B01" w:rsidRPr="00693DE6">
        <w:rPr>
          <w:rFonts w:ascii="Times New Roman" w:hAnsi="Times New Roman"/>
          <w:szCs w:val="24"/>
        </w:rPr>
        <w:t xml:space="preserve">The presumption of innocence precludes unwarranted conviction where the </w:t>
      </w:r>
      <w:r w:rsidR="00BF790B">
        <w:rPr>
          <w:rFonts w:ascii="Times New Roman" w:hAnsi="Times New Roman"/>
          <w:szCs w:val="24"/>
        </w:rPr>
        <w:t>P</w:t>
      </w:r>
      <w:r w:rsidR="007C6B01" w:rsidRPr="00693DE6">
        <w:rPr>
          <w:rFonts w:ascii="Times New Roman" w:hAnsi="Times New Roman"/>
          <w:szCs w:val="24"/>
        </w:rPr>
        <w:t xml:space="preserve">rosecutor is unable to prove beyond </w:t>
      </w:r>
      <w:r w:rsidR="00484764" w:rsidRPr="00693DE6">
        <w:rPr>
          <w:rFonts w:ascii="Times New Roman" w:hAnsi="Times New Roman"/>
          <w:szCs w:val="24"/>
        </w:rPr>
        <w:t xml:space="preserve">a </w:t>
      </w:r>
      <w:r w:rsidR="007C6B01" w:rsidRPr="00693DE6">
        <w:rPr>
          <w:rFonts w:ascii="Times New Roman" w:hAnsi="Times New Roman"/>
          <w:szCs w:val="24"/>
        </w:rPr>
        <w:t>reasonable doubt.</w:t>
      </w:r>
    </w:p>
    <w:p w14:paraId="3D05A6A1" w14:textId="7CA8A2AB" w:rsidR="000D3B3C" w:rsidRDefault="005A095D" w:rsidP="00693DE6">
      <w:pPr>
        <w:spacing w:before="240" w:line="480" w:lineRule="auto"/>
        <w:jc w:val="both"/>
        <w:rPr>
          <w:rFonts w:ascii="Times New Roman" w:hAnsi="Times New Roman"/>
          <w:szCs w:val="24"/>
        </w:rPr>
      </w:pPr>
      <w:r>
        <w:rPr>
          <w:rFonts w:ascii="Times New Roman" w:hAnsi="Times New Roman"/>
          <w:szCs w:val="24"/>
        </w:rPr>
        <w:t>In some domestic jurisdictions,</w:t>
      </w:r>
      <w:r w:rsidR="00020CA7">
        <w:rPr>
          <w:rFonts w:ascii="Times New Roman" w:hAnsi="Times New Roman"/>
          <w:szCs w:val="24"/>
        </w:rPr>
        <w:t xml:space="preserve"> </w:t>
      </w:r>
      <w:r w:rsidR="00BD0B9D" w:rsidRPr="00693DE6">
        <w:rPr>
          <w:rFonts w:ascii="Times New Roman" w:hAnsi="Times New Roman"/>
          <w:szCs w:val="24"/>
        </w:rPr>
        <w:t>Victim Impact Statement(VIS) in sentencing</w:t>
      </w:r>
      <w:r>
        <w:rPr>
          <w:rFonts w:ascii="Times New Roman" w:hAnsi="Times New Roman"/>
          <w:szCs w:val="24"/>
        </w:rPr>
        <w:t xml:space="preserve"> </w:t>
      </w:r>
      <w:r w:rsidR="00020CA7">
        <w:rPr>
          <w:rFonts w:ascii="Times New Roman" w:hAnsi="Times New Roman"/>
          <w:szCs w:val="24"/>
        </w:rPr>
        <w:t>is</w:t>
      </w:r>
      <w:r>
        <w:rPr>
          <w:rFonts w:ascii="Times New Roman" w:hAnsi="Times New Roman"/>
          <w:szCs w:val="24"/>
        </w:rPr>
        <w:t xml:space="preserve"> used to inform sentencing</w:t>
      </w:r>
      <w:r w:rsidR="00BD0B9D" w:rsidRPr="00693DE6">
        <w:rPr>
          <w:rFonts w:ascii="Times New Roman" w:hAnsi="Times New Roman"/>
          <w:szCs w:val="24"/>
        </w:rPr>
        <w:t>.</w:t>
      </w:r>
      <w:r w:rsidR="00BD0B9D" w:rsidRPr="00693DE6">
        <w:rPr>
          <w:rStyle w:val="FootnoteReference"/>
          <w:rFonts w:ascii="Times New Roman" w:hAnsi="Times New Roman"/>
          <w:szCs w:val="24"/>
        </w:rPr>
        <w:footnoteReference w:id="136"/>
      </w:r>
      <w:r w:rsidR="00BD0B9D" w:rsidRPr="00693DE6">
        <w:rPr>
          <w:rFonts w:ascii="Times New Roman" w:hAnsi="Times New Roman"/>
          <w:szCs w:val="24"/>
        </w:rPr>
        <w:t xml:space="preserve"> In some common law jurisdictions, the </w:t>
      </w:r>
      <w:r w:rsidR="007132BE">
        <w:rPr>
          <w:rFonts w:ascii="Times New Roman" w:hAnsi="Times New Roman"/>
          <w:szCs w:val="24"/>
        </w:rPr>
        <w:t>C</w:t>
      </w:r>
      <w:r w:rsidR="00BD0B9D" w:rsidRPr="00693DE6">
        <w:rPr>
          <w:rFonts w:ascii="Times New Roman" w:hAnsi="Times New Roman"/>
          <w:szCs w:val="24"/>
        </w:rPr>
        <w:t>ourt permit</w:t>
      </w:r>
      <w:r w:rsidR="00484764" w:rsidRPr="00693DE6">
        <w:rPr>
          <w:rFonts w:ascii="Times New Roman" w:hAnsi="Times New Roman"/>
          <w:szCs w:val="24"/>
        </w:rPr>
        <w:t>s</w:t>
      </w:r>
      <w:r w:rsidR="00BD0B9D" w:rsidRPr="00693DE6">
        <w:rPr>
          <w:rFonts w:ascii="Times New Roman" w:hAnsi="Times New Roman"/>
          <w:szCs w:val="24"/>
        </w:rPr>
        <w:t xml:space="preserve"> victims to participate during sentencing. Some victims are allowed to give narratives on how the </w:t>
      </w:r>
      <w:r w:rsidR="002B327F">
        <w:rPr>
          <w:rFonts w:ascii="Times New Roman" w:hAnsi="Times New Roman"/>
          <w:szCs w:val="24"/>
        </w:rPr>
        <w:t>convicted person's harm or wrongdoing</w:t>
      </w:r>
      <w:r w:rsidR="00BD0B9D" w:rsidRPr="00693DE6">
        <w:rPr>
          <w:rFonts w:ascii="Times New Roman" w:hAnsi="Times New Roman"/>
          <w:szCs w:val="24"/>
        </w:rPr>
        <w:t xml:space="preserve"> affects them. </w:t>
      </w:r>
      <w:r>
        <w:rPr>
          <w:rFonts w:ascii="Times New Roman" w:hAnsi="Times New Roman"/>
          <w:szCs w:val="24"/>
        </w:rPr>
        <w:t xml:space="preserve">Through the use of VIS, victims are </w:t>
      </w:r>
      <w:r w:rsidR="00E41B45">
        <w:rPr>
          <w:rFonts w:ascii="Times New Roman" w:hAnsi="Times New Roman"/>
          <w:szCs w:val="24"/>
        </w:rPr>
        <w:t>permitted</w:t>
      </w:r>
      <w:r>
        <w:rPr>
          <w:rFonts w:ascii="Times New Roman" w:hAnsi="Times New Roman"/>
          <w:szCs w:val="24"/>
        </w:rPr>
        <w:t xml:space="preserve"> </w:t>
      </w:r>
      <w:r w:rsidR="00C425BE">
        <w:rPr>
          <w:rFonts w:ascii="Times New Roman" w:hAnsi="Times New Roman"/>
          <w:szCs w:val="24"/>
        </w:rPr>
        <w:t>to inform the court how the</w:t>
      </w:r>
      <w:r w:rsidR="00E41B45">
        <w:rPr>
          <w:rFonts w:ascii="Times New Roman" w:hAnsi="Times New Roman"/>
          <w:szCs w:val="24"/>
        </w:rPr>
        <w:t>ir victimisation impacted them</w:t>
      </w:r>
      <w:r w:rsidR="00BD0B9D" w:rsidRPr="00693DE6">
        <w:rPr>
          <w:rFonts w:ascii="Times New Roman" w:hAnsi="Times New Roman"/>
          <w:szCs w:val="24"/>
        </w:rPr>
        <w:t>.</w:t>
      </w:r>
      <w:r w:rsidR="00BD0B9D" w:rsidRPr="00693DE6">
        <w:rPr>
          <w:rStyle w:val="FootnoteReference"/>
          <w:rFonts w:ascii="Times New Roman" w:hAnsi="Times New Roman"/>
          <w:szCs w:val="24"/>
        </w:rPr>
        <w:footnoteReference w:id="137"/>
      </w:r>
      <w:r w:rsidR="00BD0B9D" w:rsidRPr="00693DE6">
        <w:rPr>
          <w:rFonts w:ascii="Times New Roman" w:hAnsi="Times New Roman"/>
          <w:szCs w:val="24"/>
        </w:rPr>
        <w:t xml:space="preserve"> The VIS is presented to the Court after </w:t>
      </w:r>
      <w:r w:rsidR="002B327F">
        <w:rPr>
          <w:rFonts w:ascii="Times New Roman" w:hAnsi="Times New Roman"/>
          <w:szCs w:val="24"/>
        </w:rPr>
        <w:t>determining</w:t>
      </w:r>
      <w:r w:rsidR="00BD0B9D" w:rsidRPr="00693DE6">
        <w:rPr>
          <w:rFonts w:ascii="Times New Roman" w:hAnsi="Times New Roman"/>
          <w:szCs w:val="24"/>
        </w:rPr>
        <w:t xml:space="preserve"> the guilt of the accused but before sentencing. This statement is taken into consideration in the de</w:t>
      </w:r>
      <w:r w:rsidR="00E41B45">
        <w:rPr>
          <w:rFonts w:ascii="Times New Roman" w:hAnsi="Times New Roman"/>
          <w:szCs w:val="24"/>
        </w:rPr>
        <w:t>cis</w:t>
      </w:r>
      <w:r w:rsidR="00BD0B9D" w:rsidRPr="00693DE6">
        <w:rPr>
          <w:rFonts w:ascii="Times New Roman" w:hAnsi="Times New Roman"/>
          <w:szCs w:val="24"/>
        </w:rPr>
        <w:t xml:space="preserve">ion of sentencing. </w:t>
      </w:r>
      <w:r w:rsidR="0012481D">
        <w:rPr>
          <w:rFonts w:ascii="Times New Roman" w:hAnsi="Times New Roman"/>
          <w:szCs w:val="24"/>
        </w:rPr>
        <w:t xml:space="preserve">Reasonably, </w:t>
      </w:r>
      <w:r w:rsidR="00BD0B9D" w:rsidRPr="00693DE6">
        <w:rPr>
          <w:rFonts w:ascii="Times New Roman" w:hAnsi="Times New Roman"/>
          <w:szCs w:val="24"/>
        </w:rPr>
        <w:t>VIS lightens the burden of the victim and gives them a sense of belonging.</w:t>
      </w:r>
      <w:r w:rsidR="00484764" w:rsidRPr="00693DE6">
        <w:rPr>
          <w:rFonts w:ascii="Times New Roman" w:hAnsi="Times New Roman"/>
          <w:szCs w:val="24"/>
        </w:rPr>
        <w:t xml:space="preserve"> </w:t>
      </w:r>
      <w:r w:rsidR="002B327F">
        <w:rPr>
          <w:rFonts w:ascii="Times New Roman" w:hAnsi="Times New Roman"/>
          <w:szCs w:val="24"/>
        </w:rPr>
        <w:t>VIS proponents</w:t>
      </w:r>
      <w:r w:rsidR="00BD0B9D" w:rsidRPr="00693DE6">
        <w:rPr>
          <w:rFonts w:ascii="Times New Roman" w:hAnsi="Times New Roman"/>
          <w:szCs w:val="24"/>
        </w:rPr>
        <w:t xml:space="preserve"> contend that it is a medium for victims to emote and express themselves about how the crime affected them.</w:t>
      </w:r>
    </w:p>
    <w:p w14:paraId="3F4B6194" w14:textId="6CAC920D" w:rsidR="00BD0B9D" w:rsidRPr="00C425BE" w:rsidRDefault="00BD0B9D" w:rsidP="00693DE6">
      <w:pPr>
        <w:spacing w:before="240" w:line="480" w:lineRule="auto"/>
        <w:jc w:val="both"/>
        <w:rPr>
          <w:rFonts w:ascii="Times New Roman" w:hAnsi="Times New Roman"/>
          <w:b/>
          <w:szCs w:val="24"/>
        </w:rPr>
      </w:pPr>
      <w:r w:rsidRPr="00693DE6">
        <w:rPr>
          <w:rFonts w:ascii="Times New Roman" w:hAnsi="Times New Roman"/>
          <w:szCs w:val="24"/>
        </w:rPr>
        <w:t xml:space="preserve">In contrast, </w:t>
      </w:r>
      <w:r w:rsidR="002B327F">
        <w:rPr>
          <w:rFonts w:ascii="Times New Roman" w:hAnsi="Times New Roman"/>
          <w:szCs w:val="24"/>
        </w:rPr>
        <w:t xml:space="preserve">VIS critics have cautioned that the stage of intervention-sentencing </w:t>
      </w:r>
      <w:r w:rsidRPr="00693DE6">
        <w:rPr>
          <w:rFonts w:ascii="Times New Roman" w:hAnsi="Times New Roman"/>
          <w:szCs w:val="24"/>
        </w:rPr>
        <w:t>is rather too late to address victims’ suffering</w:t>
      </w:r>
      <w:r w:rsidR="0012481D">
        <w:rPr>
          <w:rFonts w:ascii="Times New Roman" w:hAnsi="Times New Roman"/>
          <w:szCs w:val="24"/>
        </w:rPr>
        <w:t>.</w:t>
      </w:r>
      <w:r w:rsidRPr="00693DE6">
        <w:rPr>
          <w:rStyle w:val="FootnoteReference"/>
          <w:rFonts w:ascii="Times New Roman" w:hAnsi="Times New Roman"/>
          <w:szCs w:val="24"/>
        </w:rPr>
        <w:footnoteReference w:id="138"/>
      </w:r>
      <w:r w:rsidRPr="00693DE6">
        <w:rPr>
          <w:rFonts w:ascii="Times New Roman" w:hAnsi="Times New Roman"/>
          <w:szCs w:val="24"/>
        </w:rPr>
        <w:t xml:space="preserve"> </w:t>
      </w:r>
      <w:r w:rsidR="00C425BE">
        <w:rPr>
          <w:rFonts w:ascii="Times New Roman" w:hAnsi="Times New Roman"/>
          <w:szCs w:val="24"/>
        </w:rPr>
        <w:t>Particularly in common law jurisdictions, where victims are not directly engaged in the trial process.</w:t>
      </w:r>
      <w:r w:rsidR="00020CA7">
        <w:rPr>
          <w:rFonts w:ascii="Times New Roman" w:hAnsi="Times New Roman"/>
          <w:szCs w:val="24"/>
        </w:rPr>
        <w:t xml:space="preserve"> </w:t>
      </w:r>
      <w:r w:rsidR="00C425BE">
        <w:rPr>
          <w:rFonts w:ascii="Times New Roman" w:hAnsi="Times New Roman"/>
          <w:szCs w:val="24"/>
        </w:rPr>
        <w:t xml:space="preserve">Critics of VIS proposes that </w:t>
      </w:r>
      <w:r w:rsidR="00C425BE">
        <w:rPr>
          <w:rFonts w:ascii="Times New Roman" w:hAnsi="Times New Roman"/>
          <w:szCs w:val="24"/>
        </w:rPr>
        <w:lastRenderedPageBreak/>
        <w:t>victims should have been involved at an earlier stage.</w:t>
      </w:r>
      <w:r w:rsidR="00C425BE">
        <w:rPr>
          <w:rStyle w:val="FootnoteReference"/>
          <w:rFonts w:ascii="Times New Roman" w:hAnsi="Times New Roman"/>
          <w:szCs w:val="24"/>
        </w:rPr>
        <w:footnoteReference w:id="139"/>
      </w:r>
      <w:r w:rsidR="00C425BE">
        <w:rPr>
          <w:rFonts w:ascii="Times New Roman" w:hAnsi="Times New Roman"/>
          <w:szCs w:val="24"/>
        </w:rPr>
        <w:t xml:space="preserve">Moreover, another argument has been that VIS tilt the balance of justice because it is a subjective expression of victims, </w:t>
      </w:r>
      <w:r w:rsidR="002B327F">
        <w:rPr>
          <w:rFonts w:ascii="Times New Roman" w:hAnsi="Times New Roman"/>
          <w:szCs w:val="24"/>
        </w:rPr>
        <w:t>influencing</w:t>
      </w:r>
      <w:r w:rsidR="00C425BE">
        <w:rPr>
          <w:rFonts w:ascii="Times New Roman" w:hAnsi="Times New Roman"/>
          <w:szCs w:val="24"/>
        </w:rPr>
        <w:t xml:space="preserve"> the sentencing process</w:t>
      </w:r>
      <w:r w:rsidR="00E41B45">
        <w:rPr>
          <w:rFonts w:ascii="Times New Roman" w:hAnsi="Times New Roman"/>
          <w:szCs w:val="24"/>
        </w:rPr>
        <w:t>.</w:t>
      </w:r>
      <w:r w:rsidRPr="00693DE6">
        <w:rPr>
          <w:rStyle w:val="FootnoteReference"/>
          <w:rFonts w:ascii="Times New Roman" w:hAnsi="Times New Roman"/>
          <w:szCs w:val="24"/>
        </w:rPr>
        <w:footnoteReference w:id="140"/>
      </w:r>
    </w:p>
    <w:p w14:paraId="49EB516B" w14:textId="3593B1A4" w:rsidR="001B4EFB" w:rsidRPr="00693DE6" w:rsidRDefault="00020CA7" w:rsidP="00693DE6">
      <w:pPr>
        <w:spacing w:before="240" w:line="480" w:lineRule="auto"/>
        <w:jc w:val="both"/>
        <w:rPr>
          <w:rFonts w:ascii="Times New Roman" w:hAnsi="Times New Roman"/>
          <w:szCs w:val="24"/>
        </w:rPr>
      </w:pPr>
      <w:r>
        <w:rPr>
          <w:rFonts w:ascii="Times New Roman" w:hAnsi="Times New Roman"/>
          <w:szCs w:val="24"/>
        </w:rPr>
        <w:t>VIS  could increase victim</w:t>
      </w:r>
      <w:r w:rsidR="000D3B3C">
        <w:rPr>
          <w:rFonts w:ascii="Times New Roman" w:hAnsi="Times New Roman"/>
          <w:szCs w:val="24"/>
        </w:rPr>
        <w:t xml:space="preserve"> </w:t>
      </w:r>
      <w:r>
        <w:rPr>
          <w:rFonts w:ascii="Times New Roman" w:hAnsi="Times New Roman"/>
          <w:szCs w:val="24"/>
        </w:rPr>
        <w:t>satisfaction through procedural fairness at the sentencing stage.</w:t>
      </w:r>
      <w:r>
        <w:rPr>
          <w:rStyle w:val="FootnoteReference"/>
          <w:rFonts w:ascii="Times New Roman" w:hAnsi="Times New Roman"/>
          <w:szCs w:val="24"/>
        </w:rPr>
        <w:footnoteReference w:id="141"/>
      </w:r>
      <w:r>
        <w:rPr>
          <w:rFonts w:ascii="Times New Roman" w:hAnsi="Times New Roman"/>
          <w:szCs w:val="24"/>
        </w:rPr>
        <w:t xml:space="preserve">This </w:t>
      </w:r>
      <w:r w:rsidR="0012481D">
        <w:rPr>
          <w:rFonts w:ascii="Times New Roman" w:hAnsi="Times New Roman"/>
          <w:szCs w:val="24"/>
        </w:rPr>
        <w:t xml:space="preserve">assertion </w:t>
      </w:r>
      <w:r>
        <w:rPr>
          <w:rFonts w:ascii="Times New Roman" w:hAnsi="Times New Roman"/>
          <w:szCs w:val="24"/>
        </w:rPr>
        <w:t>recognises victims’ voices in the sentencing hearing without necessarily considering their interests.</w:t>
      </w:r>
      <w:r>
        <w:rPr>
          <w:rStyle w:val="FootnoteReference"/>
          <w:rFonts w:ascii="Times New Roman" w:hAnsi="Times New Roman"/>
          <w:szCs w:val="24"/>
        </w:rPr>
        <w:footnoteReference w:id="142"/>
      </w:r>
      <w:r>
        <w:rPr>
          <w:rFonts w:ascii="Times New Roman" w:hAnsi="Times New Roman"/>
          <w:szCs w:val="24"/>
        </w:rPr>
        <w:t>However, o</w:t>
      </w:r>
      <w:r w:rsidR="001B4EFB" w:rsidRPr="00693DE6">
        <w:rPr>
          <w:rFonts w:ascii="Times New Roman" w:hAnsi="Times New Roman"/>
          <w:szCs w:val="24"/>
        </w:rPr>
        <w:t xml:space="preserve">ne </w:t>
      </w:r>
      <w:proofErr w:type="spellStart"/>
      <w:r w:rsidR="001B4EFB" w:rsidRPr="00693DE6">
        <w:rPr>
          <w:rFonts w:ascii="Times New Roman" w:hAnsi="Times New Roman"/>
          <w:szCs w:val="24"/>
        </w:rPr>
        <w:t>set back</w:t>
      </w:r>
      <w:proofErr w:type="spellEnd"/>
      <w:r w:rsidR="001B4EFB" w:rsidRPr="00693DE6">
        <w:rPr>
          <w:rFonts w:ascii="Times New Roman" w:hAnsi="Times New Roman"/>
          <w:szCs w:val="24"/>
        </w:rPr>
        <w:t xml:space="preserve"> for the application of VIS at the ICC would be the negative impact on the </w:t>
      </w:r>
      <w:r w:rsidR="00FF46A4">
        <w:rPr>
          <w:rFonts w:ascii="Times New Roman" w:hAnsi="Times New Roman"/>
          <w:szCs w:val="24"/>
        </w:rPr>
        <w:t>court proceedings' efficiency</w:t>
      </w:r>
      <w:r>
        <w:rPr>
          <w:rFonts w:ascii="Times New Roman" w:hAnsi="Times New Roman"/>
          <w:szCs w:val="24"/>
        </w:rPr>
        <w:t>,</w:t>
      </w:r>
      <w:r w:rsidR="00484764" w:rsidRPr="00693DE6">
        <w:rPr>
          <w:rFonts w:ascii="Times New Roman" w:hAnsi="Times New Roman"/>
          <w:szCs w:val="24"/>
        </w:rPr>
        <w:t xml:space="preserve"> </w:t>
      </w:r>
      <w:r>
        <w:rPr>
          <w:rFonts w:ascii="Times New Roman" w:hAnsi="Times New Roman"/>
          <w:szCs w:val="24"/>
        </w:rPr>
        <w:t>g</w:t>
      </w:r>
      <w:r w:rsidR="001B4EFB" w:rsidRPr="00693DE6">
        <w:rPr>
          <w:rFonts w:ascii="Times New Roman" w:hAnsi="Times New Roman"/>
          <w:szCs w:val="24"/>
        </w:rPr>
        <w:t xml:space="preserve">iven </w:t>
      </w:r>
      <w:r w:rsidR="00E41B45">
        <w:rPr>
          <w:rFonts w:ascii="Times New Roman" w:hAnsi="Times New Roman"/>
          <w:szCs w:val="24"/>
        </w:rPr>
        <w:t>a</w:t>
      </w:r>
      <w:r w:rsidR="001B4EFB" w:rsidRPr="00693DE6">
        <w:rPr>
          <w:rFonts w:ascii="Times New Roman" w:hAnsi="Times New Roman"/>
          <w:szCs w:val="24"/>
        </w:rPr>
        <w:t xml:space="preserve"> large number of victims</w:t>
      </w:r>
      <w:r w:rsidR="00E41B45">
        <w:rPr>
          <w:rFonts w:ascii="Times New Roman" w:hAnsi="Times New Roman"/>
          <w:szCs w:val="24"/>
        </w:rPr>
        <w:t>, it will be impracticable.</w:t>
      </w:r>
      <w:r w:rsidR="001B4EFB" w:rsidRPr="00693DE6">
        <w:rPr>
          <w:rFonts w:ascii="Times New Roman" w:hAnsi="Times New Roman"/>
          <w:szCs w:val="24"/>
        </w:rPr>
        <w:t xml:space="preserve"> </w:t>
      </w:r>
    </w:p>
    <w:p w14:paraId="639F49DD" w14:textId="28360F11" w:rsidR="00E71A2C" w:rsidRPr="00693DE6" w:rsidRDefault="001B4EFB" w:rsidP="00693DE6">
      <w:pPr>
        <w:spacing w:before="240" w:line="480" w:lineRule="auto"/>
        <w:jc w:val="both"/>
        <w:rPr>
          <w:rFonts w:ascii="Times New Roman" w:hAnsi="Times New Roman"/>
          <w:szCs w:val="24"/>
        </w:rPr>
      </w:pPr>
      <w:r w:rsidRPr="00693DE6">
        <w:rPr>
          <w:rFonts w:ascii="Times New Roman" w:hAnsi="Times New Roman"/>
          <w:szCs w:val="24"/>
        </w:rPr>
        <w:t xml:space="preserve">VIS narrates the experience of the victim </w:t>
      </w:r>
      <w:r w:rsidR="00484764" w:rsidRPr="00693DE6">
        <w:rPr>
          <w:rFonts w:ascii="Times New Roman" w:hAnsi="Times New Roman"/>
          <w:szCs w:val="24"/>
        </w:rPr>
        <w:t>about</w:t>
      </w:r>
      <w:r w:rsidRPr="00693DE6">
        <w:rPr>
          <w:rFonts w:ascii="Times New Roman" w:hAnsi="Times New Roman"/>
          <w:szCs w:val="24"/>
        </w:rPr>
        <w:t xml:space="preserve"> the offence and its attendant consequences on the victim</w:t>
      </w:r>
      <w:r w:rsidR="00E41B45">
        <w:rPr>
          <w:rFonts w:ascii="Times New Roman" w:hAnsi="Times New Roman"/>
          <w:szCs w:val="24"/>
        </w:rPr>
        <w:t>. A classic example is</w:t>
      </w:r>
      <w:r w:rsidR="00484764" w:rsidRPr="00693DE6">
        <w:rPr>
          <w:rFonts w:ascii="Times New Roman" w:hAnsi="Times New Roman"/>
          <w:szCs w:val="24"/>
        </w:rPr>
        <w:t xml:space="preserve"> </w:t>
      </w:r>
      <w:r w:rsidRPr="00693DE6">
        <w:rPr>
          <w:rFonts w:ascii="Times New Roman" w:hAnsi="Times New Roman"/>
          <w:szCs w:val="24"/>
        </w:rPr>
        <w:t xml:space="preserve">The </w:t>
      </w:r>
      <w:r w:rsidRPr="00693DE6">
        <w:rPr>
          <w:rFonts w:ascii="Times New Roman" w:hAnsi="Times New Roman"/>
          <w:i/>
          <w:szCs w:val="24"/>
        </w:rPr>
        <w:t>Stanford case</w:t>
      </w:r>
      <w:r w:rsidR="003A1A69">
        <w:rPr>
          <w:rFonts w:ascii="Times New Roman" w:hAnsi="Times New Roman"/>
          <w:i/>
          <w:szCs w:val="24"/>
        </w:rPr>
        <w:t>.</w:t>
      </w:r>
      <w:r w:rsidRPr="00693DE6">
        <w:rPr>
          <w:rStyle w:val="FootnoteReference"/>
          <w:rFonts w:ascii="Times New Roman" w:hAnsi="Times New Roman"/>
          <w:i/>
          <w:szCs w:val="24"/>
        </w:rPr>
        <w:footnoteReference w:id="143"/>
      </w:r>
      <w:r w:rsidR="008C319F" w:rsidRPr="00693DE6">
        <w:rPr>
          <w:rFonts w:ascii="Times New Roman" w:hAnsi="Times New Roman"/>
          <w:i/>
          <w:szCs w:val="24"/>
        </w:rPr>
        <w:t xml:space="preserve"> </w:t>
      </w:r>
      <w:r w:rsidR="003A1A69">
        <w:rPr>
          <w:rFonts w:ascii="Times New Roman" w:hAnsi="Times New Roman"/>
          <w:szCs w:val="24"/>
        </w:rPr>
        <w:t>I</w:t>
      </w:r>
      <w:r w:rsidR="008C319F" w:rsidRPr="00693DE6">
        <w:rPr>
          <w:rFonts w:ascii="Times New Roman" w:hAnsi="Times New Roman"/>
          <w:szCs w:val="24"/>
        </w:rPr>
        <w:t>n this case, Turner, a former Stanford University swimmer</w:t>
      </w:r>
      <w:r w:rsidR="00484764" w:rsidRPr="00693DE6">
        <w:rPr>
          <w:rFonts w:ascii="Times New Roman" w:hAnsi="Times New Roman"/>
          <w:szCs w:val="24"/>
        </w:rPr>
        <w:t>,</w:t>
      </w:r>
      <w:r w:rsidR="008C319F" w:rsidRPr="00693DE6">
        <w:rPr>
          <w:rFonts w:ascii="Times New Roman" w:hAnsi="Times New Roman"/>
          <w:szCs w:val="24"/>
        </w:rPr>
        <w:t xml:space="preserve"> was convicted of sexually assaulting a woman.</w:t>
      </w:r>
      <w:r w:rsidR="00484764" w:rsidRPr="00693DE6">
        <w:rPr>
          <w:rFonts w:ascii="Times New Roman" w:hAnsi="Times New Roman"/>
          <w:szCs w:val="24"/>
        </w:rPr>
        <w:t xml:space="preserve"> </w:t>
      </w:r>
      <w:r w:rsidR="008C319F" w:rsidRPr="00693DE6">
        <w:rPr>
          <w:rFonts w:ascii="Times New Roman" w:hAnsi="Times New Roman"/>
          <w:szCs w:val="24"/>
        </w:rPr>
        <w:t>The victim submitted a written statement</w:t>
      </w:r>
      <w:r w:rsidR="00484764" w:rsidRPr="00693DE6">
        <w:rPr>
          <w:rFonts w:ascii="Times New Roman" w:hAnsi="Times New Roman"/>
          <w:szCs w:val="24"/>
        </w:rPr>
        <w:t>,</w:t>
      </w:r>
      <w:r w:rsidRPr="00693DE6">
        <w:rPr>
          <w:rFonts w:ascii="Times New Roman" w:hAnsi="Times New Roman"/>
          <w:szCs w:val="24"/>
        </w:rPr>
        <w:t xml:space="preserve"> </w:t>
      </w:r>
      <w:r w:rsidR="008C319F" w:rsidRPr="00693DE6">
        <w:rPr>
          <w:rFonts w:ascii="Times New Roman" w:hAnsi="Times New Roman"/>
          <w:szCs w:val="24"/>
        </w:rPr>
        <w:t>where she outlined the impact the attack had on her.</w:t>
      </w:r>
      <w:r w:rsidR="008C319F" w:rsidRPr="00693DE6">
        <w:rPr>
          <w:rStyle w:val="FootnoteReference"/>
          <w:rFonts w:ascii="Times New Roman" w:hAnsi="Times New Roman"/>
          <w:szCs w:val="24"/>
        </w:rPr>
        <w:footnoteReference w:id="144"/>
      </w:r>
      <w:r w:rsidR="00BE6217" w:rsidRPr="00693DE6">
        <w:rPr>
          <w:rFonts w:ascii="Times New Roman" w:hAnsi="Times New Roman"/>
          <w:szCs w:val="24"/>
        </w:rPr>
        <w:t xml:space="preserve">This victim read her statement in court directly to the defendant </w:t>
      </w:r>
      <w:r w:rsidR="00BE6217" w:rsidRPr="00693DE6">
        <w:rPr>
          <w:rFonts w:ascii="Times New Roman" w:hAnsi="Times New Roman"/>
          <w:szCs w:val="24"/>
        </w:rPr>
        <w:lastRenderedPageBreak/>
        <w:t xml:space="preserve">during the sentencing process. </w:t>
      </w:r>
      <w:r w:rsidR="000D3B3C">
        <w:rPr>
          <w:rFonts w:ascii="Times New Roman" w:hAnsi="Times New Roman"/>
          <w:szCs w:val="24"/>
        </w:rPr>
        <w:t>However,</w:t>
      </w:r>
      <w:r w:rsidR="00BE6217" w:rsidRPr="00693DE6">
        <w:rPr>
          <w:rFonts w:ascii="Times New Roman" w:hAnsi="Times New Roman"/>
          <w:szCs w:val="24"/>
        </w:rPr>
        <w:t xml:space="preserve"> the</w:t>
      </w:r>
      <w:r w:rsidR="00E41B45">
        <w:rPr>
          <w:rFonts w:ascii="Times New Roman" w:hAnsi="Times New Roman"/>
          <w:szCs w:val="24"/>
        </w:rPr>
        <w:t xml:space="preserve"> court sentenced the </w:t>
      </w:r>
      <w:r w:rsidR="00BE6217" w:rsidRPr="00693DE6">
        <w:rPr>
          <w:rFonts w:ascii="Times New Roman" w:hAnsi="Times New Roman"/>
          <w:szCs w:val="24"/>
        </w:rPr>
        <w:t>convict to six months</w:t>
      </w:r>
      <w:r w:rsidR="00E41B45">
        <w:rPr>
          <w:rFonts w:ascii="Times New Roman" w:hAnsi="Times New Roman"/>
          <w:szCs w:val="24"/>
        </w:rPr>
        <w:t xml:space="preserve"> of</w:t>
      </w:r>
      <w:r w:rsidR="00BE6217" w:rsidRPr="00693DE6">
        <w:rPr>
          <w:rFonts w:ascii="Times New Roman" w:hAnsi="Times New Roman"/>
          <w:szCs w:val="24"/>
        </w:rPr>
        <w:t xml:space="preserve"> imprisonment.</w:t>
      </w:r>
      <w:r w:rsidR="00484764" w:rsidRPr="00693DE6">
        <w:rPr>
          <w:rFonts w:ascii="Times New Roman" w:hAnsi="Times New Roman"/>
          <w:szCs w:val="24"/>
        </w:rPr>
        <w:t xml:space="preserve"> </w:t>
      </w:r>
      <w:r w:rsidR="00BE6217" w:rsidRPr="00693DE6">
        <w:rPr>
          <w:rFonts w:ascii="Times New Roman" w:hAnsi="Times New Roman"/>
          <w:szCs w:val="24"/>
        </w:rPr>
        <w:t>Contesting the sentencing is beyond this literature review. However, the VIS read out by the victim highlights the importance of victim participation during sentencing. From this case, it seems the VIS did not influence the declared sentence.</w:t>
      </w:r>
    </w:p>
    <w:p w14:paraId="70E194E0" w14:textId="77777777" w:rsidR="00020CA7" w:rsidRDefault="00D46FA7" w:rsidP="00693DE6">
      <w:pPr>
        <w:spacing w:line="480" w:lineRule="auto"/>
        <w:jc w:val="both"/>
        <w:rPr>
          <w:rFonts w:ascii="Times New Roman" w:hAnsi="Times New Roman"/>
          <w:szCs w:val="24"/>
        </w:rPr>
      </w:pPr>
      <w:r w:rsidRPr="00693DE6">
        <w:rPr>
          <w:rFonts w:ascii="Times New Roman" w:hAnsi="Times New Roman"/>
          <w:szCs w:val="24"/>
        </w:rPr>
        <w:t xml:space="preserve">In </w:t>
      </w:r>
      <w:proofErr w:type="spellStart"/>
      <w:r w:rsidRPr="00693DE6">
        <w:rPr>
          <w:rFonts w:ascii="Times New Roman" w:hAnsi="Times New Roman"/>
          <w:szCs w:val="24"/>
        </w:rPr>
        <w:t>Henham’s</w:t>
      </w:r>
      <w:proofErr w:type="spellEnd"/>
      <w:r w:rsidRPr="00693DE6">
        <w:rPr>
          <w:rFonts w:ascii="Times New Roman" w:hAnsi="Times New Roman"/>
          <w:szCs w:val="24"/>
        </w:rPr>
        <w:t xml:space="preserve"> words,  sentencing represents “the point in the trial where the aims of punishment are given concrete and public expression in </w:t>
      </w:r>
      <w:r w:rsidR="00484764" w:rsidRPr="00693DE6">
        <w:rPr>
          <w:rFonts w:ascii="Times New Roman" w:hAnsi="Times New Roman"/>
          <w:szCs w:val="24"/>
        </w:rPr>
        <w:t xml:space="preserve">a </w:t>
      </w:r>
      <w:r w:rsidRPr="00693DE6">
        <w:rPr>
          <w:rFonts w:ascii="Times New Roman" w:hAnsi="Times New Roman"/>
          <w:szCs w:val="24"/>
        </w:rPr>
        <w:t>specific case”.</w:t>
      </w:r>
      <w:r w:rsidRPr="00693DE6">
        <w:rPr>
          <w:rStyle w:val="FootnoteReference"/>
          <w:rFonts w:ascii="Times New Roman" w:hAnsi="Times New Roman"/>
          <w:szCs w:val="24"/>
        </w:rPr>
        <w:footnoteReference w:id="145"/>
      </w:r>
      <w:r w:rsidRPr="00693DE6">
        <w:rPr>
          <w:rFonts w:ascii="Times New Roman" w:hAnsi="Times New Roman"/>
          <w:szCs w:val="24"/>
        </w:rPr>
        <w:t xml:space="preserve">Hence, </w:t>
      </w:r>
      <w:r w:rsidR="00484764" w:rsidRPr="00693DE6">
        <w:rPr>
          <w:rFonts w:ascii="Times New Roman" w:hAnsi="Times New Roman"/>
          <w:szCs w:val="24"/>
        </w:rPr>
        <w:t xml:space="preserve">the </w:t>
      </w:r>
      <w:r w:rsidRPr="00693DE6">
        <w:rPr>
          <w:rFonts w:ascii="Times New Roman" w:hAnsi="Times New Roman"/>
          <w:szCs w:val="24"/>
        </w:rPr>
        <w:t>sentencing decision could be considered as the legitimacy of the punishment.</w:t>
      </w:r>
      <w:r w:rsidR="0001014B" w:rsidRPr="00693DE6">
        <w:rPr>
          <w:rFonts w:ascii="Times New Roman" w:hAnsi="Times New Roman"/>
          <w:szCs w:val="24"/>
        </w:rPr>
        <w:t xml:space="preserve"> </w:t>
      </w:r>
      <w:r w:rsidR="00020CA7">
        <w:rPr>
          <w:rFonts w:ascii="Times New Roman" w:hAnsi="Times New Roman"/>
          <w:szCs w:val="24"/>
        </w:rPr>
        <w:t>This legitimacy goes</w:t>
      </w:r>
      <w:r w:rsidRPr="00693DE6">
        <w:rPr>
          <w:rFonts w:ascii="Times New Roman" w:hAnsi="Times New Roman"/>
          <w:szCs w:val="24"/>
        </w:rPr>
        <w:t xml:space="preserve"> to the root of effective governance of criminal justice.</w:t>
      </w:r>
      <w:r w:rsidRPr="00693DE6">
        <w:rPr>
          <w:rStyle w:val="FootnoteReference"/>
          <w:rFonts w:ascii="Times New Roman" w:hAnsi="Times New Roman"/>
          <w:szCs w:val="24"/>
        </w:rPr>
        <w:footnoteReference w:id="146"/>
      </w:r>
    </w:p>
    <w:p w14:paraId="19193D4E" w14:textId="2F670148" w:rsidR="00020CA7" w:rsidRDefault="00D739F5" w:rsidP="00693DE6">
      <w:pPr>
        <w:spacing w:line="480" w:lineRule="auto"/>
        <w:jc w:val="both"/>
        <w:rPr>
          <w:rFonts w:ascii="Times New Roman" w:hAnsi="Times New Roman"/>
          <w:szCs w:val="24"/>
        </w:rPr>
      </w:pPr>
      <w:r w:rsidRPr="00693DE6">
        <w:rPr>
          <w:rFonts w:ascii="Times New Roman" w:hAnsi="Times New Roman"/>
          <w:szCs w:val="24"/>
        </w:rPr>
        <w:t xml:space="preserve">Strang and Sherman, </w:t>
      </w:r>
      <w:proofErr w:type="spellStart"/>
      <w:r w:rsidR="00620B31" w:rsidRPr="00693DE6">
        <w:rPr>
          <w:rFonts w:ascii="Times New Roman" w:hAnsi="Times New Roman"/>
          <w:szCs w:val="24"/>
        </w:rPr>
        <w:t>Doak</w:t>
      </w:r>
      <w:proofErr w:type="spellEnd"/>
      <w:r w:rsidR="00620B31" w:rsidRPr="00693DE6">
        <w:rPr>
          <w:rFonts w:ascii="Times New Roman" w:hAnsi="Times New Roman"/>
          <w:szCs w:val="24"/>
        </w:rPr>
        <w:t xml:space="preserve"> and Moffett highlight</w:t>
      </w:r>
      <w:r w:rsidRPr="00693DE6">
        <w:rPr>
          <w:rFonts w:ascii="Times New Roman" w:hAnsi="Times New Roman"/>
          <w:szCs w:val="24"/>
        </w:rPr>
        <w:t xml:space="preserve"> the need for the criminal justice system to be victim</w:t>
      </w:r>
      <w:r w:rsidR="00484764" w:rsidRPr="00693DE6">
        <w:rPr>
          <w:rFonts w:ascii="Times New Roman" w:hAnsi="Times New Roman"/>
          <w:szCs w:val="24"/>
        </w:rPr>
        <w:t>-</w:t>
      </w:r>
      <w:r w:rsidRPr="00693DE6">
        <w:rPr>
          <w:rFonts w:ascii="Times New Roman" w:hAnsi="Times New Roman"/>
          <w:szCs w:val="24"/>
        </w:rPr>
        <w:t>oriented.</w:t>
      </w:r>
      <w:r w:rsidRPr="00693DE6">
        <w:rPr>
          <w:rStyle w:val="FootnoteReference"/>
          <w:rFonts w:ascii="Times New Roman" w:hAnsi="Times New Roman"/>
          <w:szCs w:val="24"/>
        </w:rPr>
        <w:footnoteReference w:id="147"/>
      </w:r>
      <w:r w:rsidRPr="00693DE6">
        <w:rPr>
          <w:rFonts w:ascii="Times New Roman" w:hAnsi="Times New Roman"/>
          <w:szCs w:val="24"/>
        </w:rPr>
        <w:t xml:space="preserve"> According to these commentators, this can be achieved if there is a move towards more procedural rights, especially the right to information, participation, pro</w:t>
      </w:r>
      <w:r w:rsidR="00620B31" w:rsidRPr="00693DE6">
        <w:rPr>
          <w:rFonts w:ascii="Times New Roman" w:hAnsi="Times New Roman"/>
          <w:szCs w:val="24"/>
        </w:rPr>
        <w:t>tection and compensation.</w:t>
      </w:r>
      <w:r w:rsidR="00EC6BF9" w:rsidRPr="00693DE6">
        <w:rPr>
          <w:rStyle w:val="FootnoteReference"/>
          <w:rFonts w:ascii="Times New Roman" w:hAnsi="Times New Roman"/>
          <w:szCs w:val="24"/>
        </w:rPr>
        <w:footnoteReference w:id="148"/>
      </w:r>
      <w:r w:rsidR="00620B31" w:rsidRPr="00693DE6">
        <w:rPr>
          <w:rFonts w:ascii="Times New Roman" w:hAnsi="Times New Roman"/>
          <w:szCs w:val="24"/>
        </w:rPr>
        <w:t xml:space="preserve"> Thus, it can </w:t>
      </w:r>
      <w:r w:rsidRPr="00693DE6">
        <w:rPr>
          <w:rFonts w:ascii="Times New Roman" w:hAnsi="Times New Roman"/>
          <w:szCs w:val="24"/>
        </w:rPr>
        <w:t>be suggested that procedural justice plays</w:t>
      </w:r>
      <w:r w:rsidR="00620B31" w:rsidRPr="00693DE6">
        <w:rPr>
          <w:rFonts w:ascii="Times New Roman" w:hAnsi="Times New Roman"/>
          <w:szCs w:val="24"/>
        </w:rPr>
        <w:t xml:space="preserve"> a</w:t>
      </w:r>
      <w:r w:rsidR="000D3B3C">
        <w:rPr>
          <w:rFonts w:ascii="Times New Roman" w:hAnsi="Times New Roman"/>
          <w:szCs w:val="24"/>
        </w:rPr>
        <w:t xml:space="preserve"> vital</w:t>
      </w:r>
      <w:r w:rsidR="00620B31" w:rsidRPr="00693DE6">
        <w:rPr>
          <w:rFonts w:ascii="Times New Roman" w:hAnsi="Times New Roman"/>
          <w:szCs w:val="24"/>
        </w:rPr>
        <w:t xml:space="preserve"> role in shaping </w:t>
      </w:r>
      <w:r w:rsidRPr="00693DE6">
        <w:rPr>
          <w:rFonts w:ascii="Times New Roman" w:hAnsi="Times New Roman"/>
          <w:szCs w:val="24"/>
        </w:rPr>
        <w:t>the perception of how victims feel the</w:t>
      </w:r>
      <w:r w:rsidR="00700C62">
        <w:rPr>
          <w:rFonts w:ascii="Times New Roman" w:hAnsi="Times New Roman"/>
          <w:szCs w:val="24"/>
        </w:rPr>
        <w:t xml:space="preserve"> legal authorities have treated them</w:t>
      </w:r>
      <w:r w:rsidRPr="00693DE6">
        <w:rPr>
          <w:rFonts w:ascii="Times New Roman" w:hAnsi="Times New Roman"/>
          <w:szCs w:val="24"/>
        </w:rPr>
        <w:t>.</w:t>
      </w:r>
      <w:r w:rsidR="00020CA7">
        <w:rPr>
          <w:rFonts w:ascii="Times New Roman" w:hAnsi="Times New Roman"/>
          <w:szCs w:val="24"/>
        </w:rPr>
        <w:t xml:space="preserve"> </w:t>
      </w:r>
    </w:p>
    <w:p w14:paraId="12832CAD" w14:textId="0580A11A" w:rsidR="00700C62" w:rsidRDefault="00020CA7" w:rsidP="00700C62">
      <w:pPr>
        <w:spacing w:line="480" w:lineRule="auto"/>
        <w:jc w:val="both"/>
        <w:rPr>
          <w:rFonts w:ascii="Times New Roman" w:hAnsi="Times New Roman"/>
          <w:szCs w:val="24"/>
        </w:rPr>
      </w:pPr>
      <w:r>
        <w:rPr>
          <w:rFonts w:ascii="Times New Roman" w:hAnsi="Times New Roman"/>
          <w:szCs w:val="24"/>
        </w:rPr>
        <w:t>However</w:t>
      </w:r>
      <w:r w:rsidR="00D739F5" w:rsidRPr="00693DE6">
        <w:rPr>
          <w:rFonts w:ascii="Times New Roman" w:hAnsi="Times New Roman"/>
          <w:szCs w:val="24"/>
        </w:rPr>
        <w:t>, Strang and</w:t>
      </w:r>
      <w:r>
        <w:rPr>
          <w:rFonts w:ascii="Times New Roman" w:hAnsi="Times New Roman"/>
          <w:szCs w:val="24"/>
        </w:rPr>
        <w:t xml:space="preserve"> Sherman found, for instance</w:t>
      </w:r>
      <w:r w:rsidR="00E63585">
        <w:rPr>
          <w:rFonts w:ascii="Times New Roman" w:hAnsi="Times New Roman"/>
          <w:szCs w:val="24"/>
        </w:rPr>
        <w:t>,</w:t>
      </w:r>
      <w:r w:rsidR="00D739F5" w:rsidRPr="00693DE6">
        <w:rPr>
          <w:rFonts w:ascii="Times New Roman" w:hAnsi="Times New Roman"/>
          <w:szCs w:val="24"/>
        </w:rPr>
        <w:t xml:space="preserve"> that the amount of information that would be released to the victims </w:t>
      </w:r>
      <w:r>
        <w:rPr>
          <w:rFonts w:ascii="Times New Roman" w:hAnsi="Times New Roman"/>
          <w:szCs w:val="24"/>
        </w:rPr>
        <w:t>was</w:t>
      </w:r>
      <w:r w:rsidR="00336242">
        <w:rPr>
          <w:rFonts w:ascii="Times New Roman" w:hAnsi="Times New Roman"/>
          <w:szCs w:val="24"/>
        </w:rPr>
        <w:t xml:space="preserve"> </w:t>
      </w:r>
      <w:r w:rsidR="00CF6A7F">
        <w:rPr>
          <w:rFonts w:ascii="Times New Roman" w:hAnsi="Times New Roman"/>
          <w:szCs w:val="24"/>
        </w:rPr>
        <w:t>limited</w:t>
      </w:r>
      <w:r w:rsidR="00D105DB">
        <w:rPr>
          <w:rFonts w:ascii="Times New Roman" w:hAnsi="Times New Roman"/>
          <w:szCs w:val="24"/>
        </w:rPr>
        <w:t>,</w:t>
      </w:r>
      <w:r>
        <w:rPr>
          <w:rFonts w:ascii="Times New Roman" w:hAnsi="Times New Roman"/>
          <w:szCs w:val="24"/>
        </w:rPr>
        <w:t xml:space="preserve"> but depended on the value of their testimonies to the prosecution or defence.</w:t>
      </w:r>
      <w:r w:rsidR="00D739F5" w:rsidRPr="00693DE6">
        <w:rPr>
          <w:rFonts w:ascii="Times New Roman" w:hAnsi="Times New Roman"/>
          <w:szCs w:val="24"/>
        </w:rPr>
        <w:t xml:space="preserve"> They also found that </w:t>
      </w:r>
      <w:r w:rsidR="001215EA">
        <w:rPr>
          <w:rFonts w:ascii="Times New Roman" w:hAnsi="Times New Roman"/>
          <w:szCs w:val="24"/>
        </w:rPr>
        <w:t>victims’ satisfaction started to decline most times</w:t>
      </w:r>
      <w:r w:rsidR="00307220">
        <w:rPr>
          <w:rFonts w:ascii="Times New Roman" w:hAnsi="Times New Roman"/>
          <w:szCs w:val="24"/>
        </w:rPr>
        <w:t xml:space="preserve"> at the investigation stag</w:t>
      </w:r>
      <w:r w:rsidR="00D739F5" w:rsidRPr="00693DE6">
        <w:rPr>
          <w:rFonts w:ascii="Times New Roman" w:hAnsi="Times New Roman"/>
          <w:szCs w:val="24"/>
        </w:rPr>
        <w:t xml:space="preserve">e due to the lack of information </w:t>
      </w:r>
      <w:r w:rsidR="00D739F5" w:rsidRPr="00693DE6">
        <w:rPr>
          <w:rFonts w:ascii="Times New Roman" w:hAnsi="Times New Roman"/>
          <w:szCs w:val="24"/>
        </w:rPr>
        <w:lastRenderedPageBreak/>
        <w:t>about the</w:t>
      </w:r>
      <w:r w:rsidR="002B327F">
        <w:rPr>
          <w:rFonts w:ascii="Times New Roman" w:hAnsi="Times New Roman"/>
          <w:szCs w:val="24"/>
        </w:rPr>
        <w:t>ir case's progress</w:t>
      </w:r>
      <w:r w:rsidR="00D739F5" w:rsidRPr="00693DE6">
        <w:rPr>
          <w:rFonts w:ascii="Times New Roman" w:hAnsi="Times New Roman"/>
          <w:szCs w:val="24"/>
        </w:rPr>
        <w:t>.</w:t>
      </w:r>
      <w:r w:rsidR="00D739F5" w:rsidRPr="00693DE6">
        <w:rPr>
          <w:rStyle w:val="FootnoteReference"/>
          <w:rFonts w:ascii="Times New Roman" w:hAnsi="Times New Roman"/>
          <w:szCs w:val="24"/>
        </w:rPr>
        <w:footnoteReference w:id="149"/>
      </w:r>
      <w:r w:rsidR="00D739F5" w:rsidRPr="00693DE6">
        <w:rPr>
          <w:rFonts w:ascii="Times New Roman" w:hAnsi="Times New Roman"/>
          <w:szCs w:val="24"/>
        </w:rPr>
        <w:t xml:space="preserve">Thus, one may assert </w:t>
      </w:r>
      <w:r w:rsidR="00620B31" w:rsidRPr="00693DE6">
        <w:rPr>
          <w:rFonts w:ascii="Times New Roman" w:hAnsi="Times New Roman"/>
          <w:szCs w:val="24"/>
        </w:rPr>
        <w:t xml:space="preserve">that the </w:t>
      </w:r>
      <w:r w:rsidR="00D739F5" w:rsidRPr="00693DE6">
        <w:rPr>
          <w:rFonts w:ascii="Times New Roman" w:hAnsi="Times New Roman"/>
          <w:szCs w:val="24"/>
        </w:rPr>
        <w:t xml:space="preserve">availability of information about the </w:t>
      </w:r>
      <w:r w:rsidR="000D3B3C">
        <w:rPr>
          <w:rFonts w:ascii="Times New Roman" w:hAnsi="Times New Roman"/>
          <w:szCs w:val="24"/>
        </w:rPr>
        <w:t>development</w:t>
      </w:r>
      <w:r w:rsidR="00D739F5" w:rsidRPr="00693DE6">
        <w:rPr>
          <w:rFonts w:ascii="Times New Roman" w:hAnsi="Times New Roman"/>
          <w:szCs w:val="24"/>
        </w:rPr>
        <w:t xml:space="preserve"> of their case, updates and requirements is essential to giving victims </w:t>
      </w:r>
      <w:r w:rsidR="00620B31" w:rsidRPr="00693DE6">
        <w:rPr>
          <w:rFonts w:ascii="Times New Roman" w:hAnsi="Times New Roman"/>
          <w:szCs w:val="24"/>
        </w:rPr>
        <w:t xml:space="preserve">a </w:t>
      </w:r>
      <w:r w:rsidR="00D739F5" w:rsidRPr="00693DE6">
        <w:rPr>
          <w:rFonts w:ascii="Times New Roman" w:hAnsi="Times New Roman"/>
          <w:szCs w:val="24"/>
        </w:rPr>
        <w:t>sense of belonging. Principle 6(a) lends credence to</w:t>
      </w:r>
      <w:r w:rsidR="00620B31" w:rsidRPr="00693DE6">
        <w:rPr>
          <w:rFonts w:ascii="Times New Roman" w:hAnsi="Times New Roman"/>
          <w:szCs w:val="24"/>
        </w:rPr>
        <w:t xml:space="preserve"> this</w:t>
      </w:r>
      <w:r>
        <w:rPr>
          <w:rFonts w:ascii="Times New Roman" w:hAnsi="Times New Roman"/>
          <w:szCs w:val="24"/>
        </w:rPr>
        <w:t xml:space="preserve"> finding</w:t>
      </w:r>
      <w:r w:rsidR="00620B31" w:rsidRPr="00693DE6">
        <w:rPr>
          <w:rFonts w:ascii="Times New Roman" w:hAnsi="Times New Roman"/>
          <w:szCs w:val="24"/>
        </w:rPr>
        <w:t>. According to this provision</w:t>
      </w:r>
      <w:r w:rsidR="00D739F5" w:rsidRPr="00693DE6">
        <w:rPr>
          <w:rFonts w:ascii="Times New Roman" w:hAnsi="Times New Roman"/>
          <w:szCs w:val="24"/>
        </w:rPr>
        <w:t>, the need to inf</w:t>
      </w:r>
      <w:r w:rsidR="001420EA" w:rsidRPr="00693DE6">
        <w:rPr>
          <w:rFonts w:ascii="Times New Roman" w:hAnsi="Times New Roman"/>
          <w:szCs w:val="24"/>
        </w:rPr>
        <w:t>orm victims of their role, scope</w:t>
      </w:r>
      <w:r w:rsidR="00D739F5" w:rsidRPr="00693DE6">
        <w:rPr>
          <w:rFonts w:ascii="Times New Roman" w:hAnsi="Times New Roman"/>
          <w:szCs w:val="24"/>
        </w:rPr>
        <w:t>, timing and progress of the proceedings may facilitate how the judicial and administrative authorities respond to the</w:t>
      </w:r>
      <w:r w:rsidR="001215EA">
        <w:rPr>
          <w:rFonts w:ascii="Times New Roman" w:hAnsi="Times New Roman"/>
          <w:szCs w:val="24"/>
        </w:rPr>
        <w:t>ir</w:t>
      </w:r>
      <w:r w:rsidR="00D739F5" w:rsidRPr="00693DE6">
        <w:rPr>
          <w:rFonts w:ascii="Times New Roman" w:hAnsi="Times New Roman"/>
          <w:szCs w:val="24"/>
        </w:rPr>
        <w:t xml:space="preserve"> needs.</w:t>
      </w:r>
      <w:r w:rsidR="00D739F5" w:rsidRPr="00693DE6">
        <w:rPr>
          <w:rStyle w:val="FootnoteReference"/>
          <w:rFonts w:ascii="Times New Roman" w:hAnsi="Times New Roman"/>
          <w:szCs w:val="24"/>
        </w:rPr>
        <w:footnoteReference w:id="150"/>
      </w:r>
      <w:r w:rsidR="00700C62" w:rsidRPr="00700C62">
        <w:rPr>
          <w:rFonts w:ascii="Times New Roman" w:hAnsi="Times New Roman"/>
          <w:szCs w:val="24"/>
        </w:rPr>
        <w:t xml:space="preserve"> </w:t>
      </w:r>
      <w:r w:rsidR="00700C62" w:rsidRPr="00693DE6">
        <w:rPr>
          <w:rFonts w:ascii="Times New Roman" w:hAnsi="Times New Roman"/>
          <w:szCs w:val="24"/>
        </w:rPr>
        <w:t>Consequently, victims are under the impression that the courts and criminal justice professionals do not have sufficient information to handle their case in such a way that would reflect in any outcome produced</w:t>
      </w:r>
      <w:r w:rsidR="0012481D">
        <w:rPr>
          <w:rFonts w:ascii="Times New Roman" w:hAnsi="Times New Roman"/>
          <w:szCs w:val="24"/>
        </w:rPr>
        <w:t>. T</w:t>
      </w:r>
      <w:r w:rsidR="00700C62" w:rsidRPr="00693DE6">
        <w:rPr>
          <w:rFonts w:ascii="Times New Roman" w:hAnsi="Times New Roman"/>
          <w:szCs w:val="24"/>
        </w:rPr>
        <w:t>his outcome has to take into account what happened to the victims.</w:t>
      </w:r>
    </w:p>
    <w:p w14:paraId="6B37DD5F" w14:textId="74C639A7" w:rsidR="00D739F5" w:rsidRDefault="002262EB" w:rsidP="00693DE6">
      <w:pPr>
        <w:spacing w:line="480" w:lineRule="auto"/>
        <w:jc w:val="both"/>
        <w:rPr>
          <w:rFonts w:ascii="Times New Roman" w:hAnsi="Times New Roman"/>
          <w:szCs w:val="24"/>
        </w:rPr>
      </w:pPr>
      <w:r w:rsidRPr="00693DE6">
        <w:rPr>
          <w:rFonts w:ascii="Times New Roman" w:hAnsi="Times New Roman"/>
          <w:szCs w:val="24"/>
        </w:rPr>
        <w:t>In 2014,</w:t>
      </w:r>
      <w:r w:rsidR="00CF07BF" w:rsidRPr="00693DE6">
        <w:rPr>
          <w:rFonts w:ascii="Times New Roman" w:hAnsi="Times New Roman"/>
          <w:szCs w:val="24"/>
        </w:rPr>
        <w:t xml:space="preserve"> </w:t>
      </w:r>
      <w:proofErr w:type="spellStart"/>
      <w:r w:rsidRPr="00693DE6">
        <w:rPr>
          <w:rFonts w:ascii="Times New Roman" w:hAnsi="Times New Roman"/>
          <w:szCs w:val="24"/>
        </w:rPr>
        <w:t>Zehr</w:t>
      </w:r>
      <w:proofErr w:type="spellEnd"/>
      <w:r w:rsidRPr="00693DE6">
        <w:rPr>
          <w:rFonts w:ascii="Times New Roman" w:hAnsi="Times New Roman"/>
          <w:szCs w:val="24"/>
        </w:rPr>
        <w:t xml:space="preserve">, </w:t>
      </w:r>
      <w:r w:rsidR="00CF07BF" w:rsidRPr="00693DE6">
        <w:rPr>
          <w:rFonts w:ascii="Times New Roman" w:hAnsi="Times New Roman"/>
          <w:szCs w:val="24"/>
        </w:rPr>
        <w:t>‘</w:t>
      </w:r>
      <w:r w:rsidRPr="00E63585">
        <w:rPr>
          <w:rFonts w:ascii="Times New Roman" w:hAnsi="Times New Roman"/>
          <w:szCs w:val="24"/>
        </w:rPr>
        <w:t>the father of restorative justice</w:t>
      </w:r>
      <w:r w:rsidR="00CF07BF" w:rsidRPr="00E63585">
        <w:rPr>
          <w:rFonts w:ascii="Times New Roman" w:hAnsi="Times New Roman"/>
          <w:szCs w:val="24"/>
        </w:rPr>
        <w:t>’</w:t>
      </w:r>
      <w:r w:rsidRPr="00693DE6">
        <w:rPr>
          <w:rFonts w:ascii="Times New Roman" w:hAnsi="Times New Roman"/>
          <w:szCs w:val="24"/>
        </w:rPr>
        <w:t xml:space="preserve"> classifies information as a type of victims’ need.</w:t>
      </w:r>
      <w:r w:rsidR="00CF07BF" w:rsidRPr="00693DE6">
        <w:rPr>
          <w:rStyle w:val="FootnoteReference"/>
          <w:rFonts w:ascii="Times New Roman" w:hAnsi="Times New Roman"/>
          <w:szCs w:val="24"/>
        </w:rPr>
        <w:footnoteReference w:id="151"/>
      </w:r>
      <w:r w:rsidR="00484764" w:rsidRPr="00693DE6">
        <w:rPr>
          <w:rFonts w:ascii="Times New Roman" w:hAnsi="Times New Roman"/>
          <w:szCs w:val="24"/>
        </w:rPr>
        <w:t xml:space="preserve"> His studies reveal</w:t>
      </w:r>
      <w:r w:rsidRPr="00693DE6">
        <w:rPr>
          <w:rFonts w:ascii="Times New Roman" w:hAnsi="Times New Roman"/>
          <w:szCs w:val="24"/>
        </w:rPr>
        <w:t xml:space="preserve"> victims</w:t>
      </w:r>
      <w:r w:rsidR="00484764" w:rsidRPr="00693DE6">
        <w:rPr>
          <w:rFonts w:ascii="Times New Roman" w:hAnsi="Times New Roman"/>
          <w:szCs w:val="24"/>
        </w:rPr>
        <w:t>’ need for</w:t>
      </w:r>
      <w:r w:rsidRPr="00693DE6">
        <w:rPr>
          <w:rFonts w:ascii="Times New Roman" w:hAnsi="Times New Roman"/>
          <w:szCs w:val="24"/>
        </w:rPr>
        <w:t xml:space="preserve"> real information abo</w:t>
      </w:r>
      <w:r w:rsidR="00484764" w:rsidRPr="00693DE6">
        <w:rPr>
          <w:rFonts w:ascii="Times New Roman" w:hAnsi="Times New Roman"/>
          <w:szCs w:val="24"/>
        </w:rPr>
        <w:t xml:space="preserve">ut why the offence happened </w:t>
      </w:r>
      <w:r w:rsidR="000D3B3C">
        <w:rPr>
          <w:rFonts w:ascii="Times New Roman" w:hAnsi="Times New Roman"/>
          <w:szCs w:val="24"/>
        </w:rPr>
        <w:t xml:space="preserve">as well as </w:t>
      </w:r>
      <w:r w:rsidR="00484764" w:rsidRPr="00693DE6">
        <w:rPr>
          <w:rFonts w:ascii="Times New Roman" w:hAnsi="Times New Roman"/>
          <w:szCs w:val="24"/>
        </w:rPr>
        <w:t xml:space="preserve">updates after the commission of the </w:t>
      </w:r>
      <w:r w:rsidR="000D3B3C">
        <w:rPr>
          <w:rFonts w:ascii="Times New Roman" w:hAnsi="Times New Roman"/>
          <w:szCs w:val="24"/>
        </w:rPr>
        <w:t>crim</w:t>
      </w:r>
      <w:r w:rsidR="00484764" w:rsidRPr="00693DE6">
        <w:rPr>
          <w:rFonts w:ascii="Times New Roman" w:hAnsi="Times New Roman"/>
          <w:szCs w:val="24"/>
        </w:rPr>
        <w:t>e.</w:t>
      </w:r>
      <w:r w:rsidR="000D3B3C">
        <w:rPr>
          <w:rFonts w:ascii="Times New Roman" w:hAnsi="Times New Roman"/>
          <w:szCs w:val="24"/>
        </w:rPr>
        <w:t xml:space="preserve"> </w:t>
      </w:r>
      <w:r w:rsidRPr="00693DE6">
        <w:rPr>
          <w:rFonts w:ascii="Times New Roman" w:hAnsi="Times New Roman"/>
          <w:szCs w:val="24"/>
        </w:rPr>
        <w:t>Interestingly, he points out that this information should go beyond ‘</w:t>
      </w:r>
      <w:r w:rsidRPr="00693DE6">
        <w:rPr>
          <w:rFonts w:ascii="Times New Roman" w:hAnsi="Times New Roman"/>
          <w:i/>
          <w:szCs w:val="24"/>
        </w:rPr>
        <w:t>speculation</w:t>
      </w:r>
      <w:r w:rsidRPr="00693DE6">
        <w:rPr>
          <w:rFonts w:ascii="Times New Roman" w:hAnsi="Times New Roman"/>
          <w:szCs w:val="24"/>
        </w:rPr>
        <w:t>’ and ‘</w:t>
      </w:r>
      <w:r w:rsidRPr="00693DE6">
        <w:rPr>
          <w:rFonts w:ascii="Times New Roman" w:hAnsi="Times New Roman"/>
          <w:i/>
          <w:szCs w:val="24"/>
        </w:rPr>
        <w:t>legally constrained’</w:t>
      </w:r>
      <w:r w:rsidR="000D3B3C">
        <w:rPr>
          <w:rFonts w:ascii="Times New Roman" w:hAnsi="Times New Roman"/>
          <w:i/>
          <w:szCs w:val="24"/>
        </w:rPr>
        <w:t xml:space="preserve"> </w:t>
      </w:r>
      <w:r w:rsidR="000D3B3C">
        <w:rPr>
          <w:rFonts w:ascii="Times New Roman" w:hAnsi="Times New Roman"/>
          <w:iCs/>
          <w:szCs w:val="24"/>
        </w:rPr>
        <w:t>details</w:t>
      </w:r>
      <w:r w:rsidR="002B327F">
        <w:rPr>
          <w:rFonts w:ascii="Times New Roman" w:hAnsi="Times New Roman"/>
          <w:i/>
          <w:szCs w:val="24"/>
        </w:rPr>
        <w:t>, emanating</w:t>
      </w:r>
      <w:r w:rsidRPr="00693DE6">
        <w:rPr>
          <w:rFonts w:ascii="Times New Roman" w:hAnsi="Times New Roman"/>
          <w:szCs w:val="24"/>
        </w:rPr>
        <w:t xml:space="preserve"> from trial</w:t>
      </w:r>
      <w:r w:rsidR="000D3B3C">
        <w:rPr>
          <w:rFonts w:ascii="Times New Roman" w:hAnsi="Times New Roman"/>
          <w:szCs w:val="24"/>
        </w:rPr>
        <w:t xml:space="preserve"> </w:t>
      </w:r>
      <w:r w:rsidRPr="00693DE6">
        <w:rPr>
          <w:rFonts w:ascii="Times New Roman" w:hAnsi="Times New Roman"/>
          <w:szCs w:val="24"/>
        </w:rPr>
        <w:t>proceedings</w:t>
      </w:r>
      <w:r w:rsidR="000D3B3C">
        <w:rPr>
          <w:rFonts w:ascii="Times New Roman" w:hAnsi="Times New Roman"/>
          <w:szCs w:val="24"/>
        </w:rPr>
        <w:t xml:space="preserve"> or plea bargaining</w:t>
      </w:r>
      <w:r w:rsidRPr="00693DE6">
        <w:rPr>
          <w:rFonts w:ascii="Times New Roman" w:hAnsi="Times New Roman"/>
          <w:szCs w:val="24"/>
        </w:rPr>
        <w:t>.</w:t>
      </w:r>
      <w:r w:rsidRPr="00693DE6">
        <w:rPr>
          <w:rStyle w:val="FootnoteReference"/>
          <w:rFonts w:ascii="Times New Roman" w:hAnsi="Times New Roman"/>
          <w:szCs w:val="24"/>
        </w:rPr>
        <w:footnoteReference w:id="152"/>
      </w:r>
      <w:r w:rsidR="000D3B3C">
        <w:rPr>
          <w:rFonts w:ascii="Times New Roman" w:hAnsi="Times New Roman"/>
          <w:szCs w:val="24"/>
        </w:rPr>
        <w:t xml:space="preserve">Instead, this information should update the victims and clear out speculations. </w:t>
      </w:r>
      <w:r w:rsidRPr="00693DE6">
        <w:rPr>
          <w:rFonts w:ascii="Times New Roman" w:hAnsi="Times New Roman"/>
          <w:szCs w:val="24"/>
        </w:rPr>
        <w:t>It is noteworthy that this commentator’s analysis restricts victims’ informational needs to why</w:t>
      </w:r>
      <w:r w:rsidR="00CF07BF" w:rsidRPr="00693DE6">
        <w:rPr>
          <w:rFonts w:ascii="Times New Roman" w:hAnsi="Times New Roman"/>
          <w:szCs w:val="24"/>
        </w:rPr>
        <w:t xml:space="preserve"> the offence was committed and</w:t>
      </w:r>
      <w:r w:rsidRPr="00693DE6">
        <w:rPr>
          <w:rFonts w:ascii="Times New Roman" w:hAnsi="Times New Roman"/>
          <w:szCs w:val="24"/>
        </w:rPr>
        <w:t xml:space="preserve">, what has happened after the </w:t>
      </w:r>
      <w:r w:rsidR="00700C62">
        <w:rPr>
          <w:rFonts w:ascii="Times New Roman" w:hAnsi="Times New Roman"/>
          <w:szCs w:val="24"/>
        </w:rPr>
        <w:t>crim</w:t>
      </w:r>
      <w:r w:rsidRPr="00693DE6">
        <w:rPr>
          <w:rFonts w:ascii="Times New Roman" w:hAnsi="Times New Roman"/>
          <w:szCs w:val="24"/>
        </w:rPr>
        <w:t>e; he termed this as ‘</w:t>
      </w:r>
      <w:r w:rsidRPr="00693DE6">
        <w:rPr>
          <w:rFonts w:ascii="Times New Roman" w:hAnsi="Times New Roman"/>
          <w:i/>
          <w:szCs w:val="24"/>
        </w:rPr>
        <w:t xml:space="preserve">real </w:t>
      </w:r>
      <w:r w:rsidRPr="00693DE6">
        <w:rPr>
          <w:rFonts w:ascii="Times New Roman" w:hAnsi="Times New Roman"/>
          <w:i/>
          <w:szCs w:val="24"/>
        </w:rPr>
        <w:lastRenderedPageBreak/>
        <w:t>information.’</w:t>
      </w:r>
      <w:r w:rsidRPr="00693DE6">
        <w:rPr>
          <w:rFonts w:ascii="Times New Roman" w:hAnsi="Times New Roman"/>
          <w:szCs w:val="24"/>
        </w:rPr>
        <w:t xml:space="preserve"> From his findings, little is known about the i</w:t>
      </w:r>
      <w:r w:rsidR="00E63585">
        <w:rPr>
          <w:rFonts w:ascii="Times New Roman" w:hAnsi="Times New Roman"/>
          <w:szCs w:val="24"/>
        </w:rPr>
        <w:t>nformational needs of victims during the trial process.</w:t>
      </w:r>
      <w:r w:rsidR="00D739F5" w:rsidRPr="00693DE6">
        <w:rPr>
          <w:rFonts w:ascii="Times New Roman" w:hAnsi="Times New Roman"/>
          <w:szCs w:val="24"/>
        </w:rPr>
        <w:t xml:space="preserve"> He </w:t>
      </w:r>
      <w:r w:rsidR="00E63585">
        <w:rPr>
          <w:rFonts w:ascii="Times New Roman" w:hAnsi="Times New Roman"/>
          <w:szCs w:val="24"/>
        </w:rPr>
        <w:t>believes these victims’ needs wer</w:t>
      </w:r>
      <w:r w:rsidR="00D739F5" w:rsidRPr="00693DE6">
        <w:rPr>
          <w:rFonts w:ascii="Times New Roman" w:hAnsi="Times New Roman"/>
          <w:szCs w:val="24"/>
        </w:rPr>
        <w:t>e not being adequately met in the international criminal justice system.</w:t>
      </w:r>
      <w:r w:rsidR="00D739F5" w:rsidRPr="00693DE6">
        <w:rPr>
          <w:rStyle w:val="FootnoteReference"/>
          <w:rFonts w:ascii="Times New Roman" w:hAnsi="Times New Roman"/>
          <w:szCs w:val="24"/>
        </w:rPr>
        <w:footnoteReference w:id="153"/>
      </w:r>
      <w:r w:rsidR="002B327F">
        <w:rPr>
          <w:rFonts w:ascii="Times New Roman" w:hAnsi="Times New Roman"/>
          <w:szCs w:val="24"/>
        </w:rPr>
        <w:t xml:space="preserve">Moffett also recommends </w:t>
      </w:r>
      <w:r w:rsidR="00D1410A">
        <w:rPr>
          <w:rFonts w:ascii="Times New Roman" w:hAnsi="Times New Roman"/>
          <w:szCs w:val="24"/>
        </w:rPr>
        <w:t>enhancing</w:t>
      </w:r>
      <w:r w:rsidR="002B327F">
        <w:rPr>
          <w:rFonts w:ascii="Times New Roman" w:hAnsi="Times New Roman"/>
          <w:szCs w:val="24"/>
        </w:rPr>
        <w:t xml:space="preserve"> victims'</w:t>
      </w:r>
      <w:r w:rsidR="00D739F5" w:rsidRPr="00693DE6">
        <w:rPr>
          <w:rFonts w:ascii="Times New Roman" w:hAnsi="Times New Roman"/>
          <w:szCs w:val="24"/>
        </w:rPr>
        <w:t xml:space="preserve"> needs in the criminal justice system</w:t>
      </w:r>
      <w:r w:rsidR="002B327F">
        <w:rPr>
          <w:rFonts w:ascii="Times New Roman" w:hAnsi="Times New Roman"/>
          <w:szCs w:val="24"/>
        </w:rPr>
        <w:t>;</w:t>
      </w:r>
      <w:r w:rsidR="00D739F5" w:rsidRPr="00693DE6">
        <w:rPr>
          <w:rFonts w:ascii="Times New Roman" w:hAnsi="Times New Roman"/>
          <w:szCs w:val="24"/>
        </w:rPr>
        <w:t xml:space="preserve"> more consideration should be given to procedural and substantive justice, rather than focusing on restorative justice.</w:t>
      </w:r>
      <w:r w:rsidR="00D739F5" w:rsidRPr="00693DE6">
        <w:rPr>
          <w:rStyle w:val="FootnoteReference"/>
          <w:rFonts w:ascii="Times New Roman" w:hAnsi="Times New Roman"/>
          <w:szCs w:val="24"/>
        </w:rPr>
        <w:footnoteReference w:id="154"/>
      </w:r>
      <w:r w:rsidR="00D739F5" w:rsidRPr="00693DE6">
        <w:rPr>
          <w:rFonts w:ascii="Times New Roman" w:hAnsi="Times New Roman"/>
          <w:szCs w:val="24"/>
        </w:rPr>
        <w:t>This</w:t>
      </w:r>
      <w:r w:rsidR="002B24F5">
        <w:rPr>
          <w:rFonts w:ascii="Times New Roman" w:hAnsi="Times New Roman"/>
          <w:szCs w:val="24"/>
        </w:rPr>
        <w:t xml:space="preserve"> submission</w:t>
      </w:r>
      <w:r w:rsidR="00D739F5" w:rsidRPr="00693DE6">
        <w:rPr>
          <w:rFonts w:ascii="Times New Roman" w:hAnsi="Times New Roman"/>
          <w:szCs w:val="24"/>
        </w:rPr>
        <w:t xml:space="preserve"> highlights the importance of victims’ contribution to criminal proce</w:t>
      </w:r>
      <w:r w:rsidR="007E53F6" w:rsidRPr="00693DE6">
        <w:rPr>
          <w:rFonts w:ascii="Times New Roman" w:hAnsi="Times New Roman"/>
          <w:szCs w:val="24"/>
        </w:rPr>
        <w:t>edings, sentencing and decision-</w:t>
      </w:r>
      <w:r w:rsidR="00D739F5" w:rsidRPr="00693DE6">
        <w:rPr>
          <w:rFonts w:ascii="Times New Roman" w:hAnsi="Times New Roman"/>
          <w:szCs w:val="24"/>
        </w:rPr>
        <w:t>making.</w:t>
      </w:r>
    </w:p>
    <w:p w14:paraId="01D5B73D" w14:textId="777826DA" w:rsidR="000504F4" w:rsidRPr="00693DE6" w:rsidRDefault="006E599E" w:rsidP="000504F4">
      <w:pPr>
        <w:spacing w:line="480" w:lineRule="auto"/>
        <w:jc w:val="both"/>
        <w:rPr>
          <w:rFonts w:ascii="Times New Roman" w:hAnsi="Times New Roman"/>
          <w:szCs w:val="24"/>
        </w:rPr>
      </w:pPr>
      <w:r>
        <w:rPr>
          <w:rFonts w:ascii="Times New Roman" w:hAnsi="Times New Roman"/>
          <w:szCs w:val="24"/>
        </w:rPr>
        <w:t>V</w:t>
      </w:r>
      <w:r w:rsidR="000504F4" w:rsidRPr="00693DE6">
        <w:rPr>
          <w:rFonts w:ascii="Times New Roman" w:hAnsi="Times New Roman"/>
          <w:szCs w:val="24"/>
        </w:rPr>
        <w:t>ictims need to get information about the kinds of services available to them before, during and after the criminal investigation and during criminal proceedings.</w:t>
      </w:r>
      <w:r w:rsidR="000504F4" w:rsidRPr="00693DE6">
        <w:rPr>
          <w:rStyle w:val="FootnoteReference"/>
          <w:rFonts w:ascii="Times New Roman" w:hAnsi="Times New Roman"/>
          <w:szCs w:val="24"/>
        </w:rPr>
        <w:footnoteReference w:id="155"/>
      </w:r>
      <w:r w:rsidR="000504F4" w:rsidRPr="00693DE6">
        <w:rPr>
          <w:rFonts w:ascii="Times New Roman" w:hAnsi="Times New Roman"/>
          <w:szCs w:val="24"/>
        </w:rPr>
        <w:t xml:space="preserve">They need to know if provisions will be made for victim protection programs, what it entails and medical services. Similarly, victims also need to </w:t>
      </w:r>
      <w:r>
        <w:rPr>
          <w:rFonts w:ascii="Times New Roman" w:hAnsi="Times New Roman"/>
          <w:szCs w:val="24"/>
        </w:rPr>
        <w:t>understand</w:t>
      </w:r>
      <w:r w:rsidR="000504F4" w:rsidRPr="00693DE6">
        <w:rPr>
          <w:rFonts w:ascii="Times New Roman" w:hAnsi="Times New Roman"/>
          <w:szCs w:val="24"/>
        </w:rPr>
        <w:t xml:space="preserve"> how the police and criminal justice processes operate. Th</w:t>
      </w:r>
      <w:r w:rsidR="0012481D">
        <w:rPr>
          <w:rFonts w:ascii="Times New Roman" w:hAnsi="Times New Roman"/>
          <w:szCs w:val="24"/>
        </w:rPr>
        <w:t>e information</w:t>
      </w:r>
      <w:r w:rsidR="000504F4" w:rsidRPr="00693DE6">
        <w:rPr>
          <w:rFonts w:ascii="Times New Roman" w:hAnsi="Times New Roman"/>
          <w:szCs w:val="24"/>
        </w:rPr>
        <w:t xml:space="preserve"> will enable them to know at what point they can get involved in the investigation or trial. Victims will also want to know if </w:t>
      </w:r>
      <w:r w:rsidR="00700C62">
        <w:rPr>
          <w:rFonts w:ascii="Times New Roman" w:hAnsi="Times New Roman"/>
          <w:szCs w:val="24"/>
        </w:rPr>
        <w:t>the state will provide any medical care or compensation</w:t>
      </w:r>
      <w:r w:rsidR="000504F4" w:rsidRPr="00693DE6">
        <w:rPr>
          <w:rFonts w:ascii="Times New Roman" w:hAnsi="Times New Roman"/>
          <w:szCs w:val="24"/>
        </w:rPr>
        <w:t>.</w:t>
      </w:r>
      <w:r w:rsidR="000504F4" w:rsidRPr="00693DE6">
        <w:rPr>
          <w:rStyle w:val="FootnoteReference"/>
          <w:rFonts w:ascii="Times New Roman" w:hAnsi="Times New Roman"/>
          <w:szCs w:val="24"/>
        </w:rPr>
        <w:footnoteReference w:id="156"/>
      </w:r>
      <w:r w:rsidR="000504F4" w:rsidRPr="000504F4">
        <w:rPr>
          <w:rFonts w:ascii="Times New Roman" w:hAnsi="Times New Roman"/>
          <w:szCs w:val="24"/>
        </w:rPr>
        <w:t xml:space="preserve"> </w:t>
      </w:r>
      <w:r w:rsidR="000504F4">
        <w:rPr>
          <w:rFonts w:ascii="Times New Roman" w:hAnsi="Times New Roman"/>
          <w:szCs w:val="24"/>
        </w:rPr>
        <w:t>Inadequate information may frustrate victims or lead to seco</w:t>
      </w:r>
      <w:r>
        <w:rPr>
          <w:rFonts w:ascii="Times New Roman" w:hAnsi="Times New Roman"/>
          <w:szCs w:val="24"/>
        </w:rPr>
        <w:t>n</w:t>
      </w:r>
      <w:r w:rsidR="000504F4">
        <w:rPr>
          <w:rFonts w:ascii="Times New Roman" w:hAnsi="Times New Roman"/>
          <w:szCs w:val="24"/>
        </w:rPr>
        <w:t>dary victim</w:t>
      </w:r>
      <w:r>
        <w:rPr>
          <w:rFonts w:ascii="Times New Roman" w:hAnsi="Times New Roman"/>
          <w:szCs w:val="24"/>
        </w:rPr>
        <w:t>i</w:t>
      </w:r>
      <w:r w:rsidR="000504F4">
        <w:rPr>
          <w:rFonts w:ascii="Times New Roman" w:hAnsi="Times New Roman"/>
          <w:szCs w:val="24"/>
        </w:rPr>
        <w:t>sation.</w:t>
      </w:r>
      <w:r w:rsidR="00700C62">
        <w:rPr>
          <w:rFonts w:ascii="Times New Roman" w:hAnsi="Times New Roman"/>
          <w:szCs w:val="24"/>
        </w:rPr>
        <w:t xml:space="preserve"> </w:t>
      </w:r>
      <w:r w:rsidR="000504F4" w:rsidRPr="00693DE6">
        <w:rPr>
          <w:rFonts w:ascii="Times New Roman" w:hAnsi="Times New Roman"/>
          <w:szCs w:val="24"/>
        </w:rPr>
        <w:t xml:space="preserve">It follows that if victims receive this information, it will </w:t>
      </w:r>
      <w:r w:rsidR="002B327F">
        <w:rPr>
          <w:rFonts w:ascii="Times New Roman" w:hAnsi="Times New Roman"/>
          <w:szCs w:val="24"/>
        </w:rPr>
        <w:t xml:space="preserve">assist them </w:t>
      </w:r>
      <w:r w:rsidR="000504F4" w:rsidRPr="00693DE6">
        <w:rPr>
          <w:rFonts w:ascii="Times New Roman" w:hAnsi="Times New Roman"/>
          <w:szCs w:val="24"/>
        </w:rPr>
        <w:t>pursue other rights and entitlements.</w:t>
      </w:r>
    </w:p>
    <w:p w14:paraId="59346FD5" w14:textId="1B7966D3" w:rsidR="00E63585" w:rsidRDefault="004A5574" w:rsidP="00693DE6">
      <w:pPr>
        <w:spacing w:line="480" w:lineRule="auto"/>
        <w:jc w:val="both"/>
        <w:rPr>
          <w:rFonts w:ascii="Times New Roman" w:hAnsi="Times New Roman"/>
          <w:szCs w:val="24"/>
        </w:rPr>
      </w:pPr>
      <w:proofErr w:type="spellStart"/>
      <w:r w:rsidRPr="00693DE6">
        <w:rPr>
          <w:rFonts w:ascii="Times New Roman" w:hAnsi="Times New Roman"/>
          <w:szCs w:val="24"/>
        </w:rPr>
        <w:lastRenderedPageBreak/>
        <w:t>Doak</w:t>
      </w:r>
      <w:proofErr w:type="spellEnd"/>
      <w:r w:rsidRPr="00693DE6">
        <w:rPr>
          <w:rFonts w:ascii="Times New Roman" w:hAnsi="Times New Roman"/>
          <w:szCs w:val="24"/>
        </w:rPr>
        <w:t xml:space="preserve">, </w:t>
      </w:r>
      <w:proofErr w:type="spellStart"/>
      <w:r w:rsidRPr="00693DE6">
        <w:rPr>
          <w:rFonts w:ascii="Times New Roman" w:hAnsi="Times New Roman"/>
          <w:szCs w:val="24"/>
        </w:rPr>
        <w:t>Henham</w:t>
      </w:r>
      <w:proofErr w:type="spellEnd"/>
      <w:r w:rsidRPr="00693DE6">
        <w:rPr>
          <w:rFonts w:ascii="Times New Roman" w:hAnsi="Times New Roman"/>
          <w:szCs w:val="24"/>
        </w:rPr>
        <w:t xml:space="preserve"> and Mitchell suggest that the conferment of procedural rights on victims may undermine the </w:t>
      </w:r>
      <w:r w:rsidR="002B327F">
        <w:rPr>
          <w:rFonts w:ascii="Times New Roman" w:hAnsi="Times New Roman"/>
          <w:szCs w:val="24"/>
        </w:rPr>
        <w:t>accused's process rights</w:t>
      </w:r>
      <w:r w:rsidRPr="00693DE6">
        <w:rPr>
          <w:rFonts w:ascii="Times New Roman" w:hAnsi="Times New Roman"/>
          <w:szCs w:val="24"/>
        </w:rPr>
        <w:t>.</w:t>
      </w:r>
      <w:r w:rsidRPr="00693DE6">
        <w:rPr>
          <w:rStyle w:val="FootnoteReference"/>
          <w:rFonts w:ascii="Times New Roman" w:hAnsi="Times New Roman"/>
          <w:szCs w:val="24"/>
        </w:rPr>
        <w:footnoteReference w:id="157"/>
      </w:r>
      <w:r w:rsidR="00062186">
        <w:rPr>
          <w:rFonts w:ascii="Times New Roman" w:hAnsi="Times New Roman"/>
          <w:szCs w:val="24"/>
        </w:rPr>
        <w:t>By implication,</w:t>
      </w:r>
      <w:r w:rsidR="004427AC" w:rsidRPr="00693DE6">
        <w:rPr>
          <w:rFonts w:ascii="Times New Roman" w:hAnsi="Times New Roman"/>
          <w:szCs w:val="24"/>
        </w:rPr>
        <w:t xml:space="preserve"> if rights are granted to victims to even out the imbalance between the victims and the defence, this may increase victim</w:t>
      </w:r>
      <w:r w:rsidR="002B327F">
        <w:rPr>
          <w:rFonts w:ascii="Times New Roman" w:hAnsi="Times New Roman"/>
          <w:szCs w:val="24"/>
        </w:rPr>
        <w:t>s' access to justice</w:t>
      </w:r>
      <w:r w:rsidR="006709FC">
        <w:rPr>
          <w:rFonts w:ascii="Times New Roman" w:hAnsi="Times New Roman"/>
          <w:szCs w:val="24"/>
        </w:rPr>
        <w:t>. Still,</w:t>
      </w:r>
      <w:r w:rsidR="002B327F">
        <w:rPr>
          <w:rFonts w:ascii="Times New Roman" w:hAnsi="Times New Roman"/>
          <w:szCs w:val="24"/>
        </w:rPr>
        <w:t xml:space="preserve"> caution must be taken so that such rights do not impede the accused's</w:t>
      </w:r>
      <w:r w:rsidR="004427AC" w:rsidRPr="00693DE6">
        <w:rPr>
          <w:rFonts w:ascii="Times New Roman" w:hAnsi="Times New Roman"/>
          <w:szCs w:val="24"/>
        </w:rPr>
        <w:t xml:space="preserve"> right to </w:t>
      </w:r>
      <w:r w:rsidR="00484764" w:rsidRPr="00693DE6">
        <w:rPr>
          <w:rFonts w:ascii="Times New Roman" w:hAnsi="Times New Roman"/>
          <w:szCs w:val="24"/>
        </w:rPr>
        <w:t xml:space="preserve">a </w:t>
      </w:r>
      <w:r w:rsidR="004427AC" w:rsidRPr="00693DE6">
        <w:rPr>
          <w:rFonts w:ascii="Times New Roman" w:hAnsi="Times New Roman"/>
          <w:szCs w:val="24"/>
        </w:rPr>
        <w:t>fair trial.</w:t>
      </w:r>
      <w:r w:rsidR="00301540" w:rsidRPr="00693DE6">
        <w:rPr>
          <w:rFonts w:ascii="Times New Roman" w:hAnsi="Times New Roman"/>
          <w:szCs w:val="24"/>
        </w:rPr>
        <w:t xml:space="preserve"> </w:t>
      </w:r>
    </w:p>
    <w:p w14:paraId="4BB334FD" w14:textId="2CF89275" w:rsidR="00D739F5" w:rsidRPr="00693DE6" w:rsidRDefault="00D739F5" w:rsidP="00693DE6">
      <w:pPr>
        <w:spacing w:line="480" w:lineRule="auto"/>
        <w:jc w:val="both"/>
        <w:rPr>
          <w:rFonts w:ascii="Times New Roman" w:hAnsi="Times New Roman"/>
          <w:szCs w:val="24"/>
        </w:rPr>
      </w:pPr>
      <w:r w:rsidRPr="00693DE6">
        <w:rPr>
          <w:rFonts w:ascii="Times New Roman" w:hAnsi="Times New Roman"/>
          <w:szCs w:val="24"/>
        </w:rPr>
        <w:t xml:space="preserve">Moffett </w:t>
      </w:r>
      <w:r w:rsidR="006709FC">
        <w:rPr>
          <w:rFonts w:ascii="Times New Roman" w:hAnsi="Times New Roman"/>
          <w:szCs w:val="24"/>
        </w:rPr>
        <w:t>believes</w:t>
      </w:r>
      <w:r w:rsidRPr="00693DE6">
        <w:rPr>
          <w:rFonts w:ascii="Times New Roman" w:hAnsi="Times New Roman"/>
          <w:szCs w:val="24"/>
        </w:rPr>
        <w:t xml:space="preserve"> that victimology and human rights play a central part in the development of victims’ rights.</w:t>
      </w:r>
      <w:r w:rsidRPr="00693DE6">
        <w:rPr>
          <w:rStyle w:val="FootnoteReference"/>
          <w:rFonts w:ascii="Times New Roman" w:hAnsi="Times New Roman"/>
          <w:szCs w:val="24"/>
        </w:rPr>
        <w:footnoteReference w:id="158"/>
      </w:r>
      <w:r w:rsidRPr="00693DE6">
        <w:rPr>
          <w:rFonts w:ascii="Times New Roman" w:hAnsi="Times New Roman"/>
          <w:szCs w:val="24"/>
        </w:rPr>
        <w:t xml:space="preserve"> However, this development is still in process because most victims’ rights </w:t>
      </w:r>
      <w:r w:rsidR="006709FC">
        <w:rPr>
          <w:rFonts w:ascii="Times New Roman" w:hAnsi="Times New Roman"/>
          <w:szCs w:val="24"/>
        </w:rPr>
        <w:t>struggle</w:t>
      </w:r>
      <w:r w:rsidR="00447DC9">
        <w:rPr>
          <w:rFonts w:ascii="Times New Roman" w:hAnsi="Times New Roman"/>
          <w:szCs w:val="24"/>
        </w:rPr>
        <w:t xml:space="preserve"> to find stability </w:t>
      </w:r>
      <w:r w:rsidRPr="00693DE6">
        <w:rPr>
          <w:rFonts w:ascii="Times New Roman" w:hAnsi="Times New Roman"/>
          <w:szCs w:val="24"/>
        </w:rPr>
        <w:t>in the criminal justice system. Some of these rights are still very much contentious.</w:t>
      </w:r>
      <w:r w:rsidR="003C0E13" w:rsidRPr="00693DE6">
        <w:rPr>
          <w:rStyle w:val="FootnoteReference"/>
          <w:rFonts w:ascii="Times New Roman" w:hAnsi="Times New Roman"/>
          <w:szCs w:val="24"/>
        </w:rPr>
        <w:footnoteReference w:id="159"/>
      </w:r>
      <w:r w:rsidRPr="00693DE6">
        <w:rPr>
          <w:rFonts w:ascii="Times New Roman" w:hAnsi="Times New Roman"/>
          <w:szCs w:val="24"/>
        </w:rPr>
        <w:t xml:space="preserve"> </w:t>
      </w:r>
      <w:r w:rsidR="00447DC9">
        <w:rPr>
          <w:rFonts w:ascii="Times New Roman" w:hAnsi="Times New Roman"/>
          <w:szCs w:val="24"/>
        </w:rPr>
        <w:t>One reasonable explanation</w:t>
      </w:r>
      <w:r w:rsidRPr="00693DE6">
        <w:rPr>
          <w:rFonts w:ascii="Times New Roman" w:hAnsi="Times New Roman"/>
          <w:szCs w:val="24"/>
        </w:rPr>
        <w:t xml:space="preserve"> is </w:t>
      </w:r>
      <w:r w:rsidR="002B327F">
        <w:rPr>
          <w:rFonts w:ascii="Times New Roman" w:hAnsi="Times New Roman"/>
          <w:szCs w:val="24"/>
        </w:rPr>
        <w:t>that victims’ procedural rights have to be balanced against the accused's rights</w:t>
      </w:r>
      <w:r w:rsidRPr="00693DE6">
        <w:rPr>
          <w:rFonts w:ascii="Times New Roman" w:hAnsi="Times New Roman"/>
          <w:szCs w:val="24"/>
        </w:rPr>
        <w:t>.</w:t>
      </w:r>
    </w:p>
    <w:p w14:paraId="3504BC5B" w14:textId="749C07C8" w:rsidR="00D739F5" w:rsidRPr="00693DE6" w:rsidRDefault="00E63585" w:rsidP="00693DE6">
      <w:pPr>
        <w:spacing w:line="480" w:lineRule="auto"/>
        <w:jc w:val="both"/>
        <w:rPr>
          <w:rFonts w:ascii="Times New Roman" w:hAnsi="Times New Roman"/>
          <w:szCs w:val="24"/>
        </w:rPr>
      </w:pPr>
      <w:r>
        <w:rPr>
          <w:rFonts w:ascii="Times New Roman" w:hAnsi="Times New Roman"/>
          <w:szCs w:val="24"/>
        </w:rPr>
        <w:t>The debate over</w:t>
      </w:r>
      <w:r w:rsidR="00D739F5" w:rsidRPr="00693DE6">
        <w:rPr>
          <w:rFonts w:ascii="Times New Roman" w:hAnsi="Times New Roman"/>
          <w:szCs w:val="24"/>
        </w:rPr>
        <w:t xml:space="preserve"> the rights of victims</w:t>
      </w:r>
      <w:r>
        <w:rPr>
          <w:rFonts w:ascii="Times New Roman" w:hAnsi="Times New Roman"/>
          <w:szCs w:val="24"/>
        </w:rPr>
        <w:t xml:space="preserve"> has now become central to the discussions of </w:t>
      </w:r>
      <w:r w:rsidR="00D739F5" w:rsidRPr="00693DE6">
        <w:rPr>
          <w:rFonts w:ascii="Times New Roman" w:hAnsi="Times New Roman"/>
          <w:szCs w:val="24"/>
        </w:rPr>
        <w:t xml:space="preserve">international criminal justice. Commentators like </w:t>
      </w:r>
      <w:r w:rsidR="003D3FA6" w:rsidRPr="00693DE6">
        <w:rPr>
          <w:rFonts w:ascii="Times New Roman" w:hAnsi="Times New Roman"/>
          <w:szCs w:val="24"/>
        </w:rPr>
        <w:t>Spiga Hoyle and Ullrich observe</w:t>
      </w:r>
      <w:r w:rsidR="00D739F5" w:rsidRPr="00693DE6">
        <w:rPr>
          <w:rFonts w:ascii="Times New Roman" w:hAnsi="Times New Roman"/>
          <w:szCs w:val="24"/>
        </w:rPr>
        <w:t xml:space="preserve"> that </w:t>
      </w:r>
      <w:r w:rsidR="002B327F">
        <w:rPr>
          <w:rFonts w:ascii="Times New Roman" w:hAnsi="Times New Roman"/>
          <w:szCs w:val="24"/>
        </w:rPr>
        <w:t>victims' rights in international criminal justice have</w:t>
      </w:r>
      <w:r w:rsidR="00D739F5" w:rsidRPr="00693DE6">
        <w:rPr>
          <w:rFonts w:ascii="Times New Roman" w:hAnsi="Times New Roman"/>
          <w:szCs w:val="24"/>
        </w:rPr>
        <w:t xml:space="preserve"> become a focal point.</w:t>
      </w:r>
      <w:r w:rsidR="00D739F5" w:rsidRPr="00693DE6">
        <w:rPr>
          <w:rStyle w:val="FootnoteReference"/>
          <w:rFonts w:ascii="Times New Roman" w:hAnsi="Times New Roman"/>
          <w:szCs w:val="24"/>
        </w:rPr>
        <w:footnoteReference w:id="160"/>
      </w:r>
      <w:r w:rsidR="00D739F5" w:rsidRPr="00693DE6">
        <w:rPr>
          <w:rFonts w:ascii="Times New Roman" w:hAnsi="Times New Roman"/>
          <w:szCs w:val="24"/>
        </w:rPr>
        <w:t xml:space="preserve"> </w:t>
      </w:r>
      <w:r w:rsidR="0012481D">
        <w:rPr>
          <w:rFonts w:ascii="Times New Roman" w:hAnsi="Times New Roman"/>
          <w:szCs w:val="24"/>
        </w:rPr>
        <w:t>Moreover,</w:t>
      </w:r>
      <w:r w:rsidR="00D739F5" w:rsidRPr="00693DE6">
        <w:rPr>
          <w:rFonts w:ascii="Times New Roman" w:hAnsi="Times New Roman"/>
          <w:szCs w:val="24"/>
        </w:rPr>
        <w:t xml:space="preserve"> as mentioned earlier, this is </w:t>
      </w:r>
      <w:r w:rsidR="002B327F">
        <w:rPr>
          <w:rFonts w:ascii="Times New Roman" w:hAnsi="Times New Roman"/>
          <w:szCs w:val="24"/>
        </w:rPr>
        <w:t>partly due</w:t>
      </w:r>
      <w:r w:rsidR="00D739F5" w:rsidRPr="00693DE6">
        <w:rPr>
          <w:rFonts w:ascii="Times New Roman" w:hAnsi="Times New Roman"/>
          <w:szCs w:val="24"/>
        </w:rPr>
        <w:t xml:space="preserve"> to the argument that victims’ involvement in international criminal justice is essential to </w:t>
      </w:r>
      <w:r w:rsidR="00205912">
        <w:rPr>
          <w:rFonts w:ascii="Times New Roman" w:hAnsi="Times New Roman"/>
          <w:szCs w:val="24"/>
        </w:rPr>
        <w:t xml:space="preserve">international criminal proceedings' </w:t>
      </w:r>
      <w:r w:rsidR="00205912">
        <w:rPr>
          <w:rFonts w:ascii="Times New Roman" w:hAnsi="Times New Roman"/>
          <w:szCs w:val="24"/>
        </w:rPr>
        <w:lastRenderedPageBreak/>
        <w:t>legitimacy and effectivenes</w:t>
      </w:r>
      <w:r w:rsidR="00D739F5" w:rsidRPr="00693DE6">
        <w:rPr>
          <w:rFonts w:ascii="Times New Roman" w:hAnsi="Times New Roman"/>
          <w:szCs w:val="24"/>
        </w:rPr>
        <w:t>s.</w:t>
      </w:r>
      <w:r w:rsidR="00D739F5" w:rsidRPr="00693DE6">
        <w:rPr>
          <w:rStyle w:val="FootnoteReference"/>
          <w:rFonts w:ascii="Times New Roman" w:hAnsi="Times New Roman"/>
          <w:szCs w:val="24"/>
        </w:rPr>
        <w:footnoteReference w:id="161"/>
      </w:r>
      <w:r w:rsidR="00D739F5" w:rsidRPr="00693DE6">
        <w:rPr>
          <w:rFonts w:ascii="Times New Roman" w:hAnsi="Times New Roman"/>
          <w:szCs w:val="24"/>
        </w:rPr>
        <w:t>Therefore, it has been theorised that victims’ perceptions o</w:t>
      </w:r>
      <w:r w:rsidR="005A097B" w:rsidRPr="00693DE6">
        <w:rPr>
          <w:rFonts w:ascii="Times New Roman" w:hAnsi="Times New Roman"/>
          <w:szCs w:val="24"/>
        </w:rPr>
        <w:t>f</w:t>
      </w:r>
      <w:r w:rsidR="00D739F5" w:rsidRPr="00693DE6">
        <w:rPr>
          <w:rFonts w:ascii="Times New Roman" w:hAnsi="Times New Roman"/>
          <w:szCs w:val="24"/>
        </w:rPr>
        <w:t xml:space="preserve"> </w:t>
      </w:r>
      <w:r w:rsidR="00E82401">
        <w:rPr>
          <w:rFonts w:ascii="Times New Roman" w:hAnsi="Times New Roman"/>
          <w:szCs w:val="24"/>
        </w:rPr>
        <w:t xml:space="preserve">the proceedings </w:t>
      </w:r>
      <w:r w:rsidR="00D739F5" w:rsidRPr="00693DE6">
        <w:rPr>
          <w:rFonts w:ascii="Times New Roman" w:hAnsi="Times New Roman"/>
          <w:szCs w:val="24"/>
        </w:rPr>
        <w:t xml:space="preserve">confirm </w:t>
      </w:r>
      <w:r w:rsidR="005A097B" w:rsidRPr="00693DE6">
        <w:rPr>
          <w:rFonts w:ascii="Times New Roman" w:hAnsi="Times New Roman"/>
          <w:szCs w:val="24"/>
        </w:rPr>
        <w:t xml:space="preserve">the </w:t>
      </w:r>
      <w:r w:rsidR="00A17707">
        <w:rPr>
          <w:rFonts w:ascii="Times New Roman" w:hAnsi="Times New Roman"/>
          <w:szCs w:val="24"/>
        </w:rPr>
        <w:t>legitimacy of the criminal justice system</w:t>
      </w:r>
      <w:r w:rsidR="00D739F5" w:rsidRPr="00693DE6">
        <w:rPr>
          <w:rFonts w:ascii="Times New Roman" w:hAnsi="Times New Roman"/>
          <w:szCs w:val="24"/>
        </w:rPr>
        <w:t>.</w:t>
      </w:r>
      <w:r w:rsidR="008B5124" w:rsidRPr="00693DE6">
        <w:rPr>
          <w:rStyle w:val="FootnoteReference"/>
          <w:rFonts w:ascii="Times New Roman" w:hAnsi="Times New Roman"/>
          <w:szCs w:val="24"/>
        </w:rPr>
        <w:footnoteReference w:id="162"/>
      </w:r>
      <w:r w:rsidR="00D739F5" w:rsidRPr="00693DE6">
        <w:rPr>
          <w:rFonts w:ascii="Times New Roman" w:hAnsi="Times New Roman"/>
          <w:szCs w:val="24"/>
        </w:rPr>
        <w:t xml:space="preserve"> As such, one may conclude that victims are gradually becoming</w:t>
      </w:r>
      <w:r w:rsidR="002541DC">
        <w:rPr>
          <w:rFonts w:ascii="Times New Roman" w:hAnsi="Times New Roman"/>
          <w:szCs w:val="24"/>
        </w:rPr>
        <w:t xml:space="preserve"> more</w:t>
      </w:r>
      <w:r w:rsidR="00D739F5" w:rsidRPr="00693DE6">
        <w:rPr>
          <w:rFonts w:ascii="Times New Roman" w:hAnsi="Times New Roman"/>
          <w:szCs w:val="24"/>
        </w:rPr>
        <w:t xml:space="preserve"> significant in the criminal justice system. The quality of criminal trials and </w:t>
      </w:r>
      <w:r w:rsidR="00A17707">
        <w:rPr>
          <w:rFonts w:ascii="Times New Roman" w:hAnsi="Times New Roman"/>
          <w:szCs w:val="24"/>
        </w:rPr>
        <w:t>victims' willingnes</w:t>
      </w:r>
      <w:r w:rsidR="00D739F5" w:rsidRPr="00693DE6">
        <w:rPr>
          <w:rFonts w:ascii="Times New Roman" w:hAnsi="Times New Roman"/>
          <w:szCs w:val="24"/>
        </w:rPr>
        <w:t>s to accept and abide by the</w:t>
      </w:r>
      <w:r w:rsidR="002B327F">
        <w:rPr>
          <w:rFonts w:ascii="Times New Roman" w:hAnsi="Times New Roman"/>
          <w:szCs w:val="24"/>
        </w:rPr>
        <w:t>ir cases' outcome/decision can be enhanced by the victims’ involvement in criminal investigations, judicial processes,</w:t>
      </w:r>
      <w:r w:rsidR="00D739F5" w:rsidRPr="00693DE6">
        <w:rPr>
          <w:rFonts w:ascii="Times New Roman" w:hAnsi="Times New Roman"/>
          <w:szCs w:val="24"/>
        </w:rPr>
        <w:t xml:space="preserve"> and legal decision-making.</w:t>
      </w:r>
      <w:r w:rsidR="00D739F5" w:rsidRPr="00693DE6">
        <w:rPr>
          <w:rStyle w:val="FootnoteReference"/>
          <w:rFonts w:ascii="Times New Roman" w:hAnsi="Times New Roman"/>
          <w:szCs w:val="24"/>
        </w:rPr>
        <w:footnoteReference w:id="163"/>
      </w:r>
      <w:r w:rsidR="00D739F5" w:rsidRPr="00693DE6">
        <w:rPr>
          <w:rFonts w:ascii="Times New Roman" w:hAnsi="Times New Roman"/>
          <w:szCs w:val="24"/>
        </w:rPr>
        <w:t xml:space="preserve"> </w:t>
      </w:r>
    </w:p>
    <w:p w14:paraId="3F66DCEC" w14:textId="0AB15358" w:rsidR="00F321FA" w:rsidRPr="00693DE6" w:rsidRDefault="00F321FA" w:rsidP="00693DE6">
      <w:pPr>
        <w:spacing w:line="480" w:lineRule="auto"/>
        <w:jc w:val="both"/>
        <w:rPr>
          <w:rFonts w:ascii="Times New Roman" w:hAnsi="Times New Roman"/>
          <w:szCs w:val="24"/>
        </w:rPr>
      </w:pPr>
      <w:r w:rsidRPr="00693DE6">
        <w:rPr>
          <w:rFonts w:ascii="Times New Roman" w:hAnsi="Times New Roman"/>
          <w:szCs w:val="24"/>
        </w:rPr>
        <w:t>The more the contact, the higher</w:t>
      </w:r>
      <w:r w:rsidR="00D87750" w:rsidRPr="00693DE6">
        <w:rPr>
          <w:rFonts w:ascii="Times New Roman" w:hAnsi="Times New Roman"/>
          <w:szCs w:val="24"/>
        </w:rPr>
        <w:t xml:space="preserve"> </w:t>
      </w:r>
      <w:r w:rsidRPr="00693DE6">
        <w:rPr>
          <w:rFonts w:ascii="Times New Roman" w:hAnsi="Times New Roman"/>
          <w:szCs w:val="24"/>
        </w:rPr>
        <w:t>the satisfaction.</w:t>
      </w:r>
      <w:r w:rsidRPr="00693DE6">
        <w:rPr>
          <w:rStyle w:val="FootnoteReference"/>
          <w:rFonts w:ascii="Times New Roman" w:hAnsi="Times New Roman"/>
          <w:szCs w:val="24"/>
        </w:rPr>
        <w:footnoteReference w:id="164"/>
      </w:r>
      <w:r w:rsidR="00D87750" w:rsidRPr="00693DE6">
        <w:rPr>
          <w:rFonts w:ascii="Times New Roman" w:hAnsi="Times New Roman"/>
          <w:szCs w:val="24"/>
        </w:rPr>
        <w:t xml:space="preserve">However, </w:t>
      </w:r>
      <w:proofErr w:type="spellStart"/>
      <w:r w:rsidR="00D87750" w:rsidRPr="00693DE6">
        <w:rPr>
          <w:rFonts w:ascii="Times New Roman" w:hAnsi="Times New Roman"/>
          <w:szCs w:val="24"/>
        </w:rPr>
        <w:t>Maquire</w:t>
      </w:r>
      <w:proofErr w:type="spellEnd"/>
      <w:r w:rsidR="00D87750" w:rsidRPr="00693DE6">
        <w:rPr>
          <w:rFonts w:ascii="Times New Roman" w:hAnsi="Times New Roman"/>
          <w:szCs w:val="24"/>
        </w:rPr>
        <w:t xml:space="preserve"> reiterates</w:t>
      </w:r>
      <w:r w:rsidRPr="00693DE6">
        <w:rPr>
          <w:rFonts w:ascii="Times New Roman" w:hAnsi="Times New Roman"/>
          <w:szCs w:val="24"/>
        </w:rPr>
        <w:t xml:space="preserve"> that the process is more important than the actual outcome of the case. Hence, victims were quite happy if police had been interested or had kept them informed. They rate the procedure more than the outcome.</w:t>
      </w:r>
      <w:r w:rsidRPr="00693DE6">
        <w:rPr>
          <w:rStyle w:val="FootnoteReference"/>
          <w:rFonts w:ascii="Times New Roman" w:hAnsi="Times New Roman"/>
          <w:szCs w:val="24"/>
        </w:rPr>
        <w:footnoteReference w:id="165"/>
      </w:r>
    </w:p>
    <w:p w14:paraId="68362106" w14:textId="084C28BE" w:rsidR="002D7451" w:rsidRDefault="00F321FA" w:rsidP="00693DE6">
      <w:pPr>
        <w:spacing w:line="480" w:lineRule="auto"/>
        <w:jc w:val="both"/>
        <w:rPr>
          <w:rFonts w:ascii="Times New Roman" w:hAnsi="Times New Roman"/>
          <w:szCs w:val="24"/>
        </w:rPr>
      </w:pPr>
      <w:r w:rsidRPr="00693DE6">
        <w:rPr>
          <w:rFonts w:ascii="Times New Roman" w:hAnsi="Times New Roman"/>
          <w:szCs w:val="24"/>
        </w:rPr>
        <w:t xml:space="preserve">Principle VII of the Basic Principles and guidelines on the right to remedies and reparations </w:t>
      </w:r>
      <w:r w:rsidR="002B327F">
        <w:rPr>
          <w:rFonts w:ascii="Times New Roman" w:hAnsi="Times New Roman"/>
          <w:szCs w:val="24"/>
        </w:rPr>
        <w:t>allow victims to access relevant information concerning violations and reparation mechanisms</w:t>
      </w:r>
      <w:r w:rsidRPr="00693DE6">
        <w:rPr>
          <w:rFonts w:ascii="Times New Roman" w:hAnsi="Times New Roman"/>
          <w:szCs w:val="24"/>
        </w:rPr>
        <w:t>.</w:t>
      </w:r>
      <w:r w:rsidR="00D87750" w:rsidRPr="00693DE6">
        <w:rPr>
          <w:rStyle w:val="FootnoteReference"/>
          <w:rFonts w:ascii="Times New Roman" w:hAnsi="Times New Roman"/>
          <w:szCs w:val="24"/>
        </w:rPr>
        <w:footnoteReference w:id="166"/>
      </w:r>
      <w:r w:rsidRPr="00693DE6">
        <w:rPr>
          <w:rFonts w:ascii="Times New Roman" w:hAnsi="Times New Roman"/>
          <w:szCs w:val="24"/>
        </w:rPr>
        <w:t xml:space="preserve"> Principle VIII also provides that states should publicise </w:t>
      </w:r>
      <w:r w:rsidRPr="00693DE6">
        <w:rPr>
          <w:rFonts w:ascii="Times New Roman" w:hAnsi="Times New Roman"/>
          <w:szCs w:val="24"/>
        </w:rPr>
        <w:lastRenderedPageBreak/>
        <w:t>information about available remedies on gross violations, through private and public mechanisms.</w:t>
      </w:r>
      <w:r w:rsidR="00D87750" w:rsidRPr="00693DE6">
        <w:rPr>
          <w:rStyle w:val="FootnoteReference"/>
          <w:rFonts w:ascii="Times New Roman" w:hAnsi="Times New Roman"/>
          <w:szCs w:val="24"/>
        </w:rPr>
        <w:footnoteReference w:id="167"/>
      </w:r>
    </w:p>
    <w:p w14:paraId="11BB23CB" w14:textId="77777777" w:rsidR="00700C62" w:rsidRPr="00693DE6" w:rsidRDefault="00700C62" w:rsidP="00700C62">
      <w:pPr>
        <w:spacing w:line="480" w:lineRule="auto"/>
        <w:jc w:val="both"/>
        <w:rPr>
          <w:rFonts w:ascii="Times New Roman" w:hAnsi="Times New Roman"/>
          <w:szCs w:val="24"/>
        </w:rPr>
      </w:pPr>
      <w:r>
        <w:rPr>
          <w:rFonts w:ascii="Times New Roman" w:hAnsi="Times New Roman"/>
          <w:szCs w:val="24"/>
        </w:rPr>
        <w:t>Tyler’s study</w:t>
      </w:r>
      <w:r w:rsidR="00A1191B" w:rsidRPr="00693DE6">
        <w:rPr>
          <w:rFonts w:ascii="Times New Roman" w:hAnsi="Times New Roman"/>
          <w:szCs w:val="24"/>
        </w:rPr>
        <w:t xml:space="preserve"> </w:t>
      </w:r>
      <w:r>
        <w:rPr>
          <w:rFonts w:ascii="Times New Roman" w:hAnsi="Times New Roman"/>
          <w:szCs w:val="24"/>
        </w:rPr>
        <w:t>attests</w:t>
      </w:r>
      <w:r w:rsidR="00A1191B" w:rsidRPr="00693DE6">
        <w:rPr>
          <w:rFonts w:ascii="Times New Roman" w:hAnsi="Times New Roman"/>
          <w:szCs w:val="24"/>
        </w:rPr>
        <w:t xml:space="preserve"> that the authority put their </w:t>
      </w:r>
      <w:r w:rsidR="0042682F">
        <w:rPr>
          <w:rFonts w:ascii="Times New Roman" w:hAnsi="Times New Roman"/>
          <w:szCs w:val="24"/>
        </w:rPr>
        <w:t>views</w:t>
      </w:r>
      <w:r w:rsidR="00A1191B" w:rsidRPr="00693DE6">
        <w:rPr>
          <w:rFonts w:ascii="Times New Roman" w:hAnsi="Times New Roman"/>
          <w:szCs w:val="24"/>
        </w:rPr>
        <w:t xml:space="preserve"> into consideration before pronouncing the judgment.</w:t>
      </w:r>
      <w:r w:rsidR="00A1191B" w:rsidRPr="00693DE6">
        <w:rPr>
          <w:rStyle w:val="FootnoteReference"/>
          <w:rFonts w:ascii="Times New Roman" w:hAnsi="Times New Roman"/>
          <w:szCs w:val="24"/>
        </w:rPr>
        <w:footnoteReference w:id="168"/>
      </w:r>
      <w:r w:rsidR="00A1191B" w:rsidRPr="00693DE6">
        <w:rPr>
          <w:rFonts w:ascii="Times New Roman" w:hAnsi="Times New Roman"/>
          <w:szCs w:val="24"/>
        </w:rPr>
        <w:t xml:space="preserve"> </w:t>
      </w:r>
      <w:r w:rsidRPr="00693DE6">
        <w:rPr>
          <w:rFonts w:ascii="Times New Roman" w:hAnsi="Times New Roman"/>
          <w:szCs w:val="24"/>
        </w:rPr>
        <w:t>It is important to note that Tyler contends that although ‘</w:t>
      </w:r>
      <w:r w:rsidRPr="00693DE6">
        <w:rPr>
          <w:rFonts w:ascii="Times New Roman" w:hAnsi="Times New Roman"/>
          <w:i/>
          <w:szCs w:val="24"/>
        </w:rPr>
        <w:t xml:space="preserve">customer satisfaction’   </w:t>
      </w:r>
      <w:r w:rsidRPr="00693DE6">
        <w:rPr>
          <w:rFonts w:ascii="Times New Roman" w:hAnsi="Times New Roman"/>
          <w:szCs w:val="24"/>
        </w:rPr>
        <w:t>is not an objective of the court, however, courts need to consider the needs of people, since they are responsible for conflict resolution. Hence, whether people feel that justice has been done is central to their trust and confidence in the judicial system.</w:t>
      </w:r>
      <w:r w:rsidRPr="00693DE6">
        <w:rPr>
          <w:rStyle w:val="FootnoteReference"/>
          <w:rFonts w:ascii="Times New Roman" w:hAnsi="Times New Roman"/>
          <w:szCs w:val="24"/>
        </w:rPr>
        <w:footnoteReference w:id="169"/>
      </w:r>
      <w:r w:rsidRPr="00693DE6">
        <w:rPr>
          <w:rFonts w:ascii="Times New Roman" w:hAnsi="Times New Roman"/>
          <w:szCs w:val="24"/>
        </w:rPr>
        <w:t xml:space="preserve"> One may infer that this trust and confidence serve as the legitimate basis for the criminal justice system.</w:t>
      </w:r>
    </w:p>
    <w:p w14:paraId="7F9DD478" w14:textId="5358D326" w:rsidR="00A1191B" w:rsidRPr="00693DE6" w:rsidRDefault="0042682F" w:rsidP="00693DE6">
      <w:pPr>
        <w:spacing w:line="480" w:lineRule="auto"/>
        <w:jc w:val="both"/>
        <w:rPr>
          <w:rFonts w:ascii="Times New Roman" w:hAnsi="Times New Roman"/>
          <w:szCs w:val="24"/>
        </w:rPr>
      </w:pPr>
      <w:r>
        <w:rPr>
          <w:rFonts w:ascii="Times New Roman" w:hAnsi="Times New Roman"/>
          <w:szCs w:val="24"/>
        </w:rPr>
        <w:t xml:space="preserve">Set against this background, this thesis will explore the impact of victims voice on sentencing at the </w:t>
      </w:r>
      <w:r w:rsidR="00A1191B" w:rsidRPr="00693DE6">
        <w:rPr>
          <w:rFonts w:ascii="Times New Roman" w:hAnsi="Times New Roman"/>
          <w:szCs w:val="24"/>
        </w:rPr>
        <w:t xml:space="preserve">International Criminal Court. </w:t>
      </w:r>
    </w:p>
    <w:p w14:paraId="63E449CC" w14:textId="680DB5BE" w:rsidR="003B5AF8" w:rsidRPr="00693DE6" w:rsidRDefault="00FD20AA" w:rsidP="000C4174">
      <w:pPr>
        <w:pStyle w:val="Heading2"/>
      </w:pPr>
      <w:bookmarkStart w:id="13" w:name="_Toc60235792"/>
      <w:r w:rsidRPr="00693DE6">
        <w:t>1.</w:t>
      </w:r>
      <w:r w:rsidR="006E599E">
        <w:t>9</w:t>
      </w:r>
      <w:r w:rsidR="009914F0">
        <w:t xml:space="preserve"> </w:t>
      </w:r>
      <w:r w:rsidR="00AE75EC" w:rsidRPr="00693DE6">
        <w:t>Conclusion</w:t>
      </w:r>
      <w:bookmarkEnd w:id="13"/>
    </w:p>
    <w:p w14:paraId="47F015F6" w14:textId="2CF6C4D9" w:rsidR="00ED2279" w:rsidRDefault="003B5AF8" w:rsidP="00D40334">
      <w:pPr>
        <w:spacing w:line="480" w:lineRule="auto"/>
        <w:jc w:val="both"/>
        <w:rPr>
          <w:rFonts w:ascii="Times New Roman" w:hAnsi="Times New Roman"/>
          <w:szCs w:val="24"/>
        </w:rPr>
      </w:pPr>
      <w:r w:rsidRPr="00693DE6">
        <w:rPr>
          <w:rFonts w:ascii="Times New Roman" w:hAnsi="Times New Roman"/>
          <w:szCs w:val="24"/>
        </w:rPr>
        <w:t>This chapter has identified the research background, the research questions, significance of the study and the research limitations.</w:t>
      </w:r>
      <w:r w:rsidR="00F1683A" w:rsidRPr="00693DE6">
        <w:rPr>
          <w:rFonts w:ascii="Times New Roman" w:hAnsi="Times New Roman"/>
          <w:szCs w:val="24"/>
        </w:rPr>
        <w:t xml:space="preserve"> </w:t>
      </w:r>
      <w:r w:rsidR="00950C7B" w:rsidRPr="00693DE6">
        <w:rPr>
          <w:rFonts w:ascii="Times New Roman" w:hAnsi="Times New Roman"/>
          <w:szCs w:val="24"/>
        </w:rPr>
        <w:t xml:space="preserve">The </w:t>
      </w:r>
      <w:r w:rsidR="002B327F">
        <w:rPr>
          <w:rFonts w:ascii="Times New Roman" w:hAnsi="Times New Roman"/>
          <w:szCs w:val="24"/>
        </w:rPr>
        <w:t>literature review</w:t>
      </w:r>
      <w:r w:rsidR="00950C7B" w:rsidRPr="00693DE6">
        <w:rPr>
          <w:rFonts w:ascii="Times New Roman" w:hAnsi="Times New Roman"/>
          <w:szCs w:val="24"/>
        </w:rPr>
        <w:t xml:space="preserve"> highlight</w:t>
      </w:r>
      <w:r w:rsidR="00AE75EC" w:rsidRPr="00693DE6">
        <w:rPr>
          <w:rFonts w:ascii="Times New Roman" w:hAnsi="Times New Roman"/>
          <w:szCs w:val="24"/>
        </w:rPr>
        <w:t>s</w:t>
      </w:r>
      <w:r w:rsidR="00950C7B" w:rsidRPr="00693DE6">
        <w:rPr>
          <w:rFonts w:ascii="Times New Roman" w:hAnsi="Times New Roman"/>
          <w:szCs w:val="24"/>
        </w:rPr>
        <w:t xml:space="preserve"> </w:t>
      </w:r>
      <w:r w:rsidR="00F8523A">
        <w:rPr>
          <w:rFonts w:ascii="Times New Roman" w:hAnsi="Times New Roman"/>
          <w:szCs w:val="24"/>
        </w:rPr>
        <w:t xml:space="preserve">the available scholarship on victim participation in criminal justice, generally and, in particular, at the ICC. It also identifies a gap </w:t>
      </w:r>
      <w:r w:rsidR="00950C7B" w:rsidRPr="00693DE6">
        <w:rPr>
          <w:rFonts w:ascii="Times New Roman" w:hAnsi="Times New Roman"/>
          <w:szCs w:val="24"/>
        </w:rPr>
        <w:t>in the knowledge, particularly</w:t>
      </w:r>
      <w:r w:rsidR="00F8523A">
        <w:rPr>
          <w:rFonts w:ascii="Times New Roman" w:hAnsi="Times New Roman"/>
          <w:szCs w:val="24"/>
        </w:rPr>
        <w:t xml:space="preserve"> the management of</w:t>
      </w:r>
      <w:r w:rsidR="00950C7B" w:rsidRPr="00693DE6">
        <w:rPr>
          <w:rFonts w:ascii="Times New Roman" w:hAnsi="Times New Roman"/>
          <w:szCs w:val="24"/>
        </w:rPr>
        <w:t xml:space="preserve"> victims’ rights and interests </w:t>
      </w:r>
      <w:r w:rsidR="00863533">
        <w:rPr>
          <w:rFonts w:ascii="Times New Roman" w:hAnsi="Times New Roman"/>
          <w:szCs w:val="24"/>
        </w:rPr>
        <w:t>concerning</w:t>
      </w:r>
      <w:r w:rsidR="00950C7B" w:rsidRPr="00693DE6">
        <w:rPr>
          <w:rFonts w:ascii="Times New Roman" w:hAnsi="Times New Roman"/>
          <w:szCs w:val="24"/>
        </w:rPr>
        <w:t xml:space="preserve"> prosecutor</w:t>
      </w:r>
      <w:r w:rsidR="005260DE" w:rsidRPr="00693DE6">
        <w:rPr>
          <w:rFonts w:ascii="Times New Roman" w:hAnsi="Times New Roman"/>
          <w:szCs w:val="24"/>
        </w:rPr>
        <w:t>ial discretion, trial process</w:t>
      </w:r>
      <w:r w:rsidR="00950C7B" w:rsidRPr="00693DE6">
        <w:rPr>
          <w:rFonts w:ascii="Times New Roman" w:hAnsi="Times New Roman"/>
          <w:szCs w:val="24"/>
        </w:rPr>
        <w:t xml:space="preserve"> and sentencing</w:t>
      </w:r>
      <w:r w:rsidR="00863533">
        <w:rPr>
          <w:rFonts w:ascii="Times New Roman" w:hAnsi="Times New Roman"/>
          <w:szCs w:val="24"/>
        </w:rPr>
        <w:t>.</w:t>
      </w:r>
      <w:r w:rsidR="00AE75EC" w:rsidRPr="00693DE6">
        <w:rPr>
          <w:rFonts w:ascii="Times New Roman" w:hAnsi="Times New Roman"/>
          <w:szCs w:val="24"/>
        </w:rPr>
        <w:t xml:space="preserve"> This Chapter has set the scene for this thesis. The se</w:t>
      </w:r>
      <w:r w:rsidR="00FD20AA" w:rsidRPr="00693DE6">
        <w:rPr>
          <w:rFonts w:ascii="Times New Roman" w:hAnsi="Times New Roman"/>
          <w:szCs w:val="24"/>
        </w:rPr>
        <w:t xml:space="preserve">cond chapter examines the degree to which </w:t>
      </w:r>
      <w:r w:rsidR="00AE75EC" w:rsidRPr="00693DE6">
        <w:rPr>
          <w:rFonts w:ascii="Times New Roman" w:hAnsi="Times New Roman"/>
          <w:szCs w:val="24"/>
        </w:rPr>
        <w:t>prosecutorial di</w:t>
      </w:r>
      <w:r w:rsidR="00FD20AA" w:rsidRPr="00693DE6">
        <w:rPr>
          <w:rFonts w:ascii="Times New Roman" w:hAnsi="Times New Roman"/>
          <w:szCs w:val="24"/>
        </w:rPr>
        <w:t xml:space="preserve">scretion </w:t>
      </w:r>
      <w:r w:rsidR="00863533">
        <w:rPr>
          <w:rFonts w:ascii="Times New Roman" w:hAnsi="Times New Roman"/>
          <w:szCs w:val="24"/>
        </w:rPr>
        <w:t>affects</w:t>
      </w:r>
      <w:r w:rsidR="00FD20AA" w:rsidRPr="00693DE6">
        <w:rPr>
          <w:rFonts w:ascii="Times New Roman" w:hAnsi="Times New Roman"/>
          <w:szCs w:val="24"/>
        </w:rPr>
        <w:t xml:space="preserve"> victims’ rights </w:t>
      </w:r>
      <w:r w:rsidR="00FD20AA" w:rsidRPr="00693DE6">
        <w:rPr>
          <w:rFonts w:ascii="Times New Roman" w:hAnsi="Times New Roman"/>
          <w:szCs w:val="24"/>
        </w:rPr>
        <w:lastRenderedPageBreak/>
        <w:t>and interests. The third c</w:t>
      </w:r>
      <w:r w:rsidR="00AE75EC" w:rsidRPr="00693DE6">
        <w:rPr>
          <w:rFonts w:ascii="Times New Roman" w:hAnsi="Times New Roman"/>
          <w:szCs w:val="24"/>
        </w:rPr>
        <w:t>hapte</w:t>
      </w:r>
      <w:r w:rsidR="005260DE" w:rsidRPr="00693DE6">
        <w:rPr>
          <w:rFonts w:ascii="Times New Roman" w:hAnsi="Times New Roman"/>
          <w:szCs w:val="24"/>
        </w:rPr>
        <w:t>r deals with the exte</w:t>
      </w:r>
      <w:r w:rsidR="00F8523A">
        <w:rPr>
          <w:rFonts w:ascii="Times New Roman" w:hAnsi="Times New Roman"/>
          <w:szCs w:val="24"/>
        </w:rPr>
        <w:t xml:space="preserve">nt </w:t>
      </w:r>
      <w:r w:rsidR="005260DE" w:rsidRPr="00693DE6">
        <w:rPr>
          <w:rFonts w:ascii="Times New Roman" w:hAnsi="Times New Roman"/>
          <w:szCs w:val="24"/>
        </w:rPr>
        <w:t xml:space="preserve">to which the court respects victims’ rights and interests at </w:t>
      </w:r>
      <w:r w:rsidR="005A097B" w:rsidRPr="00693DE6">
        <w:rPr>
          <w:rFonts w:ascii="Times New Roman" w:hAnsi="Times New Roman"/>
          <w:szCs w:val="24"/>
        </w:rPr>
        <w:t xml:space="preserve">the </w:t>
      </w:r>
      <w:r w:rsidR="00F8523A">
        <w:rPr>
          <w:rFonts w:ascii="Times New Roman" w:hAnsi="Times New Roman"/>
          <w:szCs w:val="24"/>
        </w:rPr>
        <w:t>trial</w:t>
      </w:r>
      <w:r w:rsidR="005260DE" w:rsidRPr="00693DE6">
        <w:rPr>
          <w:rFonts w:ascii="Times New Roman" w:hAnsi="Times New Roman"/>
          <w:szCs w:val="24"/>
        </w:rPr>
        <w:t>.</w:t>
      </w:r>
      <w:r w:rsidR="005A097B" w:rsidRPr="00693DE6">
        <w:rPr>
          <w:rFonts w:ascii="Times New Roman" w:hAnsi="Times New Roman"/>
          <w:szCs w:val="24"/>
        </w:rPr>
        <w:t xml:space="preserve"> </w:t>
      </w:r>
      <w:r w:rsidR="00AE75EC" w:rsidRPr="00693DE6">
        <w:rPr>
          <w:rFonts w:ascii="Times New Roman" w:hAnsi="Times New Roman"/>
          <w:szCs w:val="24"/>
        </w:rPr>
        <w:t xml:space="preserve">The fourth chapter assesses </w:t>
      </w:r>
      <w:r w:rsidR="005260DE" w:rsidRPr="00693DE6">
        <w:rPr>
          <w:rFonts w:ascii="Times New Roman" w:hAnsi="Times New Roman"/>
          <w:szCs w:val="24"/>
        </w:rPr>
        <w:t xml:space="preserve">the degree to which the court respect victims’ rights and interests during </w:t>
      </w:r>
      <w:r w:rsidR="00AE75EC" w:rsidRPr="00693DE6">
        <w:rPr>
          <w:rFonts w:ascii="Times New Roman" w:hAnsi="Times New Roman"/>
          <w:szCs w:val="24"/>
        </w:rPr>
        <w:t>sentencing decision. Finally, the conclusion giv</w:t>
      </w:r>
      <w:r w:rsidR="00ED2279">
        <w:rPr>
          <w:rFonts w:ascii="Times New Roman" w:hAnsi="Times New Roman"/>
          <w:szCs w:val="24"/>
        </w:rPr>
        <w:t>es a summary and recommendation</w:t>
      </w:r>
      <w:r w:rsidR="00863533">
        <w:rPr>
          <w:rFonts w:ascii="Times New Roman" w:hAnsi="Times New Roman"/>
          <w:szCs w:val="24"/>
        </w:rPr>
        <w:t>.</w:t>
      </w:r>
    </w:p>
    <w:p w14:paraId="5E1651FC" w14:textId="130620E8" w:rsidR="00863533" w:rsidRDefault="00863533" w:rsidP="00D40334">
      <w:pPr>
        <w:spacing w:line="480" w:lineRule="auto"/>
        <w:jc w:val="both"/>
        <w:rPr>
          <w:rFonts w:ascii="Times New Roman" w:hAnsi="Times New Roman"/>
          <w:szCs w:val="24"/>
        </w:rPr>
      </w:pPr>
      <w:r>
        <w:rPr>
          <w:rFonts w:ascii="Times New Roman" w:hAnsi="Times New Roman"/>
          <w:szCs w:val="24"/>
        </w:rPr>
        <w:t xml:space="preserve">The next chapter shall explore prosecutorial discretion, mainly how it affects </w:t>
      </w:r>
      <w:proofErr w:type="spellStart"/>
      <w:r>
        <w:rPr>
          <w:rFonts w:ascii="Times New Roman" w:hAnsi="Times New Roman"/>
          <w:szCs w:val="24"/>
        </w:rPr>
        <w:t>victims</w:t>
      </w:r>
      <w:proofErr w:type="spellEnd"/>
      <w:r>
        <w:rPr>
          <w:rFonts w:ascii="Times New Roman" w:hAnsi="Times New Roman"/>
          <w:szCs w:val="24"/>
        </w:rPr>
        <w:t xml:space="preserve"> rights and interests.</w:t>
      </w:r>
    </w:p>
    <w:p w14:paraId="60876C0F" w14:textId="77777777" w:rsidR="00ED2279" w:rsidRDefault="00ED2279">
      <w:pPr>
        <w:spacing w:after="0" w:line="240" w:lineRule="auto"/>
        <w:rPr>
          <w:rFonts w:ascii="Times New Roman" w:hAnsi="Times New Roman"/>
          <w:szCs w:val="24"/>
        </w:rPr>
      </w:pPr>
      <w:r>
        <w:rPr>
          <w:rFonts w:ascii="Times New Roman" w:hAnsi="Times New Roman"/>
          <w:szCs w:val="24"/>
        </w:rPr>
        <w:br w:type="page"/>
      </w:r>
    </w:p>
    <w:p w14:paraId="464978A8" w14:textId="77777777" w:rsidR="00D40334" w:rsidRDefault="00D40334" w:rsidP="00D40334">
      <w:pPr>
        <w:spacing w:line="480" w:lineRule="auto"/>
        <w:jc w:val="both"/>
        <w:rPr>
          <w:rFonts w:ascii="Times New Roman" w:hAnsi="Times New Roman"/>
          <w:szCs w:val="24"/>
        </w:rPr>
        <w:sectPr w:rsidR="00D40334" w:rsidSect="00260E21">
          <w:headerReference w:type="even" r:id="rId11"/>
          <w:headerReference w:type="default" r:id="rId12"/>
          <w:footerReference w:type="default" r:id="rId13"/>
          <w:footnotePr>
            <w:pos w:val="beneathText"/>
            <w:numRestart w:val="eachSect"/>
          </w:footnotePr>
          <w:pgSz w:w="11906" w:h="16838"/>
          <w:pgMar w:top="1440" w:right="1797" w:bottom="1440" w:left="1797" w:header="709" w:footer="709" w:gutter="0"/>
          <w:cols w:space="708"/>
          <w:docGrid w:linePitch="360"/>
        </w:sectPr>
      </w:pPr>
    </w:p>
    <w:p w14:paraId="0F69625F" w14:textId="77777777" w:rsidR="00772CFF" w:rsidRPr="00772CFF" w:rsidRDefault="006C3F03" w:rsidP="00D55500">
      <w:pPr>
        <w:pStyle w:val="Heading1"/>
        <w:rPr>
          <w:lang w:val="en-US"/>
        </w:rPr>
      </w:pPr>
      <w:bookmarkStart w:id="14" w:name="_Toc60235793"/>
      <w:r>
        <w:rPr>
          <w:lang w:val="en-US"/>
        </w:rPr>
        <w:lastRenderedPageBreak/>
        <w:t xml:space="preserve">2.0 </w:t>
      </w:r>
      <w:r w:rsidR="00B3621A">
        <w:rPr>
          <w:lang w:val="en-US"/>
        </w:rPr>
        <w:t>Chapter</w:t>
      </w:r>
      <w:r w:rsidR="0034588B">
        <w:rPr>
          <w:lang w:val="en-US"/>
        </w:rPr>
        <w:t xml:space="preserve"> 2- Prosecutorial discretion</w:t>
      </w:r>
      <w:bookmarkEnd w:id="14"/>
      <w:r w:rsidR="0034588B">
        <w:rPr>
          <w:lang w:val="en-US"/>
        </w:rPr>
        <w:t xml:space="preserve"> </w:t>
      </w:r>
    </w:p>
    <w:p w14:paraId="58EF95C0" w14:textId="77777777" w:rsidR="00772CFF" w:rsidRPr="00772CFF" w:rsidRDefault="00772CFF" w:rsidP="00772CFF">
      <w:pPr>
        <w:jc w:val="both"/>
        <w:rPr>
          <w:rFonts w:ascii="Times New Roman" w:hAnsi="Times New Roman"/>
          <w:szCs w:val="24"/>
          <w:lang w:val="en-US"/>
        </w:rPr>
      </w:pPr>
    </w:p>
    <w:p w14:paraId="7A50CC46" w14:textId="1D8E9AC6" w:rsidR="00772CFF" w:rsidRPr="00581D22" w:rsidRDefault="00772CFF" w:rsidP="009914F0">
      <w:pPr>
        <w:pStyle w:val="Quote"/>
        <w:jc w:val="both"/>
        <w:rPr>
          <w:rFonts w:ascii="Times New Roman" w:hAnsi="Times New Roman"/>
          <w:szCs w:val="24"/>
        </w:rPr>
      </w:pPr>
      <w:r w:rsidRPr="00D229A4">
        <w:rPr>
          <w:rFonts w:ascii="Times New Roman" w:hAnsi="Times New Roman"/>
          <w:i w:val="0"/>
        </w:rPr>
        <w:t>“[t]he ICC can never be in a position to try all perpetrators of all crimes in situations where international crimes have occurred. Unfortunately, the ICC often acts more as a substitute for non-existent domestic prosecutions than as a complement.</w:t>
      </w:r>
      <w:r w:rsidR="00581D22" w:rsidRPr="00D229A4">
        <w:rPr>
          <w:rFonts w:ascii="Times New Roman" w:hAnsi="Times New Roman"/>
          <w:i w:val="0"/>
        </w:rPr>
        <w:t xml:space="preserve"> </w:t>
      </w:r>
      <w:r w:rsidRPr="00D229A4">
        <w:rPr>
          <w:rFonts w:ascii="Times New Roman" w:hAnsi="Times New Roman"/>
          <w:i w:val="0"/>
        </w:rPr>
        <w:t>It can</w:t>
      </w:r>
      <w:r w:rsidR="00581D22" w:rsidRPr="00D229A4">
        <w:rPr>
          <w:rFonts w:ascii="Times New Roman" w:hAnsi="Times New Roman"/>
          <w:i w:val="0"/>
        </w:rPr>
        <w:t>, therefore,</w:t>
      </w:r>
      <w:r w:rsidRPr="00D229A4">
        <w:rPr>
          <w:rFonts w:ascii="Times New Roman" w:hAnsi="Times New Roman"/>
          <w:i w:val="0"/>
        </w:rPr>
        <w:t xml:space="preserve"> do justice partially, because as indicated above, it can only focus on a relative number of situations, entities, individuals, factual allegations, legal qualifications or crimes, and calling some of the victims as witnesses</w:t>
      </w:r>
      <w:r w:rsidR="00633F35">
        <w:rPr>
          <w:rFonts w:ascii="Times New Roman" w:hAnsi="Times New Roman"/>
          <w:i w:val="0"/>
        </w:rPr>
        <w:t>.</w:t>
      </w:r>
      <w:r w:rsidRPr="00581D22">
        <w:rPr>
          <w:rFonts w:ascii="Times New Roman" w:hAnsi="Times New Roman"/>
          <w:szCs w:val="24"/>
        </w:rPr>
        <w:t>”</w:t>
      </w:r>
      <w:r w:rsidRPr="00581D22">
        <w:rPr>
          <w:rFonts w:ascii="Times New Roman" w:hAnsi="Times New Roman"/>
          <w:szCs w:val="24"/>
          <w:vertAlign w:val="superscript"/>
        </w:rPr>
        <w:footnoteReference w:id="170"/>
      </w:r>
    </w:p>
    <w:p w14:paraId="233295ED" w14:textId="77777777" w:rsidR="00772CFF" w:rsidRPr="00772CFF" w:rsidRDefault="00772CFF" w:rsidP="000C4174">
      <w:pPr>
        <w:pStyle w:val="Heading2"/>
      </w:pPr>
      <w:bookmarkStart w:id="15" w:name="_Toc60235794"/>
      <w:r w:rsidRPr="00772CFF">
        <w:t>2.1 Introduction</w:t>
      </w:r>
      <w:bookmarkEnd w:id="15"/>
    </w:p>
    <w:p w14:paraId="66AE5C51" w14:textId="662D29DC" w:rsidR="00772CFF" w:rsidRPr="00772CFF" w:rsidRDefault="00772CFF" w:rsidP="00601A0E">
      <w:pPr>
        <w:spacing w:line="480" w:lineRule="auto"/>
        <w:jc w:val="both"/>
        <w:rPr>
          <w:rFonts w:ascii="Times New Roman" w:hAnsi="Times New Roman"/>
          <w:szCs w:val="24"/>
        </w:rPr>
      </w:pPr>
      <w:r w:rsidRPr="00772CFF">
        <w:rPr>
          <w:rFonts w:ascii="Times New Roman" w:hAnsi="Times New Roman"/>
          <w:szCs w:val="24"/>
        </w:rPr>
        <w:t xml:space="preserve">Studies of </w:t>
      </w:r>
      <w:proofErr w:type="spellStart"/>
      <w:r w:rsidRPr="00772CFF">
        <w:rPr>
          <w:rFonts w:ascii="Times New Roman" w:hAnsi="Times New Roman"/>
          <w:szCs w:val="24"/>
        </w:rPr>
        <w:t>Megret</w:t>
      </w:r>
      <w:proofErr w:type="spellEnd"/>
      <w:r w:rsidRPr="00772CFF">
        <w:rPr>
          <w:rFonts w:ascii="Times New Roman" w:hAnsi="Times New Roman"/>
          <w:szCs w:val="24"/>
        </w:rPr>
        <w:t>, Schiff</w:t>
      </w:r>
      <w:r w:rsidR="00DA3F50">
        <w:rPr>
          <w:rFonts w:ascii="Times New Roman" w:hAnsi="Times New Roman"/>
          <w:szCs w:val="24"/>
        </w:rPr>
        <w:t>, Robertson</w:t>
      </w:r>
      <w:r w:rsidR="002B327F">
        <w:rPr>
          <w:rFonts w:ascii="Times New Roman" w:hAnsi="Times New Roman"/>
          <w:szCs w:val="24"/>
        </w:rPr>
        <w:t>,</w:t>
      </w:r>
      <w:r w:rsidR="00DA3F50">
        <w:rPr>
          <w:rFonts w:ascii="Times New Roman" w:hAnsi="Times New Roman"/>
          <w:szCs w:val="24"/>
        </w:rPr>
        <w:t xml:space="preserve"> and Chazal propound</w:t>
      </w:r>
      <w:r w:rsidRPr="00772CFF">
        <w:rPr>
          <w:rFonts w:ascii="Times New Roman" w:hAnsi="Times New Roman"/>
          <w:szCs w:val="24"/>
        </w:rPr>
        <w:t xml:space="preserve"> that </w:t>
      </w:r>
      <w:r w:rsidR="002B327F">
        <w:rPr>
          <w:rFonts w:ascii="Times New Roman" w:hAnsi="Times New Roman"/>
          <w:szCs w:val="24"/>
        </w:rPr>
        <w:t>politics and reciprocity influence the development and establishment of the ICC as well as its functions within the international commun</w:t>
      </w:r>
      <w:r w:rsidRPr="00772CFF">
        <w:rPr>
          <w:rFonts w:ascii="Times New Roman" w:hAnsi="Times New Roman"/>
          <w:szCs w:val="24"/>
        </w:rPr>
        <w:t>ity.</w:t>
      </w:r>
      <w:r w:rsidRPr="00772CFF">
        <w:rPr>
          <w:rFonts w:ascii="Times New Roman" w:hAnsi="Times New Roman"/>
          <w:szCs w:val="24"/>
          <w:vertAlign w:val="superscript"/>
        </w:rPr>
        <w:footnoteReference w:id="171"/>
      </w:r>
      <w:r w:rsidRPr="00772CFF">
        <w:rPr>
          <w:rFonts w:ascii="Times New Roman" w:hAnsi="Times New Roman"/>
          <w:szCs w:val="24"/>
        </w:rPr>
        <w:t xml:space="preserve">Hence, this has led to tension in the pursuit of justice. Arguably, this tension transcends situations and case selection to </w:t>
      </w:r>
      <w:r w:rsidR="00581D22">
        <w:rPr>
          <w:rFonts w:ascii="Times New Roman" w:hAnsi="Times New Roman"/>
          <w:szCs w:val="24"/>
        </w:rPr>
        <w:t xml:space="preserve">the </w:t>
      </w:r>
      <w:r w:rsidRPr="00772CFF">
        <w:rPr>
          <w:rFonts w:ascii="Times New Roman" w:hAnsi="Times New Roman"/>
          <w:szCs w:val="24"/>
        </w:rPr>
        <w:t>prosecution of crimes.</w:t>
      </w:r>
      <w:r w:rsidR="00CA5C55">
        <w:rPr>
          <w:rFonts w:ascii="Times New Roman" w:hAnsi="Times New Roman"/>
          <w:szCs w:val="24"/>
        </w:rPr>
        <w:t xml:space="preserve"> </w:t>
      </w:r>
    </w:p>
    <w:p w14:paraId="4A188A9C" w14:textId="1EE305DF" w:rsidR="00772CFF" w:rsidRPr="00772CFF" w:rsidRDefault="00772CFF" w:rsidP="00601A0E">
      <w:pPr>
        <w:spacing w:line="480" w:lineRule="auto"/>
        <w:jc w:val="both"/>
        <w:rPr>
          <w:rFonts w:ascii="Times New Roman" w:hAnsi="Times New Roman"/>
          <w:szCs w:val="24"/>
        </w:rPr>
      </w:pPr>
      <w:r w:rsidRPr="00772CFF">
        <w:rPr>
          <w:rFonts w:ascii="Times New Roman" w:hAnsi="Times New Roman"/>
          <w:szCs w:val="24"/>
        </w:rPr>
        <w:t xml:space="preserve">The Office of the Prosecutor(OTP) is at the heart of our understanding of the ICC’s function in combating impunity. Article 42 set out the powers of the OTP as an independent body of the Court. The OTP plays an </w:t>
      </w:r>
      <w:r w:rsidR="00426CCD">
        <w:rPr>
          <w:rFonts w:ascii="Times New Roman" w:hAnsi="Times New Roman"/>
          <w:szCs w:val="24"/>
        </w:rPr>
        <w:t>essential</w:t>
      </w:r>
      <w:r w:rsidRPr="00772CFF">
        <w:rPr>
          <w:rFonts w:ascii="Times New Roman" w:hAnsi="Times New Roman"/>
          <w:szCs w:val="24"/>
        </w:rPr>
        <w:t xml:space="preserve"> role in </w:t>
      </w:r>
      <w:r w:rsidR="00581D22">
        <w:rPr>
          <w:rFonts w:ascii="Times New Roman" w:hAnsi="Times New Roman"/>
          <w:szCs w:val="24"/>
        </w:rPr>
        <w:t xml:space="preserve">the </w:t>
      </w:r>
      <w:r w:rsidRPr="00772CFF">
        <w:rPr>
          <w:rFonts w:ascii="Times New Roman" w:hAnsi="Times New Roman"/>
          <w:szCs w:val="24"/>
        </w:rPr>
        <w:t xml:space="preserve">investigation and </w:t>
      </w:r>
      <w:r w:rsidRPr="00772CFF">
        <w:rPr>
          <w:rFonts w:ascii="Times New Roman" w:hAnsi="Times New Roman"/>
          <w:szCs w:val="24"/>
        </w:rPr>
        <w:lastRenderedPageBreak/>
        <w:t>prosecution of crimes at the ICC.</w:t>
      </w:r>
      <w:r w:rsidR="00581D22">
        <w:rPr>
          <w:rFonts w:ascii="Times New Roman" w:hAnsi="Times New Roman"/>
          <w:szCs w:val="24"/>
        </w:rPr>
        <w:t xml:space="preserve"> </w:t>
      </w:r>
      <w:r w:rsidR="00426CCD">
        <w:rPr>
          <w:rFonts w:ascii="Times New Roman" w:hAnsi="Times New Roman"/>
          <w:szCs w:val="24"/>
        </w:rPr>
        <w:t>T</w:t>
      </w:r>
      <w:r w:rsidRPr="00772CFF">
        <w:rPr>
          <w:rFonts w:ascii="Times New Roman" w:hAnsi="Times New Roman"/>
          <w:szCs w:val="24"/>
        </w:rPr>
        <w:t>he prosecutor has been referred to as ‘</w:t>
      </w:r>
      <w:r w:rsidRPr="00772CFF">
        <w:rPr>
          <w:rFonts w:ascii="Times New Roman" w:hAnsi="Times New Roman"/>
          <w:i/>
          <w:szCs w:val="24"/>
        </w:rPr>
        <w:t>the Gatekeeper of the ICC’</w:t>
      </w:r>
      <w:r w:rsidRPr="00772CFF">
        <w:rPr>
          <w:rFonts w:ascii="Times New Roman" w:hAnsi="Times New Roman"/>
          <w:szCs w:val="24"/>
        </w:rPr>
        <w:t>.</w:t>
      </w:r>
      <w:r w:rsidRPr="00772CFF">
        <w:rPr>
          <w:rFonts w:ascii="Times New Roman" w:hAnsi="Times New Roman"/>
          <w:szCs w:val="24"/>
          <w:vertAlign w:val="superscript"/>
        </w:rPr>
        <w:footnoteReference w:id="172"/>
      </w:r>
      <w:r w:rsidRPr="00772CFF">
        <w:rPr>
          <w:rFonts w:ascii="Times New Roman" w:hAnsi="Times New Roman"/>
          <w:szCs w:val="24"/>
        </w:rPr>
        <w:t>A large and growing body of literature has described the role of prosecutorial strategies</w:t>
      </w:r>
      <w:r w:rsidRPr="00772CFF">
        <w:rPr>
          <w:rFonts w:ascii="Times New Roman" w:hAnsi="Times New Roman"/>
          <w:szCs w:val="24"/>
          <w:vertAlign w:val="superscript"/>
        </w:rPr>
        <w:footnoteReference w:id="173"/>
      </w:r>
      <w:r w:rsidRPr="00772CFF">
        <w:rPr>
          <w:rFonts w:ascii="Times New Roman" w:hAnsi="Times New Roman"/>
          <w:szCs w:val="24"/>
        </w:rPr>
        <w:t xml:space="preserve"> and its broad discretionary powers.</w:t>
      </w:r>
      <w:r w:rsidRPr="00772CFF">
        <w:rPr>
          <w:rFonts w:ascii="Times New Roman" w:hAnsi="Times New Roman"/>
          <w:szCs w:val="24"/>
          <w:vertAlign w:val="superscript"/>
        </w:rPr>
        <w:footnoteReference w:id="174"/>
      </w:r>
      <w:r w:rsidRPr="00772CFF">
        <w:rPr>
          <w:rFonts w:ascii="Times New Roman" w:hAnsi="Times New Roman"/>
          <w:szCs w:val="24"/>
        </w:rPr>
        <w:t xml:space="preserve"> </w:t>
      </w:r>
    </w:p>
    <w:p w14:paraId="2A8A4DD4" w14:textId="06650765" w:rsidR="00772CFF" w:rsidRPr="00772CFF" w:rsidRDefault="00772CFF" w:rsidP="00601A0E">
      <w:pPr>
        <w:spacing w:line="480" w:lineRule="auto"/>
        <w:jc w:val="both"/>
        <w:rPr>
          <w:rFonts w:ascii="Times New Roman" w:hAnsi="Times New Roman"/>
          <w:szCs w:val="24"/>
        </w:rPr>
      </w:pPr>
      <w:r w:rsidRPr="00772CFF">
        <w:rPr>
          <w:rFonts w:ascii="Times New Roman" w:hAnsi="Times New Roman"/>
          <w:szCs w:val="24"/>
        </w:rPr>
        <w:t>Recently, questions have been raised about the role of prosecutorial d</w:t>
      </w:r>
      <w:r w:rsidR="000858FB">
        <w:rPr>
          <w:rFonts w:ascii="Times New Roman" w:hAnsi="Times New Roman"/>
          <w:szCs w:val="24"/>
        </w:rPr>
        <w:t>isc</w:t>
      </w:r>
      <w:r w:rsidR="00581D22">
        <w:rPr>
          <w:rFonts w:ascii="Times New Roman" w:hAnsi="Times New Roman"/>
          <w:szCs w:val="24"/>
        </w:rPr>
        <w:t>retion on victims’</w:t>
      </w:r>
      <w:r w:rsidR="00426CCD">
        <w:rPr>
          <w:rFonts w:ascii="Times New Roman" w:hAnsi="Times New Roman"/>
          <w:szCs w:val="24"/>
        </w:rPr>
        <w:t xml:space="preserve"> </w:t>
      </w:r>
      <w:r w:rsidR="000858FB">
        <w:rPr>
          <w:rFonts w:ascii="Times New Roman" w:hAnsi="Times New Roman"/>
          <w:szCs w:val="24"/>
        </w:rPr>
        <w:t>rights</w:t>
      </w:r>
      <w:r w:rsidR="00581D22">
        <w:rPr>
          <w:rFonts w:ascii="Times New Roman" w:hAnsi="Times New Roman"/>
          <w:szCs w:val="24"/>
        </w:rPr>
        <w:t xml:space="preserve"> and interests</w:t>
      </w:r>
      <w:r w:rsidR="000858FB">
        <w:rPr>
          <w:rFonts w:ascii="Times New Roman" w:hAnsi="Times New Roman"/>
          <w:szCs w:val="24"/>
        </w:rPr>
        <w:t>.</w:t>
      </w:r>
      <w:r w:rsidRPr="00772CFF">
        <w:rPr>
          <w:rFonts w:ascii="Times New Roman" w:hAnsi="Times New Roman"/>
          <w:szCs w:val="24"/>
        </w:rPr>
        <w:t xml:space="preserve"> This issue has grown in importance in light of the disparity in </w:t>
      </w:r>
      <w:r w:rsidR="00581D22">
        <w:rPr>
          <w:rFonts w:ascii="Times New Roman" w:hAnsi="Times New Roman"/>
          <w:szCs w:val="24"/>
        </w:rPr>
        <w:t xml:space="preserve">the </w:t>
      </w:r>
      <w:r w:rsidRPr="00772CFF">
        <w:rPr>
          <w:rFonts w:ascii="Times New Roman" w:hAnsi="Times New Roman"/>
          <w:szCs w:val="24"/>
        </w:rPr>
        <w:t>international criminal justice system and national jurisdictions</w:t>
      </w:r>
      <w:r w:rsidR="001F5F21">
        <w:rPr>
          <w:rFonts w:ascii="Times New Roman" w:hAnsi="Times New Roman"/>
          <w:szCs w:val="24"/>
        </w:rPr>
        <w:t>.</w:t>
      </w:r>
      <w:r w:rsidRPr="00772CFF">
        <w:rPr>
          <w:rFonts w:ascii="Times New Roman" w:hAnsi="Times New Roman"/>
          <w:szCs w:val="24"/>
        </w:rPr>
        <w:t xml:space="preserve"> This chapter seeks to examine the impact of prosecutorial </w:t>
      </w:r>
      <w:r w:rsidR="00581D22">
        <w:rPr>
          <w:rFonts w:ascii="Times New Roman" w:hAnsi="Times New Roman"/>
          <w:szCs w:val="24"/>
        </w:rPr>
        <w:t>discretion on victims’</w:t>
      </w:r>
      <w:r w:rsidR="000858FB">
        <w:rPr>
          <w:rFonts w:ascii="Times New Roman" w:hAnsi="Times New Roman"/>
          <w:szCs w:val="24"/>
        </w:rPr>
        <w:t xml:space="preserve"> rights</w:t>
      </w:r>
      <w:r w:rsidR="00581D22">
        <w:rPr>
          <w:rFonts w:ascii="Times New Roman" w:hAnsi="Times New Roman"/>
          <w:szCs w:val="24"/>
        </w:rPr>
        <w:t xml:space="preserve"> and interests</w:t>
      </w:r>
      <w:r w:rsidR="000858FB">
        <w:rPr>
          <w:rFonts w:ascii="Times New Roman" w:hAnsi="Times New Roman"/>
          <w:szCs w:val="24"/>
        </w:rPr>
        <w:t>.</w:t>
      </w:r>
    </w:p>
    <w:p w14:paraId="16D8789D" w14:textId="3BCA202C" w:rsidR="00581D22" w:rsidRDefault="00772CFF" w:rsidP="00601A0E">
      <w:pPr>
        <w:spacing w:line="480" w:lineRule="auto"/>
        <w:jc w:val="both"/>
        <w:rPr>
          <w:rFonts w:ascii="Times New Roman" w:hAnsi="Times New Roman"/>
          <w:szCs w:val="24"/>
        </w:rPr>
      </w:pPr>
      <w:r w:rsidRPr="00772CFF">
        <w:rPr>
          <w:rFonts w:ascii="Times New Roman" w:hAnsi="Times New Roman"/>
          <w:szCs w:val="24"/>
        </w:rPr>
        <w:t>This chapter begins by giving a brief overview of the role of actors in the Rome negotiation.</w:t>
      </w:r>
      <w:r w:rsidR="00581D22">
        <w:rPr>
          <w:rFonts w:ascii="Times New Roman" w:hAnsi="Times New Roman"/>
          <w:szCs w:val="24"/>
        </w:rPr>
        <w:t xml:space="preserve"> </w:t>
      </w:r>
      <w:r w:rsidR="000858FB">
        <w:rPr>
          <w:rFonts w:ascii="Times New Roman" w:hAnsi="Times New Roman"/>
          <w:szCs w:val="24"/>
        </w:rPr>
        <w:t>The Rome negotiations address the controversial issue on whether</w:t>
      </w:r>
      <w:r w:rsidR="00DA3F50">
        <w:rPr>
          <w:rFonts w:ascii="Times New Roman" w:hAnsi="Times New Roman"/>
          <w:szCs w:val="24"/>
        </w:rPr>
        <w:t xml:space="preserve"> it would be appropriate to grant</w:t>
      </w:r>
      <w:r w:rsidR="000858FB">
        <w:rPr>
          <w:rFonts w:ascii="Times New Roman" w:hAnsi="Times New Roman"/>
          <w:szCs w:val="24"/>
        </w:rPr>
        <w:t xml:space="preserve"> the OTP  broad discretionary powers.</w:t>
      </w:r>
      <w:r w:rsidR="00581D22">
        <w:rPr>
          <w:rFonts w:ascii="Times New Roman" w:hAnsi="Times New Roman"/>
          <w:szCs w:val="24"/>
        </w:rPr>
        <w:t xml:space="preserve"> </w:t>
      </w:r>
      <w:r w:rsidR="00DA3F50">
        <w:rPr>
          <w:rFonts w:ascii="Times New Roman" w:hAnsi="Times New Roman"/>
          <w:szCs w:val="24"/>
        </w:rPr>
        <w:t>The Rome Negotiations</w:t>
      </w:r>
      <w:r w:rsidRPr="00772CFF">
        <w:rPr>
          <w:rFonts w:ascii="Times New Roman" w:hAnsi="Times New Roman"/>
          <w:szCs w:val="24"/>
        </w:rPr>
        <w:t xml:space="preserve"> gives a background</w:t>
      </w:r>
      <w:r w:rsidR="000858FB">
        <w:rPr>
          <w:rFonts w:ascii="Times New Roman" w:hAnsi="Times New Roman"/>
          <w:szCs w:val="24"/>
        </w:rPr>
        <w:t xml:space="preserve"> into the origin of Prosecutorial discretion</w:t>
      </w:r>
      <w:r w:rsidR="00DA3F50">
        <w:rPr>
          <w:rFonts w:ascii="Times New Roman" w:hAnsi="Times New Roman"/>
          <w:szCs w:val="24"/>
        </w:rPr>
        <w:t xml:space="preserve"> at the ICC</w:t>
      </w:r>
      <w:r w:rsidR="000858FB">
        <w:rPr>
          <w:rFonts w:ascii="Times New Roman" w:hAnsi="Times New Roman"/>
          <w:szCs w:val="24"/>
        </w:rPr>
        <w:t>. The second section ascertains</w:t>
      </w:r>
      <w:r w:rsidR="001505E4">
        <w:rPr>
          <w:rFonts w:ascii="Times New Roman" w:hAnsi="Times New Roman"/>
          <w:szCs w:val="24"/>
        </w:rPr>
        <w:t xml:space="preserve"> the statutory powers of the Prosecutor </w:t>
      </w:r>
      <w:r w:rsidR="00DA3F50">
        <w:rPr>
          <w:rFonts w:ascii="Times New Roman" w:hAnsi="Times New Roman"/>
          <w:szCs w:val="24"/>
        </w:rPr>
        <w:t>to explore</w:t>
      </w:r>
      <w:r w:rsidR="001505E4">
        <w:rPr>
          <w:rFonts w:ascii="Times New Roman" w:hAnsi="Times New Roman"/>
          <w:szCs w:val="24"/>
        </w:rPr>
        <w:t xml:space="preserve"> the extent of these powers.</w:t>
      </w:r>
      <w:r w:rsidR="00581D22">
        <w:rPr>
          <w:rFonts w:ascii="Times New Roman" w:hAnsi="Times New Roman"/>
          <w:szCs w:val="24"/>
        </w:rPr>
        <w:t xml:space="preserve"> </w:t>
      </w:r>
      <w:r w:rsidRPr="00772CFF">
        <w:rPr>
          <w:rFonts w:ascii="Times New Roman" w:hAnsi="Times New Roman"/>
          <w:szCs w:val="24"/>
        </w:rPr>
        <w:t>The following section</w:t>
      </w:r>
      <w:r w:rsidR="001505E4">
        <w:rPr>
          <w:rFonts w:ascii="Times New Roman" w:hAnsi="Times New Roman"/>
          <w:szCs w:val="24"/>
        </w:rPr>
        <w:t xml:space="preserve"> c</w:t>
      </w:r>
      <w:r w:rsidR="00F45F3F">
        <w:rPr>
          <w:rFonts w:ascii="Times New Roman" w:hAnsi="Times New Roman"/>
          <w:szCs w:val="24"/>
        </w:rPr>
        <w:t>areful</w:t>
      </w:r>
      <w:r w:rsidR="001505E4">
        <w:rPr>
          <w:rFonts w:ascii="Times New Roman" w:hAnsi="Times New Roman"/>
          <w:szCs w:val="24"/>
        </w:rPr>
        <w:t>ly examines the distinction between victims’ interests and prosecutor’s interests</w:t>
      </w:r>
      <w:r w:rsidRPr="00772CFF">
        <w:rPr>
          <w:rFonts w:ascii="Times New Roman" w:hAnsi="Times New Roman"/>
          <w:szCs w:val="24"/>
        </w:rPr>
        <w:t>.</w:t>
      </w:r>
      <w:r w:rsidR="00404006">
        <w:rPr>
          <w:rFonts w:ascii="Times New Roman" w:hAnsi="Times New Roman"/>
          <w:szCs w:val="24"/>
        </w:rPr>
        <w:t xml:space="preserve"> </w:t>
      </w:r>
      <w:r w:rsidR="001505E4">
        <w:rPr>
          <w:rFonts w:ascii="Times New Roman" w:hAnsi="Times New Roman"/>
          <w:szCs w:val="24"/>
        </w:rPr>
        <w:t xml:space="preserve">It is necessary to clarify the differences between </w:t>
      </w:r>
      <w:r w:rsidR="001505E4">
        <w:rPr>
          <w:rFonts w:ascii="Times New Roman" w:hAnsi="Times New Roman"/>
          <w:szCs w:val="24"/>
        </w:rPr>
        <w:lastRenderedPageBreak/>
        <w:t>them because of the seemingly overlap between both interests.</w:t>
      </w:r>
      <w:r w:rsidR="00404006">
        <w:rPr>
          <w:rFonts w:ascii="Times New Roman" w:hAnsi="Times New Roman"/>
          <w:szCs w:val="24"/>
        </w:rPr>
        <w:t xml:space="preserve"> </w:t>
      </w:r>
      <w:r w:rsidR="001505E4">
        <w:rPr>
          <w:rFonts w:ascii="Times New Roman" w:hAnsi="Times New Roman"/>
          <w:szCs w:val="24"/>
        </w:rPr>
        <w:t>This</w:t>
      </w:r>
      <w:r w:rsidR="00DA3F50">
        <w:rPr>
          <w:rFonts w:ascii="Times New Roman" w:hAnsi="Times New Roman"/>
          <w:szCs w:val="24"/>
        </w:rPr>
        <w:t xml:space="preserve"> distinction</w:t>
      </w:r>
      <w:r w:rsidR="001505E4">
        <w:rPr>
          <w:rFonts w:ascii="Times New Roman" w:hAnsi="Times New Roman"/>
          <w:szCs w:val="24"/>
        </w:rPr>
        <w:t xml:space="preserve"> will enable us to understand how the </w:t>
      </w:r>
      <w:r w:rsidR="00766763">
        <w:rPr>
          <w:rFonts w:ascii="Times New Roman" w:hAnsi="Times New Roman"/>
          <w:szCs w:val="24"/>
        </w:rPr>
        <w:t>prosecutor's role</w:t>
      </w:r>
      <w:r w:rsidR="001505E4">
        <w:rPr>
          <w:rFonts w:ascii="Times New Roman" w:hAnsi="Times New Roman"/>
          <w:szCs w:val="24"/>
        </w:rPr>
        <w:t xml:space="preserve"> could potentially affect</w:t>
      </w:r>
      <w:r w:rsidR="00581D22">
        <w:rPr>
          <w:rFonts w:ascii="Times New Roman" w:hAnsi="Times New Roman"/>
          <w:szCs w:val="24"/>
        </w:rPr>
        <w:t xml:space="preserve"> victims’</w:t>
      </w:r>
      <w:r w:rsidR="001505E4">
        <w:rPr>
          <w:rFonts w:ascii="Times New Roman" w:hAnsi="Times New Roman"/>
          <w:szCs w:val="24"/>
        </w:rPr>
        <w:t xml:space="preserve"> rights</w:t>
      </w:r>
      <w:r w:rsidR="00581D22">
        <w:rPr>
          <w:rFonts w:ascii="Times New Roman" w:hAnsi="Times New Roman"/>
          <w:szCs w:val="24"/>
        </w:rPr>
        <w:t xml:space="preserve"> and interests</w:t>
      </w:r>
      <w:r w:rsidR="001505E4">
        <w:rPr>
          <w:rFonts w:ascii="Times New Roman" w:hAnsi="Times New Roman"/>
          <w:szCs w:val="24"/>
        </w:rPr>
        <w:t>.</w:t>
      </w:r>
      <w:r w:rsidR="00A1367E">
        <w:rPr>
          <w:rFonts w:ascii="Times New Roman" w:hAnsi="Times New Roman"/>
          <w:szCs w:val="24"/>
        </w:rPr>
        <w:t xml:space="preserve"> </w:t>
      </w:r>
      <w:r w:rsidR="001505E4">
        <w:rPr>
          <w:rFonts w:ascii="Times New Roman" w:hAnsi="Times New Roman"/>
          <w:szCs w:val="24"/>
        </w:rPr>
        <w:t>The f</w:t>
      </w:r>
      <w:r w:rsidR="00766763">
        <w:rPr>
          <w:rFonts w:ascii="Times New Roman" w:hAnsi="Times New Roman"/>
          <w:szCs w:val="24"/>
        </w:rPr>
        <w:t>ourth</w:t>
      </w:r>
      <w:r w:rsidR="001505E4">
        <w:rPr>
          <w:rFonts w:ascii="Times New Roman" w:hAnsi="Times New Roman"/>
          <w:szCs w:val="24"/>
        </w:rPr>
        <w:t xml:space="preserve"> section </w:t>
      </w:r>
      <w:r w:rsidR="00A62E1A">
        <w:rPr>
          <w:rFonts w:ascii="Times New Roman" w:hAnsi="Times New Roman"/>
          <w:szCs w:val="24"/>
        </w:rPr>
        <w:t xml:space="preserve">clarifies the </w:t>
      </w:r>
      <w:r w:rsidR="00426CCD">
        <w:rPr>
          <w:rFonts w:ascii="Times New Roman" w:hAnsi="Times New Roman"/>
          <w:szCs w:val="24"/>
        </w:rPr>
        <w:t>position</w:t>
      </w:r>
      <w:r w:rsidR="00A62E1A">
        <w:rPr>
          <w:rFonts w:ascii="Times New Roman" w:hAnsi="Times New Roman"/>
          <w:szCs w:val="24"/>
        </w:rPr>
        <w:t xml:space="preserve"> of the prosecution in the framing of charges.</w:t>
      </w:r>
      <w:r w:rsidR="00581D22">
        <w:rPr>
          <w:rFonts w:ascii="Times New Roman" w:hAnsi="Times New Roman"/>
          <w:szCs w:val="24"/>
        </w:rPr>
        <w:t xml:space="preserve"> </w:t>
      </w:r>
      <w:r w:rsidR="00A62E1A">
        <w:rPr>
          <w:rFonts w:ascii="Times New Roman" w:hAnsi="Times New Roman"/>
          <w:szCs w:val="24"/>
        </w:rPr>
        <w:t xml:space="preserve">The following section investigates the charging document in the </w:t>
      </w:r>
      <w:r w:rsidR="00A62E1A" w:rsidRPr="00404006">
        <w:rPr>
          <w:rFonts w:ascii="Times New Roman" w:hAnsi="Times New Roman"/>
          <w:i/>
          <w:szCs w:val="24"/>
        </w:rPr>
        <w:t>Prosecutor v</w:t>
      </w:r>
      <w:r w:rsidR="00A62E1A">
        <w:rPr>
          <w:rFonts w:ascii="Times New Roman" w:hAnsi="Times New Roman"/>
          <w:szCs w:val="24"/>
        </w:rPr>
        <w:t xml:space="preserve"> </w:t>
      </w:r>
      <w:r w:rsidR="00A62E1A" w:rsidRPr="00404006">
        <w:rPr>
          <w:rFonts w:ascii="Times New Roman" w:hAnsi="Times New Roman"/>
          <w:i/>
          <w:szCs w:val="24"/>
        </w:rPr>
        <w:t>Thomas Lubanga.</w:t>
      </w:r>
      <w:r w:rsidR="00A62E1A">
        <w:rPr>
          <w:rFonts w:ascii="Times New Roman" w:hAnsi="Times New Roman"/>
          <w:szCs w:val="24"/>
        </w:rPr>
        <w:t xml:space="preserve"> </w:t>
      </w:r>
      <w:r w:rsidR="00F45F3F">
        <w:rPr>
          <w:rFonts w:ascii="Times New Roman" w:hAnsi="Times New Roman"/>
          <w:szCs w:val="24"/>
        </w:rPr>
        <w:t>It</w:t>
      </w:r>
      <w:r w:rsidR="00A62E1A">
        <w:rPr>
          <w:rFonts w:ascii="Times New Roman" w:hAnsi="Times New Roman"/>
          <w:szCs w:val="24"/>
        </w:rPr>
        <w:t xml:space="preserve"> is necessary to assess the impact of Prosecutorial discretion on victims.</w:t>
      </w:r>
    </w:p>
    <w:p w14:paraId="0997D42A" w14:textId="07629B9E" w:rsidR="00772CFF" w:rsidRPr="00772CFF" w:rsidRDefault="00A62E1A" w:rsidP="00601A0E">
      <w:pPr>
        <w:spacing w:line="480" w:lineRule="auto"/>
        <w:jc w:val="both"/>
        <w:rPr>
          <w:rFonts w:ascii="Times New Roman" w:hAnsi="Times New Roman"/>
          <w:szCs w:val="24"/>
        </w:rPr>
      </w:pPr>
      <w:r>
        <w:rPr>
          <w:rFonts w:ascii="Times New Roman" w:hAnsi="Times New Roman"/>
          <w:szCs w:val="24"/>
        </w:rPr>
        <w:t>Similarly, the s</w:t>
      </w:r>
      <w:r w:rsidR="00766763">
        <w:rPr>
          <w:rFonts w:ascii="Times New Roman" w:hAnsi="Times New Roman"/>
          <w:szCs w:val="24"/>
        </w:rPr>
        <w:t>ixth</w:t>
      </w:r>
      <w:r>
        <w:rPr>
          <w:rFonts w:ascii="Times New Roman" w:hAnsi="Times New Roman"/>
          <w:szCs w:val="24"/>
        </w:rPr>
        <w:t xml:space="preserve"> section evaluates the charging document in </w:t>
      </w:r>
      <w:r w:rsidR="006D4AAD" w:rsidRPr="00404006">
        <w:rPr>
          <w:rFonts w:ascii="Times New Roman" w:hAnsi="Times New Roman"/>
          <w:i/>
          <w:szCs w:val="24"/>
        </w:rPr>
        <w:t>Prosecutor v Germain Katanga</w:t>
      </w:r>
      <w:r w:rsidR="006D4AAD">
        <w:rPr>
          <w:rFonts w:ascii="Times New Roman" w:hAnsi="Times New Roman"/>
          <w:szCs w:val="24"/>
        </w:rPr>
        <w:t xml:space="preserve"> </w:t>
      </w:r>
      <w:r w:rsidR="006D4AAD" w:rsidRPr="00404006">
        <w:rPr>
          <w:rFonts w:ascii="Times New Roman" w:hAnsi="Times New Roman"/>
          <w:i/>
          <w:szCs w:val="24"/>
        </w:rPr>
        <w:t xml:space="preserve">and </w:t>
      </w:r>
      <w:proofErr w:type="spellStart"/>
      <w:r w:rsidR="006D4AAD" w:rsidRPr="00404006">
        <w:rPr>
          <w:rFonts w:ascii="Times New Roman" w:hAnsi="Times New Roman"/>
          <w:i/>
          <w:szCs w:val="24"/>
        </w:rPr>
        <w:t>Ngudjolo</w:t>
      </w:r>
      <w:proofErr w:type="spellEnd"/>
      <w:r w:rsidR="006D4AAD" w:rsidRPr="00404006">
        <w:rPr>
          <w:rFonts w:ascii="Times New Roman" w:hAnsi="Times New Roman"/>
          <w:i/>
          <w:szCs w:val="24"/>
        </w:rPr>
        <w:t xml:space="preserve"> Chui</w:t>
      </w:r>
      <w:r w:rsidR="006D4AAD">
        <w:rPr>
          <w:rFonts w:ascii="Times New Roman" w:hAnsi="Times New Roman"/>
          <w:szCs w:val="24"/>
        </w:rPr>
        <w:t>.</w:t>
      </w:r>
      <w:r w:rsidR="00404006">
        <w:rPr>
          <w:rFonts w:ascii="Times New Roman" w:hAnsi="Times New Roman"/>
          <w:szCs w:val="24"/>
        </w:rPr>
        <w:t xml:space="preserve"> </w:t>
      </w:r>
      <w:r w:rsidR="00813A93">
        <w:rPr>
          <w:rFonts w:ascii="Times New Roman" w:hAnsi="Times New Roman"/>
          <w:szCs w:val="24"/>
        </w:rPr>
        <w:t xml:space="preserve">Having established these parts, the following </w:t>
      </w:r>
      <w:r w:rsidR="00426CCD">
        <w:rPr>
          <w:rFonts w:ascii="Times New Roman" w:hAnsi="Times New Roman"/>
          <w:szCs w:val="24"/>
        </w:rPr>
        <w:t>area</w:t>
      </w:r>
      <w:r w:rsidR="00813A93">
        <w:rPr>
          <w:rFonts w:ascii="Times New Roman" w:hAnsi="Times New Roman"/>
          <w:szCs w:val="24"/>
        </w:rPr>
        <w:t xml:space="preserve">s </w:t>
      </w:r>
      <w:r w:rsidR="00F45F3F">
        <w:rPr>
          <w:rFonts w:ascii="Times New Roman" w:hAnsi="Times New Roman"/>
          <w:szCs w:val="24"/>
        </w:rPr>
        <w:t xml:space="preserve">assess </w:t>
      </w:r>
      <w:r w:rsidR="00813A93">
        <w:rPr>
          <w:rFonts w:ascii="Times New Roman" w:hAnsi="Times New Roman"/>
          <w:szCs w:val="24"/>
        </w:rPr>
        <w:t>Regulation 55 a</w:t>
      </w:r>
      <w:r w:rsidR="00766763">
        <w:rPr>
          <w:rFonts w:ascii="Times New Roman" w:hAnsi="Times New Roman"/>
          <w:szCs w:val="24"/>
        </w:rPr>
        <w:t>nd</w:t>
      </w:r>
      <w:r w:rsidR="00813A93">
        <w:rPr>
          <w:rFonts w:ascii="Times New Roman" w:hAnsi="Times New Roman"/>
          <w:szCs w:val="24"/>
        </w:rPr>
        <w:t xml:space="preserve"> its relationship with </w:t>
      </w:r>
      <w:r w:rsidR="00581D22">
        <w:rPr>
          <w:rFonts w:ascii="Times New Roman" w:hAnsi="Times New Roman"/>
          <w:szCs w:val="24"/>
        </w:rPr>
        <w:t xml:space="preserve">the </w:t>
      </w:r>
      <w:r w:rsidR="00813A93">
        <w:rPr>
          <w:rFonts w:ascii="Times New Roman" w:hAnsi="Times New Roman"/>
          <w:szCs w:val="24"/>
        </w:rPr>
        <w:t>prosecutor’s powers.</w:t>
      </w:r>
      <w:r w:rsidR="00404006">
        <w:rPr>
          <w:rFonts w:ascii="Times New Roman" w:hAnsi="Times New Roman"/>
          <w:szCs w:val="24"/>
        </w:rPr>
        <w:t xml:space="preserve"> </w:t>
      </w:r>
      <w:r w:rsidR="00813A93">
        <w:rPr>
          <w:rFonts w:ascii="Times New Roman" w:hAnsi="Times New Roman"/>
          <w:szCs w:val="24"/>
        </w:rPr>
        <w:t>This</w:t>
      </w:r>
      <w:r w:rsidR="00F45F3F">
        <w:rPr>
          <w:rFonts w:ascii="Times New Roman" w:hAnsi="Times New Roman"/>
          <w:szCs w:val="24"/>
        </w:rPr>
        <w:t xml:space="preserve"> explores</w:t>
      </w:r>
      <w:r w:rsidR="00813A93">
        <w:rPr>
          <w:rFonts w:ascii="Times New Roman" w:hAnsi="Times New Roman"/>
          <w:szCs w:val="24"/>
        </w:rPr>
        <w:t xml:space="preserve"> </w:t>
      </w:r>
      <w:r w:rsidR="00581D22">
        <w:rPr>
          <w:rFonts w:ascii="Times New Roman" w:hAnsi="Times New Roman"/>
          <w:szCs w:val="24"/>
        </w:rPr>
        <w:t xml:space="preserve">the </w:t>
      </w:r>
      <w:r w:rsidR="00766763">
        <w:rPr>
          <w:rFonts w:ascii="Times New Roman" w:hAnsi="Times New Roman"/>
          <w:szCs w:val="24"/>
        </w:rPr>
        <w:t>prosecutor's role</w:t>
      </w:r>
      <w:r w:rsidR="00813A93">
        <w:rPr>
          <w:rFonts w:ascii="Times New Roman" w:hAnsi="Times New Roman"/>
          <w:szCs w:val="24"/>
        </w:rPr>
        <w:t xml:space="preserve"> in the application of Regulation 55 and how the exercise </w:t>
      </w:r>
      <w:r w:rsidR="00404006">
        <w:rPr>
          <w:rFonts w:ascii="Times New Roman" w:hAnsi="Times New Roman"/>
          <w:szCs w:val="24"/>
        </w:rPr>
        <w:t xml:space="preserve">of power in this regard influences victims’ rights and interests in the </w:t>
      </w:r>
      <w:r w:rsidR="00404006" w:rsidRPr="00404006">
        <w:rPr>
          <w:rFonts w:ascii="Times New Roman" w:hAnsi="Times New Roman"/>
          <w:i/>
          <w:szCs w:val="24"/>
        </w:rPr>
        <w:t>Lubanga</w:t>
      </w:r>
      <w:r w:rsidR="00404006">
        <w:rPr>
          <w:rFonts w:ascii="Times New Roman" w:hAnsi="Times New Roman"/>
          <w:szCs w:val="24"/>
        </w:rPr>
        <w:t xml:space="preserve"> and </w:t>
      </w:r>
      <w:r w:rsidR="00404006" w:rsidRPr="00404006">
        <w:rPr>
          <w:rFonts w:ascii="Times New Roman" w:hAnsi="Times New Roman"/>
          <w:i/>
          <w:szCs w:val="24"/>
        </w:rPr>
        <w:t>Katanga</w:t>
      </w:r>
      <w:r w:rsidR="00404006">
        <w:rPr>
          <w:rFonts w:ascii="Times New Roman" w:hAnsi="Times New Roman"/>
          <w:szCs w:val="24"/>
        </w:rPr>
        <w:t xml:space="preserve"> cases. Building on this idea, the following section discusses the findings. The final part concludes this chapter. </w:t>
      </w:r>
      <w:r>
        <w:rPr>
          <w:rFonts w:ascii="Times New Roman" w:hAnsi="Times New Roman"/>
          <w:szCs w:val="24"/>
        </w:rPr>
        <w:t xml:space="preserve"> </w:t>
      </w:r>
    </w:p>
    <w:p w14:paraId="07FC5AED" w14:textId="77777777" w:rsidR="00426CCD" w:rsidRDefault="00404006" w:rsidP="00426CCD">
      <w:pPr>
        <w:pStyle w:val="Heading2"/>
        <w:rPr>
          <w:lang w:val="en-US"/>
        </w:rPr>
      </w:pPr>
      <w:bookmarkStart w:id="16" w:name="_Toc60235795"/>
      <w:r>
        <w:rPr>
          <w:lang w:val="en-US"/>
        </w:rPr>
        <w:t>2.2</w:t>
      </w:r>
      <w:r w:rsidR="00772CFF" w:rsidRPr="00772CFF">
        <w:rPr>
          <w:lang w:val="en-US"/>
        </w:rPr>
        <w:t xml:space="preserve">The role of actors in the </w:t>
      </w:r>
      <w:r w:rsidR="00D85A14">
        <w:rPr>
          <w:lang w:val="en-US"/>
        </w:rPr>
        <w:t>Rome Negotiations</w:t>
      </w:r>
      <w:bookmarkEnd w:id="16"/>
    </w:p>
    <w:p w14:paraId="0D3DA654" w14:textId="55FC74AF" w:rsidR="00772CFF" w:rsidRPr="00426CCD" w:rsidRDefault="00426CCD" w:rsidP="00426CCD">
      <w:pPr>
        <w:spacing w:line="480" w:lineRule="auto"/>
        <w:jc w:val="both"/>
        <w:rPr>
          <w:lang w:val="en-US"/>
        </w:rPr>
      </w:pPr>
      <w:r>
        <w:rPr>
          <w:rFonts w:ascii="Times New Roman" w:hAnsi="Times New Roman"/>
        </w:rPr>
        <w:t>The absence of a settled normative and institutional hierarchy has led to multiplicity norms.</w:t>
      </w:r>
      <w:r>
        <w:rPr>
          <w:rStyle w:val="FootnoteReference"/>
          <w:rFonts w:ascii="Times New Roman" w:hAnsi="Times New Roman"/>
        </w:rPr>
        <w:footnoteReference w:id="175"/>
      </w:r>
      <w:r>
        <w:rPr>
          <w:rFonts w:ascii="Times New Roman" w:hAnsi="Times New Roman"/>
        </w:rPr>
        <w:t xml:space="preserve"> Consequently, f</w:t>
      </w:r>
      <w:r w:rsidR="00772CFF" w:rsidRPr="00426CCD">
        <w:rPr>
          <w:rFonts w:ascii="Times New Roman" w:hAnsi="Times New Roman"/>
        </w:rPr>
        <w:t xml:space="preserve">ragmentation in international law and the international community </w:t>
      </w:r>
      <w:r>
        <w:rPr>
          <w:rFonts w:ascii="Times New Roman" w:hAnsi="Times New Roman"/>
        </w:rPr>
        <w:t>implies the emergence of different tribunals and institutions. T</w:t>
      </w:r>
      <w:r w:rsidR="00772CFF" w:rsidRPr="00426CCD">
        <w:rPr>
          <w:rFonts w:ascii="Times New Roman" w:hAnsi="Times New Roman"/>
        </w:rPr>
        <w:t>here is a need to provide unification within these complexities</w:t>
      </w:r>
      <w:r>
        <w:rPr>
          <w:rFonts w:ascii="Times New Roman" w:hAnsi="Times New Roman"/>
        </w:rPr>
        <w:t xml:space="preserve">; however, the provision of consolidation could inadvertently foster the </w:t>
      </w:r>
      <w:r w:rsidR="00766763">
        <w:rPr>
          <w:rFonts w:ascii="Times New Roman" w:hAnsi="Times New Roman"/>
        </w:rPr>
        <w:t>parties' selfish interest</w:t>
      </w:r>
      <w:r>
        <w:rPr>
          <w:rFonts w:ascii="Times New Roman" w:hAnsi="Times New Roman"/>
        </w:rPr>
        <w:t xml:space="preserve">s. </w:t>
      </w:r>
      <w:r w:rsidR="00772CFF" w:rsidRPr="00426CCD">
        <w:rPr>
          <w:rFonts w:ascii="Times New Roman" w:hAnsi="Times New Roman"/>
          <w:vertAlign w:val="superscript"/>
        </w:rPr>
        <w:footnoteReference w:id="176"/>
      </w:r>
      <w:r w:rsidR="00772CFF" w:rsidRPr="00426CCD">
        <w:rPr>
          <w:rFonts w:ascii="Times New Roman" w:hAnsi="Times New Roman"/>
        </w:rPr>
        <w:t xml:space="preserve">Hence, groups </w:t>
      </w:r>
      <w:r w:rsidR="00772CFF" w:rsidRPr="00426CCD">
        <w:rPr>
          <w:rFonts w:ascii="Times New Roman" w:hAnsi="Times New Roman"/>
        </w:rPr>
        <w:lastRenderedPageBreak/>
        <w:t>tend to identify and interact provided they have common ideas.</w:t>
      </w:r>
      <w:r w:rsidR="00772CFF" w:rsidRPr="00426CCD">
        <w:rPr>
          <w:rFonts w:ascii="Times New Roman" w:hAnsi="Times New Roman"/>
          <w:vertAlign w:val="superscript"/>
        </w:rPr>
        <w:footnoteReference w:id="177"/>
      </w:r>
      <w:r w:rsidR="00772CFF" w:rsidRPr="00426CCD">
        <w:rPr>
          <w:rFonts w:ascii="Times New Roman" w:hAnsi="Times New Roman"/>
        </w:rPr>
        <w:t>Th</w:t>
      </w:r>
      <w:r>
        <w:rPr>
          <w:rFonts w:ascii="Times New Roman" w:hAnsi="Times New Roman"/>
        </w:rPr>
        <w:t>eir ‘personal’ interests mostly dictate thi</w:t>
      </w:r>
      <w:r w:rsidR="00772CFF" w:rsidRPr="00426CCD">
        <w:rPr>
          <w:rFonts w:ascii="Times New Roman" w:hAnsi="Times New Roman"/>
        </w:rPr>
        <w:t>s. This strategy may unify different groups, promote their common interests and give them power</w:t>
      </w:r>
      <w:r w:rsidR="00772CFF" w:rsidRPr="00772CFF">
        <w:t>.</w:t>
      </w:r>
    </w:p>
    <w:p w14:paraId="570D0F41" w14:textId="37ECF8CF" w:rsidR="00774AAC" w:rsidRDefault="00774AAC" w:rsidP="00601A0E">
      <w:pPr>
        <w:spacing w:line="480" w:lineRule="auto"/>
        <w:jc w:val="both"/>
        <w:rPr>
          <w:rFonts w:ascii="Times New Roman" w:hAnsi="Times New Roman"/>
          <w:szCs w:val="24"/>
        </w:rPr>
      </w:pPr>
      <w:r>
        <w:rPr>
          <w:rFonts w:ascii="Times New Roman" w:hAnsi="Times New Roman"/>
          <w:szCs w:val="24"/>
        </w:rPr>
        <w:t>The establishment of Yugoslavia and Rwanda Tribunals contributed to the clamour for the demand for the ICC.</w:t>
      </w:r>
      <w:r w:rsidR="00A13502">
        <w:rPr>
          <w:rStyle w:val="FootnoteReference"/>
          <w:rFonts w:ascii="Times New Roman" w:hAnsi="Times New Roman"/>
          <w:szCs w:val="24"/>
        </w:rPr>
        <w:footnoteReference w:id="178"/>
      </w:r>
      <w:r>
        <w:rPr>
          <w:rFonts w:ascii="Times New Roman" w:hAnsi="Times New Roman"/>
          <w:szCs w:val="24"/>
        </w:rPr>
        <w:t xml:space="preserve"> </w:t>
      </w:r>
      <w:r w:rsidR="00426CCD">
        <w:rPr>
          <w:rFonts w:ascii="Times New Roman" w:hAnsi="Times New Roman"/>
          <w:szCs w:val="24"/>
        </w:rPr>
        <w:t>The United Nations Security Council created t</w:t>
      </w:r>
      <w:r>
        <w:rPr>
          <w:rFonts w:ascii="Times New Roman" w:hAnsi="Times New Roman"/>
          <w:szCs w:val="24"/>
        </w:rPr>
        <w:t>he Yugoslavia</w:t>
      </w:r>
      <w:r w:rsidR="00426CCD">
        <w:rPr>
          <w:rFonts w:ascii="Times New Roman" w:hAnsi="Times New Roman"/>
          <w:szCs w:val="24"/>
        </w:rPr>
        <w:t>,</w:t>
      </w:r>
      <w:r>
        <w:rPr>
          <w:rFonts w:ascii="Times New Roman" w:hAnsi="Times New Roman"/>
          <w:szCs w:val="24"/>
        </w:rPr>
        <w:t xml:space="preserve"> and Rwanda tribunals</w:t>
      </w:r>
      <w:r w:rsidR="00426CCD">
        <w:rPr>
          <w:rFonts w:ascii="Times New Roman" w:hAnsi="Times New Roman"/>
          <w:szCs w:val="24"/>
        </w:rPr>
        <w:t xml:space="preserve"> as</w:t>
      </w:r>
      <w:r>
        <w:rPr>
          <w:rFonts w:ascii="Times New Roman" w:hAnsi="Times New Roman"/>
          <w:szCs w:val="24"/>
        </w:rPr>
        <w:t xml:space="preserve"> ad-hoc tribunals in response to serious crimes committed with</w:t>
      </w:r>
      <w:r w:rsidR="00964CD2">
        <w:rPr>
          <w:rFonts w:ascii="Times New Roman" w:hAnsi="Times New Roman"/>
          <w:szCs w:val="24"/>
        </w:rPr>
        <w:t>in</w:t>
      </w:r>
      <w:r>
        <w:rPr>
          <w:rFonts w:ascii="Times New Roman" w:hAnsi="Times New Roman"/>
          <w:szCs w:val="24"/>
        </w:rPr>
        <w:t xml:space="preserve"> the</w:t>
      </w:r>
      <w:r w:rsidR="00964CD2">
        <w:rPr>
          <w:rFonts w:ascii="Times New Roman" w:hAnsi="Times New Roman"/>
          <w:szCs w:val="24"/>
        </w:rPr>
        <w:t>ir</w:t>
      </w:r>
      <w:r>
        <w:rPr>
          <w:rFonts w:ascii="Times New Roman" w:hAnsi="Times New Roman"/>
          <w:szCs w:val="24"/>
        </w:rPr>
        <w:t xml:space="preserve"> respective jurisdictions.</w:t>
      </w:r>
      <w:r>
        <w:rPr>
          <w:rStyle w:val="FootnoteReference"/>
          <w:rFonts w:ascii="Times New Roman" w:hAnsi="Times New Roman"/>
          <w:szCs w:val="24"/>
        </w:rPr>
        <w:footnoteReference w:id="179"/>
      </w:r>
      <w:r>
        <w:rPr>
          <w:rFonts w:ascii="Times New Roman" w:hAnsi="Times New Roman"/>
          <w:szCs w:val="24"/>
        </w:rPr>
        <w:t xml:space="preserve"> </w:t>
      </w:r>
      <w:r w:rsidR="006F2B14">
        <w:rPr>
          <w:rFonts w:ascii="Times New Roman" w:hAnsi="Times New Roman"/>
          <w:szCs w:val="24"/>
        </w:rPr>
        <w:t>Some commentators</w:t>
      </w:r>
      <w:r>
        <w:rPr>
          <w:rFonts w:ascii="Times New Roman" w:hAnsi="Times New Roman"/>
          <w:szCs w:val="24"/>
        </w:rPr>
        <w:t xml:space="preserve"> suggested that a permanent International Criminal Court would preclude the reoccurrence</w:t>
      </w:r>
      <w:r w:rsidR="006F2B14">
        <w:rPr>
          <w:rFonts w:ascii="Times New Roman" w:hAnsi="Times New Roman"/>
          <w:szCs w:val="24"/>
        </w:rPr>
        <w:t xml:space="preserve"> of </w:t>
      </w:r>
      <w:r>
        <w:rPr>
          <w:rFonts w:ascii="Times New Roman" w:hAnsi="Times New Roman"/>
          <w:szCs w:val="24"/>
        </w:rPr>
        <w:t>problems and challenges that afflicted the tribunals.</w:t>
      </w:r>
      <w:r>
        <w:rPr>
          <w:rStyle w:val="FootnoteReference"/>
          <w:rFonts w:ascii="Times New Roman" w:hAnsi="Times New Roman"/>
          <w:szCs w:val="24"/>
        </w:rPr>
        <w:footnoteReference w:id="180"/>
      </w:r>
      <w:r>
        <w:rPr>
          <w:rFonts w:ascii="Times New Roman" w:hAnsi="Times New Roman"/>
          <w:szCs w:val="24"/>
        </w:rPr>
        <w:t>Hence, it is guaranteed that the establishment of a permanent court would expedite investigations and prosecutions.</w:t>
      </w:r>
      <w:r>
        <w:rPr>
          <w:rStyle w:val="FootnoteReference"/>
          <w:rFonts w:ascii="Times New Roman" w:hAnsi="Times New Roman"/>
          <w:szCs w:val="24"/>
        </w:rPr>
        <w:footnoteReference w:id="181"/>
      </w:r>
      <w:r w:rsidR="0094656B">
        <w:rPr>
          <w:rFonts w:ascii="Times New Roman" w:hAnsi="Times New Roman"/>
          <w:szCs w:val="24"/>
        </w:rPr>
        <w:t xml:space="preserve">Nonetheless, the question posed by </w:t>
      </w:r>
      <w:r w:rsidR="00766763">
        <w:rPr>
          <w:rFonts w:ascii="Times New Roman" w:hAnsi="Times New Roman"/>
          <w:szCs w:val="24"/>
        </w:rPr>
        <w:t>creating a permanent criminal court remained a political one that</w:t>
      </w:r>
      <w:r w:rsidR="0094656B">
        <w:rPr>
          <w:rFonts w:ascii="Times New Roman" w:hAnsi="Times New Roman"/>
          <w:szCs w:val="24"/>
        </w:rPr>
        <w:t xml:space="preserve"> might threaten national sovereignty.</w:t>
      </w:r>
      <w:r w:rsidR="0094656B">
        <w:rPr>
          <w:rStyle w:val="FootnoteReference"/>
          <w:rFonts w:ascii="Times New Roman" w:hAnsi="Times New Roman"/>
          <w:szCs w:val="24"/>
        </w:rPr>
        <w:footnoteReference w:id="182"/>
      </w:r>
    </w:p>
    <w:p w14:paraId="4354C159" w14:textId="755F4ACC" w:rsidR="005714CF" w:rsidRDefault="005714CF" w:rsidP="00601A0E">
      <w:pPr>
        <w:spacing w:line="480" w:lineRule="auto"/>
        <w:jc w:val="both"/>
        <w:rPr>
          <w:rFonts w:ascii="Times New Roman" w:hAnsi="Times New Roman"/>
          <w:szCs w:val="24"/>
        </w:rPr>
      </w:pPr>
      <w:r>
        <w:rPr>
          <w:rFonts w:ascii="Times New Roman" w:hAnsi="Times New Roman"/>
          <w:szCs w:val="24"/>
        </w:rPr>
        <w:t>In 1995, the Unite</w:t>
      </w:r>
      <w:r w:rsidR="00283319">
        <w:rPr>
          <w:rFonts w:ascii="Times New Roman" w:hAnsi="Times New Roman"/>
          <w:szCs w:val="24"/>
        </w:rPr>
        <w:t>d</w:t>
      </w:r>
      <w:r>
        <w:rPr>
          <w:rFonts w:ascii="Times New Roman" w:hAnsi="Times New Roman"/>
          <w:szCs w:val="24"/>
        </w:rPr>
        <w:t xml:space="preserve"> Nations Gen</w:t>
      </w:r>
      <w:r w:rsidR="001D3963">
        <w:rPr>
          <w:rFonts w:ascii="Times New Roman" w:hAnsi="Times New Roman"/>
          <w:szCs w:val="24"/>
        </w:rPr>
        <w:t>e</w:t>
      </w:r>
      <w:r>
        <w:rPr>
          <w:rFonts w:ascii="Times New Roman" w:hAnsi="Times New Roman"/>
          <w:szCs w:val="24"/>
        </w:rPr>
        <w:t xml:space="preserve">ral Assembly </w:t>
      </w:r>
      <w:r w:rsidR="007460CC">
        <w:rPr>
          <w:rFonts w:ascii="Times New Roman" w:hAnsi="Times New Roman"/>
          <w:szCs w:val="24"/>
        </w:rPr>
        <w:t xml:space="preserve">decided to establish an Ad Hoc committee to discuss and elaborate on the “major substantive and administrative issues” </w:t>
      </w:r>
      <w:r w:rsidR="007460CC">
        <w:rPr>
          <w:rFonts w:ascii="Times New Roman" w:hAnsi="Times New Roman"/>
          <w:szCs w:val="24"/>
        </w:rPr>
        <w:lastRenderedPageBreak/>
        <w:t>which emerged from the International Law Commission’s 1994 draft statute.</w:t>
      </w:r>
      <w:r w:rsidR="007460CC">
        <w:rPr>
          <w:rStyle w:val="FootnoteReference"/>
          <w:rFonts w:ascii="Times New Roman" w:hAnsi="Times New Roman"/>
          <w:szCs w:val="24"/>
        </w:rPr>
        <w:footnoteReference w:id="183"/>
      </w:r>
      <w:r w:rsidR="00545363">
        <w:rPr>
          <w:rFonts w:ascii="Times New Roman" w:hAnsi="Times New Roman"/>
          <w:szCs w:val="24"/>
        </w:rPr>
        <w:t xml:space="preserve">The Ad Hoc committee had two sessions </w:t>
      </w:r>
      <w:r w:rsidR="00766763">
        <w:rPr>
          <w:rFonts w:ascii="Times New Roman" w:hAnsi="Times New Roman"/>
          <w:szCs w:val="24"/>
        </w:rPr>
        <w:t>that led to emergent issues in creating</w:t>
      </w:r>
      <w:r w:rsidR="00545363">
        <w:rPr>
          <w:rFonts w:ascii="Times New Roman" w:hAnsi="Times New Roman"/>
          <w:szCs w:val="24"/>
        </w:rPr>
        <w:t xml:space="preserve"> I</w:t>
      </w:r>
      <w:r w:rsidR="006F2B14">
        <w:rPr>
          <w:rFonts w:ascii="Times New Roman" w:hAnsi="Times New Roman"/>
          <w:szCs w:val="24"/>
        </w:rPr>
        <w:t>CC</w:t>
      </w:r>
      <w:r w:rsidR="00545363">
        <w:rPr>
          <w:rFonts w:ascii="Times New Roman" w:hAnsi="Times New Roman"/>
          <w:szCs w:val="24"/>
        </w:rPr>
        <w:t>. Subsequently, the Ad Hoc Committee’s work le</w:t>
      </w:r>
      <w:r w:rsidR="006F2B14">
        <w:rPr>
          <w:rFonts w:ascii="Times New Roman" w:hAnsi="Times New Roman"/>
          <w:szCs w:val="24"/>
        </w:rPr>
        <w:t>d</w:t>
      </w:r>
      <w:r w:rsidR="00545363">
        <w:rPr>
          <w:rFonts w:ascii="Times New Roman" w:hAnsi="Times New Roman"/>
          <w:szCs w:val="24"/>
        </w:rPr>
        <w:t xml:space="preserve"> to the establishment of the Preparatory Committee</w:t>
      </w:r>
      <w:r w:rsidR="001D3963">
        <w:rPr>
          <w:rFonts w:ascii="Times New Roman" w:hAnsi="Times New Roman"/>
          <w:szCs w:val="24"/>
        </w:rPr>
        <w:t>.</w:t>
      </w:r>
      <w:r w:rsidR="001D3963">
        <w:rPr>
          <w:rStyle w:val="FootnoteReference"/>
          <w:rFonts w:ascii="Times New Roman" w:hAnsi="Times New Roman"/>
          <w:szCs w:val="24"/>
        </w:rPr>
        <w:footnoteReference w:id="184"/>
      </w:r>
      <w:r w:rsidR="005906C9">
        <w:rPr>
          <w:rFonts w:ascii="Times New Roman" w:hAnsi="Times New Roman"/>
          <w:szCs w:val="24"/>
        </w:rPr>
        <w:t xml:space="preserve">The Preparatory Committee was to continue the </w:t>
      </w:r>
      <w:r w:rsidR="00766763">
        <w:rPr>
          <w:rFonts w:ascii="Times New Roman" w:hAnsi="Times New Roman"/>
          <w:szCs w:val="24"/>
        </w:rPr>
        <w:t>Ad Hoc Committee's work</w:t>
      </w:r>
      <w:r w:rsidR="005906C9">
        <w:rPr>
          <w:rFonts w:ascii="Times New Roman" w:hAnsi="Times New Roman"/>
          <w:szCs w:val="24"/>
        </w:rPr>
        <w:t xml:space="preserve"> on the establishment of the International Criminal Court.</w:t>
      </w:r>
      <w:r w:rsidR="00EC544E">
        <w:rPr>
          <w:rFonts w:ascii="Times New Roman" w:hAnsi="Times New Roman"/>
          <w:szCs w:val="24"/>
        </w:rPr>
        <w:t xml:space="preserve"> </w:t>
      </w:r>
      <w:r w:rsidR="00F3505F">
        <w:rPr>
          <w:rFonts w:ascii="Times New Roman" w:hAnsi="Times New Roman"/>
          <w:szCs w:val="24"/>
        </w:rPr>
        <w:t>In its address, the General Assembl</w:t>
      </w:r>
      <w:r w:rsidR="007460CC">
        <w:rPr>
          <w:rFonts w:ascii="Times New Roman" w:hAnsi="Times New Roman"/>
          <w:szCs w:val="24"/>
        </w:rPr>
        <w:t xml:space="preserve">y </w:t>
      </w:r>
      <w:r w:rsidR="00F3505F">
        <w:rPr>
          <w:rFonts w:ascii="Times New Roman" w:hAnsi="Times New Roman"/>
          <w:szCs w:val="24"/>
        </w:rPr>
        <w:t xml:space="preserve">mandated the Preparatory Committee to “to </w:t>
      </w:r>
      <w:r w:rsidR="005906C9">
        <w:rPr>
          <w:rFonts w:ascii="Times New Roman" w:hAnsi="Times New Roman"/>
          <w:szCs w:val="24"/>
        </w:rPr>
        <w:t>draft text</w:t>
      </w:r>
      <w:r w:rsidR="00283319">
        <w:rPr>
          <w:rFonts w:ascii="Times New Roman" w:hAnsi="Times New Roman"/>
          <w:szCs w:val="24"/>
        </w:rPr>
        <w:t xml:space="preserve">, </w:t>
      </w:r>
      <w:r w:rsidR="00766763">
        <w:rPr>
          <w:rFonts w:ascii="Times New Roman" w:hAnsi="Times New Roman"/>
          <w:szCs w:val="24"/>
        </w:rPr>
        <w:t>to prepare</w:t>
      </w:r>
      <w:r w:rsidR="00F3505F">
        <w:rPr>
          <w:rFonts w:ascii="Times New Roman" w:hAnsi="Times New Roman"/>
          <w:szCs w:val="24"/>
        </w:rPr>
        <w:t xml:space="preserve"> a widely acceptable consolidated text of a convention for an international criminal court</w:t>
      </w:r>
      <w:r w:rsidR="00283319">
        <w:rPr>
          <w:rFonts w:ascii="Times New Roman" w:hAnsi="Times New Roman"/>
          <w:szCs w:val="24"/>
        </w:rPr>
        <w:t xml:space="preserve"> as </w:t>
      </w:r>
      <w:r w:rsidR="006F2B14">
        <w:rPr>
          <w:rFonts w:ascii="Times New Roman" w:hAnsi="Times New Roman"/>
          <w:szCs w:val="24"/>
        </w:rPr>
        <w:t>the</w:t>
      </w:r>
      <w:r w:rsidR="00283319">
        <w:rPr>
          <w:rFonts w:ascii="Times New Roman" w:hAnsi="Times New Roman"/>
          <w:szCs w:val="24"/>
        </w:rPr>
        <w:t xml:space="preserve"> next step towards consideration by a conference of plenipotentiaries</w:t>
      </w:r>
      <w:r w:rsidR="00F3505F">
        <w:rPr>
          <w:rFonts w:ascii="Times New Roman" w:hAnsi="Times New Roman"/>
          <w:szCs w:val="24"/>
        </w:rPr>
        <w:t>.”</w:t>
      </w:r>
      <w:r w:rsidR="00F3505F">
        <w:rPr>
          <w:rStyle w:val="FootnoteReference"/>
          <w:rFonts w:ascii="Times New Roman" w:hAnsi="Times New Roman"/>
          <w:szCs w:val="24"/>
        </w:rPr>
        <w:footnoteReference w:id="185"/>
      </w:r>
    </w:p>
    <w:p w14:paraId="72A1DF6D" w14:textId="24F881AE" w:rsidR="00283319" w:rsidRDefault="00283319" w:rsidP="00601A0E">
      <w:pPr>
        <w:spacing w:line="480" w:lineRule="auto"/>
        <w:jc w:val="both"/>
        <w:rPr>
          <w:rFonts w:ascii="Times New Roman" w:hAnsi="Times New Roman"/>
          <w:szCs w:val="24"/>
        </w:rPr>
      </w:pPr>
      <w:r>
        <w:rPr>
          <w:rFonts w:ascii="Times New Roman" w:hAnsi="Times New Roman"/>
          <w:szCs w:val="24"/>
        </w:rPr>
        <w:t xml:space="preserve">The </w:t>
      </w:r>
      <w:r w:rsidR="00766763">
        <w:rPr>
          <w:rFonts w:ascii="Times New Roman" w:hAnsi="Times New Roman"/>
          <w:szCs w:val="24"/>
        </w:rPr>
        <w:t>negotiations' delegates consisted of individual actors, collective participants, government delegations, Non-Governmental Organisations, United Nations Diplomats, senior servants, public and private experts,  Bureau members,</w:t>
      </w:r>
      <w:r w:rsidR="003148B3">
        <w:rPr>
          <w:rFonts w:ascii="Times New Roman" w:hAnsi="Times New Roman"/>
          <w:szCs w:val="24"/>
        </w:rPr>
        <w:t xml:space="preserve"> and politicians.</w:t>
      </w:r>
      <w:r w:rsidR="003148B3">
        <w:rPr>
          <w:rStyle w:val="FootnoteReference"/>
          <w:rFonts w:ascii="Times New Roman" w:hAnsi="Times New Roman"/>
          <w:szCs w:val="24"/>
        </w:rPr>
        <w:footnoteReference w:id="186"/>
      </w:r>
    </w:p>
    <w:p w14:paraId="35C16C21" w14:textId="4F54A1A4" w:rsidR="008E7E33" w:rsidRDefault="008E7E33" w:rsidP="00601A0E">
      <w:pPr>
        <w:spacing w:line="480" w:lineRule="auto"/>
        <w:jc w:val="both"/>
        <w:rPr>
          <w:rFonts w:ascii="Times New Roman" w:hAnsi="Times New Roman"/>
          <w:szCs w:val="24"/>
        </w:rPr>
      </w:pPr>
      <w:r>
        <w:rPr>
          <w:rFonts w:ascii="Times New Roman" w:hAnsi="Times New Roman"/>
          <w:szCs w:val="24"/>
        </w:rPr>
        <w:t xml:space="preserve">The Rome Conference revealed the polarised interests between the United States quest for “a Security Council-controlled Court” and the demand of some other countries for a permanent court with </w:t>
      </w:r>
      <w:r w:rsidR="003B06ED">
        <w:rPr>
          <w:rFonts w:ascii="Times New Roman" w:hAnsi="Times New Roman"/>
          <w:szCs w:val="24"/>
        </w:rPr>
        <w:t xml:space="preserve">universal </w:t>
      </w:r>
      <w:r>
        <w:rPr>
          <w:rFonts w:ascii="Times New Roman" w:hAnsi="Times New Roman"/>
          <w:szCs w:val="24"/>
        </w:rPr>
        <w:t xml:space="preserve">jurisdiction on war crimes, crimes against humanity </w:t>
      </w:r>
      <w:r>
        <w:rPr>
          <w:rFonts w:ascii="Times New Roman" w:hAnsi="Times New Roman"/>
          <w:szCs w:val="24"/>
        </w:rPr>
        <w:lastRenderedPageBreak/>
        <w:t>and genocide.</w:t>
      </w:r>
      <w:r>
        <w:rPr>
          <w:rStyle w:val="FootnoteReference"/>
          <w:rFonts w:ascii="Times New Roman" w:hAnsi="Times New Roman"/>
          <w:szCs w:val="24"/>
        </w:rPr>
        <w:footnoteReference w:id="187"/>
      </w:r>
      <w:r w:rsidR="003B06ED">
        <w:rPr>
          <w:rFonts w:ascii="Times New Roman" w:hAnsi="Times New Roman"/>
          <w:szCs w:val="24"/>
        </w:rPr>
        <w:t xml:space="preserve">One reasonable explanation for the USA’s objection was the implications of an independent ICC Prosecutor; potentially, an independent Prosecutor </w:t>
      </w:r>
      <w:r w:rsidR="006373C8">
        <w:rPr>
          <w:rFonts w:ascii="Times New Roman" w:hAnsi="Times New Roman"/>
          <w:szCs w:val="24"/>
        </w:rPr>
        <w:t>could exercise its power to restrict the</w:t>
      </w:r>
      <w:r w:rsidR="003B06ED">
        <w:rPr>
          <w:rFonts w:ascii="Times New Roman" w:hAnsi="Times New Roman"/>
          <w:szCs w:val="24"/>
        </w:rPr>
        <w:t xml:space="preserve">  U.S.A’s military personnel and officials.</w:t>
      </w:r>
      <w:r w:rsidR="00623E79">
        <w:rPr>
          <w:rStyle w:val="FootnoteReference"/>
          <w:rFonts w:ascii="Times New Roman" w:hAnsi="Times New Roman"/>
          <w:szCs w:val="24"/>
        </w:rPr>
        <w:footnoteReference w:id="188"/>
      </w:r>
      <w:r w:rsidR="00602319">
        <w:rPr>
          <w:rFonts w:ascii="Times New Roman" w:hAnsi="Times New Roman"/>
          <w:szCs w:val="24"/>
        </w:rPr>
        <w:t>Thus, the USA intended for a Court with relatively restricted powers.</w:t>
      </w:r>
    </w:p>
    <w:p w14:paraId="1122949F" w14:textId="5BD8E72A" w:rsidR="00772CFF" w:rsidRPr="00772CFF" w:rsidRDefault="00D62D60" w:rsidP="00601A0E">
      <w:pPr>
        <w:spacing w:line="480" w:lineRule="auto"/>
        <w:jc w:val="both"/>
        <w:rPr>
          <w:rFonts w:ascii="Times New Roman" w:hAnsi="Times New Roman"/>
          <w:szCs w:val="24"/>
        </w:rPr>
      </w:pPr>
      <w:r>
        <w:rPr>
          <w:rFonts w:ascii="Times New Roman" w:hAnsi="Times New Roman"/>
          <w:szCs w:val="24"/>
        </w:rPr>
        <w:t xml:space="preserve">The final stage addressed the </w:t>
      </w:r>
      <w:r w:rsidR="00766763">
        <w:rPr>
          <w:rFonts w:ascii="Times New Roman" w:hAnsi="Times New Roman"/>
          <w:szCs w:val="24"/>
        </w:rPr>
        <w:t>prosecutor's roles</w:t>
      </w:r>
      <w:r w:rsidR="006F2B14">
        <w:rPr>
          <w:rFonts w:ascii="Times New Roman" w:hAnsi="Times New Roman"/>
          <w:szCs w:val="24"/>
        </w:rPr>
        <w:t>,</w:t>
      </w:r>
      <w:r>
        <w:rPr>
          <w:rFonts w:ascii="Times New Roman" w:hAnsi="Times New Roman"/>
          <w:szCs w:val="24"/>
        </w:rPr>
        <w:t xml:space="preserve"> amongst other issues(triggering mechanisms, complementarity, Court’s jurisdiction).</w:t>
      </w:r>
      <w:r w:rsidR="007C3454">
        <w:rPr>
          <w:rStyle w:val="FootnoteReference"/>
          <w:rFonts w:ascii="Times New Roman" w:hAnsi="Times New Roman"/>
          <w:szCs w:val="24"/>
        </w:rPr>
        <w:footnoteReference w:id="189"/>
      </w:r>
      <w:r w:rsidR="00772CFF" w:rsidRPr="00772CFF">
        <w:rPr>
          <w:rFonts w:ascii="Times New Roman" w:hAnsi="Times New Roman"/>
          <w:szCs w:val="24"/>
        </w:rPr>
        <w:t>Chazal notes that during the Rome Statute Conference</w:t>
      </w:r>
      <w:r w:rsidR="00D85A14">
        <w:rPr>
          <w:rFonts w:ascii="Times New Roman" w:hAnsi="Times New Roman"/>
          <w:szCs w:val="24"/>
        </w:rPr>
        <w:t>,</w:t>
      </w:r>
      <w:r w:rsidR="00772CFF" w:rsidRPr="00772CFF">
        <w:rPr>
          <w:rFonts w:ascii="Times New Roman" w:hAnsi="Times New Roman"/>
          <w:szCs w:val="24"/>
        </w:rPr>
        <w:t xml:space="preserve"> the key strategy was </w:t>
      </w:r>
      <w:r w:rsidR="00766763">
        <w:rPr>
          <w:rFonts w:ascii="Times New Roman" w:hAnsi="Times New Roman"/>
          <w:szCs w:val="24"/>
        </w:rPr>
        <w:t>the groups' constitution</w:t>
      </w:r>
      <w:r w:rsidR="00772CFF" w:rsidRPr="00772CFF">
        <w:rPr>
          <w:rFonts w:ascii="Times New Roman" w:hAnsi="Times New Roman"/>
          <w:szCs w:val="24"/>
        </w:rPr>
        <w:t xml:space="preserve"> around </w:t>
      </w:r>
      <w:r w:rsidR="006F2B14">
        <w:rPr>
          <w:rFonts w:ascii="Times New Roman" w:hAnsi="Times New Roman"/>
          <w:szCs w:val="24"/>
        </w:rPr>
        <w:t>shared</w:t>
      </w:r>
      <w:r w:rsidR="00772CFF" w:rsidRPr="00772CFF">
        <w:rPr>
          <w:rFonts w:ascii="Times New Roman" w:hAnsi="Times New Roman"/>
          <w:szCs w:val="24"/>
        </w:rPr>
        <w:t xml:space="preserve"> interests and ideas.</w:t>
      </w:r>
      <w:r w:rsidR="00772CFF" w:rsidRPr="00772CFF">
        <w:rPr>
          <w:rFonts w:ascii="Times New Roman" w:hAnsi="Times New Roman"/>
          <w:szCs w:val="24"/>
          <w:vertAlign w:val="superscript"/>
        </w:rPr>
        <w:footnoteReference w:id="190"/>
      </w:r>
      <w:r w:rsidR="00772CFF" w:rsidRPr="00772CFF">
        <w:rPr>
          <w:rFonts w:ascii="Times New Roman" w:hAnsi="Times New Roman"/>
          <w:szCs w:val="24"/>
        </w:rPr>
        <w:t xml:space="preserve"> He also observes that the processes of negotiation and interactions during the conference denote the responsive ability of actors</w:t>
      </w:r>
      <w:r w:rsidR="00D85A14">
        <w:rPr>
          <w:rFonts w:ascii="Times New Roman" w:hAnsi="Times New Roman"/>
          <w:szCs w:val="24"/>
        </w:rPr>
        <w:t xml:space="preserve"> to impact change as well as</w:t>
      </w:r>
      <w:r w:rsidR="00772CFF" w:rsidRPr="00772CFF">
        <w:rPr>
          <w:rFonts w:ascii="Times New Roman" w:hAnsi="Times New Roman"/>
          <w:szCs w:val="24"/>
        </w:rPr>
        <w:t xml:space="preserve"> how powerful these actors become when they create groups based on </w:t>
      </w:r>
      <w:r w:rsidR="00766763">
        <w:rPr>
          <w:rFonts w:ascii="Times New Roman" w:hAnsi="Times New Roman"/>
          <w:szCs w:val="24"/>
        </w:rPr>
        <w:t>shared</w:t>
      </w:r>
      <w:r w:rsidR="00772CFF" w:rsidRPr="00772CFF">
        <w:rPr>
          <w:rFonts w:ascii="Times New Roman" w:hAnsi="Times New Roman"/>
          <w:szCs w:val="24"/>
        </w:rPr>
        <w:t xml:space="preserve"> ideas and interests.</w:t>
      </w:r>
      <w:r w:rsidR="00772CFF" w:rsidRPr="00772CFF">
        <w:rPr>
          <w:rFonts w:ascii="Times New Roman" w:hAnsi="Times New Roman"/>
          <w:szCs w:val="24"/>
          <w:vertAlign w:val="superscript"/>
        </w:rPr>
        <w:footnoteReference w:id="191"/>
      </w:r>
      <w:r w:rsidR="00D85A14">
        <w:rPr>
          <w:rFonts w:ascii="Times New Roman" w:hAnsi="Times New Roman"/>
          <w:szCs w:val="24"/>
        </w:rPr>
        <w:t xml:space="preserve"> However, Schiff,</w:t>
      </w:r>
      <w:r w:rsidR="00772CFF" w:rsidRPr="00772CFF">
        <w:rPr>
          <w:rFonts w:ascii="Times New Roman" w:hAnsi="Times New Roman"/>
          <w:szCs w:val="24"/>
        </w:rPr>
        <w:t xml:space="preserve"> </w:t>
      </w:r>
      <w:proofErr w:type="spellStart"/>
      <w:r w:rsidR="00772CFF" w:rsidRPr="00772CFF">
        <w:rPr>
          <w:rFonts w:ascii="Times New Roman" w:hAnsi="Times New Roman"/>
          <w:szCs w:val="24"/>
        </w:rPr>
        <w:t>Megret</w:t>
      </w:r>
      <w:proofErr w:type="spellEnd"/>
      <w:r w:rsidR="00772CFF" w:rsidRPr="00772CFF">
        <w:rPr>
          <w:rFonts w:ascii="Times New Roman" w:hAnsi="Times New Roman"/>
          <w:szCs w:val="24"/>
        </w:rPr>
        <w:t xml:space="preserve"> and Chazal have shown that actors use</w:t>
      </w:r>
      <w:r w:rsidR="00772CFF" w:rsidRPr="00772CFF">
        <w:rPr>
          <w:rFonts w:ascii="Times New Roman" w:hAnsi="Times New Roman"/>
          <w:i/>
          <w:szCs w:val="24"/>
        </w:rPr>
        <w:t xml:space="preserve"> ideal </w:t>
      </w:r>
      <w:proofErr w:type="spellStart"/>
      <w:r w:rsidR="00766763">
        <w:rPr>
          <w:rFonts w:ascii="Times New Roman" w:hAnsi="Times New Roman"/>
          <w:i/>
          <w:szCs w:val="24"/>
        </w:rPr>
        <w:t>P</w:t>
      </w:r>
      <w:r w:rsidR="00772CFF" w:rsidRPr="00772CFF">
        <w:rPr>
          <w:rFonts w:ascii="Times New Roman" w:hAnsi="Times New Roman"/>
          <w:i/>
          <w:szCs w:val="24"/>
        </w:rPr>
        <w:t>olitik</w:t>
      </w:r>
      <w:proofErr w:type="spellEnd"/>
      <w:r w:rsidR="00772CFF" w:rsidRPr="00772CFF">
        <w:rPr>
          <w:rFonts w:ascii="Times New Roman" w:hAnsi="Times New Roman"/>
          <w:i/>
          <w:szCs w:val="24"/>
        </w:rPr>
        <w:t xml:space="preserve"> </w:t>
      </w:r>
      <w:r w:rsidR="00772CFF" w:rsidRPr="00772CFF">
        <w:rPr>
          <w:rFonts w:ascii="Times New Roman" w:hAnsi="Times New Roman"/>
          <w:szCs w:val="24"/>
        </w:rPr>
        <w:t xml:space="preserve">and </w:t>
      </w:r>
      <w:r w:rsidR="00772CFF" w:rsidRPr="00772CFF">
        <w:rPr>
          <w:rFonts w:ascii="Times New Roman" w:hAnsi="Times New Roman"/>
          <w:i/>
          <w:szCs w:val="24"/>
        </w:rPr>
        <w:t>realpolitik</w:t>
      </w:r>
      <w:r w:rsidR="00772CFF" w:rsidRPr="00772CFF">
        <w:rPr>
          <w:rFonts w:ascii="Times New Roman" w:hAnsi="Times New Roman"/>
          <w:szCs w:val="24"/>
        </w:rPr>
        <w:t xml:space="preserve"> to develop their interactions with ICC.</w:t>
      </w:r>
      <w:r w:rsidR="00772CFF" w:rsidRPr="00772CFF">
        <w:rPr>
          <w:rFonts w:ascii="Times New Roman" w:hAnsi="Times New Roman"/>
          <w:szCs w:val="24"/>
          <w:vertAlign w:val="superscript"/>
        </w:rPr>
        <w:footnoteReference w:id="192"/>
      </w:r>
      <w:r w:rsidR="00772CFF" w:rsidRPr="00772CFF">
        <w:rPr>
          <w:rFonts w:ascii="Times New Roman" w:hAnsi="Times New Roman"/>
          <w:szCs w:val="24"/>
        </w:rPr>
        <w:t xml:space="preserve"> Such is seen by the </w:t>
      </w:r>
      <w:r w:rsidR="00766763">
        <w:rPr>
          <w:rFonts w:ascii="Times New Roman" w:hAnsi="Times New Roman"/>
          <w:szCs w:val="24"/>
        </w:rPr>
        <w:t>Human Rights Watch's interactions</w:t>
      </w:r>
      <w:r w:rsidR="00772CFF" w:rsidRPr="00772CFF">
        <w:rPr>
          <w:rFonts w:ascii="Times New Roman" w:hAnsi="Times New Roman"/>
          <w:szCs w:val="24"/>
        </w:rPr>
        <w:t xml:space="preserve">, The Coalition for the International Criminal Court </w:t>
      </w:r>
      <w:r w:rsidR="00772CFF" w:rsidRPr="00772CFF">
        <w:rPr>
          <w:rFonts w:ascii="Times New Roman" w:hAnsi="Times New Roman"/>
          <w:szCs w:val="24"/>
        </w:rPr>
        <w:lastRenderedPageBreak/>
        <w:t>and Amnesty International with the ICC. It is above the scope</w:t>
      </w:r>
      <w:r w:rsidR="00D85A14">
        <w:rPr>
          <w:rFonts w:ascii="Times New Roman" w:hAnsi="Times New Roman"/>
          <w:szCs w:val="24"/>
        </w:rPr>
        <w:t xml:space="preserve"> of this thesis to discuss the interactions between these groups.</w:t>
      </w:r>
    </w:p>
    <w:p w14:paraId="76AC62C3" w14:textId="344BF510" w:rsidR="00772CFF" w:rsidRPr="00772CFF" w:rsidRDefault="00772CFF" w:rsidP="00601A0E">
      <w:pPr>
        <w:spacing w:line="480" w:lineRule="auto"/>
        <w:jc w:val="both"/>
        <w:rPr>
          <w:rFonts w:ascii="Times New Roman" w:hAnsi="Times New Roman"/>
          <w:szCs w:val="24"/>
        </w:rPr>
      </w:pPr>
      <w:r w:rsidRPr="00772CFF">
        <w:rPr>
          <w:rFonts w:ascii="Times New Roman" w:hAnsi="Times New Roman"/>
          <w:szCs w:val="24"/>
        </w:rPr>
        <w:t>Moreover, during the Rome Statute negotiations, there were thr</w:t>
      </w:r>
      <w:r w:rsidR="00D85A14">
        <w:rPr>
          <w:rFonts w:ascii="Times New Roman" w:hAnsi="Times New Roman"/>
          <w:szCs w:val="24"/>
        </w:rPr>
        <w:t xml:space="preserve">ee main groups. The </w:t>
      </w:r>
      <w:r w:rsidR="00766763">
        <w:rPr>
          <w:rFonts w:ascii="Times New Roman" w:hAnsi="Times New Roman"/>
          <w:szCs w:val="24"/>
        </w:rPr>
        <w:t>United Nations Security Council members</w:t>
      </w:r>
      <w:r w:rsidRPr="00772CFF">
        <w:rPr>
          <w:rFonts w:ascii="Times New Roman" w:hAnsi="Times New Roman"/>
          <w:szCs w:val="24"/>
        </w:rPr>
        <w:t xml:space="preserve">- China, United Kingdom, United States, Russia and France. Their idea was that </w:t>
      </w:r>
      <w:r w:rsidR="00D85A14">
        <w:rPr>
          <w:rFonts w:ascii="Times New Roman" w:hAnsi="Times New Roman"/>
          <w:szCs w:val="24"/>
        </w:rPr>
        <w:t>the Security Council should closely monitor ICC</w:t>
      </w:r>
      <w:r w:rsidRPr="00772CFF">
        <w:rPr>
          <w:rFonts w:ascii="Times New Roman" w:hAnsi="Times New Roman"/>
          <w:szCs w:val="24"/>
        </w:rPr>
        <w:t>. The second group consisted of Mexico, Egypt and India. This group was against the involvement of the Security Council with the Court. In addition, they proposed the inclusion of nuclear weapons in the Rome Statute. The third and most influential was the Like</w:t>
      </w:r>
      <w:r w:rsidR="00D85A14">
        <w:rPr>
          <w:rFonts w:ascii="Times New Roman" w:hAnsi="Times New Roman"/>
          <w:szCs w:val="24"/>
        </w:rPr>
        <w:t>-</w:t>
      </w:r>
      <w:r w:rsidRPr="00772CFF">
        <w:rPr>
          <w:rFonts w:ascii="Times New Roman" w:hAnsi="Times New Roman"/>
          <w:szCs w:val="24"/>
        </w:rPr>
        <w:t>Minded Group(LMG).</w:t>
      </w:r>
      <w:r w:rsidRPr="00772CFF">
        <w:rPr>
          <w:rFonts w:ascii="Times New Roman" w:hAnsi="Times New Roman"/>
          <w:szCs w:val="24"/>
          <w:vertAlign w:val="superscript"/>
        </w:rPr>
        <w:footnoteReference w:id="193"/>
      </w:r>
      <w:r w:rsidRPr="00772CFF">
        <w:rPr>
          <w:rFonts w:ascii="Times New Roman" w:hAnsi="Times New Roman"/>
          <w:szCs w:val="24"/>
        </w:rPr>
        <w:t>This</w:t>
      </w:r>
      <w:r w:rsidR="00EC544E">
        <w:rPr>
          <w:rFonts w:ascii="Times New Roman" w:hAnsi="Times New Roman"/>
          <w:szCs w:val="24"/>
        </w:rPr>
        <w:t xml:space="preserve"> diverse</w:t>
      </w:r>
      <w:r w:rsidRPr="00772CFF">
        <w:rPr>
          <w:rFonts w:ascii="Times New Roman" w:hAnsi="Times New Roman"/>
          <w:szCs w:val="24"/>
        </w:rPr>
        <w:t xml:space="preserve"> </w:t>
      </w:r>
      <w:r w:rsidR="00766763">
        <w:rPr>
          <w:rFonts w:ascii="Times New Roman" w:hAnsi="Times New Roman"/>
          <w:szCs w:val="24"/>
        </w:rPr>
        <w:t>group</w:t>
      </w:r>
      <w:r w:rsidR="00EC544E">
        <w:rPr>
          <w:rFonts w:ascii="Times New Roman" w:hAnsi="Times New Roman"/>
          <w:szCs w:val="24"/>
        </w:rPr>
        <w:t xml:space="preserve"> </w:t>
      </w:r>
      <w:r w:rsidR="0005302B">
        <w:rPr>
          <w:rFonts w:ascii="Times New Roman" w:hAnsi="Times New Roman"/>
          <w:szCs w:val="24"/>
        </w:rPr>
        <w:t xml:space="preserve">materialised from </w:t>
      </w:r>
      <w:r w:rsidR="00C2143F">
        <w:rPr>
          <w:rFonts w:ascii="Times New Roman" w:hAnsi="Times New Roman"/>
          <w:szCs w:val="24"/>
        </w:rPr>
        <w:t>the Ad Hoc Committee's initial meetings, and the Preparatory Committee consisted of approximately sixty states, including Canada, Australia, Austria, Argentina European countries, Latin American States,</w:t>
      </w:r>
      <w:r w:rsidRPr="00772CFF">
        <w:rPr>
          <w:rFonts w:ascii="Times New Roman" w:hAnsi="Times New Roman"/>
          <w:szCs w:val="24"/>
        </w:rPr>
        <w:t xml:space="preserve"> and </w:t>
      </w:r>
      <w:r w:rsidR="006F2B14">
        <w:rPr>
          <w:rFonts w:ascii="Times New Roman" w:hAnsi="Times New Roman"/>
          <w:szCs w:val="24"/>
        </w:rPr>
        <w:t xml:space="preserve">the </w:t>
      </w:r>
      <w:r w:rsidRPr="00772CFF">
        <w:rPr>
          <w:rFonts w:ascii="Times New Roman" w:hAnsi="Times New Roman"/>
          <w:szCs w:val="24"/>
        </w:rPr>
        <w:t xml:space="preserve">African </w:t>
      </w:r>
      <w:r w:rsidR="006F2B14">
        <w:rPr>
          <w:rFonts w:ascii="Times New Roman" w:hAnsi="Times New Roman"/>
          <w:szCs w:val="24"/>
        </w:rPr>
        <w:t>S</w:t>
      </w:r>
      <w:r w:rsidRPr="00772CFF">
        <w:rPr>
          <w:rFonts w:ascii="Times New Roman" w:hAnsi="Times New Roman"/>
          <w:szCs w:val="24"/>
        </w:rPr>
        <w:t xml:space="preserve">tates. This group proposition was based on jurisdiction over international crimes -crimes against humanity, war crimes, genocide and aggression with </w:t>
      </w:r>
      <w:r w:rsidR="00D85A14">
        <w:rPr>
          <w:rFonts w:ascii="Times New Roman" w:hAnsi="Times New Roman"/>
          <w:szCs w:val="24"/>
        </w:rPr>
        <w:t xml:space="preserve">a </w:t>
      </w:r>
      <w:r w:rsidRPr="00772CFF">
        <w:rPr>
          <w:rFonts w:ascii="Times New Roman" w:hAnsi="Times New Roman"/>
          <w:szCs w:val="24"/>
        </w:rPr>
        <w:t xml:space="preserve">focus an independent and impartial court jurisdiction over international crimes. They also clamoured for an independent prosecutor who has the authority to initiate proceedings while maintaining a working relationship with </w:t>
      </w:r>
      <w:r w:rsidR="00D85A14">
        <w:rPr>
          <w:rFonts w:ascii="Times New Roman" w:hAnsi="Times New Roman"/>
          <w:szCs w:val="24"/>
        </w:rPr>
        <w:t xml:space="preserve">the </w:t>
      </w:r>
      <w:r w:rsidRPr="00772CFF">
        <w:rPr>
          <w:rFonts w:ascii="Times New Roman" w:hAnsi="Times New Roman"/>
          <w:szCs w:val="24"/>
        </w:rPr>
        <w:t>Security Council. Driven by these ideas, the LMG supported the states with less power and agenda to achieve their aims. It also aligned with NGOs</w:t>
      </w:r>
      <w:r w:rsidR="00D85A14">
        <w:rPr>
          <w:rFonts w:ascii="Times New Roman" w:hAnsi="Times New Roman"/>
          <w:szCs w:val="24"/>
        </w:rPr>
        <w:t>;</w:t>
      </w:r>
      <w:r w:rsidRPr="00772CFF">
        <w:rPr>
          <w:rFonts w:ascii="Times New Roman" w:hAnsi="Times New Roman"/>
          <w:szCs w:val="24"/>
        </w:rPr>
        <w:t xml:space="preserve"> as such, it received support from these NGOs.</w:t>
      </w:r>
      <w:r w:rsidRPr="00772CFF">
        <w:rPr>
          <w:rFonts w:ascii="Times New Roman" w:hAnsi="Times New Roman"/>
          <w:szCs w:val="24"/>
          <w:vertAlign w:val="superscript"/>
        </w:rPr>
        <w:footnoteReference w:id="194"/>
      </w:r>
      <w:r w:rsidR="00D85A14">
        <w:rPr>
          <w:rFonts w:ascii="Times New Roman" w:hAnsi="Times New Roman"/>
          <w:szCs w:val="24"/>
        </w:rPr>
        <w:t xml:space="preserve"> </w:t>
      </w:r>
      <w:r w:rsidR="00DF47DF">
        <w:rPr>
          <w:rFonts w:ascii="Times New Roman" w:hAnsi="Times New Roman"/>
          <w:szCs w:val="24"/>
        </w:rPr>
        <w:t xml:space="preserve">For instance, Amnesty International described the Court as </w:t>
      </w:r>
      <w:r w:rsidR="006F2B14">
        <w:rPr>
          <w:rFonts w:ascii="Times New Roman" w:hAnsi="Times New Roman"/>
          <w:szCs w:val="24"/>
        </w:rPr>
        <w:t>‘</w:t>
      </w:r>
      <w:r w:rsidR="00DF47DF">
        <w:rPr>
          <w:rFonts w:ascii="Times New Roman" w:hAnsi="Times New Roman"/>
          <w:szCs w:val="24"/>
        </w:rPr>
        <w:t xml:space="preserve">a judicial body’ which required an independent Prosecutor to ensure whether to </w:t>
      </w:r>
      <w:r w:rsidR="00DF47DF">
        <w:rPr>
          <w:rFonts w:ascii="Times New Roman" w:hAnsi="Times New Roman"/>
          <w:szCs w:val="24"/>
        </w:rPr>
        <w:lastRenderedPageBreak/>
        <w:t>investigate or prosecute.</w:t>
      </w:r>
      <w:r w:rsidR="00DF47DF">
        <w:rPr>
          <w:rStyle w:val="FootnoteReference"/>
          <w:rFonts w:ascii="Times New Roman" w:hAnsi="Times New Roman"/>
          <w:szCs w:val="24"/>
        </w:rPr>
        <w:footnoteReference w:id="195"/>
      </w:r>
      <w:r w:rsidR="00DF47DF">
        <w:rPr>
          <w:rFonts w:ascii="Times New Roman" w:hAnsi="Times New Roman"/>
          <w:szCs w:val="24"/>
        </w:rPr>
        <w:t xml:space="preserve"> </w:t>
      </w:r>
      <w:r w:rsidR="00D85A14">
        <w:rPr>
          <w:rFonts w:ascii="Times New Roman" w:hAnsi="Times New Roman"/>
          <w:szCs w:val="24"/>
        </w:rPr>
        <w:t xml:space="preserve">The interaction </w:t>
      </w:r>
      <w:r w:rsidRPr="00772CFF">
        <w:rPr>
          <w:rFonts w:ascii="Times New Roman" w:hAnsi="Times New Roman"/>
          <w:szCs w:val="24"/>
        </w:rPr>
        <w:t>highlight</w:t>
      </w:r>
      <w:r w:rsidR="00D85A14">
        <w:rPr>
          <w:rFonts w:ascii="Times New Roman" w:hAnsi="Times New Roman"/>
          <w:szCs w:val="24"/>
        </w:rPr>
        <w:t xml:space="preserve">s the cooperation between actors and groups to use their ideas </w:t>
      </w:r>
      <w:r w:rsidRPr="00772CFF">
        <w:rPr>
          <w:rFonts w:ascii="Times New Roman" w:hAnsi="Times New Roman"/>
          <w:szCs w:val="24"/>
        </w:rPr>
        <w:t xml:space="preserve">to </w:t>
      </w:r>
      <w:r w:rsidR="00D85A14">
        <w:rPr>
          <w:rFonts w:ascii="Times New Roman" w:hAnsi="Times New Roman"/>
          <w:szCs w:val="24"/>
        </w:rPr>
        <w:t>construct the ICC to achieve their interests and identities socially</w:t>
      </w:r>
      <w:r w:rsidRPr="00772CFF">
        <w:rPr>
          <w:rFonts w:ascii="Times New Roman" w:hAnsi="Times New Roman"/>
          <w:szCs w:val="24"/>
        </w:rPr>
        <w:t>.</w:t>
      </w:r>
    </w:p>
    <w:p w14:paraId="4E55CC39" w14:textId="7236C104" w:rsidR="006C3631" w:rsidRPr="00772CFF" w:rsidRDefault="00772CFF" w:rsidP="00EF6B19">
      <w:pPr>
        <w:spacing w:line="480" w:lineRule="auto"/>
        <w:jc w:val="both"/>
        <w:rPr>
          <w:rFonts w:ascii="Times New Roman" w:hAnsi="Times New Roman"/>
          <w:szCs w:val="24"/>
        </w:rPr>
      </w:pPr>
      <w:r w:rsidRPr="00772CFF">
        <w:rPr>
          <w:rFonts w:ascii="Times New Roman" w:hAnsi="Times New Roman"/>
          <w:szCs w:val="24"/>
        </w:rPr>
        <w:t xml:space="preserve">The discretionary powers of the Prosecutor was a controversial topic during the negotiations of the Rome Statute. </w:t>
      </w:r>
      <w:r w:rsidR="00592AD9">
        <w:rPr>
          <w:rFonts w:ascii="Times New Roman" w:hAnsi="Times New Roman"/>
          <w:szCs w:val="24"/>
        </w:rPr>
        <w:t>Some delegations submitted that the role of the Prosecutor under article 25 was limited.</w:t>
      </w:r>
      <w:r w:rsidR="00592AD9">
        <w:rPr>
          <w:rStyle w:val="FootnoteReference"/>
          <w:rFonts w:ascii="Times New Roman" w:hAnsi="Times New Roman"/>
          <w:szCs w:val="24"/>
        </w:rPr>
        <w:footnoteReference w:id="196"/>
      </w:r>
      <w:r w:rsidR="00592AD9">
        <w:rPr>
          <w:rFonts w:ascii="Times New Roman" w:hAnsi="Times New Roman"/>
          <w:szCs w:val="24"/>
        </w:rPr>
        <w:t xml:space="preserve">  Therefore, this restriction, for ‘political reasons’  would curtail States and Security Council to </w:t>
      </w:r>
      <w:r w:rsidR="006F2B14">
        <w:rPr>
          <w:rFonts w:ascii="Times New Roman" w:hAnsi="Times New Roman"/>
          <w:szCs w:val="24"/>
        </w:rPr>
        <w:t>complain</w:t>
      </w:r>
      <w:r w:rsidR="00592AD9">
        <w:rPr>
          <w:rFonts w:ascii="Times New Roman" w:hAnsi="Times New Roman"/>
          <w:szCs w:val="24"/>
        </w:rPr>
        <w:t>.</w:t>
      </w:r>
      <w:r w:rsidR="006F2B14">
        <w:rPr>
          <w:rFonts w:ascii="Times New Roman" w:hAnsi="Times New Roman"/>
          <w:szCs w:val="24"/>
        </w:rPr>
        <w:t xml:space="preserve"> </w:t>
      </w:r>
      <w:r w:rsidR="00592AD9">
        <w:rPr>
          <w:rFonts w:ascii="Times New Roman" w:hAnsi="Times New Roman"/>
          <w:szCs w:val="24"/>
        </w:rPr>
        <w:t>Drawing from the prosecutor’s role in the Statute of the ICTY and ICTR, they proposed for broader prosecutor power to initiate investigations.</w:t>
      </w:r>
      <w:r w:rsidRPr="00772CFF">
        <w:rPr>
          <w:rFonts w:ascii="Times New Roman" w:hAnsi="Times New Roman"/>
          <w:szCs w:val="24"/>
        </w:rPr>
        <w:t xml:space="preserve"> </w:t>
      </w:r>
      <w:r w:rsidR="00592AD9">
        <w:rPr>
          <w:rFonts w:ascii="Times New Roman" w:hAnsi="Times New Roman"/>
          <w:szCs w:val="24"/>
        </w:rPr>
        <w:t>The ILC’s first</w:t>
      </w:r>
      <w:r w:rsidRPr="00772CFF">
        <w:rPr>
          <w:rFonts w:ascii="Times New Roman" w:hAnsi="Times New Roman"/>
          <w:szCs w:val="24"/>
        </w:rPr>
        <w:t xml:space="preserve"> draft of the Statute</w:t>
      </w:r>
      <w:r w:rsidR="00592AD9">
        <w:rPr>
          <w:rFonts w:ascii="Times New Roman" w:hAnsi="Times New Roman"/>
          <w:szCs w:val="24"/>
        </w:rPr>
        <w:t>, which was submitted in 1994</w:t>
      </w:r>
      <w:r w:rsidRPr="00772CFF">
        <w:rPr>
          <w:rFonts w:ascii="Times New Roman" w:hAnsi="Times New Roman"/>
          <w:szCs w:val="24"/>
        </w:rPr>
        <w:t xml:space="preserve"> granted the prosecutor a restricted prosecutorial power</w:t>
      </w:r>
      <w:r w:rsidR="002D6A7A">
        <w:rPr>
          <w:rFonts w:ascii="Times New Roman" w:hAnsi="Times New Roman"/>
          <w:szCs w:val="24"/>
        </w:rPr>
        <w:t>, with the</w:t>
      </w:r>
      <w:r w:rsidRPr="00772CFF">
        <w:rPr>
          <w:rFonts w:ascii="Times New Roman" w:hAnsi="Times New Roman"/>
          <w:szCs w:val="24"/>
        </w:rPr>
        <w:t xml:space="preserve">  Security Council or State party</w:t>
      </w:r>
      <w:r w:rsidR="002D6A7A">
        <w:rPr>
          <w:rFonts w:ascii="Times New Roman" w:hAnsi="Times New Roman"/>
          <w:szCs w:val="24"/>
        </w:rPr>
        <w:t xml:space="preserve">, the </w:t>
      </w:r>
      <w:r w:rsidR="006F2B14">
        <w:rPr>
          <w:rFonts w:ascii="Times New Roman" w:hAnsi="Times New Roman"/>
          <w:szCs w:val="24"/>
        </w:rPr>
        <w:t>ability</w:t>
      </w:r>
      <w:r w:rsidRPr="00772CFF">
        <w:rPr>
          <w:rFonts w:ascii="Times New Roman" w:hAnsi="Times New Roman"/>
          <w:szCs w:val="24"/>
        </w:rPr>
        <w:t xml:space="preserve"> to make referrals.</w:t>
      </w:r>
      <w:r w:rsidRPr="00772CFF">
        <w:rPr>
          <w:rFonts w:ascii="Times New Roman" w:hAnsi="Times New Roman"/>
          <w:szCs w:val="24"/>
          <w:vertAlign w:val="superscript"/>
        </w:rPr>
        <w:footnoteReference w:id="197"/>
      </w:r>
      <w:r w:rsidR="002D6A7A">
        <w:rPr>
          <w:rFonts w:ascii="Times New Roman" w:hAnsi="Times New Roman"/>
          <w:szCs w:val="24"/>
        </w:rPr>
        <w:t xml:space="preserve"> They canvassed for a Prosecutor empowered with an proprio motu to initiate investigations.</w:t>
      </w:r>
      <w:r w:rsidR="002D6A7A">
        <w:rPr>
          <w:rStyle w:val="FootnoteReference"/>
          <w:rFonts w:ascii="Times New Roman" w:hAnsi="Times New Roman"/>
          <w:szCs w:val="24"/>
        </w:rPr>
        <w:footnoteReference w:id="198"/>
      </w:r>
      <w:r w:rsidR="002D6A7A">
        <w:rPr>
          <w:rFonts w:ascii="Times New Roman" w:hAnsi="Times New Roman"/>
          <w:szCs w:val="24"/>
        </w:rPr>
        <w:t xml:space="preserve"> </w:t>
      </w:r>
      <w:r w:rsidRPr="00772CFF">
        <w:rPr>
          <w:rFonts w:ascii="Times New Roman" w:hAnsi="Times New Roman"/>
          <w:szCs w:val="24"/>
        </w:rPr>
        <w:t>Some delegates criticised granting the prosecutor with the power to commence proceedings proprio motu power based on</w:t>
      </w:r>
      <w:r w:rsidR="00401B81">
        <w:rPr>
          <w:rFonts w:ascii="Times New Roman" w:hAnsi="Times New Roman"/>
          <w:szCs w:val="24"/>
        </w:rPr>
        <w:t xml:space="preserve"> the </w:t>
      </w:r>
      <w:r w:rsidRPr="00772CFF">
        <w:rPr>
          <w:rFonts w:ascii="Times New Roman" w:hAnsi="Times New Roman"/>
          <w:szCs w:val="24"/>
        </w:rPr>
        <w:t xml:space="preserve">argument that this would negatively impact the international </w:t>
      </w:r>
      <w:r w:rsidRPr="00772CFF">
        <w:rPr>
          <w:rFonts w:ascii="Times New Roman" w:hAnsi="Times New Roman"/>
          <w:szCs w:val="24"/>
        </w:rPr>
        <w:lastRenderedPageBreak/>
        <w:t>legal system( it was in its early stage of development).</w:t>
      </w:r>
      <w:r w:rsidRPr="00772CFF">
        <w:rPr>
          <w:rFonts w:ascii="Times New Roman" w:hAnsi="Times New Roman"/>
          <w:szCs w:val="24"/>
          <w:vertAlign w:val="superscript"/>
        </w:rPr>
        <w:footnoteReference w:id="199"/>
      </w:r>
      <w:r w:rsidR="002D6A7A">
        <w:rPr>
          <w:rFonts w:ascii="Times New Roman" w:hAnsi="Times New Roman"/>
          <w:szCs w:val="24"/>
        </w:rPr>
        <w:t xml:space="preserve">They argued that an independent Prosecutor would </w:t>
      </w:r>
      <w:r w:rsidR="00204AA7">
        <w:rPr>
          <w:rFonts w:ascii="Times New Roman" w:hAnsi="Times New Roman"/>
          <w:szCs w:val="24"/>
        </w:rPr>
        <w:t xml:space="preserve">stretch “the limited resources of </w:t>
      </w:r>
      <w:r w:rsidR="006F2B14">
        <w:rPr>
          <w:rFonts w:ascii="Times New Roman" w:hAnsi="Times New Roman"/>
          <w:szCs w:val="24"/>
        </w:rPr>
        <w:t xml:space="preserve">the </w:t>
      </w:r>
      <w:r w:rsidR="00204AA7">
        <w:rPr>
          <w:rFonts w:ascii="Times New Roman" w:hAnsi="Times New Roman"/>
          <w:szCs w:val="24"/>
        </w:rPr>
        <w:t>prosecutor with frivolous complaints.”</w:t>
      </w:r>
      <w:r w:rsidR="00204AA7">
        <w:rPr>
          <w:rStyle w:val="FootnoteReference"/>
          <w:rFonts w:ascii="Times New Roman" w:hAnsi="Times New Roman"/>
          <w:szCs w:val="24"/>
        </w:rPr>
        <w:footnoteReference w:id="200"/>
      </w:r>
      <w:r w:rsidR="00204AA7">
        <w:rPr>
          <w:rFonts w:ascii="Times New Roman" w:hAnsi="Times New Roman"/>
          <w:szCs w:val="24"/>
        </w:rPr>
        <w:t xml:space="preserve"> </w:t>
      </w:r>
      <w:r w:rsidRPr="00772CFF">
        <w:rPr>
          <w:rFonts w:ascii="Times New Roman" w:hAnsi="Times New Roman"/>
          <w:szCs w:val="24"/>
        </w:rPr>
        <w:t>The United States of America(USA)vehemently opposed the independence of the Prosecutor.</w:t>
      </w:r>
      <w:r w:rsidR="00401B81">
        <w:rPr>
          <w:rFonts w:ascii="Times New Roman" w:hAnsi="Times New Roman"/>
          <w:szCs w:val="24"/>
        </w:rPr>
        <w:t xml:space="preserve"> </w:t>
      </w:r>
      <w:r w:rsidRPr="00772CFF">
        <w:rPr>
          <w:rFonts w:ascii="Times New Roman" w:hAnsi="Times New Roman"/>
          <w:szCs w:val="24"/>
        </w:rPr>
        <w:t xml:space="preserve">It argued for a Court whose powers would be </w:t>
      </w:r>
      <w:r w:rsidR="006F2B14">
        <w:rPr>
          <w:rFonts w:ascii="Times New Roman" w:hAnsi="Times New Roman"/>
          <w:szCs w:val="24"/>
        </w:rPr>
        <w:t>most</w:t>
      </w:r>
      <w:r w:rsidRPr="00772CFF">
        <w:rPr>
          <w:rFonts w:ascii="Times New Roman" w:hAnsi="Times New Roman"/>
          <w:szCs w:val="24"/>
        </w:rPr>
        <w:t>ly dependent on the Security Council referrals.</w:t>
      </w:r>
      <w:r w:rsidRPr="00772CFF">
        <w:rPr>
          <w:rFonts w:ascii="Times New Roman" w:hAnsi="Times New Roman"/>
          <w:szCs w:val="24"/>
          <w:vertAlign w:val="superscript"/>
        </w:rPr>
        <w:footnoteReference w:id="201"/>
      </w:r>
      <w:r w:rsidRPr="00772CFF">
        <w:rPr>
          <w:rFonts w:ascii="Times New Roman" w:hAnsi="Times New Roman"/>
          <w:szCs w:val="24"/>
        </w:rPr>
        <w:t xml:space="preserve">Although the USA did not contest the likelihood of </w:t>
      </w:r>
      <w:r w:rsidR="00766763">
        <w:rPr>
          <w:rFonts w:ascii="Times New Roman" w:hAnsi="Times New Roman"/>
          <w:szCs w:val="24"/>
        </w:rPr>
        <w:t>Prosecutor becoming political,</w:t>
      </w:r>
      <w:r w:rsidRPr="00772CFF">
        <w:rPr>
          <w:rFonts w:ascii="Times New Roman" w:hAnsi="Times New Roman"/>
          <w:szCs w:val="24"/>
        </w:rPr>
        <w:t xml:space="preserve"> it posited that a Prosecutor with a self-initiating power is likely to overwhelm the Court with complaints, ‘political decision-making’, ‘risk diversion of resources’ and ‘confusion’.</w:t>
      </w:r>
      <w:r w:rsidRPr="00772CFF">
        <w:rPr>
          <w:rFonts w:ascii="Times New Roman" w:hAnsi="Times New Roman"/>
          <w:szCs w:val="24"/>
          <w:vertAlign w:val="superscript"/>
        </w:rPr>
        <w:footnoteReference w:id="202"/>
      </w:r>
      <w:r w:rsidR="006C3631">
        <w:rPr>
          <w:rFonts w:ascii="Times New Roman" w:hAnsi="Times New Roman"/>
          <w:szCs w:val="24"/>
        </w:rPr>
        <w:t>Likewise</w:t>
      </w:r>
      <w:r w:rsidR="006C3631" w:rsidRPr="00772CFF">
        <w:rPr>
          <w:rFonts w:ascii="Times New Roman" w:hAnsi="Times New Roman"/>
          <w:szCs w:val="24"/>
        </w:rPr>
        <w:t>, some delegates agreed that th</w:t>
      </w:r>
      <w:r w:rsidR="00766763">
        <w:rPr>
          <w:rFonts w:ascii="Times New Roman" w:hAnsi="Times New Roman"/>
          <w:szCs w:val="24"/>
        </w:rPr>
        <w:t>e prosecutor's vast discretionary powers</w:t>
      </w:r>
      <w:r w:rsidR="006C3631" w:rsidRPr="00772CFF">
        <w:rPr>
          <w:rFonts w:ascii="Times New Roman" w:hAnsi="Times New Roman"/>
          <w:szCs w:val="24"/>
        </w:rPr>
        <w:t xml:space="preserve"> </w:t>
      </w:r>
      <w:r w:rsidR="006C3631">
        <w:rPr>
          <w:rFonts w:ascii="Times New Roman" w:hAnsi="Times New Roman"/>
          <w:szCs w:val="24"/>
        </w:rPr>
        <w:t>are</w:t>
      </w:r>
      <w:r w:rsidR="006C3631" w:rsidRPr="00772CFF">
        <w:rPr>
          <w:rFonts w:ascii="Times New Roman" w:hAnsi="Times New Roman"/>
          <w:szCs w:val="24"/>
        </w:rPr>
        <w:t xml:space="preserve"> likely to have adverse effects</w:t>
      </w:r>
      <w:r w:rsidR="004C3707">
        <w:rPr>
          <w:rFonts w:ascii="Times New Roman" w:hAnsi="Times New Roman"/>
          <w:szCs w:val="24"/>
        </w:rPr>
        <w:t>.</w:t>
      </w:r>
      <w:r w:rsidR="004C3707" w:rsidRPr="004C3707">
        <w:rPr>
          <w:rFonts w:ascii="Times New Roman" w:hAnsi="Times New Roman"/>
          <w:szCs w:val="24"/>
        </w:rPr>
        <w:t xml:space="preserve"> </w:t>
      </w:r>
      <w:r w:rsidR="004C3707">
        <w:rPr>
          <w:rFonts w:ascii="Times New Roman" w:hAnsi="Times New Roman"/>
          <w:szCs w:val="24"/>
        </w:rPr>
        <w:t>T</w:t>
      </w:r>
      <w:r w:rsidR="004C3707" w:rsidRPr="00772CFF">
        <w:rPr>
          <w:rFonts w:ascii="Times New Roman" w:hAnsi="Times New Roman"/>
          <w:szCs w:val="24"/>
        </w:rPr>
        <w:t>hey submitted that this would indirectly politicise the court</w:t>
      </w:r>
      <w:r w:rsidR="00204AA7">
        <w:rPr>
          <w:rFonts w:ascii="Times New Roman" w:hAnsi="Times New Roman"/>
          <w:szCs w:val="24"/>
        </w:rPr>
        <w:t xml:space="preserve">, with accusations </w:t>
      </w:r>
      <w:r w:rsidR="007C3454">
        <w:rPr>
          <w:rFonts w:ascii="Times New Roman" w:hAnsi="Times New Roman"/>
          <w:szCs w:val="24"/>
        </w:rPr>
        <w:t>of a politically motivated prosecutor</w:t>
      </w:r>
      <w:r w:rsidR="004C3707" w:rsidRPr="00772CFF">
        <w:rPr>
          <w:rFonts w:ascii="Times New Roman" w:hAnsi="Times New Roman"/>
          <w:szCs w:val="24"/>
        </w:rPr>
        <w:t>.</w:t>
      </w:r>
      <w:r w:rsidR="004C3707" w:rsidRPr="00772CFF">
        <w:rPr>
          <w:rFonts w:ascii="Times New Roman" w:hAnsi="Times New Roman"/>
          <w:szCs w:val="24"/>
          <w:vertAlign w:val="superscript"/>
        </w:rPr>
        <w:footnoteReference w:id="203"/>
      </w:r>
      <w:r w:rsidR="004C3707">
        <w:rPr>
          <w:rFonts w:ascii="Times New Roman" w:hAnsi="Times New Roman"/>
          <w:szCs w:val="24"/>
        </w:rPr>
        <w:t xml:space="preserve"> Hence, they suggested judicial review by the PTC would check the </w:t>
      </w:r>
      <w:r w:rsidR="00766763">
        <w:rPr>
          <w:rFonts w:ascii="Times New Roman" w:hAnsi="Times New Roman"/>
          <w:szCs w:val="24"/>
        </w:rPr>
        <w:t>prosecutor's powers' excesses or abuse</w:t>
      </w:r>
      <w:r w:rsidR="004C3707">
        <w:rPr>
          <w:rFonts w:ascii="Times New Roman" w:hAnsi="Times New Roman"/>
          <w:szCs w:val="24"/>
        </w:rPr>
        <w:t xml:space="preserve">. The Delegate stressed that judicial review would serve as an adequate balance without affecting the </w:t>
      </w:r>
      <w:r w:rsidR="00766763">
        <w:rPr>
          <w:rFonts w:ascii="Times New Roman" w:hAnsi="Times New Roman"/>
          <w:szCs w:val="24"/>
        </w:rPr>
        <w:t>prosecutor's independence</w:t>
      </w:r>
      <w:r w:rsidR="004C3707">
        <w:rPr>
          <w:rFonts w:ascii="Times New Roman" w:hAnsi="Times New Roman"/>
          <w:szCs w:val="24"/>
        </w:rPr>
        <w:t>.</w:t>
      </w:r>
      <w:r w:rsidR="00460057">
        <w:rPr>
          <w:rStyle w:val="FootnoteReference"/>
          <w:rFonts w:ascii="Times New Roman" w:hAnsi="Times New Roman"/>
          <w:szCs w:val="24"/>
        </w:rPr>
        <w:footnoteReference w:id="204"/>
      </w:r>
    </w:p>
    <w:p w14:paraId="1C6EDAD5" w14:textId="3997BB4D" w:rsidR="004E64FC" w:rsidRDefault="00772CFF" w:rsidP="00EF6B19">
      <w:pPr>
        <w:spacing w:line="480" w:lineRule="auto"/>
        <w:jc w:val="both"/>
        <w:rPr>
          <w:rFonts w:ascii="Times New Roman" w:hAnsi="Times New Roman"/>
          <w:szCs w:val="24"/>
        </w:rPr>
      </w:pPr>
      <w:r w:rsidRPr="00772CFF">
        <w:rPr>
          <w:rFonts w:ascii="Times New Roman" w:hAnsi="Times New Roman"/>
          <w:szCs w:val="24"/>
        </w:rPr>
        <w:lastRenderedPageBreak/>
        <w:t>On the other hand,</w:t>
      </w:r>
      <w:r w:rsidR="004C3707">
        <w:rPr>
          <w:rFonts w:ascii="Times New Roman" w:hAnsi="Times New Roman"/>
          <w:szCs w:val="24"/>
        </w:rPr>
        <w:t xml:space="preserve"> An organised group of over sixty states</w:t>
      </w:r>
      <w:r w:rsidRPr="00772CFF">
        <w:rPr>
          <w:rFonts w:ascii="Times New Roman" w:hAnsi="Times New Roman"/>
          <w:szCs w:val="24"/>
        </w:rPr>
        <w:t xml:space="preserve"> called ‘</w:t>
      </w:r>
      <w:r w:rsidRPr="00772CFF">
        <w:rPr>
          <w:rFonts w:ascii="Times New Roman" w:hAnsi="Times New Roman"/>
          <w:i/>
          <w:szCs w:val="24"/>
        </w:rPr>
        <w:t>Like</w:t>
      </w:r>
      <w:r w:rsidR="00401B81">
        <w:rPr>
          <w:rFonts w:ascii="Times New Roman" w:hAnsi="Times New Roman"/>
          <w:i/>
          <w:szCs w:val="24"/>
        </w:rPr>
        <w:t>-</w:t>
      </w:r>
      <w:r w:rsidRPr="00772CFF">
        <w:rPr>
          <w:rFonts w:ascii="Times New Roman" w:hAnsi="Times New Roman"/>
          <w:i/>
          <w:szCs w:val="24"/>
        </w:rPr>
        <w:t>minded’</w:t>
      </w:r>
      <w:r w:rsidRPr="00772CFF">
        <w:rPr>
          <w:rFonts w:ascii="Times New Roman" w:hAnsi="Times New Roman"/>
          <w:szCs w:val="24"/>
        </w:rPr>
        <w:t xml:space="preserve"> states proposed for a more independent prosecutor.</w:t>
      </w:r>
      <w:r w:rsidRPr="00772CFF">
        <w:rPr>
          <w:rFonts w:ascii="Times New Roman" w:hAnsi="Times New Roman"/>
          <w:szCs w:val="24"/>
          <w:vertAlign w:val="superscript"/>
        </w:rPr>
        <w:footnoteReference w:id="205"/>
      </w:r>
      <w:r w:rsidRPr="00772CFF">
        <w:rPr>
          <w:rFonts w:ascii="Times New Roman" w:hAnsi="Times New Roman"/>
          <w:szCs w:val="24"/>
        </w:rPr>
        <w:t xml:space="preserve"> </w:t>
      </w:r>
      <w:r w:rsidR="00401B81">
        <w:rPr>
          <w:rFonts w:ascii="Times New Roman" w:hAnsi="Times New Roman"/>
          <w:szCs w:val="24"/>
        </w:rPr>
        <w:t>T</w:t>
      </w:r>
      <w:r w:rsidRPr="00772CFF">
        <w:rPr>
          <w:rFonts w:ascii="Times New Roman" w:hAnsi="Times New Roman"/>
          <w:szCs w:val="24"/>
        </w:rPr>
        <w:t>he Lawyers Committee for Human Rights asserted that if the Court actively work</w:t>
      </w:r>
      <w:r w:rsidR="00401B81">
        <w:rPr>
          <w:rFonts w:ascii="Times New Roman" w:hAnsi="Times New Roman"/>
          <w:szCs w:val="24"/>
        </w:rPr>
        <w:t>ed</w:t>
      </w:r>
      <w:r w:rsidRPr="00772CFF">
        <w:rPr>
          <w:rFonts w:ascii="Times New Roman" w:hAnsi="Times New Roman"/>
          <w:szCs w:val="24"/>
        </w:rPr>
        <w:t xml:space="preserve"> towards the proscription and punishment of most serious crimes of concern to the international community, </w:t>
      </w:r>
      <w:r w:rsidR="006F2B14">
        <w:rPr>
          <w:rFonts w:ascii="Times New Roman" w:hAnsi="Times New Roman"/>
          <w:szCs w:val="24"/>
        </w:rPr>
        <w:t>the Prosecutor must</w:t>
      </w:r>
      <w:r w:rsidRPr="00772CFF">
        <w:rPr>
          <w:rFonts w:ascii="Times New Roman" w:hAnsi="Times New Roman"/>
          <w:szCs w:val="24"/>
        </w:rPr>
        <w:t xml:space="preserve"> be given a degree of independence.</w:t>
      </w:r>
      <w:r w:rsidRPr="00772CFF">
        <w:rPr>
          <w:rFonts w:ascii="Times New Roman" w:hAnsi="Times New Roman"/>
          <w:szCs w:val="24"/>
          <w:vertAlign w:val="superscript"/>
        </w:rPr>
        <w:footnoteReference w:id="206"/>
      </w:r>
      <w:r w:rsidR="00AF77CB">
        <w:rPr>
          <w:rFonts w:ascii="Times New Roman" w:hAnsi="Times New Roman"/>
          <w:szCs w:val="24"/>
        </w:rPr>
        <w:t xml:space="preserve"> These delegates advanced for the prosecutor’s autonomy as a basis for efficient prosecution at the ICC.</w:t>
      </w:r>
      <w:r w:rsidRPr="00772CFF">
        <w:rPr>
          <w:rFonts w:ascii="Times New Roman" w:hAnsi="Times New Roman"/>
          <w:szCs w:val="24"/>
        </w:rPr>
        <w:t xml:space="preserve"> </w:t>
      </w:r>
      <w:r w:rsidR="00AF77CB">
        <w:rPr>
          <w:rFonts w:ascii="Times New Roman" w:hAnsi="Times New Roman"/>
          <w:szCs w:val="24"/>
        </w:rPr>
        <w:t>Their recommendation included the prosecutor’s</w:t>
      </w:r>
      <w:r w:rsidRPr="00772CFF">
        <w:rPr>
          <w:rFonts w:ascii="Times New Roman" w:hAnsi="Times New Roman"/>
          <w:szCs w:val="24"/>
        </w:rPr>
        <w:t xml:space="preserve"> power to trigger investigative or prosecution proceedings on her initiative.</w:t>
      </w:r>
      <w:r w:rsidRPr="00772CFF">
        <w:rPr>
          <w:rFonts w:ascii="Times New Roman" w:hAnsi="Times New Roman"/>
          <w:szCs w:val="24"/>
          <w:vertAlign w:val="superscript"/>
        </w:rPr>
        <w:footnoteReference w:id="207"/>
      </w:r>
      <w:r w:rsidRPr="00772CFF">
        <w:rPr>
          <w:rFonts w:ascii="Times New Roman" w:hAnsi="Times New Roman"/>
          <w:szCs w:val="24"/>
        </w:rPr>
        <w:t xml:space="preserve"> For instance, Amnesty International proposed that given that the Court is “a judicial body….its Prosecutor must have the independence to decide whether to investigate or prosecute.”</w:t>
      </w:r>
      <w:r w:rsidRPr="00772CFF">
        <w:rPr>
          <w:rFonts w:ascii="Times New Roman" w:hAnsi="Times New Roman"/>
          <w:szCs w:val="24"/>
          <w:vertAlign w:val="superscript"/>
        </w:rPr>
        <w:footnoteReference w:id="208"/>
      </w:r>
      <w:r w:rsidRPr="00772CFF">
        <w:rPr>
          <w:rFonts w:ascii="Times New Roman" w:hAnsi="Times New Roman"/>
          <w:szCs w:val="24"/>
        </w:rPr>
        <w:t xml:space="preserve"> The preparatory committee also supported the proprio motu power of the prosecutor during their meeting. Subsequently,  a division arose between State</w:t>
      </w:r>
      <w:r w:rsidR="004C3707">
        <w:rPr>
          <w:rFonts w:ascii="Times New Roman" w:hAnsi="Times New Roman"/>
          <w:szCs w:val="24"/>
        </w:rPr>
        <w:t>s</w:t>
      </w:r>
      <w:r w:rsidRPr="00772CFF">
        <w:rPr>
          <w:rFonts w:ascii="Times New Roman" w:hAnsi="Times New Roman"/>
          <w:szCs w:val="24"/>
        </w:rPr>
        <w:t xml:space="preserve"> on whether to grant the Prosecutor with a </w:t>
      </w:r>
      <w:r w:rsidRPr="00772CFF">
        <w:rPr>
          <w:rFonts w:ascii="Times New Roman" w:hAnsi="Times New Roman"/>
          <w:i/>
          <w:szCs w:val="24"/>
        </w:rPr>
        <w:t>proprio motu</w:t>
      </w:r>
      <w:r w:rsidRPr="00772CFF">
        <w:rPr>
          <w:rFonts w:ascii="Times New Roman" w:hAnsi="Times New Roman"/>
          <w:szCs w:val="24"/>
        </w:rPr>
        <w:t xml:space="preserve"> power or not. The proponents posited that a broad prosecutorial power would </w:t>
      </w:r>
      <w:r w:rsidR="004C3707">
        <w:rPr>
          <w:rFonts w:ascii="Times New Roman" w:hAnsi="Times New Roman"/>
          <w:szCs w:val="24"/>
        </w:rPr>
        <w:t>ensure the prosecutor fulfil his duties from their perspective,</w:t>
      </w:r>
      <w:r w:rsidRPr="00772CFF">
        <w:rPr>
          <w:rFonts w:ascii="Times New Roman" w:hAnsi="Times New Roman"/>
          <w:szCs w:val="24"/>
        </w:rPr>
        <w:t xml:space="preserve"> an independent prosecutor would likely promote the administration of justice.</w:t>
      </w:r>
      <w:r w:rsidRPr="00772CFF">
        <w:rPr>
          <w:rFonts w:ascii="Times New Roman" w:hAnsi="Times New Roman"/>
          <w:szCs w:val="24"/>
          <w:vertAlign w:val="superscript"/>
        </w:rPr>
        <w:footnoteReference w:id="209"/>
      </w:r>
      <w:r w:rsidRPr="00772CFF">
        <w:rPr>
          <w:rFonts w:ascii="Times New Roman" w:hAnsi="Times New Roman"/>
          <w:szCs w:val="24"/>
        </w:rPr>
        <w:t>Therefore, this will necessitate the independence of the prosecutor to investigate and prosecute.</w:t>
      </w:r>
      <w:r w:rsidRPr="00772CFF">
        <w:rPr>
          <w:rFonts w:ascii="Times New Roman" w:hAnsi="Times New Roman"/>
          <w:szCs w:val="24"/>
          <w:vertAlign w:val="superscript"/>
        </w:rPr>
        <w:footnoteReference w:id="210"/>
      </w:r>
    </w:p>
    <w:p w14:paraId="54F9E45E" w14:textId="36EE7EEF" w:rsidR="004E64FC" w:rsidRDefault="004E64FC" w:rsidP="00EF6B19">
      <w:pPr>
        <w:spacing w:line="480" w:lineRule="auto"/>
        <w:jc w:val="both"/>
        <w:rPr>
          <w:rFonts w:ascii="Times New Roman" w:hAnsi="Times New Roman"/>
          <w:szCs w:val="24"/>
        </w:rPr>
      </w:pPr>
      <w:r>
        <w:rPr>
          <w:rFonts w:ascii="Times New Roman" w:hAnsi="Times New Roman"/>
          <w:szCs w:val="24"/>
        </w:rPr>
        <w:lastRenderedPageBreak/>
        <w:t xml:space="preserve">This dichotomy between the States reflected the idea that prosecutorial independence was at the heart of a competent criminal court. Prosecutorial independence could underscore the legitimacy and competency of the ICC. The supporters of an independent prosecutor submitted that a criminal court subject to the </w:t>
      </w:r>
      <w:r w:rsidR="00766763">
        <w:rPr>
          <w:rFonts w:ascii="Times New Roman" w:hAnsi="Times New Roman"/>
          <w:szCs w:val="24"/>
        </w:rPr>
        <w:t>Security Council's mandatory powers</w:t>
      </w:r>
      <w:r>
        <w:rPr>
          <w:rFonts w:ascii="Times New Roman" w:hAnsi="Times New Roman"/>
          <w:szCs w:val="24"/>
        </w:rPr>
        <w:t xml:space="preserve"> would undermine the “credibility and moral authority of the court.”</w:t>
      </w:r>
      <w:r>
        <w:rPr>
          <w:rStyle w:val="FootnoteReference"/>
          <w:rFonts w:ascii="Times New Roman" w:hAnsi="Times New Roman"/>
          <w:szCs w:val="24"/>
        </w:rPr>
        <w:footnoteReference w:id="211"/>
      </w:r>
      <w:r w:rsidR="00E93CA7">
        <w:rPr>
          <w:rFonts w:ascii="Times New Roman" w:hAnsi="Times New Roman"/>
          <w:szCs w:val="24"/>
        </w:rPr>
        <w:t>By implication, the Court</w:t>
      </w:r>
      <w:r w:rsidR="00DF47DF">
        <w:rPr>
          <w:rFonts w:ascii="Times New Roman" w:hAnsi="Times New Roman"/>
          <w:szCs w:val="24"/>
        </w:rPr>
        <w:t>’s</w:t>
      </w:r>
      <w:r w:rsidR="00E93CA7">
        <w:rPr>
          <w:rFonts w:ascii="Times New Roman" w:hAnsi="Times New Roman"/>
          <w:szCs w:val="24"/>
        </w:rPr>
        <w:t xml:space="preserve"> legitimacy could be subverted by political influence</w:t>
      </w:r>
      <w:r w:rsidR="00DF47DF">
        <w:rPr>
          <w:rFonts w:ascii="Times New Roman" w:hAnsi="Times New Roman"/>
          <w:szCs w:val="24"/>
        </w:rPr>
        <w:t xml:space="preserve"> while</w:t>
      </w:r>
      <w:r w:rsidR="00E93CA7">
        <w:rPr>
          <w:rFonts w:ascii="Times New Roman" w:hAnsi="Times New Roman"/>
          <w:szCs w:val="24"/>
        </w:rPr>
        <w:t xml:space="preserve"> making the court a pawn in </w:t>
      </w:r>
      <w:r w:rsidR="00766763">
        <w:rPr>
          <w:rFonts w:ascii="Times New Roman" w:hAnsi="Times New Roman"/>
          <w:szCs w:val="24"/>
        </w:rPr>
        <w:t>external powers' hand</w:t>
      </w:r>
      <w:r w:rsidR="00E93CA7">
        <w:rPr>
          <w:rFonts w:ascii="Times New Roman" w:hAnsi="Times New Roman"/>
          <w:szCs w:val="24"/>
        </w:rPr>
        <w:t>s.</w:t>
      </w:r>
      <w:r w:rsidR="00DF47DF">
        <w:rPr>
          <w:rStyle w:val="FootnoteReference"/>
          <w:rFonts w:ascii="Times New Roman" w:hAnsi="Times New Roman"/>
          <w:szCs w:val="24"/>
        </w:rPr>
        <w:footnoteReference w:id="212"/>
      </w:r>
      <w:r w:rsidR="00DF47DF">
        <w:rPr>
          <w:rFonts w:ascii="Times New Roman" w:hAnsi="Times New Roman"/>
          <w:szCs w:val="24"/>
        </w:rPr>
        <w:t>The opponents cautioned that an independent prosecutor with broad discretionary powers would leave the prosecutor with unchecked powers which, in turn, would ‘embroil the court in controversy, political decision-making, and confusion’.</w:t>
      </w:r>
      <w:r w:rsidR="00DF47DF">
        <w:rPr>
          <w:rStyle w:val="FootnoteReference"/>
          <w:rFonts w:ascii="Times New Roman" w:hAnsi="Times New Roman"/>
          <w:szCs w:val="24"/>
        </w:rPr>
        <w:footnoteReference w:id="213"/>
      </w:r>
      <w:r w:rsidR="00DF47DF">
        <w:rPr>
          <w:rFonts w:ascii="Times New Roman" w:hAnsi="Times New Roman"/>
          <w:szCs w:val="24"/>
        </w:rPr>
        <w:t>It appears both sides of the delegates were for and against endorsing politically motivated prosecutor.</w:t>
      </w:r>
    </w:p>
    <w:p w14:paraId="2D33BB76" w14:textId="5FCCD0E8" w:rsidR="006C3631" w:rsidRDefault="006C3631" w:rsidP="00EF6B19">
      <w:pPr>
        <w:spacing w:line="480" w:lineRule="auto"/>
        <w:jc w:val="both"/>
        <w:rPr>
          <w:rFonts w:ascii="Times New Roman" w:hAnsi="Times New Roman"/>
          <w:szCs w:val="24"/>
        </w:rPr>
      </w:pPr>
      <w:r w:rsidRPr="00772CFF">
        <w:rPr>
          <w:rFonts w:ascii="Times New Roman" w:hAnsi="Times New Roman"/>
          <w:szCs w:val="24"/>
        </w:rPr>
        <w:t>Consequently,</w:t>
      </w:r>
      <w:r w:rsidR="004C3707">
        <w:rPr>
          <w:rFonts w:ascii="Times New Roman" w:hAnsi="Times New Roman"/>
          <w:szCs w:val="24"/>
        </w:rPr>
        <w:t xml:space="preserve"> a consensus emerged amidst the division between the delegates.</w:t>
      </w:r>
      <w:r w:rsidRPr="00772CFF">
        <w:rPr>
          <w:rFonts w:ascii="Times New Roman" w:hAnsi="Times New Roman"/>
          <w:szCs w:val="24"/>
        </w:rPr>
        <w:t xml:space="preserve"> </w:t>
      </w:r>
      <w:r w:rsidR="004C3707">
        <w:rPr>
          <w:rFonts w:ascii="Times New Roman" w:hAnsi="Times New Roman"/>
          <w:szCs w:val="24"/>
        </w:rPr>
        <w:t>T</w:t>
      </w:r>
      <w:r w:rsidRPr="00772CFF">
        <w:rPr>
          <w:rFonts w:ascii="Times New Roman" w:hAnsi="Times New Roman"/>
          <w:szCs w:val="24"/>
        </w:rPr>
        <w:t>hey unanimously consented to provide the prosecutor with an independent power to initiate investigation and prosecution.</w:t>
      </w:r>
      <w:r w:rsidR="00601A0E">
        <w:rPr>
          <w:rStyle w:val="FootnoteReference"/>
          <w:rFonts w:ascii="Times New Roman" w:hAnsi="Times New Roman"/>
          <w:szCs w:val="24"/>
        </w:rPr>
        <w:footnoteReference w:id="214"/>
      </w:r>
      <w:r w:rsidRPr="00772CFF">
        <w:rPr>
          <w:rFonts w:ascii="Times New Roman" w:hAnsi="Times New Roman"/>
          <w:szCs w:val="24"/>
        </w:rPr>
        <w:t xml:space="preserve"> However,  the Prosecutor’s power would be subject to checks by the Pre-Trial Chamber at an early </w:t>
      </w:r>
      <w:r w:rsidR="00766763">
        <w:rPr>
          <w:rFonts w:ascii="Times New Roman" w:hAnsi="Times New Roman"/>
          <w:szCs w:val="24"/>
        </w:rPr>
        <w:t>investigation stage</w:t>
      </w:r>
      <w:r w:rsidRPr="00772CFF">
        <w:rPr>
          <w:rFonts w:ascii="Times New Roman" w:hAnsi="Times New Roman"/>
          <w:szCs w:val="24"/>
        </w:rPr>
        <w:t>.</w:t>
      </w:r>
      <w:r w:rsidRPr="00772CFF">
        <w:rPr>
          <w:rFonts w:ascii="Times New Roman" w:hAnsi="Times New Roman"/>
          <w:szCs w:val="24"/>
          <w:vertAlign w:val="superscript"/>
        </w:rPr>
        <w:footnoteReference w:id="215"/>
      </w:r>
      <w:r w:rsidR="00CF383D" w:rsidRPr="00CF383D">
        <w:rPr>
          <w:rFonts w:ascii="Times New Roman" w:hAnsi="Times New Roman"/>
          <w:szCs w:val="24"/>
        </w:rPr>
        <w:t xml:space="preserve"> </w:t>
      </w:r>
      <w:r w:rsidR="00CF383D">
        <w:rPr>
          <w:rFonts w:ascii="Times New Roman" w:hAnsi="Times New Roman"/>
          <w:szCs w:val="24"/>
        </w:rPr>
        <w:t xml:space="preserve">Accordingly, the delegates reached a compromise to grant the ICC prosecutor broad discretionary powers </w:t>
      </w:r>
      <w:r w:rsidR="00CF383D">
        <w:rPr>
          <w:rFonts w:ascii="Times New Roman" w:hAnsi="Times New Roman"/>
          <w:szCs w:val="24"/>
        </w:rPr>
        <w:lastRenderedPageBreak/>
        <w:t>regarding whether to prosecute or not</w:t>
      </w:r>
      <w:r w:rsidR="00766763">
        <w:rPr>
          <w:rFonts w:ascii="Times New Roman" w:hAnsi="Times New Roman"/>
          <w:szCs w:val="24"/>
        </w:rPr>
        <w:t>. T</w:t>
      </w:r>
      <w:r w:rsidR="00CF383D">
        <w:rPr>
          <w:rFonts w:ascii="Times New Roman" w:hAnsi="Times New Roman"/>
          <w:szCs w:val="24"/>
        </w:rPr>
        <w:t>h</w:t>
      </w:r>
      <w:r w:rsidR="00766763">
        <w:rPr>
          <w:rFonts w:ascii="Times New Roman" w:hAnsi="Times New Roman"/>
          <w:szCs w:val="24"/>
        </w:rPr>
        <w:t>e power</w:t>
      </w:r>
      <w:r w:rsidR="00CF383D">
        <w:rPr>
          <w:rFonts w:ascii="Times New Roman" w:hAnsi="Times New Roman"/>
          <w:szCs w:val="24"/>
        </w:rPr>
        <w:t xml:space="preserve"> is subject to a check and balance by the PTC. </w:t>
      </w:r>
      <w:r w:rsidR="00EF6B19">
        <w:rPr>
          <w:rFonts w:ascii="Times New Roman" w:hAnsi="Times New Roman"/>
          <w:szCs w:val="24"/>
        </w:rPr>
        <w:t>The compromise</w:t>
      </w:r>
      <w:r w:rsidRPr="00772CFF">
        <w:rPr>
          <w:rFonts w:ascii="Times New Roman" w:hAnsi="Times New Roman"/>
          <w:szCs w:val="24"/>
        </w:rPr>
        <w:t xml:space="preserve"> reached is embodied in Article 15, particularly article 15(3) of the Rome Statute.</w:t>
      </w:r>
    </w:p>
    <w:p w14:paraId="34AB705D" w14:textId="57AD7170" w:rsidR="00772CFF" w:rsidRDefault="00CF383D" w:rsidP="00EF6B19">
      <w:pPr>
        <w:spacing w:line="480" w:lineRule="auto"/>
        <w:jc w:val="both"/>
        <w:rPr>
          <w:rFonts w:ascii="Times New Roman" w:hAnsi="Times New Roman"/>
          <w:szCs w:val="24"/>
        </w:rPr>
      </w:pPr>
      <w:r>
        <w:rPr>
          <w:rFonts w:ascii="Times New Roman" w:hAnsi="Times New Roman"/>
          <w:szCs w:val="24"/>
        </w:rPr>
        <w:t>The preamble of the Statute and the Policy papers</w:t>
      </w:r>
      <w:r w:rsidR="00772CFF" w:rsidRPr="00772CFF">
        <w:rPr>
          <w:rFonts w:ascii="Times New Roman" w:hAnsi="Times New Roman"/>
          <w:szCs w:val="24"/>
        </w:rPr>
        <w:t xml:space="preserve"> provide that the OTP’s investigative efforts and resources should be directed on the perpetrators that bear the </w:t>
      </w:r>
      <w:r>
        <w:rPr>
          <w:rFonts w:ascii="Times New Roman" w:hAnsi="Times New Roman"/>
          <w:szCs w:val="24"/>
        </w:rPr>
        <w:t>most significan</w:t>
      </w:r>
      <w:r w:rsidR="00772CFF" w:rsidRPr="00772CFF">
        <w:rPr>
          <w:rFonts w:ascii="Times New Roman" w:hAnsi="Times New Roman"/>
          <w:szCs w:val="24"/>
        </w:rPr>
        <w:t>t responsibility for the commission of the most serious crimes of international concern.</w:t>
      </w:r>
      <w:r w:rsidR="00772CFF" w:rsidRPr="00772CFF">
        <w:rPr>
          <w:rFonts w:ascii="Times New Roman" w:hAnsi="Times New Roman"/>
          <w:szCs w:val="24"/>
          <w:vertAlign w:val="superscript"/>
        </w:rPr>
        <w:footnoteReference w:id="216"/>
      </w:r>
    </w:p>
    <w:p w14:paraId="69ECA1B3" w14:textId="77777777" w:rsidR="00963C98" w:rsidRDefault="00A12B35" w:rsidP="00EF6B19">
      <w:pPr>
        <w:spacing w:line="480" w:lineRule="auto"/>
        <w:jc w:val="both"/>
        <w:rPr>
          <w:rFonts w:ascii="Times New Roman" w:hAnsi="Times New Roman"/>
          <w:szCs w:val="24"/>
        </w:rPr>
      </w:pPr>
      <w:r>
        <w:rPr>
          <w:rFonts w:ascii="Times New Roman" w:hAnsi="Times New Roman"/>
          <w:szCs w:val="24"/>
        </w:rPr>
        <w:t>So far,</w:t>
      </w:r>
      <w:r w:rsidR="00EF6B19">
        <w:rPr>
          <w:rFonts w:ascii="Times New Roman" w:hAnsi="Times New Roman"/>
          <w:szCs w:val="24"/>
        </w:rPr>
        <w:t xml:space="preserve"> </w:t>
      </w:r>
      <w:r>
        <w:rPr>
          <w:rFonts w:ascii="Times New Roman" w:hAnsi="Times New Roman"/>
          <w:szCs w:val="24"/>
        </w:rPr>
        <w:t>this section has demonstrated the origin of the powers of the prosecutor.</w:t>
      </w:r>
      <w:r w:rsidR="00EF6B19">
        <w:rPr>
          <w:rFonts w:ascii="Times New Roman" w:hAnsi="Times New Roman"/>
          <w:szCs w:val="24"/>
        </w:rPr>
        <w:t xml:space="preserve"> </w:t>
      </w:r>
      <w:r w:rsidR="00963C98">
        <w:rPr>
          <w:rFonts w:ascii="Times New Roman" w:hAnsi="Times New Roman"/>
          <w:szCs w:val="24"/>
        </w:rPr>
        <w:t xml:space="preserve">What follows </w:t>
      </w:r>
      <w:r w:rsidR="005A2747">
        <w:rPr>
          <w:rFonts w:ascii="Times New Roman" w:hAnsi="Times New Roman"/>
          <w:szCs w:val="24"/>
        </w:rPr>
        <w:t>is an outline of the Prosecutor’</w:t>
      </w:r>
      <w:r w:rsidR="00846F41">
        <w:rPr>
          <w:rFonts w:ascii="Times New Roman" w:hAnsi="Times New Roman"/>
          <w:szCs w:val="24"/>
        </w:rPr>
        <w:t>s statutory powers to familiarise the readers with laws and rules on prosecu</w:t>
      </w:r>
      <w:r w:rsidR="00EF6B19">
        <w:rPr>
          <w:rFonts w:ascii="Times New Roman" w:hAnsi="Times New Roman"/>
          <w:szCs w:val="24"/>
        </w:rPr>
        <w:t>t</w:t>
      </w:r>
      <w:r w:rsidR="00846F41">
        <w:rPr>
          <w:rFonts w:ascii="Times New Roman" w:hAnsi="Times New Roman"/>
          <w:szCs w:val="24"/>
        </w:rPr>
        <w:t>orial powers.</w:t>
      </w:r>
    </w:p>
    <w:p w14:paraId="5D086A4E" w14:textId="77777777" w:rsidR="00772CFF" w:rsidRPr="00772CFF" w:rsidRDefault="00846F41" w:rsidP="000C4174">
      <w:pPr>
        <w:pStyle w:val="Heading2"/>
      </w:pPr>
      <w:bookmarkStart w:id="17" w:name="_Toc60235796"/>
      <w:r>
        <w:t>2.</w:t>
      </w:r>
      <w:r w:rsidR="00963C98">
        <w:t>3</w:t>
      </w:r>
      <w:r w:rsidR="00772CFF" w:rsidRPr="00772CFF">
        <w:t xml:space="preserve"> The Statutory powers of the Prosecutor.</w:t>
      </w:r>
      <w:bookmarkEnd w:id="17"/>
    </w:p>
    <w:p w14:paraId="26E316BE" w14:textId="77777777" w:rsidR="00772CFF" w:rsidRPr="00772CFF" w:rsidRDefault="00772CFF" w:rsidP="00EF6B19">
      <w:pPr>
        <w:spacing w:line="480" w:lineRule="auto"/>
        <w:jc w:val="both"/>
        <w:rPr>
          <w:rFonts w:ascii="Times New Roman" w:hAnsi="Times New Roman"/>
          <w:szCs w:val="24"/>
        </w:rPr>
      </w:pPr>
      <w:r w:rsidRPr="00772CFF">
        <w:rPr>
          <w:rFonts w:ascii="Times New Roman" w:hAnsi="Times New Roman"/>
          <w:szCs w:val="24"/>
        </w:rPr>
        <w:t xml:space="preserve">The </w:t>
      </w:r>
      <w:r w:rsidR="00846F41">
        <w:rPr>
          <w:rFonts w:ascii="Times New Roman" w:hAnsi="Times New Roman"/>
          <w:szCs w:val="24"/>
        </w:rPr>
        <w:t>prosecutor’s powers to initiate</w:t>
      </w:r>
      <w:r w:rsidRPr="00772CFF">
        <w:rPr>
          <w:rFonts w:ascii="Times New Roman" w:hAnsi="Times New Roman"/>
          <w:szCs w:val="24"/>
        </w:rPr>
        <w:t xml:space="preserve"> prosecution is spelt out in articles 53(2) (a) (b)(c), 54, and 58.</w:t>
      </w:r>
      <w:r w:rsidR="00846F41">
        <w:rPr>
          <w:rFonts w:ascii="Times New Roman" w:hAnsi="Times New Roman"/>
          <w:szCs w:val="24"/>
        </w:rPr>
        <w:t xml:space="preserve"> </w:t>
      </w:r>
      <w:r w:rsidRPr="00772CFF">
        <w:rPr>
          <w:rFonts w:ascii="Times New Roman" w:hAnsi="Times New Roman"/>
          <w:szCs w:val="24"/>
        </w:rPr>
        <w:t>Moreover, Article 53(1) (a)(b)(c) sti</w:t>
      </w:r>
      <w:r w:rsidR="00FB4D64">
        <w:rPr>
          <w:rFonts w:ascii="Times New Roman" w:hAnsi="Times New Roman"/>
          <w:szCs w:val="24"/>
        </w:rPr>
        <w:t xml:space="preserve">pulates the conditions to fulfil </w:t>
      </w:r>
      <w:r w:rsidRPr="00772CFF">
        <w:rPr>
          <w:rFonts w:ascii="Times New Roman" w:hAnsi="Times New Roman"/>
          <w:szCs w:val="24"/>
        </w:rPr>
        <w:t xml:space="preserve">for the prosecutor to initiate </w:t>
      </w:r>
      <w:r w:rsidR="00FB4D64">
        <w:rPr>
          <w:rFonts w:ascii="Times New Roman" w:hAnsi="Times New Roman"/>
          <w:szCs w:val="24"/>
        </w:rPr>
        <w:t xml:space="preserve">an </w:t>
      </w:r>
      <w:r w:rsidRPr="00772CFF">
        <w:rPr>
          <w:rFonts w:ascii="Times New Roman" w:hAnsi="Times New Roman"/>
          <w:szCs w:val="24"/>
        </w:rPr>
        <w:t>investigation.</w:t>
      </w:r>
    </w:p>
    <w:p w14:paraId="70EC39C8" w14:textId="25AEC383" w:rsidR="00772CFF" w:rsidRPr="00772CFF" w:rsidRDefault="00772CFF" w:rsidP="00EF6B19">
      <w:pPr>
        <w:spacing w:line="480" w:lineRule="auto"/>
        <w:jc w:val="both"/>
        <w:rPr>
          <w:rFonts w:ascii="Times New Roman" w:hAnsi="Times New Roman"/>
          <w:szCs w:val="24"/>
        </w:rPr>
      </w:pPr>
      <w:r w:rsidRPr="00772CFF">
        <w:rPr>
          <w:rFonts w:ascii="Times New Roman" w:hAnsi="Times New Roman"/>
          <w:szCs w:val="24"/>
        </w:rPr>
        <w:t xml:space="preserve">Article 15 grants the Prosecutor the power to commence an investigation independently after receiving information from any source without any State or Security Council </w:t>
      </w:r>
      <w:r w:rsidRPr="00772CFF">
        <w:rPr>
          <w:rFonts w:ascii="Times New Roman" w:hAnsi="Times New Roman"/>
          <w:szCs w:val="24"/>
        </w:rPr>
        <w:lastRenderedPageBreak/>
        <w:t>referral.</w:t>
      </w:r>
      <w:r w:rsidR="00846F41">
        <w:rPr>
          <w:rFonts w:ascii="Times New Roman" w:hAnsi="Times New Roman"/>
          <w:szCs w:val="24"/>
        </w:rPr>
        <w:t xml:space="preserve"> </w:t>
      </w:r>
      <w:r w:rsidR="00CF383D">
        <w:rPr>
          <w:rFonts w:ascii="Times New Roman" w:hAnsi="Times New Roman"/>
          <w:szCs w:val="24"/>
        </w:rPr>
        <w:t>Also</w:t>
      </w:r>
      <w:r w:rsidRPr="00772CFF">
        <w:rPr>
          <w:rFonts w:ascii="Times New Roman" w:hAnsi="Times New Roman"/>
          <w:szCs w:val="24"/>
        </w:rPr>
        <w:t>, the OTP has the power to independently decide how to conduct investigations and method of presentation during the whole trial.</w:t>
      </w:r>
      <w:r w:rsidR="00846F41">
        <w:rPr>
          <w:rStyle w:val="FootnoteReference"/>
          <w:rFonts w:ascii="Times New Roman" w:hAnsi="Times New Roman"/>
          <w:szCs w:val="24"/>
        </w:rPr>
        <w:footnoteReference w:id="217"/>
      </w:r>
    </w:p>
    <w:p w14:paraId="3171A7CA" w14:textId="69EF9CA5" w:rsidR="00772CFF" w:rsidRPr="00772CFF" w:rsidRDefault="00772CFF" w:rsidP="00EF6B19">
      <w:pPr>
        <w:spacing w:line="480" w:lineRule="auto"/>
        <w:jc w:val="both"/>
        <w:rPr>
          <w:rFonts w:ascii="Times New Roman" w:hAnsi="Times New Roman"/>
          <w:szCs w:val="24"/>
        </w:rPr>
      </w:pPr>
      <w:r w:rsidRPr="00772CFF">
        <w:rPr>
          <w:rFonts w:ascii="Times New Roman" w:hAnsi="Times New Roman"/>
          <w:szCs w:val="24"/>
        </w:rPr>
        <w:t>The Prosecutor shall commence an investigation after he must have evaluated the information made available to him.</w:t>
      </w:r>
      <w:r w:rsidRPr="00772CFF">
        <w:rPr>
          <w:rFonts w:ascii="Times New Roman" w:hAnsi="Times New Roman"/>
          <w:szCs w:val="24"/>
          <w:vertAlign w:val="superscript"/>
        </w:rPr>
        <w:footnoteReference w:id="218"/>
      </w:r>
      <w:r w:rsidR="00B1123B">
        <w:rPr>
          <w:rFonts w:ascii="Times New Roman" w:hAnsi="Times New Roman"/>
          <w:szCs w:val="24"/>
        </w:rPr>
        <w:t xml:space="preserve"> Where the prosecutor </w:t>
      </w:r>
      <w:r w:rsidR="00CF383D">
        <w:rPr>
          <w:rFonts w:ascii="Times New Roman" w:hAnsi="Times New Roman"/>
          <w:szCs w:val="24"/>
        </w:rPr>
        <w:t>start</w:t>
      </w:r>
      <w:r w:rsidR="00B1123B">
        <w:rPr>
          <w:rFonts w:ascii="Times New Roman" w:hAnsi="Times New Roman"/>
          <w:szCs w:val="24"/>
        </w:rPr>
        <w:t>s an investigation, he is duty-bound “to establish the truth” and to “investigate incriminating and exculpatory circumstances equally.”</w:t>
      </w:r>
      <w:r w:rsidR="00B1123B">
        <w:rPr>
          <w:rStyle w:val="FootnoteReference"/>
          <w:rFonts w:ascii="Times New Roman" w:hAnsi="Times New Roman"/>
          <w:szCs w:val="24"/>
        </w:rPr>
        <w:footnoteReference w:id="219"/>
      </w:r>
      <w:r w:rsidR="00CE5ACE">
        <w:rPr>
          <w:rFonts w:ascii="Times New Roman" w:hAnsi="Times New Roman"/>
          <w:szCs w:val="24"/>
        </w:rPr>
        <w:t xml:space="preserve"> </w:t>
      </w:r>
      <w:r w:rsidR="00F279F2">
        <w:rPr>
          <w:rFonts w:ascii="Times New Roman" w:hAnsi="Times New Roman"/>
          <w:szCs w:val="24"/>
        </w:rPr>
        <w:t>Also, for the guarantee of effective investigation and prosecution, the prosecutor is obliged to ‘respect the interests and personal circumstances of victims …’</w:t>
      </w:r>
      <w:r w:rsidR="00F279F2">
        <w:rPr>
          <w:rStyle w:val="FootnoteReference"/>
          <w:rFonts w:ascii="Times New Roman" w:hAnsi="Times New Roman"/>
          <w:szCs w:val="24"/>
        </w:rPr>
        <w:footnoteReference w:id="220"/>
      </w:r>
      <w:r w:rsidR="00F279F2">
        <w:rPr>
          <w:rFonts w:ascii="Times New Roman" w:hAnsi="Times New Roman"/>
          <w:szCs w:val="24"/>
        </w:rPr>
        <w:t xml:space="preserve"> </w:t>
      </w:r>
      <w:r w:rsidR="00CE5ACE">
        <w:rPr>
          <w:rFonts w:ascii="Times New Roman" w:hAnsi="Times New Roman"/>
          <w:szCs w:val="24"/>
        </w:rPr>
        <w:t>The fulfilment of these requirements establishes an objective condition as an obligation on the Prosecutor as opposed to politicising investigations and prosecutions. Besides,</w:t>
      </w:r>
      <w:r w:rsidRPr="00772CFF">
        <w:rPr>
          <w:rFonts w:ascii="Times New Roman" w:hAnsi="Times New Roman"/>
          <w:szCs w:val="24"/>
        </w:rPr>
        <w:t xml:space="preserve"> the Prosecutor shall not proceed with the initiation of the investigation if he or she determines that there </w:t>
      </w:r>
      <w:r w:rsidR="00FB4D64">
        <w:rPr>
          <w:rFonts w:ascii="Times New Roman" w:hAnsi="Times New Roman"/>
          <w:szCs w:val="24"/>
        </w:rPr>
        <w:t>are</w:t>
      </w:r>
      <w:r w:rsidRPr="00772CFF">
        <w:rPr>
          <w:rFonts w:ascii="Times New Roman" w:hAnsi="Times New Roman"/>
          <w:szCs w:val="24"/>
        </w:rPr>
        <w:t xml:space="preserve"> no reasonable grounds to continue under the Statute.</w:t>
      </w:r>
      <w:r w:rsidR="00FB4D64">
        <w:rPr>
          <w:rFonts w:ascii="Times New Roman" w:hAnsi="Times New Roman"/>
          <w:szCs w:val="24"/>
        </w:rPr>
        <w:t xml:space="preserve"> </w:t>
      </w:r>
      <w:r w:rsidRPr="00772CFF">
        <w:rPr>
          <w:rFonts w:ascii="Times New Roman" w:hAnsi="Times New Roman"/>
          <w:szCs w:val="24"/>
        </w:rPr>
        <w:t>The Prosecutor shall consider three grounds to decide whether he should initiate an investigation.</w:t>
      </w:r>
      <w:r w:rsidR="00C47C31">
        <w:rPr>
          <w:rFonts w:ascii="Times New Roman" w:hAnsi="Times New Roman"/>
          <w:szCs w:val="24"/>
        </w:rPr>
        <w:t xml:space="preserve"> </w:t>
      </w:r>
      <w:r w:rsidRPr="00772CFF">
        <w:rPr>
          <w:rFonts w:ascii="Times New Roman" w:hAnsi="Times New Roman"/>
          <w:szCs w:val="24"/>
        </w:rPr>
        <w:t>The grounds are :</w:t>
      </w:r>
    </w:p>
    <w:p w14:paraId="703ECD37" w14:textId="77777777" w:rsidR="00772CFF" w:rsidRPr="00772CFF" w:rsidRDefault="00772CFF" w:rsidP="00EF6B19">
      <w:pPr>
        <w:spacing w:line="480" w:lineRule="auto"/>
        <w:jc w:val="both"/>
        <w:rPr>
          <w:rFonts w:ascii="Times New Roman" w:hAnsi="Times New Roman"/>
          <w:szCs w:val="24"/>
        </w:rPr>
      </w:pPr>
      <w:r w:rsidRPr="00772CFF">
        <w:rPr>
          <w:rFonts w:ascii="Times New Roman" w:hAnsi="Times New Roman"/>
          <w:szCs w:val="24"/>
        </w:rPr>
        <w:t>(a) “</w:t>
      </w:r>
      <w:r w:rsidRPr="00844117">
        <w:rPr>
          <w:rFonts w:ascii="Times New Roman" w:hAnsi="Times New Roman"/>
          <w:szCs w:val="24"/>
        </w:rPr>
        <w:t>The information available to the Prosecutor provides a reasonable basis to believe that a crime within the jurisdiction of the Court has been or is being committed</w:t>
      </w:r>
      <w:r w:rsidRPr="00772CFF">
        <w:rPr>
          <w:rFonts w:ascii="Times New Roman" w:hAnsi="Times New Roman"/>
          <w:szCs w:val="24"/>
        </w:rPr>
        <w:t xml:space="preserve"> ;</w:t>
      </w:r>
    </w:p>
    <w:p w14:paraId="3453B935" w14:textId="77777777" w:rsidR="00772CFF" w:rsidRPr="00844117" w:rsidRDefault="00772CFF" w:rsidP="00EF6B19">
      <w:pPr>
        <w:spacing w:line="480" w:lineRule="auto"/>
        <w:jc w:val="both"/>
        <w:rPr>
          <w:rFonts w:ascii="Times New Roman" w:hAnsi="Times New Roman"/>
          <w:szCs w:val="24"/>
        </w:rPr>
      </w:pPr>
      <w:r w:rsidRPr="00772CFF">
        <w:rPr>
          <w:rFonts w:ascii="Times New Roman" w:hAnsi="Times New Roman"/>
          <w:szCs w:val="24"/>
        </w:rPr>
        <w:t>(b)</w:t>
      </w:r>
      <w:r w:rsidRPr="00844117">
        <w:rPr>
          <w:rFonts w:ascii="Times New Roman" w:hAnsi="Times New Roman"/>
          <w:szCs w:val="24"/>
        </w:rPr>
        <w:t>The case is or would be admissible under article 17;</w:t>
      </w:r>
      <w:r w:rsidR="00FB4D64" w:rsidRPr="00844117">
        <w:rPr>
          <w:rFonts w:ascii="Times New Roman" w:hAnsi="Times New Roman"/>
          <w:szCs w:val="24"/>
        </w:rPr>
        <w:t xml:space="preserve"> </w:t>
      </w:r>
      <w:r w:rsidRPr="00844117">
        <w:rPr>
          <w:rFonts w:ascii="Times New Roman" w:hAnsi="Times New Roman"/>
          <w:szCs w:val="24"/>
        </w:rPr>
        <w:t>and</w:t>
      </w:r>
    </w:p>
    <w:p w14:paraId="0AF4F468" w14:textId="1FA03747" w:rsidR="00772CFF" w:rsidRPr="00772CFF" w:rsidRDefault="00D324B1" w:rsidP="00772CFF">
      <w:pPr>
        <w:jc w:val="both"/>
        <w:rPr>
          <w:rFonts w:ascii="Times New Roman" w:hAnsi="Times New Roman"/>
          <w:szCs w:val="24"/>
        </w:rPr>
      </w:pPr>
      <w:r>
        <w:rPr>
          <w:rFonts w:ascii="Times New Roman" w:hAnsi="Times New Roman"/>
          <w:szCs w:val="24"/>
        </w:rPr>
        <w:lastRenderedPageBreak/>
        <w:t>(c)</w:t>
      </w:r>
      <w:r w:rsidR="00772CFF" w:rsidRPr="00844117">
        <w:rPr>
          <w:rFonts w:ascii="Times New Roman" w:hAnsi="Times New Roman"/>
          <w:szCs w:val="24"/>
        </w:rPr>
        <w:t xml:space="preserve">Taking into account the gravity of the crime and the </w:t>
      </w:r>
      <w:r w:rsidR="00772CFF" w:rsidRPr="00F279F2">
        <w:rPr>
          <w:rFonts w:ascii="Times New Roman" w:hAnsi="Times New Roman"/>
          <w:szCs w:val="24"/>
          <w:u w:val="single"/>
        </w:rPr>
        <w:t>interests of victims</w:t>
      </w:r>
      <w:r w:rsidR="00772CFF" w:rsidRPr="00844117">
        <w:rPr>
          <w:rFonts w:ascii="Times New Roman" w:hAnsi="Times New Roman"/>
          <w:szCs w:val="24"/>
        </w:rPr>
        <w:t>, there are nonetheless substantial reasons to believe that an investigation would not serve the interests of justice</w:t>
      </w:r>
      <w:r w:rsidR="00772CFF" w:rsidRPr="00772CFF">
        <w:rPr>
          <w:rFonts w:ascii="Times New Roman" w:hAnsi="Times New Roman"/>
          <w:szCs w:val="24"/>
        </w:rPr>
        <w:t>.”</w:t>
      </w:r>
      <w:r w:rsidR="00772CFF" w:rsidRPr="00772CFF">
        <w:rPr>
          <w:rFonts w:ascii="Times New Roman" w:hAnsi="Times New Roman"/>
          <w:szCs w:val="24"/>
          <w:vertAlign w:val="superscript"/>
        </w:rPr>
        <w:footnoteReference w:id="221"/>
      </w:r>
    </w:p>
    <w:p w14:paraId="7250FE90" w14:textId="429B1D8B" w:rsidR="00772CFF" w:rsidRPr="00C47C31" w:rsidRDefault="00772CFF" w:rsidP="00B55B59">
      <w:pPr>
        <w:spacing w:line="480" w:lineRule="auto"/>
        <w:jc w:val="both"/>
        <w:rPr>
          <w:rFonts w:ascii="Times New Roman" w:hAnsi="Times New Roman"/>
          <w:i/>
          <w:szCs w:val="24"/>
        </w:rPr>
      </w:pPr>
      <w:r w:rsidRPr="00772CFF">
        <w:rPr>
          <w:rFonts w:ascii="Times New Roman" w:hAnsi="Times New Roman"/>
          <w:szCs w:val="24"/>
        </w:rPr>
        <w:t xml:space="preserve">However, </w:t>
      </w:r>
      <w:r w:rsidR="00CF383D">
        <w:rPr>
          <w:rFonts w:ascii="Times New Roman" w:hAnsi="Times New Roman"/>
          <w:szCs w:val="24"/>
        </w:rPr>
        <w:t xml:space="preserve">suppose the Prosecutor determines that there is no reasonable basis to proceed, </w:t>
      </w:r>
      <w:r w:rsidR="00766763">
        <w:rPr>
          <w:rFonts w:ascii="Times New Roman" w:hAnsi="Times New Roman"/>
          <w:szCs w:val="24"/>
        </w:rPr>
        <w:t>which</w:t>
      </w:r>
      <w:r w:rsidR="00CF383D">
        <w:rPr>
          <w:rFonts w:ascii="Times New Roman" w:hAnsi="Times New Roman"/>
          <w:szCs w:val="24"/>
        </w:rPr>
        <w:t xml:space="preserve"> is determined based on subparagraph (c). In that case</w:t>
      </w:r>
      <w:r w:rsidRPr="00772CFF">
        <w:rPr>
          <w:rFonts w:ascii="Times New Roman" w:hAnsi="Times New Roman"/>
          <w:szCs w:val="24"/>
        </w:rPr>
        <w:t>, the Prosecutor is under an obligation to inform the Pre-Trial Chamber.</w:t>
      </w:r>
      <w:r w:rsidRPr="00772CFF">
        <w:rPr>
          <w:rFonts w:ascii="Times New Roman" w:hAnsi="Times New Roman"/>
          <w:szCs w:val="24"/>
          <w:vertAlign w:val="superscript"/>
        </w:rPr>
        <w:footnoteReference w:id="222"/>
      </w:r>
      <w:r w:rsidR="00C47C31">
        <w:rPr>
          <w:rFonts w:ascii="Times New Roman" w:hAnsi="Times New Roman"/>
          <w:szCs w:val="24"/>
        </w:rPr>
        <w:t>This</w:t>
      </w:r>
      <w:r w:rsidR="00E00649">
        <w:rPr>
          <w:rFonts w:ascii="Times New Roman" w:hAnsi="Times New Roman"/>
          <w:szCs w:val="24"/>
        </w:rPr>
        <w:t xml:space="preserve"> provision</w:t>
      </w:r>
      <w:r w:rsidR="00C47C31">
        <w:rPr>
          <w:rFonts w:ascii="Times New Roman" w:hAnsi="Times New Roman"/>
          <w:szCs w:val="24"/>
        </w:rPr>
        <w:t xml:space="preserve"> seems to control</w:t>
      </w:r>
      <w:r w:rsidRPr="00772CFF">
        <w:rPr>
          <w:rFonts w:ascii="Times New Roman" w:hAnsi="Times New Roman"/>
          <w:szCs w:val="24"/>
        </w:rPr>
        <w:t xml:space="preserve"> </w:t>
      </w:r>
      <w:r w:rsidR="00FB4D64">
        <w:rPr>
          <w:rFonts w:ascii="Times New Roman" w:hAnsi="Times New Roman"/>
          <w:szCs w:val="24"/>
        </w:rPr>
        <w:t xml:space="preserve">the </w:t>
      </w:r>
      <w:r w:rsidRPr="00772CFF">
        <w:rPr>
          <w:rFonts w:ascii="Times New Roman" w:hAnsi="Times New Roman"/>
          <w:szCs w:val="24"/>
        </w:rPr>
        <w:t>Prosecutor’s powers</w:t>
      </w:r>
      <w:r w:rsidR="00C47C31">
        <w:rPr>
          <w:rFonts w:ascii="Times New Roman" w:hAnsi="Times New Roman"/>
          <w:szCs w:val="24"/>
        </w:rPr>
        <w:t xml:space="preserve"> in this respect</w:t>
      </w:r>
      <w:r w:rsidRPr="00772CFF">
        <w:rPr>
          <w:rFonts w:ascii="Times New Roman" w:hAnsi="Times New Roman"/>
          <w:szCs w:val="24"/>
        </w:rPr>
        <w:t>.</w:t>
      </w:r>
      <w:r w:rsidR="00C47C31">
        <w:rPr>
          <w:rFonts w:ascii="Times New Roman" w:hAnsi="Times New Roman"/>
          <w:szCs w:val="24"/>
        </w:rPr>
        <w:t xml:space="preserve"> One could argue that th</w:t>
      </w:r>
      <w:r w:rsidR="00766763">
        <w:rPr>
          <w:rFonts w:ascii="Times New Roman" w:hAnsi="Times New Roman"/>
          <w:szCs w:val="24"/>
        </w:rPr>
        <w:t>is section's composi</w:t>
      </w:r>
      <w:r w:rsidRPr="00772CFF">
        <w:rPr>
          <w:rFonts w:ascii="Times New Roman" w:hAnsi="Times New Roman"/>
          <w:szCs w:val="24"/>
        </w:rPr>
        <w:t>tion sets standards</w:t>
      </w:r>
      <w:r w:rsidR="00C47C31">
        <w:rPr>
          <w:rFonts w:ascii="Times New Roman" w:hAnsi="Times New Roman"/>
          <w:szCs w:val="24"/>
        </w:rPr>
        <w:t xml:space="preserve"> for</w:t>
      </w:r>
      <w:r w:rsidRPr="00772CFF">
        <w:rPr>
          <w:rFonts w:ascii="Times New Roman" w:hAnsi="Times New Roman"/>
          <w:szCs w:val="24"/>
        </w:rPr>
        <w:t xml:space="preserve"> judicial scrutiny or review of the prosecutor’s powers. Article 53(3)(b) grants the PTC the </w:t>
      </w:r>
      <w:r w:rsidR="00CF383D">
        <w:rPr>
          <w:rFonts w:ascii="Times New Roman" w:hAnsi="Times New Roman"/>
          <w:szCs w:val="24"/>
        </w:rPr>
        <w:t>authority</w:t>
      </w:r>
      <w:r w:rsidRPr="00772CFF">
        <w:rPr>
          <w:rFonts w:ascii="Times New Roman" w:hAnsi="Times New Roman"/>
          <w:szCs w:val="24"/>
        </w:rPr>
        <w:t xml:space="preserve"> to review on its initi</w:t>
      </w:r>
      <w:r w:rsidR="00C47C31">
        <w:rPr>
          <w:rFonts w:ascii="Times New Roman" w:hAnsi="Times New Roman"/>
          <w:szCs w:val="24"/>
        </w:rPr>
        <w:t xml:space="preserve">ative the OTP’s decision  where an </w:t>
      </w:r>
      <w:r w:rsidRPr="00772CFF">
        <w:rPr>
          <w:rFonts w:ascii="Times New Roman" w:hAnsi="Times New Roman"/>
          <w:szCs w:val="24"/>
        </w:rPr>
        <w:t>“</w:t>
      </w:r>
      <w:r w:rsidRPr="00844117">
        <w:rPr>
          <w:rFonts w:ascii="Times New Roman" w:hAnsi="Times New Roman"/>
          <w:szCs w:val="24"/>
        </w:rPr>
        <w:t>an investigation would not serve the interests of justice.</w:t>
      </w:r>
      <w:r w:rsidRPr="00C47C31">
        <w:rPr>
          <w:rFonts w:ascii="Times New Roman" w:hAnsi="Times New Roman"/>
          <w:i/>
          <w:szCs w:val="24"/>
        </w:rPr>
        <w:t>’</w:t>
      </w:r>
      <w:r w:rsidRPr="00C47C31">
        <w:rPr>
          <w:rFonts w:ascii="Times New Roman" w:hAnsi="Times New Roman"/>
          <w:i/>
          <w:szCs w:val="24"/>
          <w:vertAlign w:val="superscript"/>
        </w:rPr>
        <w:footnoteReference w:id="223"/>
      </w:r>
    </w:p>
    <w:p w14:paraId="2842D0C7" w14:textId="77777777" w:rsidR="00772CFF" w:rsidRPr="00772CFF" w:rsidRDefault="00772CFF" w:rsidP="00B55B59">
      <w:pPr>
        <w:spacing w:line="480" w:lineRule="auto"/>
        <w:jc w:val="both"/>
        <w:rPr>
          <w:rFonts w:ascii="Times New Roman" w:hAnsi="Times New Roman"/>
          <w:szCs w:val="24"/>
        </w:rPr>
      </w:pPr>
      <w:r w:rsidRPr="00772CFF">
        <w:rPr>
          <w:rFonts w:ascii="Times New Roman" w:hAnsi="Times New Roman"/>
          <w:szCs w:val="24"/>
        </w:rPr>
        <w:t>Article 15(3) of the Statute grants victims the right to be heard by a Pre-Trial Chamber  when “</w:t>
      </w:r>
      <w:r w:rsidRPr="00844117">
        <w:rPr>
          <w:rFonts w:ascii="Times New Roman" w:hAnsi="Times New Roman"/>
          <w:szCs w:val="24"/>
        </w:rPr>
        <w:t>the Prosecutor concludes that there is a reasonable basis to proceed with an investigation</w:t>
      </w:r>
      <w:r w:rsidR="00FB4D64">
        <w:rPr>
          <w:rFonts w:ascii="Times New Roman" w:hAnsi="Times New Roman"/>
          <w:i/>
          <w:szCs w:val="24"/>
        </w:rPr>
        <w:t>.</w:t>
      </w:r>
      <w:r w:rsidRPr="00772CFF">
        <w:rPr>
          <w:rFonts w:ascii="Times New Roman" w:hAnsi="Times New Roman"/>
          <w:szCs w:val="24"/>
        </w:rPr>
        <w:t>”</w:t>
      </w:r>
    </w:p>
    <w:p w14:paraId="26501C84" w14:textId="68CFD640" w:rsidR="00772CFF" w:rsidRPr="00772CFF" w:rsidRDefault="005D0E9F" w:rsidP="00FB4D64">
      <w:pPr>
        <w:spacing w:line="480" w:lineRule="auto"/>
        <w:jc w:val="both"/>
        <w:rPr>
          <w:rFonts w:ascii="Times New Roman" w:hAnsi="Times New Roman"/>
          <w:szCs w:val="24"/>
        </w:rPr>
      </w:pPr>
      <w:r>
        <w:rPr>
          <w:rFonts w:ascii="Times New Roman" w:hAnsi="Times New Roman"/>
          <w:szCs w:val="24"/>
        </w:rPr>
        <w:t>Following this, t</w:t>
      </w:r>
      <w:r w:rsidR="00772CFF" w:rsidRPr="00772CFF">
        <w:rPr>
          <w:rFonts w:ascii="Times New Roman" w:hAnsi="Times New Roman"/>
          <w:szCs w:val="24"/>
        </w:rPr>
        <w:t>he p</w:t>
      </w:r>
      <w:r w:rsidR="00766763">
        <w:rPr>
          <w:rFonts w:ascii="Times New Roman" w:hAnsi="Times New Roman"/>
          <w:szCs w:val="24"/>
        </w:rPr>
        <w:t>rosecutor's powe</w:t>
      </w:r>
      <w:r w:rsidR="00772CFF" w:rsidRPr="00772CFF">
        <w:rPr>
          <w:rFonts w:ascii="Times New Roman" w:hAnsi="Times New Roman"/>
          <w:szCs w:val="24"/>
        </w:rPr>
        <w:t xml:space="preserve">r to interpret and apply </w:t>
      </w:r>
      <w:r w:rsidR="00772CFF" w:rsidRPr="00844117">
        <w:rPr>
          <w:rFonts w:ascii="Times New Roman" w:hAnsi="Times New Roman"/>
          <w:szCs w:val="24"/>
        </w:rPr>
        <w:t>‘the interests of justice’</w:t>
      </w:r>
      <w:r w:rsidR="00772CFF" w:rsidRPr="00772CFF">
        <w:rPr>
          <w:rFonts w:ascii="Times New Roman" w:hAnsi="Times New Roman"/>
          <w:szCs w:val="24"/>
        </w:rPr>
        <w:t xml:space="preserve"> is subject to review and judicial determination by the Pre-trial Chamber. Th</w:t>
      </w:r>
      <w:r w:rsidR="00CA20BC">
        <w:rPr>
          <w:rFonts w:ascii="Times New Roman" w:hAnsi="Times New Roman"/>
          <w:szCs w:val="24"/>
        </w:rPr>
        <w:t>e assessment</w:t>
      </w:r>
      <w:r w:rsidR="00772CFF" w:rsidRPr="00772CFF">
        <w:rPr>
          <w:rFonts w:ascii="Times New Roman" w:hAnsi="Times New Roman"/>
          <w:szCs w:val="24"/>
        </w:rPr>
        <w:t xml:space="preserve"> grants victims the avenue to provide the PTC with relevant information </w:t>
      </w:r>
      <w:r w:rsidR="00CF383D">
        <w:rPr>
          <w:rFonts w:ascii="Times New Roman" w:hAnsi="Times New Roman"/>
          <w:szCs w:val="24"/>
        </w:rPr>
        <w:t>concerning</w:t>
      </w:r>
      <w:r w:rsidR="00772CFF" w:rsidRPr="00772CFF">
        <w:rPr>
          <w:rFonts w:ascii="Times New Roman" w:hAnsi="Times New Roman"/>
          <w:szCs w:val="24"/>
        </w:rPr>
        <w:t xml:space="preserve"> crimes committed in the situation. The judicial scrutiny by the PTC takes place regardless of if the OTP decides to initiate prosecution or not. It follows that with the relevant information, the Chamber can effectively evaluate the Prosecutor’s decision not to proceed with an investigation.</w:t>
      </w:r>
      <w:r w:rsidR="00053BC3">
        <w:rPr>
          <w:rFonts w:ascii="Times New Roman" w:hAnsi="Times New Roman"/>
          <w:szCs w:val="24"/>
        </w:rPr>
        <w:t xml:space="preserve"> </w:t>
      </w:r>
      <w:r w:rsidR="00772CFF" w:rsidRPr="00772CFF">
        <w:rPr>
          <w:rFonts w:ascii="Times New Roman" w:hAnsi="Times New Roman"/>
          <w:szCs w:val="24"/>
        </w:rPr>
        <w:t xml:space="preserve">It appears that this judicial review is not an appeal </w:t>
      </w:r>
      <w:r w:rsidR="00772CFF" w:rsidRPr="00772CFF">
        <w:rPr>
          <w:rFonts w:ascii="Times New Roman" w:hAnsi="Times New Roman"/>
          <w:szCs w:val="24"/>
        </w:rPr>
        <w:lastRenderedPageBreak/>
        <w:t>against the decision of the Prosecutor, but a scrutiny of the decision-making process and factors involved.</w:t>
      </w:r>
    </w:p>
    <w:p w14:paraId="6A62AC99" w14:textId="09E4B7C1" w:rsidR="00772CFF" w:rsidRDefault="00053BC3" w:rsidP="00FB4D64">
      <w:pPr>
        <w:spacing w:line="480" w:lineRule="auto"/>
        <w:jc w:val="both"/>
        <w:rPr>
          <w:rFonts w:ascii="Times New Roman" w:hAnsi="Times New Roman"/>
          <w:szCs w:val="24"/>
        </w:rPr>
      </w:pPr>
      <w:r>
        <w:rPr>
          <w:rFonts w:ascii="Times New Roman" w:hAnsi="Times New Roman"/>
          <w:szCs w:val="24"/>
        </w:rPr>
        <w:t>Notably,</w:t>
      </w:r>
      <w:r w:rsidR="00FB4D64">
        <w:rPr>
          <w:rFonts w:ascii="Times New Roman" w:hAnsi="Times New Roman"/>
          <w:szCs w:val="24"/>
        </w:rPr>
        <w:t xml:space="preserve"> </w:t>
      </w:r>
      <w:r>
        <w:rPr>
          <w:rFonts w:ascii="Times New Roman" w:hAnsi="Times New Roman"/>
          <w:szCs w:val="24"/>
        </w:rPr>
        <w:t>t</w:t>
      </w:r>
      <w:r w:rsidR="00772CFF" w:rsidRPr="00772CFF">
        <w:rPr>
          <w:rFonts w:ascii="Times New Roman" w:hAnsi="Times New Roman"/>
          <w:szCs w:val="24"/>
        </w:rPr>
        <w:t xml:space="preserve">he Powers of the PTC  to review </w:t>
      </w:r>
      <w:r w:rsidR="00FB4D64">
        <w:rPr>
          <w:rFonts w:ascii="Times New Roman" w:hAnsi="Times New Roman"/>
          <w:szCs w:val="24"/>
        </w:rPr>
        <w:t xml:space="preserve">the </w:t>
      </w:r>
      <w:r w:rsidR="00766763">
        <w:rPr>
          <w:rFonts w:ascii="Times New Roman" w:hAnsi="Times New Roman"/>
          <w:szCs w:val="24"/>
        </w:rPr>
        <w:t>prosecutor's decision not to initiate prosecution or</w:t>
      </w:r>
      <w:r w:rsidR="00772CFF" w:rsidRPr="00772CFF">
        <w:rPr>
          <w:rFonts w:ascii="Times New Roman" w:hAnsi="Times New Roman"/>
          <w:szCs w:val="24"/>
        </w:rPr>
        <w:t xml:space="preserve"> discontinue prosecution is well</w:t>
      </w:r>
      <w:r w:rsidR="00FB4D64">
        <w:rPr>
          <w:rFonts w:ascii="Times New Roman" w:hAnsi="Times New Roman"/>
          <w:szCs w:val="24"/>
        </w:rPr>
        <w:t>-</w:t>
      </w:r>
      <w:r w:rsidR="00772CFF" w:rsidRPr="00772CFF">
        <w:rPr>
          <w:rFonts w:ascii="Times New Roman" w:hAnsi="Times New Roman"/>
          <w:szCs w:val="24"/>
        </w:rPr>
        <w:t>founded in some domestic jurisdictions like the United Kingdo</w:t>
      </w:r>
      <w:r w:rsidR="00766763">
        <w:rPr>
          <w:rFonts w:ascii="Times New Roman" w:hAnsi="Times New Roman"/>
          <w:szCs w:val="24"/>
        </w:rPr>
        <w:t>m</w:t>
      </w:r>
      <w:r w:rsidR="00772CFF" w:rsidRPr="00772CFF">
        <w:rPr>
          <w:rFonts w:ascii="Times New Roman" w:hAnsi="Times New Roman"/>
          <w:szCs w:val="24"/>
        </w:rPr>
        <w:t>.</w:t>
      </w:r>
      <w:r w:rsidR="00772CFF" w:rsidRPr="00772CFF">
        <w:rPr>
          <w:rFonts w:ascii="Times New Roman" w:hAnsi="Times New Roman"/>
          <w:szCs w:val="24"/>
          <w:vertAlign w:val="superscript"/>
        </w:rPr>
        <w:footnoteReference w:id="224"/>
      </w:r>
      <w:r w:rsidR="00772CFF" w:rsidRPr="00772CFF">
        <w:rPr>
          <w:rFonts w:ascii="Times New Roman" w:hAnsi="Times New Roman"/>
          <w:szCs w:val="24"/>
        </w:rPr>
        <w:t xml:space="preserve"> Many a time</w:t>
      </w:r>
      <w:r w:rsidR="00FB4D64">
        <w:rPr>
          <w:rFonts w:ascii="Times New Roman" w:hAnsi="Times New Roman"/>
          <w:szCs w:val="24"/>
        </w:rPr>
        <w:t>,</w:t>
      </w:r>
      <w:r w:rsidR="00772CFF" w:rsidRPr="00772CFF">
        <w:rPr>
          <w:rFonts w:ascii="Times New Roman" w:hAnsi="Times New Roman"/>
          <w:szCs w:val="24"/>
        </w:rPr>
        <w:t xml:space="preserve"> the review may be necessitated if</w:t>
      </w:r>
      <w:r w:rsidR="00CA20BC">
        <w:rPr>
          <w:rFonts w:ascii="Times New Roman" w:hAnsi="Times New Roman"/>
          <w:szCs w:val="24"/>
        </w:rPr>
        <w:t xml:space="preserve"> doubts arise as to the objectivity and interpretation of the Prosecutor’s decisions</w:t>
      </w:r>
      <w:r w:rsidR="00772CFF" w:rsidRPr="00772CFF">
        <w:rPr>
          <w:rFonts w:ascii="Times New Roman" w:hAnsi="Times New Roman"/>
          <w:szCs w:val="24"/>
        </w:rPr>
        <w:t>.</w:t>
      </w:r>
      <w:r w:rsidR="00772CFF" w:rsidRPr="00772CFF">
        <w:rPr>
          <w:rFonts w:ascii="Times New Roman" w:hAnsi="Times New Roman"/>
          <w:szCs w:val="24"/>
          <w:vertAlign w:val="superscript"/>
        </w:rPr>
        <w:footnoteReference w:id="225"/>
      </w:r>
      <w:r w:rsidR="00FB4D64">
        <w:rPr>
          <w:rFonts w:ascii="Times New Roman" w:hAnsi="Times New Roman"/>
          <w:szCs w:val="24"/>
        </w:rPr>
        <w:t xml:space="preserve"> Such review </w:t>
      </w:r>
      <w:r w:rsidR="007C458E">
        <w:rPr>
          <w:rFonts w:ascii="Times New Roman" w:hAnsi="Times New Roman"/>
          <w:szCs w:val="24"/>
        </w:rPr>
        <w:t xml:space="preserve">borders </w:t>
      </w:r>
      <w:r w:rsidR="00772CFF" w:rsidRPr="00772CFF">
        <w:rPr>
          <w:rFonts w:ascii="Times New Roman" w:hAnsi="Times New Roman"/>
          <w:szCs w:val="24"/>
        </w:rPr>
        <w:t>o</w:t>
      </w:r>
      <w:r>
        <w:rPr>
          <w:rFonts w:ascii="Times New Roman" w:hAnsi="Times New Roman"/>
          <w:szCs w:val="24"/>
        </w:rPr>
        <w:t xml:space="preserve">n </w:t>
      </w:r>
      <w:r w:rsidR="00FB4D64">
        <w:rPr>
          <w:rFonts w:ascii="Times New Roman" w:hAnsi="Times New Roman"/>
          <w:szCs w:val="24"/>
        </w:rPr>
        <w:t xml:space="preserve">the legality of the decisions </w:t>
      </w:r>
      <w:r>
        <w:rPr>
          <w:rFonts w:ascii="Times New Roman" w:hAnsi="Times New Roman"/>
          <w:szCs w:val="24"/>
        </w:rPr>
        <w:t xml:space="preserve"> which</w:t>
      </w:r>
      <w:r w:rsidR="00772CFF" w:rsidRPr="00772CFF">
        <w:rPr>
          <w:rFonts w:ascii="Times New Roman" w:hAnsi="Times New Roman"/>
          <w:szCs w:val="24"/>
        </w:rPr>
        <w:t xml:space="preserve"> finds support in excerpts from Lord Diplock’s statement:</w:t>
      </w:r>
    </w:p>
    <w:p w14:paraId="66844FB5" w14:textId="674BF9D8" w:rsidR="006C2D65" w:rsidRPr="004840CC" w:rsidRDefault="006C2D65" w:rsidP="006C2D65">
      <w:pPr>
        <w:pStyle w:val="IntenseQuote1"/>
      </w:pPr>
      <w:r w:rsidRPr="004840CC">
        <w:rPr>
          <w:rStyle w:val="QuoteChar"/>
          <w:rFonts w:ascii="Times New Roman" w:hAnsi="Times New Roman"/>
        </w:rPr>
        <w:t xml:space="preserve">“By  “illegality” as a ground for judicial review, I mean that the decision-maker must understand correctly the law that regulates his decision-making power and must give effect to it. Whether he has or not is par excellence a justiciable question to be decided, in the event of </w:t>
      </w:r>
      <w:r w:rsidR="00CF383D" w:rsidRPr="004840CC">
        <w:rPr>
          <w:rStyle w:val="QuoteChar"/>
          <w:rFonts w:ascii="Times New Roman" w:hAnsi="Times New Roman"/>
        </w:rPr>
        <w:t xml:space="preserve">a </w:t>
      </w:r>
      <w:r w:rsidRPr="004840CC">
        <w:rPr>
          <w:rStyle w:val="QuoteChar"/>
          <w:rFonts w:ascii="Times New Roman" w:hAnsi="Times New Roman"/>
        </w:rPr>
        <w:t>dispute, by those persons,</w:t>
      </w:r>
      <w:r w:rsidR="00CF383D" w:rsidRPr="004840CC">
        <w:rPr>
          <w:rStyle w:val="QuoteChar"/>
          <w:rFonts w:ascii="Times New Roman" w:hAnsi="Times New Roman"/>
        </w:rPr>
        <w:t xml:space="preserve"> </w:t>
      </w:r>
      <w:r w:rsidRPr="004840CC">
        <w:rPr>
          <w:rStyle w:val="QuoteChar"/>
          <w:rFonts w:ascii="Times New Roman" w:hAnsi="Times New Roman"/>
        </w:rPr>
        <w:t>the judges by whom the judicial power of the states is exercisable</w:t>
      </w:r>
      <w:r w:rsidRPr="004840CC">
        <w:rPr>
          <w:rStyle w:val="QuoteChar"/>
          <w:rFonts w:ascii="Times New Roman" w:eastAsiaTheme="minorHAnsi" w:hAnsi="Times New Roman"/>
        </w:rPr>
        <w:t>”.</w:t>
      </w:r>
      <w:r w:rsidRPr="004840CC">
        <w:rPr>
          <w:rStyle w:val="FootnoteReference"/>
          <w:rFonts w:eastAsiaTheme="minorHAnsi"/>
          <w:i w:val="0"/>
          <w:iCs w:val="0"/>
          <w:color w:val="404040" w:themeColor="text1" w:themeTint="BF"/>
        </w:rPr>
        <w:footnoteReference w:id="226"/>
      </w:r>
    </w:p>
    <w:p w14:paraId="08240EBE" w14:textId="2DC3CE29" w:rsidR="00772CFF" w:rsidRDefault="00053BC3" w:rsidP="00FB4D64">
      <w:pPr>
        <w:spacing w:line="480" w:lineRule="auto"/>
        <w:jc w:val="both"/>
        <w:rPr>
          <w:rFonts w:ascii="Times New Roman" w:hAnsi="Times New Roman"/>
          <w:szCs w:val="24"/>
        </w:rPr>
      </w:pPr>
      <w:r>
        <w:rPr>
          <w:rFonts w:ascii="Times New Roman" w:hAnsi="Times New Roman"/>
          <w:szCs w:val="24"/>
        </w:rPr>
        <w:t>For this reason</w:t>
      </w:r>
      <w:r w:rsidR="00772CFF" w:rsidRPr="00772CFF">
        <w:rPr>
          <w:rFonts w:ascii="Times New Roman" w:hAnsi="Times New Roman"/>
          <w:szCs w:val="24"/>
        </w:rPr>
        <w:t xml:space="preserve">, one may infer that the power of the Pre-Trial Chamber to control the decision-making power of the Prosecutor seems to reconcile the powers of the prosecutor with the principle of legality. An idea which is not strange to some national jurisdictions. Mireille Delmas-Marty holds the view that Article 53 is </w:t>
      </w:r>
      <w:r w:rsidR="0094125B">
        <w:rPr>
          <w:rFonts w:ascii="Times New Roman" w:hAnsi="Times New Roman"/>
          <w:szCs w:val="24"/>
        </w:rPr>
        <w:t>‘</w:t>
      </w:r>
      <w:r w:rsidR="00772CFF" w:rsidRPr="00772CFF">
        <w:rPr>
          <w:rFonts w:ascii="Times New Roman" w:hAnsi="Times New Roman"/>
          <w:szCs w:val="24"/>
        </w:rPr>
        <w:t>a compromise between strict legality and prosecutorial discretion</w:t>
      </w:r>
      <w:r w:rsidR="0094125B">
        <w:rPr>
          <w:rFonts w:ascii="Times New Roman" w:hAnsi="Times New Roman"/>
          <w:szCs w:val="24"/>
        </w:rPr>
        <w:t>’</w:t>
      </w:r>
      <w:r w:rsidR="00772CFF" w:rsidRPr="00772CFF">
        <w:rPr>
          <w:rFonts w:ascii="Times New Roman" w:hAnsi="Times New Roman"/>
          <w:szCs w:val="24"/>
        </w:rPr>
        <w:t>.</w:t>
      </w:r>
      <w:r w:rsidR="00772CFF" w:rsidRPr="00772CFF">
        <w:rPr>
          <w:rFonts w:ascii="Times New Roman" w:hAnsi="Times New Roman"/>
          <w:szCs w:val="24"/>
          <w:vertAlign w:val="superscript"/>
        </w:rPr>
        <w:footnoteReference w:id="227"/>
      </w:r>
      <w:r w:rsidR="00772CFF" w:rsidRPr="00772CFF">
        <w:rPr>
          <w:rFonts w:ascii="Times New Roman" w:hAnsi="Times New Roman"/>
          <w:szCs w:val="24"/>
        </w:rPr>
        <w:t>Arguably,</w:t>
      </w:r>
      <w:r>
        <w:rPr>
          <w:rFonts w:ascii="Times New Roman" w:hAnsi="Times New Roman"/>
          <w:szCs w:val="24"/>
        </w:rPr>
        <w:t xml:space="preserve"> </w:t>
      </w:r>
      <w:r w:rsidR="00772CFF" w:rsidRPr="00772CFF">
        <w:rPr>
          <w:rFonts w:ascii="Times New Roman" w:hAnsi="Times New Roman"/>
          <w:szCs w:val="24"/>
        </w:rPr>
        <w:t xml:space="preserve">where the </w:t>
      </w:r>
      <w:r w:rsidR="00766763">
        <w:rPr>
          <w:rFonts w:ascii="Times New Roman" w:hAnsi="Times New Roman"/>
          <w:szCs w:val="24"/>
        </w:rPr>
        <w:t xml:space="preserve">prosecutor's </w:t>
      </w:r>
      <w:r w:rsidR="00766763">
        <w:rPr>
          <w:rFonts w:ascii="Times New Roman" w:hAnsi="Times New Roman"/>
          <w:szCs w:val="24"/>
        </w:rPr>
        <w:lastRenderedPageBreak/>
        <w:t>decision not to proceed with an investigation is based on the presence of substantial reasons to believe that investigation would not serve the interests of justice, regardless of the gravity of crime and interest of victim</w:t>
      </w:r>
      <w:r w:rsidR="00772CFF" w:rsidRPr="00772CFF">
        <w:rPr>
          <w:rFonts w:ascii="Times New Roman" w:hAnsi="Times New Roman"/>
          <w:szCs w:val="24"/>
        </w:rPr>
        <w:t>s enunciated in Article 53.</w:t>
      </w:r>
      <w:r w:rsidR="00E00649">
        <w:rPr>
          <w:rFonts w:ascii="Times New Roman" w:hAnsi="Times New Roman"/>
          <w:szCs w:val="24"/>
        </w:rPr>
        <w:t xml:space="preserve"> </w:t>
      </w:r>
      <w:r w:rsidR="00772CFF" w:rsidRPr="00772CFF">
        <w:rPr>
          <w:rFonts w:ascii="Times New Roman" w:hAnsi="Times New Roman"/>
          <w:szCs w:val="24"/>
        </w:rPr>
        <w:t xml:space="preserve">The PTC power comes into play with the caveat that Prosecutorial powers </w:t>
      </w:r>
      <w:r w:rsidR="00E00649">
        <w:rPr>
          <w:rFonts w:ascii="Times New Roman" w:hAnsi="Times New Roman"/>
          <w:szCs w:val="24"/>
        </w:rPr>
        <w:t>are</w:t>
      </w:r>
      <w:r w:rsidR="00772CFF" w:rsidRPr="00772CFF">
        <w:rPr>
          <w:rFonts w:ascii="Times New Roman" w:hAnsi="Times New Roman"/>
          <w:szCs w:val="24"/>
        </w:rPr>
        <w:t xml:space="preserve"> not absolute.</w:t>
      </w:r>
    </w:p>
    <w:p w14:paraId="6A564E09" w14:textId="335AE73E" w:rsidR="005D0E9F" w:rsidRPr="00772CFF" w:rsidRDefault="005D0E9F" w:rsidP="00FB4D64">
      <w:pPr>
        <w:spacing w:line="480" w:lineRule="auto"/>
        <w:jc w:val="both"/>
        <w:rPr>
          <w:rFonts w:ascii="Times New Roman" w:hAnsi="Times New Roman"/>
          <w:szCs w:val="24"/>
        </w:rPr>
      </w:pPr>
      <w:r>
        <w:rPr>
          <w:rFonts w:ascii="Times New Roman" w:hAnsi="Times New Roman"/>
          <w:szCs w:val="24"/>
        </w:rPr>
        <w:t>In addressing which category of victims should take part at this stage, t</w:t>
      </w:r>
      <w:r w:rsidRPr="00772CFF">
        <w:rPr>
          <w:rFonts w:ascii="Times New Roman" w:hAnsi="Times New Roman"/>
          <w:szCs w:val="24"/>
        </w:rPr>
        <w:t>he PTC made a distinction between victims of a case and victims of a situation.</w:t>
      </w:r>
      <w:r w:rsidRPr="00772CFF">
        <w:rPr>
          <w:rFonts w:ascii="Times New Roman" w:hAnsi="Times New Roman"/>
          <w:szCs w:val="24"/>
          <w:vertAlign w:val="superscript"/>
        </w:rPr>
        <w:footnoteReference w:id="228"/>
      </w:r>
      <w:r>
        <w:rPr>
          <w:rFonts w:ascii="Times New Roman" w:hAnsi="Times New Roman"/>
          <w:szCs w:val="24"/>
        </w:rPr>
        <w:t>It found</w:t>
      </w:r>
      <w:r w:rsidRPr="00772CFF">
        <w:rPr>
          <w:rFonts w:ascii="Times New Roman" w:hAnsi="Times New Roman"/>
          <w:szCs w:val="24"/>
        </w:rPr>
        <w:t xml:space="preserve"> that at the situation phase, the victims are not required to fulfil the causal link between the crime and the harm</w:t>
      </w:r>
      <w:r w:rsidR="00FB4D64">
        <w:rPr>
          <w:rFonts w:ascii="Times New Roman" w:hAnsi="Times New Roman"/>
          <w:szCs w:val="24"/>
        </w:rPr>
        <w:t>;</w:t>
      </w:r>
      <w:r w:rsidR="00053BC3">
        <w:rPr>
          <w:rFonts w:ascii="Times New Roman" w:hAnsi="Times New Roman"/>
          <w:szCs w:val="24"/>
        </w:rPr>
        <w:t xml:space="preserve"> neither</w:t>
      </w:r>
      <w:r w:rsidRPr="00772CFF">
        <w:rPr>
          <w:rFonts w:ascii="Times New Roman" w:hAnsi="Times New Roman"/>
          <w:szCs w:val="24"/>
        </w:rPr>
        <w:t xml:space="preserve"> do they need to know the identity of the perpetrator.</w:t>
      </w:r>
      <w:r w:rsidRPr="00772CFF">
        <w:rPr>
          <w:rFonts w:ascii="Times New Roman" w:hAnsi="Times New Roman"/>
          <w:szCs w:val="24"/>
          <w:vertAlign w:val="superscript"/>
        </w:rPr>
        <w:footnoteReference w:id="229"/>
      </w:r>
      <w:r>
        <w:rPr>
          <w:rFonts w:ascii="Times New Roman" w:hAnsi="Times New Roman"/>
          <w:szCs w:val="24"/>
        </w:rPr>
        <w:t xml:space="preserve"> </w:t>
      </w:r>
      <w:r w:rsidR="00ED6824">
        <w:rPr>
          <w:rFonts w:ascii="Times New Roman" w:hAnsi="Times New Roman"/>
          <w:szCs w:val="24"/>
        </w:rPr>
        <w:t>At this stage, the threshold</w:t>
      </w:r>
      <w:r>
        <w:rPr>
          <w:rFonts w:ascii="Times New Roman" w:hAnsi="Times New Roman"/>
          <w:szCs w:val="24"/>
        </w:rPr>
        <w:t xml:space="preserve"> is not high because most times, the </w:t>
      </w:r>
      <w:r w:rsidR="00766763">
        <w:rPr>
          <w:rFonts w:ascii="Times New Roman" w:hAnsi="Times New Roman"/>
          <w:szCs w:val="24"/>
        </w:rPr>
        <w:t>suspect's identity</w:t>
      </w:r>
      <w:r>
        <w:rPr>
          <w:rFonts w:ascii="Times New Roman" w:hAnsi="Times New Roman"/>
          <w:szCs w:val="24"/>
        </w:rPr>
        <w:t xml:space="preserve"> or alleged perpetrator remains sketchy.</w:t>
      </w:r>
    </w:p>
    <w:p w14:paraId="0BFCA642" w14:textId="0A80671F" w:rsidR="00772CFF" w:rsidRDefault="00053BC3" w:rsidP="00FB4D64">
      <w:pPr>
        <w:spacing w:line="480" w:lineRule="auto"/>
        <w:jc w:val="both"/>
        <w:rPr>
          <w:rFonts w:ascii="Times New Roman" w:hAnsi="Times New Roman"/>
          <w:szCs w:val="24"/>
        </w:rPr>
      </w:pPr>
      <w:r>
        <w:rPr>
          <w:rFonts w:ascii="Times New Roman" w:hAnsi="Times New Roman"/>
          <w:szCs w:val="24"/>
        </w:rPr>
        <w:t>A</w:t>
      </w:r>
      <w:r w:rsidR="00CF383D">
        <w:rPr>
          <w:rFonts w:ascii="Times New Roman" w:hAnsi="Times New Roman"/>
          <w:szCs w:val="24"/>
        </w:rPr>
        <w:t xml:space="preserve"> scholar exhibits another line of thought</w:t>
      </w:r>
      <w:r>
        <w:rPr>
          <w:rFonts w:ascii="Times New Roman" w:hAnsi="Times New Roman"/>
          <w:szCs w:val="24"/>
        </w:rPr>
        <w:t>, i</w:t>
      </w:r>
      <w:r w:rsidR="00772CFF" w:rsidRPr="00772CFF">
        <w:rPr>
          <w:rFonts w:ascii="Times New Roman" w:hAnsi="Times New Roman"/>
          <w:szCs w:val="24"/>
        </w:rPr>
        <w:t>n 2011, Schabas</w:t>
      </w:r>
      <w:r w:rsidR="00CF383D">
        <w:rPr>
          <w:rFonts w:ascii="Times New Roman" w:hAnsi="Times New Roman"/>
          <w:szCs w:val="24"/>
        </w:rPr>
        <w:t>,</w:t>
      </w:r>
      <w:r w:rsidR="00772CFF" w:rsidRPr="00772CFF">
        <w:rPr>
          <w:rFonts w:ascii="Times New Roman" w:hAnsi="Times New Roman"/>
          <w:szCs w:val="24"/>
        </w:rPr>
        <w:t xml:space="preserve"> in his book likens the position of the Prosecutor to that of an investigating magistrate or </w:t>
      </w:r>
      <w:proofErr w:type="spellStart"/>
      <w:r w:rsidR="00772CFF" w:rsidRPr="00772CFF">
        <w:rPr>
          <w:rFonts w:ascii="Times New Roman" w:hAnsi="Times New Roman"/>
          <w:i/>
          <w:szCs w:val="24"/>
        </w:rPr>
        <w:t>juge</w:t>
      </w:r>
      <w:proofErr w:type="spellEnd"/>
      <w:r w:rsidR="00772CFF" w:rsidRPr="00772CFF">
        <w:rPr>
          <w:rFonts w:ascii="Times New Roman" w:hAnsi="Times New Roman"/>
          <w:i/>
          <w:szCs w:val="24"/>
        </w:rPr>
        <w:t xml:space="preserve"> </w:t>
      </w:r>
      <w:proofErr w:type="spellStart"/>
      <w:r w:rsidR="00772CFF" w:rsidRPr="00772CFF">
        <w:rPr>
          <w:rFonts w:ascii="Times New Roman" w:hAnsi="Times New Roman"/>
          <w:i/>
          <w:szCs w:val="24"/>
        </w:rPr>
        <w:t>d’instruction</w:t>
      </w:r>
      <w:proofErr w:type="spellEnd"/>
      <w:r w:rsidR="00772CFF" w:rsidRPr="00772CFF">
        <w:rPr>
          <w:rFonts w:ascii="Times New Roman" w:hAnsi="Times New Roman"/>
          <w:szCs w:val="24"/>
        </w:rPr>
        <w:t xml:space="preserve"> in civil law countries.</w:t>
      </w:r>
      <w:r w:rsidR="00772CFF" w:rsidRPr="00772CFF">
        <w:rPr>
          <w:rFonts w:ascii="Times New Roman" w:hAnsi="Times New Roman"/>
          <w:szCs w:val="24"/>
          <w:vertAlign w:val="superscript"/>
        </w:rPr>
        <w:footnoteReference w:id="230"/>
      </w:r>
      <w:r w:rsidR="00772CFF" w:rsidRPr="00772CFF">
        <w:rPr>
          <w:rFonts w:ascii="Times New Roman" w:hAnsi="Times New Roman"/>
          <w:szCs w:val="24"/>
        </w:rPr>
        <w:t xml:space="preserve">He posits that this role is distinct from what is applicable in a predominantly adversarial setting with a </w:t>
      </w:r>
      <w:r w:rsidR="00766763">
        <w:rPr>
          <w:rFonts w:ascii="Times New Roman" w:hAnsi="Times New Roman"/>
          <w:szCs w:val="24"/>
        </w:rPr>
        <w:t>common law's prosecuting attorney</w:t>
      </w:r>
      <w:r w:rsidR="00772CFF" w:rsidRPr="00772CFF">
        <w:rPr>
          <w:rFonts w:ascii="Times New Roman" w:hAnsi="Times New Roman"/>
          <w:szCs w:val="24"/>
        </w:rPr>
        <w:t>.</w:t>
      </w:r>
      <w:r w:rsidR="00772CFF" w:rsidRPr="00772CFF">
        <w:rPr>
          <w:rFonts w:ascii="Times New Roman" w:hAnsi="Times New Roman"/>
          <w:szCs w:val="24"/>
          <w:vertAlign w:val="superscript"/>
        </w:rPr>
        <w:footnoteReference w:id="231"/>
      </w:r>
      <w:r w:rsidR="00772CFF" w:rsidRPr="00772CFF">
        <w:rPr>
          <w:rFonts w:ascii="Times New Roman" w:hAnsi="Times New Roman"/>
          <w:szCs w:val="24"/>
        </w:rPr>
        <w:t xml:space="preserve">Schabas cautions that the </w:t>
      </w:r>
      <w:r w:rsidR="00766763">
        <w:rPr>
          <w:rFonts w:ascii="Times New Roman" w:hAnsi="Times New Roman"/>
          <w:szCs w:val="24"/>
        </w:rPr>
        <w:t>prosecutor's role</w:t>
      </w:r>
      <w:r w:rsidR="00772CFF" w:rsidRPr="00772CFF">
        <w:rPr>
          <w:rFonts w:ascii="Times New Roman" w:hAnsi="Times New Roman"/>
          <w:szCs w:val="24"/>
        </w:rPr>
        <w:t xml:space="preserve"> at this stage should be neutral and impartial, without any political considerations.</w:t>
      </w:r>
      <w:r w:rsidR="00772CFF" w:rsidRPr="00772CFF">
        <w:rPr>
          <w:rFonts w:ascii="Times New Roman" w:hAnsi="Times New Roman"/>
          <w:szCs w:val="24"/>
          <w:vertAlign w:val="superscript"/>
        </w:rPr>
        <w:footnoteReference w:id="232"/>
      </w:r>
      <w:r w:rsidR="00772CFF" w:rsidRPr="00772CFF">
        <w:rPr>
          <w:rFonts w:ascii="Times New Roman" w:hAnsi="Times New Roman"/>
          <w:szCs w:val="24"/>
        </w:rPr>
        <w:t xml:space="preserve"> He acknowledged that politics is involved in the selection of situations and cases. Schabas believes that Prosecutorial discretion is unfettered</w:t>
      </w:r>
      <w:r w:rsidR="000A17E6">
        <w:rPr>
          <w:rFonts w:ascii="Times New Roman" w:hAnsi="Times New Roman"/>
          <w:szCs w:val="24"/>
        </w:rPr>
        <w:t xml:space="preserve">, </w:t>
      </w:r>
      <w:r w:rsidR="000A17E6">
        <w:rPr>
          <w:rFonts w:ascii="Times New Roman" w:hAnsi="Times New Roman"/>
          <w:szCs w:val="24"/>
        </w:rPr>
        <w:lastRenderedPageBreak/>
        <w:t xml:space="preserve">given that the PTC reviews the Prosecutor ‘s </w:t>
      </w:r>
      <w:r w:rsidR="007144E2">
        <w:rPr>
          <w:rFonts w:ascii="Times New Roman" w:hAnsi="Times New Roman"/>
          <w:szCs w:val="24"/>
        </w:rPr>
        <w:t xml:space="preserve">decision. </w:t>
      </w:r>
      <w:r w:rsidR="0009145D">
        <w:rPr>
          <w:rFonts w:ascii="Times New Roman" w:hAnsi="Times New Roman"/>
          <w:szCs w:val="24"/>
        </w:rPr>
        <w:t>In that case</w:t>
      </w:r>
      <w:r w:rsidR="00766763">
        <w:rPr>
          <w:rFonts w:ascii="Times New Roman" w:hAnsi="Times New Roman"/>
          <w:szCs w:val="24"/>
        </w:rPr>
        <w:t>, the most it can do is ‘request the Prosecutor to reconsider that decision’</w:t>
      </w:r>
      <w:r w:rsidR="00772CFF" w:rsidRPr="00772CFF">
        <w:rPr>
          <w:rFonts w:ascii="Times New Roman" w:hAnsi="Times New Roman"/>
          <w:szCs w:val="24"/>
        </w:rPr>
        <w:t xml:space="preserve"> the PTC’s review does not go beyond requesting the prosecutor to reconsider such </w:t>
      </w:r>
      <w:r w:rsidR="001757C4">
        <w:rPr>
          <w:rFonts w:ascii="Times New Roman" w:hAnsi="Times New Roman"/>
          <w:szCs w:val="24"/>
        </w:rPr>
        <w:t xml:space="preserve">a </w:t>
      </w:r>
      <w:r w:rsidR="00772CFF" w:rsidRPr="00772CFF">
        <w:rPr>
          <w:rFonts w:ascii="Times New Roman" w:hAnsi="Times New Roman"/>
          <w:szCs w:val="24"/>
        </w:rPr>
        <w:t>decision.</w:t>
      </w:r>
      <w:r>
        <w:rPr>
          <w:rFonts w:ascii="Times New Roman" w:hAnsi="Times New Roman"/>
          <w:szCs w:val="24"/>
        </w:rPr>
        <w:t xml:space="preserve"> </w:t>
      </w:r>
      <w:r w:rsidR="00772CFF" w:rsidRPr="00772CFF">
        <w:rPr>
          <w:rFonts w:ascii="Times New Roman" w:hAnsi="Times New Roman"/>
          <w:szCs w:val="24"/>
        </w:rPr>
        <w:t>Arguably, the PTC’s check</w:t>
      </w:r>
      <w:r w:rsidR="00FB4D64">
        <w:rPr>
          <w:rFonts w:ascii="Times New Roman" w:hAnsi="Times New Roman"/>
          <w:szCs w:val="24"/>
        </w:rPr>
        <w:t>s</w:t>
      </w:r>
      <w:r w:rsidR="00772CFF" w:rsidRPr="00772CFF">
        <w:rPr>
          <w:rFonts w:ascii="Times New Roman" w:hAnsi="Times New Roman"/>
          <w:szCs w:val="24"/>
        </w:rPr>
        <w:t xml:space="preserve"> and balance is not sufficient. By implication, it can be inferred that the ICC Prosecutor is not fully accountable to the PTC.</w:t>
      </w:r>
      <w:r w:rsidR="0096797E">
        <w:rPr>
          <w:rFonts w:ascii="Times New Roman" w:hAnsi="Times New Roman"/>
          <w:szCs w:val="24"/>
        </w:rPr>
        <w:t xml:space="preserve"> He could apply the reasonable basis test to discontinue an investigation.</w:t>
      </w:r>
      <w:r>
        <w:rPr>
          <w:rFonts w:ascii="Times New Roman" w:hAnsi="Times New Roman"/>
          <w:szCs w:val="24"/>
        </w:rPr>
        <w:t xml:space="preserve"> </w:t>
      </w:r>
      <w:r w:rsidR="00772CFF" w:rsidRPr="00772CFF">
        <w:rPr>
          <w:rFonts w:ascii="Times New Roman" w:hAnsi="Times New Roman"/>
          <w:szCs w:val="24"/>
        </w:rPr>
        <w:t>He is empowered with the discretion to select cases from situations based on his judgment. Consequently, from the Prosecutor’s selection emerges the classification of victims that could potentially be qualified to access justice with the opportunity to make their interests known to the court.</w:t>
      </w:r>
    </w:p>
    <w:p w14:paraId="75CD2F89" w14:textId="6410A123" w:rsidR="002A62C8" w:rsidRPr="00772CFF" w:rsidRDefault="002A62C8" w:rsidP="002A62C8">
      <w:pPr>
        <w:spacing w:line="480" w:lineRule="auto"/>
        <w:jc w:val="both"/>
        <w:rPr>
          <w:rFonts w:ascii="Times New Roman" w:hAnsi="Times New Roman"/>
          <w:szCs w:val="24"/>
        </w:rPr>
      </w:pPr>
      <w:r w:rsidRPr="00772CFF">
        <w:rPr>
          <w:rFonts w:ascii="Times New Roman" w:hAnsi="Times New Roman"/>
          <w:szCs w:val="24"/>
        </w:rPr>
        <w:t>As discussed earlier, the Prosecutor is selective when considering which serious crime to investigate and prosecute. Most times, he makes decision</w:t>
      </w:r>
      <w:r w:rsidR="00766763">
        <w:rPr>
          <w:rFonts w:ascii="Times New Roman" w:hAnsi="Times New Roman"/>
          <w:szCs w:val="24"/>
        </w:rPr>
        <w:t>s based on the extent of gravity of the crime, a large number of victims, and</w:t>
      </w:r>
      <w:r w:rsidRPr="00772CFF">
        <w:rPr>
          <w:rFonts w:ascii="Times New Roman" w:hAnsi="Times New Roman"/>
          <w:szCs w:val="24"/>
        </w:rPr>
        <w:t xml:space="preserve"> the most responsible perpetrator. A possible implication of this is that in choosing the gravest crimes, </w:t>
      </w:r>
      <w:r>
        <w:rPr>
          <w:rFonts w:ascii="Times New Roman" w:hAnsi="Times New Roman"/>
          <w:szCs w:val="24"/>
        </w:rPr>
        <w:t>the Prosecutor may dismis</w:t>
      </w:r>
      <w:r w:rsidRPr="00772CFF">
        <w:rPr>
          <w:rFonts w:ascii="Times New Roman" w:hAnsi="Times New Roman"/>
          <w:szCs w:val="24"/>
        </w:rPr>
        <w:t>s some gross violations of human rights or rules of international humanitarian law.</w:t>
      </w:r>
      <w:r>
        <w:rPr>
          <w:rFonts w:ascii="Times New Roman" w:hAnsi="Times New Roman"/>
          <w:szCs w:val="24"/>
        </w:rPr>
        <w:t xml:space="preserve"> </w:t>
      </w:r>
      <w:r w:rsidRPr="00772CFF">
        <w:rPr>
          <w:rFonts w:ascii="Times New Roman" w:hAnsi="Times New Roman"/>
          <w:szCs w:val="24"/>
        </w:rPr>
        <w:t>It is believed that when selecting which serious crimes to investigate or prosecute, the Prosecutor would have to make comparisons between/amongst t</w:t>
      </w:r>
      <w:r>
        <w:rPr>
          <w:rFonts w:ascii="Times New Roman" w:hAnsi="Times New Roman"/>
          <w:szCs w:val="24"/>
        </w:rPr>
        <w:t>he</w:t>
      </w:r>
      <w:r w:rsidRPr="00772CFF">
        <w:rPr>
          <w:rFonts w:ascii="Times New Roman" w:hAnsi="Times New Roman"/>
          <w:szCs w:val="24"/>
        </w:rPr>
        <w:t>s</w:t>
      </w:r>
      <w:r>
        <w:rPr>
          <w:rFonts w:ascii="Times New Roman" w:hAnsi="Times New Roman"/>
          <w:szCs w:val="24"/>
        </w:rPr>
        <w:t>e</w:t>
      </w:r>
      <w:r w:rsidRPr="00772CFF">
        <w:rPr>
          <w:rFonts w:ascii="Times New Roman" w:hAnsi="Times New Roman"/>
          <w:szCs w:val="24"/>
        </w:rPr>
        <w:t xml:space="preserve"> serious allegations.</w:t>
      </w:r>
      <w:r>
        <w:rPr>
          <w:rFonts w:ascii="Times New Roman" w:hAnsi="Times New Roman"/>
          <w:szCs w:val="24"/>
        </w:rPr>
        <w:t xml:space="preserve"> </w:t>
      </w:r>
      <w:r w:rsidRPr="00772CFF">
        <w:rPr>
          <w:rFonts w:ascii="Times New Roman" w:hAnsi="Times New Roman"/>
          <w:szCs w:val="24"/>
        </w:rPr>
        <w:t>This comparison is not entirely devoid of personal convictions.</w:t>
      </w:r>
      <w:r>
        <w:rPr>
          <w:rFonts w:ascii="Times New Roman" w:hAnsi="Times New Roman"/>
          <w:szCs w:val="24"/>
        </w:rPr>
        <w:t xml:space="preserve"> A decision mostly</w:t>
      </w:r>
      <w:r w:rsidRPr="00772CFF">
        <w:rPr>
          <w:rFonts w:ascii="Times New Roman" w:hAnsi="Times New Roman"/>
          <w:szCs w:val="24"/>
        </w:rPr>
        <w:t xml:space="preserve"> based on the Prosecutor’s perception of morals or justice-which could entirely </w:t>
      </w:r>
      <w:r>
        <w:rPr>
          <w:rFonts w:ascii="Times New Roman" w:hAnsi="Times New Roman"/>
          <w:szCs w:val="24"/>
        </w:rPr>
        <w:t xml:space="preserve">be </w:t>
      </w:r>
      <w:r w:rsidRPr="00772CFF">
        <w:rPr>
          <w:rFonts w:ascii="Times New Roman" w:hAnsi="Times New Roman"/>
          <w:szCs w:val="24"/>
        </w:rPr>
        <w:t>devoid of objectivity.</w:t>
      </w:r>
    </w:p>
    <w:p w14:paraId="29725071" w14:textId="3FFF0D38" w:rsidR="0096797E" w:rsidRDefault="0096797E" w:rsidP="00FB4D64">
      <w:pPr>
        <w:spacing w:line="480" w:lineRule="auto"/>
        <w:jc w:val="both"/>
        <w:rPr>
          <w:rFonts w:ascii="Times New Roman" w:hAnsi="Times New Roman"/>
          <w:szCs w:val="24"/>
        </w:rPr>
      </w:pPr>
      <w:r>
        <w:rPr>
          <w:rFonts w:ascii="Times New Roman" w:hAnsi="Times New Roman"/>
          <w:szCs w:val="24"/>
        </w:rPr>
        <w:lastRenderedPageBreak/>
        <w:t xml:space="preserve"> </w:t>
      </w:r>
      <w:r w:rsidR="002A62C8">
        <w:rPr>
          <w:rFonts w:ascii="Times New Roman" w:hAnsi="Times New Roman"/>
          <w:szCs w:val="24"/>
        </w:rPr>
        <w:t>Th</w:t>
      </w:r>
      <w:r>
        <w:rPr>
          <w:rFonts w:ascii="Times New Roman" w:hAnsi="Times New Roman"/>
          <w:szCs w:val="24"/>
        </w:rPr>
        <w:t xml:space="preserve">e prosecutor is </w:t>
      </w:r>
      <w:r w:rsidR="00477101">
        <w:rPr>
          <w:rFonts w:ascii="Times New Roman" w:hAnsi="Times New Roman"/>
          <w:szCs w:val="24"/>
        </w:rPr>
        <w:t>obligated</w:t>
      </w:r>
      <w:r>
        <w:rPr>
          <w:rFonts w:ascii="Times New Roman" w:hAnsi="Times New Roman"/>
          <w:szCs w:val="24"/>
        </w:rPr>
        <w:t xml:space="preserve"> to consider ‘interests of victims’ amongst other criteria for </w:t>
      </w:r>
      <w:r w:rsidR="00766763">
        <w:rPr>
          <w:rFonts w:ascii="Times New Roman" w:hAnsi="Times New Roman"/>
          <w:szCs w:val="24"/>
        </w:rPr>
        <w:t>an investigation's commencement</w:t>
      </w:r>
      <w:r>
        <w:rPr>
          <w:rFonts w:ascii="Times New Roman" w:hAnsi="Times New Roman"/>
          <w:szCs w:val="24"/>
        </w:rPr>
        <w:t>.</w:t>
      </w:r>
      <w:r>
        <w:rPr>
          <w:rStyle w:val="FootnoteReference"/>
          <w:rFonts w:ascii="Times New Roman" w:hAnsi="Times New Roman"/>
          <w:szCs w:val="24"/>
        </w:rPr>
        <w:footnoteReference w:id="233"/>
      </w:r>
      <w:r w:rsidR="004F64DB">
        <w:rPr>
          <w:rFonts w:ascii="Times New Roman" w:hAnsi="Times New Roman"/>
          <w:szCs w:val="24"/>
        </w:rPr>
        <w:t>The addition of victims</w:t>
      </w:r>
      <w:r w:rsidR="00766763">
        <w:rPr>
          <w:rFonts w:ascii="Times New Roman" w:hAnsi="Times New Roman"/>
          <w:szCs w:val="24"/>
        </w:rPr>
        <w:t>' interests to the provision signals the Rome Statute's intention</w:t>
      </w:r>
      <w:r w:rsidR="004F64DB">
        <w:rPr>
          <w:rFonts w:ascii="Times New Roman" w:hAnsi="Times New Roman"/>
          <w:szCs w:val="24"/>
        </w:rPr>
        <w:t xml:space="preserve"> to advocate victims’ visibility and voice at the pre-charge and investigation phase. The inclusion may stress a fair and responsive approach to exercising</w:t>
      </w:r>
      <w:r w:rsidR="00DE444E">
        <w:rPr>
          <w:rFonts w:ascii="Times New Roman" w:hAnsi="Times New Roman"/>
          <w:szCs w:val="24"/>
        </w:rPr>
        <w:t xml:space="preserve"> prosecutorial</w:t>
      </w:r>
      <w:r w:rsidR="004F64DB">
        <w:rPr>
          <w:rFonts w:ascii="Times New Roman" w:hAnsi="Times New Roman"/>
          <w:szCs w:val="24"/>
        </w:rPr>
        <w:t xml:space="preserve"> discretion. Interestingly, Article 15(3) sanctions victims</w:t>
      </w:r>
      <w:r w:rsidR="00766763">
        <w:rPr>
          <w:rFonts w:ascii="Times New Roman" w:hAnsi="Times New Roman"/>
          <w:szCs w:val="24"/>
        </w:rPr>
        <w:t>' participation because some</w:t>
      </w:r>
      <w:r w:rsidR="004F64DB">
        <w:rPr>
          <w:rFonts w:ascii="Times New Roman" w:hAnsi="Times New Roman"/>
          <w:szCs w:val="24"/>
        </w:rPr>
        <w:t xml:space="preserve"> are identifiable as stakeholders at this juncture. Hence, it is fair to consult them for effective investigations</w:t>
      </w:r>
      <w:r w:rsidR="00DE444E">
        <w:rPr>
          <w:rFonts w:ascii="Times New Roman" w:hAnsi="Times New Roman"/>
          <w:szCs w:val="24"/>
        </w:rPr>
        <w:t xml:space="preserve"> amidst another component like the </w:t>
      </w:r>
      <w:r w:rsidR="00766763">
        <w:rPr>
          <w:rFonts w:ascii="Times New Roman" w:hAnsi="Times New Roman"/>
          <w:szCs w:val="24"/>
        </w:rPr>
        <w:t>crime's gravity</w:t>
      </w:r>
      <w:r w:rsidR="00DE444E">
        <w:rPr>
          <w:rFonts w:ascii="Times New Roman" w:hAnsi="Times New Roman"/>
          <w:szCs w:val="24"/>
        </w:rPr>
        <w:t>.</w:t>
      </w:r>
      <w:r w:rsidR="004F64DB">
        <w:rPr>
          <w:rFonts w:ascii="Times New Roman" w:hAnsi="Times New Roman"/>
          <w:szCs w:val="24"/>
        </w:rPr>
        <w:t xml:space="preserve"> Nonetheless</w:t>
      </w:r>
      <w:r w:rsidR="00DE444E">
        <w:rPr>
          <w:rFonts w:ascii="Times New Roman" w:hAnsi="Times New Roman"/>
          <w:szCs w:val="24"/>
        </w:rPr>
        <w:t>,</w:t>
      </w:r>
      <w:r w:rsidR="004F64DB">
        <w:rPr>
          <w:rFonts w:ascii="Times New Roman" w:hAnsi="Times New Roman"/>
          <w:szCs w:val="24"/>
        </w:rPr>
        <w:t xml:space="preserve"> the scope of their participation will be subject to judicial discretion. </w:t>
      </w:r>
    </w:p>
    <w:p w14:paraId="7682F688" w14:textId="1DE36E33" w:rsidR="00772CFF" w:rsidRPr="00772CFF" w:rsidRDefault="00772CFF" w:rsidP="00360EE1">
      <w:pPr>
        <w:spacing w:line="480" w:lineRule="auto"/>
        <w:jc w:val="both"/>
        <w:rPr>
          <w:rFonts w:ascii="Times New Roman" w:hAnsi="Times New Roman"/>
          <w:szCs w:val="24"/>
        </w:rPr>
      </w:pPr>
      <w:r w:rsidRPr="00772CFF">
        <w:rPr>
          <w:rFonts w:ascii="Times New Roman" w:hAnsi="Times New Roman"/>
          <w:szCs w:val="24"/>
        </w:rPr>
        <w:t>From</w:t>
      </w:r>
      <w:r w:rsidR="00963C98">
        <w:rPr>
          <w:rFonts w:ascii="Times New Roman" w:hAnsi="Times New Roman"/>
          <w:szCs w:val="24"/>
        </w:rPr>
        <w:t xml:space="preserve"> </w:t>
      </w:r>
      <w:r w:rsidRPr="00772CFF">
        <w:rPr>
          <w:rFonts w:ascii="Times New Roman" w:hAnsi="Times New Roman"/>
          <w:szCs w:val="24"/>
        </w:rPr>
        <w:t xml:space="preserve">this section, </w:t>
      </w:r>
      <w:r w:rsidR="00053BC3">
        <w:rPr>
          <w:rFonts w:ascii="Times New Roman" w:hAnsi="Times New Roman"/>
          <w:szCs w:val="24"/>
        </w:rPr>
        <w:t xml:space="preserve"> </w:t>
      </w:r>
      <w:r w:rsidRPr="00772CFF">
        <w:rPr>
          <w:rFonts w:ascii="Times New Roman" w:hAnsi="Times New Roman"/>
          <w:szCs w:val="24"/>
        </w:rPr>
        <w:t xml:space="preserve">it is clear that the Prosecutor has a </w:t>
      </w:r>
      <w:r w:rsidR="00CF383D">
        <w:rPr>
          <w:rFonts w:ascii="Times New Roman" w:hAnsi="Times New Roman"/>
          <w:szCs w:val="24"/>
        </w:rPr>
        <w:t>considerabl</w:t>
      </w:r>
      <w:r w:rsidRPr="00772CFF">
        <w:rPr>
          <w:rFonts w:ascii="Times New Roman" w:hAnsi="Times New Roman"/>
          <w:szCs w:val="24"/>
        </w:rPr>
        <w:t xml:space="preserve">e role </w:t>
      </w:r>
      <w:r w:rsidR="00FB4D64">
        <w:rPr>
          <w:rFonts w:ascii="Times New Roman" w:hAnsi="Times New Roman"/>
          <w:szCs w:val="24"/>
        </w:rPr>
        <w:t xml:space="preserve">in </w:t>
      </w:r>
      <w:r w:rsidRPr="00772CFF">
        <w:rPr>
          <w:rFonts w:ascii="Times New Roman" w:hAnsi="Times New Roman"/>
          <w:szCs w:val="24"/>
        </w:rPr>
        <w:t>victims’ access to justice at the ICC.</w:t>
      </w:r>
      <w:r w:rsidR="00053BC3">
        <w:rPr>
          <w:rFonts w:ascii="Times New Roman" w:hAnsi="Times New Roman"/>
          <w:szCs w:val="24"/>
        </w:rPr>
        <w:t xml:space="preserve"> </w:t>
      </w:r>
      <w:r w:rsidRPr="00772CFF">
        <w:rPr>
          <w:rFonts w:ascii="Times New Roman" w:hAnsi="Times New Roman"/>
          <w:szCs w:val="24"/>
        </w:rPr>
        <w:t>From the situation stage to the selection of cases arise a new set of potential victims, we should also bear in mind that some potential victims would be unrecognised based on the Prosecutor’s decision not to investigate a situation select</w:t>
      </w:r>
      <w:r w:rsidR="0096797E">
        <w:rPr>
          <w:rFonts w:ascii="Times New Roman" w:hAnsi="Times New Roman"/>
          <w:szCs w:val="24"/>
        </w:rPr>
        <w:t>ion of</w:t>
      </w:r>
      <w:r w:rsidRPr="00772CFF">
        <w:rPr>
          <w:rFonts w:ascii="Times New Roman" w:hAnsi="Times New Roman"/>
          <w:szCs w:val="24"/>
        </w:rPr>
        <w:t xml:space="preserve"> cases from such situations.</w:t>
      </w:r>
      <w:r w:rsidR="00443277">
        <w:rPr>
          <w:rFonts w:ascii="Times New Roman" w:hAnsi="Times New Roman"/>
          <w:szCs w:val="24"/>
        </w:rPr>
        <w:t xml:space="preserve"> </w:t>
      </w:r>
      <w:r w:rsidRPr="00772CFF">
        <w:rPr>
          <w:rFonts w:ascii="Times New Roman" w:hAnsi="Times New Roman"/>
          <w:szCs w:val="24"/>
        </w:rPr>
        <w:t>It is not the intention of this thesis to delve into this category of victims.</w:t>
      </w:r>
      <w:r w:rsidR="00443277">
        <w:rPr>
          <w:rFonts w:ascii="Times New Roman" w:hAnsi="Times New Roman"/>
          <w:szCs w:val="24"/>
        </w:rPr>
        <w:t xml:space="preserve"> </w:t>
      </w:r>
      <w:r w:rsidRPr="00772CFF">
        <w:rPr>
          <w:rFonts w:ascii="Times New Roman" w:hAnsi="Times New Roman"/>
          <w:szCs w:val="24"/>
        </w:rPr>
        <w:t xml:space="preserve">The following section will </w:t>
      </w:r>
      <w:r w:rsidR="00766763">
        <w:rPr>
          <w:rFonts w:ascii="Times New Roman" w:hAnsi="Times New Roman"/>
          <w:szCs w:val="24"/>
        </w:rPr>
        <w:t xml:space="preserve">distinguish between victims’ interests and </w:t>
      </w:r>
      <w:r w:rsidR="001C4692">
        <w:rPr>
          <w:rFonts w:ascii="Times New Roman" w:hAnsi="Times New Roman"/>
          <w:szCs w:val="24"/>
        </w:rPr>
        <w:t>the prosecutor’s interests to understand the roles performed by both and if there are any overlapping interests</w:t>
      </w:r>
      <w:r w:rsidR="00874A23">
        <w:rPr>
          <w:rFonts w:ascii="Times New Roman" w:hAnsi="Times New Roman"/>
          <w:szCs w:val="24"/>
        </w:rPr>
        <w:t xml:space="preserve">. </w:t>
      </w:r>
      <w:r w:rsidR="00CF383D">
        <w:rPr>
          <w:rFonts w:ascii="Times New Roman" w:hAnsi="Times New Roman"/>
          <w:szCs w:val="24"/>
        </w:rPr>
        <w:t>Besides</w:t>
      </w:r>
      <w:r w:rsidR="00874A23">
        <w:rPr>
          <w:rFonts w:ascii="Times New Roman" w:hAnsi="Times New Roman"/>
          <w:szCs w:val="24"/>
        </w:rPr>
        <w:t xml:space="preserve">, it will identify the implications of </w:t>
      </w:r>
      <w:r w:rsidR="00FB4D64">
        <w:rPr>
          <w:rFonts w:ascii="Times New Roman" w:hAnsi="Times New Roman"/>
          <w:szCs w:val="24"/>
        </w:rPr>
        <w:t xml:space="preserve">the </w:t>
      </w:r>
      <w:r w:rsidR="00874A23">
        <w:rPr>
          <w:rFonts w:ascii="Times New Roman" w:hAnsi="Times New Roman"/>
          <w:szCs w:val="24"/>
        </w:rPr>
        <w:t>prosecutor’s role on victi</w:t>
      </w:r>
      <w:r w:rsidR="00FB4D64">
        <w:rPr>
          <w:rFonts w:ascii="Times New Roman" w:hAnsi="Times New Roman"/>
          <w:szCs w:val="24"/>
        </w:rPr>
        <w:t>ms’ rights and interests.</w:t>
      </w:r>
    </w:p>
    <w:p w14:paraId="1938C754" w14:textId="77777777" w:rsidR="00772CFF" w:rsidRPr="00772CFF" w:rsidRDefault="00772CFF" w:rsidP="00FB4D64">
      <w:pPr>
        <w:spacing w:line="480" w:lineRule="auto"/>
        <w:jc w:val="both"/>
        <w:rPr>
          <w:rFonts w:ascii="Times New Roman" w:hAnsi="Times New Roman"/>
          <w:szCs w:val="24"/>
        </w:rPr>
      </w:pPr>
    </w:p>
    <w:p w14:paraId="3243A82D" w14:textId="6842C1E0" w:rsidR="00772CFF" w:rsidRDefault="00772CFF" w:rsidP="000C4174">
      <w:pPr>
        <w:pStyle w:val="Heading2"/>
        <w:rPr>
          <w:lang w:val="en-US"/>
        </w:rPr>
      </w:pPr>
      <w:r w:rsidRPr="00772CFF">
        <w:rPr>
          <w:lang w:val="en-US"/>
        </w:rPr>
        <w:lastRenderedPageBreak/>
        <w:t xml:space="preserve"> </w:t>
      </w:r>
      <w:bookmarkStart w:id="18" w:name="_Toc60235797"/>
      <w:r w:rsidR="00CA5C55">
        <w:rPr>
          <w:lang w:val="en-US"/>
        </w:rPr>
        <w:t>2.4</w:t>
      </w:r>
      <w:r w:rsidR="00874A23">
        <w:rPr>
          <w:lang w:val="en-US"/>
        </w:rPr>
        <w:t xml:space="preserve"> </w:t>
      </w:r>
      <w:r w:rsidRPr="00772CFF">
        <w:rPr>
          <w:lang w:val="en-US"/>
        </w:rPr>
        <w:t>Victims’ interests v</w:t>
      </w:r>
      <w:r w:rsidR="00B81B75">
        <w:rPr>
          <w:lang w:val="en-US"/>
        </w:rPr>
        <w:t>ersus</w:t>
      </w:r>
      <w:r w:rsidRPr="00772CFF">
        <w:rPr>
          <w:lang w:val="en-US"/>
        </w:rPr>
        <w:t xml:space="preserve"> </w:t>
      </w:r>
      <w:r w:rsidR="00E00649">
        <w:rPr>
          <w:lang w:val="en-US"/>
        </w:rPr>
        <w:t xml:space="preserve">the </w:t>
      </w:r>
      <w:r w:rsidRPr="00772CFF">
        <w:rPr>
          <w:lang w:val="en-US"/>
        </w:rPr>
        <w:t>Prosecutor’s interests</w:t>
      </w:r>
      <w:bookmarkEnd w:id="18"/>
    </w:p>
    <w:p w14:paraId="64148B49" w14:textId="0330525B" w:rsidR="007A2FA9" w:rsidRDefault="007A2FA9" w:rsidP="007A2FA9">
      <w:pPr>
        <w:rPr>
          <w:lang w:val="en-US"/>
        </w:rPr>
      </w:pPr>
    </w:p>
    <w:p w14:paraId="358CB4FE" w14:textId="77777777" w:rsidR="007A2FA9" w:rsidRPr="00502587" w:rsidRDefault="007A2FA9" w:rsidP="007A2FA9">
      <w:pPr>
        <w:spacing w:after="0" w:line="480" w:lineRule="auto"/>
        <w:jc w:val="center"/>
        <w:rPr>
          <w:rFonts w:ascii="Times New Roman" w:eastAsia="Cambria" w:hAnsi="Times New Roman"/>
          <w:szCs w:val="24"/>
        </w:rPr>
      </w:pPr>
      <w:r w:rsidRPr="00D10932">
        <w:rPr>
          <w:rStyle w:val="QuoteChar"/>
          <w:rFonts w:eastAsia="Cambria"/>
        </w:rPr>
        <w:t>“</w:t>
      </w:r>
      <w:r w:rsidRPr="000676A4">
        <w:rPr>
          <w:rStyle w:val="QuoteChar"/>
          <w:rFonts w:ascii="Times New Roman" w:eastAsia="Cambria" w:hAnsi="Times New Roman"/>
          <w:i w:val="0"/>
        </w:rPr>
        <w:t>Mr President, …………..thank you for giving us leave to address the court…..Today for the first time in the history of the international criminal justice victims can address their viewpoints and concerns through their counsel.[…]Today, they can express themselves</w:t>
      </w:r>
      <w:r w:rsidRPr="00502587">
        <w:rPr>
          <w:rFonts w:ascii="Times New Roman" w:eastAsia="Cambria" w:hAnsi="Times New Roman"/>
          <w:szCs w:val="24"/>
        </w:rPr>
        <w:t>.”</w:t>
      </w:r>
      <w:r w:rsidRPr="00502587">
        <w:rPr>
          <w:rFonts w:ascii="Times New Roman" w:eastAsia="Cambria" w:hAnsi="Times New Roman"/>
          <w:szCs w:val="24"/>
          <w:vertAlign w:val="superscript"/>
        </w:rPr>
        <w:footnoteReference w:id="234"/>
      </w:r>
    </w:p>
    <w:p w14:paraId="720839BB" w14:textId="77777777" w:rsidR="007A2FA9" w:rsidRPr="00502587" w:rsidRDefault="007A2FA9" w:rsidP="007A2FA9">
      <w:pPr>
        <w:spacing w:after="0" w:line="480" w:lineRule="auto"/>
        <w:rPr>
          <w:rFonts w:ascii="Times New Roman" w:eastAsia="Cambria" w:hAnsi="Times New Roman"/>
          <w:szCs w:val="24"/>
        </w:rPr>
      </w:pPr>
    </w:p>
    <w:p w14:paraId="0CD20388" w14:textId="77777777" w:rsidR="00503F78" w:rsidRDefault="007A2FA9" w:rsidP="007A2FA9">
      <w:pPr>
        <w:spacing w:after="0" w:line="480" w:lineRule="auto"/>
        <w:jc w:val="both"/>
        <w:rPr>
          <w:rFonts w:ascii="Times New Roman" w:eastAsia="Cambria" w:hAnsi="Times New Roman"/>
          <w:szCs w:val="24"/>
        </w:rPr>
      </w:pPr>
      <w:r w:rsidRPr="00D10932">
        <w:rPr>
          <w:rFonts w:ascii="Times New Roman" w:eastAsia="Cambria" w:hAnsi="Times New Roman"/>
          <w:szCs w:val="24"/>
        </w:rPr>
        <w:t xml:space="preserve">The above is an excerpt from </w:t>
      </w:r>
      <w:r w:rsidR="00F55F69">
        <w:rPr>
          <w:rFonts w:ascii="Times New Roman" w:eastAsia="Cambria" w:hAnsi="Times New Roman"/>
          <w:szCs w:val="24"/>
        </w:rPr>
        <w:t>one out of the four legal representatives of victims' opening statement</w:t>
      </w:r>
      <w:r w:rsidRPr="00D10932">
        <w:rPr>
          <w:rFonts w:ascii="Times New Roman" w:eastAsia="Cambria" w:hAnsi="Times New Roman"/>
          <w:szCs w:val="24"/>
        </w:rPr>
        <w:t>s. The LRVs narrated the background of the case and expatiated on the role the accused, Lubanga played in recruit</w:t>
      </w:r>
      <w:r w:rsidR="00F55F69">
        <w:rPr>
          <w:rFonts w:ascii="Times New Roman" w:eastAsia="Cambria" w:hAnsi="Times New Roman"/>
          <w:szCs w:val="24"/>
        </w:rPr>
        <w:t>ing</w:t>
      </w:r>
      <w:r w:rsidRPr="00D10932">
        <w:rPr>
          <w:rFonts w:ascii="Times New Roman" w:eastAsia="Cambria" w:hAnsi="Times New Roman"/>
          <w:szCs w:val="24"/>
        </w:rPr>
        <w:t xml:space="preserve"> children under the age of 15 years to participate actively in hostilities. </w:t>
      </w:r>
      <w:r w:rsidR="001C4692">
        <w:rPr>
          <w:rFonts w:ascii="Times New Roman" w:eastAsia="Cambria" w:hAnsi="Times New Roman"/>
          <w:szCs w:val="24"/>
        </w:rPr>
        <w:t>Also</w:t>
      </w:r>
      <w:r w:rsidRPr="00D10932">
        <w:rPr>
          <w:rFonts w:ascii="Times New Roman" w:eastAsia="Cambria" w:hAnsi="Times New Roman"/>
          <w:szCs w:val="24"/>
        </w:rPr>
        <w:t xml:space="preserve">, he brought the </w:t>
      </w:r>
      <w:r w:rsidR="00F55F69">
        <w:rPr>
          <w:rFonts w:ascii="Times New Roman" w:eastAsia="Cambria" w:hAnsi="Times New Roman"/>
          <w:szCs w:val="24"/>
        </w:rPr>
        <w:t>Court's attention</w:t>
      </w:r>
      <w:r w:rsidRPr="00D10932">
        <w:rPr>
          <w:rFonts w:ascii="Times New Roman" w:eastAsia="Cambria" w:hAnsi="Times New Roman"/>
          <w:szCs w:val="24"/>
        </w:rPr>
        <w:t xml:space="preserve"> to the implications of the alleged crime on his clients. Th</w:t>
      </w:r>
      <w:r w:rsidR="001B5ADF">
        <w:rPr>
          <w:rFonts w:ascii="Times New Roman" w:eastAsia="Cambria" w:hAnsi="Times New Roman"/>
          <w:szCs w:val="24"/>
        </w:rPr>
        <w:t xml:space="preserve">e </w:t>
      </w:r>
      <w:r w:rsidR="00F55F69">
        <w:rPr>
          <w:rFonts w:ascii="Times New Roman" w:eastAsia="Cambria" w:hAnsi="Times New Roman"/>
          <w:szCs w:val="24"/>
        </w:rPr>
        <w:t>repercuss</w:t>
      </w:r>
      <w:r w:rsidR="001B5ADF">
        <w:rPr>
          <w:rFonts w:ascii="Times New Roman" w:eastAsia="Cambria" w:hAnsi="Times New Roman"/>
          <w:szCs w:val="24"/>
        </w:rPr>
        <w:t>ions</w:t>
      </w:r>
      <w:r w:rsidRPr="00D10932">
        <w:rPr>
          <w:rFonts w:ascii="Times New Roman" w:eastAsia="Cambria" w:hAnsi="Times New Roman"/>
          <w:szCs w:val="24"/>
        </w:rPr>
        <w:t xml:space="preserve"> included post-trauma experiences and </w:t>
      </w:r>
      <w:r w:rsidR="001B5ADF">
        <w:rPr>
          <w:rFonts w:ascii="Times New Roman" w:eastAsia="Cambria" w:hAnsi="Times New Roman"/>
          <w:szCs w:val="24"/>
        </w:rPr>
        <w:t xml:space="preserve">the </w:t>
      </w:r>
      <w:r w:rsidRPr="00D10932">
        <w:rPr>
          <w:rFonts w:ascii="Times New Roman" w:eastAsia="Cambria" w:hAnsi="Times New Roman"/>
          <w:szCs w:val="24"/>
        </w:rPr>
        <w:t>inability of the former child soldiers to continue their education. Also included are the effects of the crimes on the victims’ family and relatives.</w:t>
      </w:r>
      <w:r w:rsidRPr="00D10932">
        <w:rPr>
          <w:rFonts w:ascii="Times New Roman" w:eastAsia="Cambria" w:hAnsi="Times New Roman"/>
          <w:szCs w:val="24"/>
          <w:vertAlign w:val="superscript"/>
        </w:rPr>
        <w:footnoteReference w:id="235"/>
      </w:r>
      <w:r w:rsidRPr="00D10932">
        <w:rPr>
          <w:rFonts w:ascii="Times New Roman" w:eastAsia="Cambria" w:hAnsi="Times New Roman"/>
          <w:szCs w:val="24"/>
        </w:rPr>
        <w:t xml:space="preserve"> In addressing the need for recognition of victims</w:t>
      </w:r>
      <w:r w:rsidR="00F55F69">
        <w:rPr>
          <w:rFonts w:ascii="Times New Roman" w:eastAsia="Cambria" w:hAnsi="Times New Roman"/>
          <w:szCs w:val="24"/>
        </w:rPr>
        <w:t>,</w:t>
      </w:r>
      <w:r w:rsidRPr="00D10932">
        <w:rPr>
          <w:rFonts w:ascii="Times New Roman" w:eastAsia="Cambria" w:hAnsi="Times New Roman"/>
          <w:szCs w:val="24"/>
        </w:rPr>
        <w:t xml:space="preserve"> A</w:t>
      </w:r>
      <w:r w:rsidR="001B5ADF">
        <w:rPr>
          <w:rFonts w:ascii="Times New Roman" w:eastAsia="Cambria" w:hAnsi="Times New Roman"/>
          <w:szCs w:val="24"/>
        </w:rPr>
        <w:t>n</w:t>
      </w:r>
      <w:r w:rsidRPr="00D10932">
        <w:rPr>
          <w:rFonts w:ascii="Times New Roman" w:eastAsia="Cambria" w:hAnsi="Times New Roman"/>
          <w:szCs w:val="24"/>
        </w:rPr>
        <w:t xml:space="preserve"> LRV posits that </w:t>
      </w:r>
      <w:r w:rsidR="003A1A69">
        <w:rPr>
          <w:rFonts w:ascii="Times New Roman" w:eastAsia="Cambria" w:hAnsi="Times New Roman"/>
          <w:szCs w:val="24"/>
        </w:rPr>
        <w:t>‘</w:t>
      </w:r>
      <w:r w:rsidRPr="00D10932">
        <w:rPr>
          <w:rFonts w:ascii="Times New Roman" w:eastAsia="Cambria" w:hAnsi="Times New Roman"/>
          <w:szCs w:val="24"/>
        </w:rPr>
        <w:t>[T]he primary concern of the victim is his recognition as a human being who is entitled to the dignity and respect that we are all entitled to…</w:t>
      </w:r>
      <w:r w:rsidR="003A1A69">
        <w:rPr>
          <w:rFonts w:ascii="Times New Roman" w:eastAsia="Cambria" w:hAnsi="Times New Roman"/>
          <w:szCs w:val="24"/>
        </w:rPr>
        <w:t>’</w:t>
      </w:r>
      <w:r w:rsidRPr="00D10932">
        <w:rPr>
          <w:rFonts w:ascii="Times New Roman" w:eastAsia="Cambria" w:hAnsi="Times New Roman"/>
          <w:szCs w:val="24"/>
          <w:vertAlign w:val="superscript"/>
        </w:rPr>
        <w:footnoteReference w:id="236"/>
      </w:r>
      <w:r w:rsidRPr="00D10932">
        <w:rPr>
          <w:rFonts w:ascii="Times New Roman" w:eastAsia="Cambria" w:hAnsi="Times New Roman"/>
          <w:szCs w:val="24"/>
        </w:rPr>
        <w:t xml:space="preserve"> </w:t>
      </w:r>
    </w:p>
    <w:p w14:paraId="5838D3F5" w14:textId="77777777" w:rsidR="00503F78" w:rsidRDefault="00503F78" w:rsidP="007A2FA9">
      <w:pPr>
        <w:spacing w:after="0" w:line="480" w:lineRule="auto"/>
        <w:jc w:val="both"/>
        <w:rPr>
          <w:rFonts w:ascii="Times New Roman" w:eastAsia="Cambria" w:hAnsi="Times New Roman"/>
          <w:szCs w:val="24"/>
        </w:rPr>
      </w:pPr>
    </w:p>
    <w:p w14:paraId="409BA362" w14:textId="065CE4E1" w:rsidR="007A2FA9" w:rsidRPr="00D10932" w:rsidRDefault="007A2FA9" w:rsidP="007A2FA9">
      <w:pPr>
        <w:spacing w:after="0" w:line="480" w:lineRule="auto"/>
        <w:jc w:val="both"/>
        <w:rPr>
          <w:rFonts w:ascii="Times New Roman" w:eastAsia="Cambria" w:hAnsi="Times New Roman"/>
          <w:szCs w:val="24"/>
        </w:rPr>
      </w:pPr>
      <w:r w:rsidRPr="00D10932">
        <w:rPr>
          <w:rFonts w:ascii="Times New Roman" w:eastAsia="Cambria" w:hAnsi="Times New Roman"/>
          <w:szCs w:val="24"/>
        </w:rPr>
        <w:t xml:space="preserve">He reiterated the importance of victims’ recognition in the sight of the world and the </w:t>
      </w:r>
      <w:r w:rsidR="001B5ADF">
        <w:rPr>
          <w:rFonts w:ascii="Times New Roman" w:eastAsia="Cambria" w:hAnsi="Times New Roman"/>
          <w:szCs w:val="24"/>
        </w:rPr>
        <w:t>presence</w:t>
      </w:r>
      <w:r w:rsidRPr="00D10932">
        <w:rPr>
          <w:rFonts w:ascii="Times New Roman" w:eastAsia="Cambria" w:hAnsi="Times New Roman"/>
          <w:szCs w:val="24"/>
        </w:rPr>
        <w:t xml:space="preserve"> of the culprit/perpetrator.</w:t>
      </w:r>
      <w:r w:rsidR="004D3C49">
        <w:rPr>
          <w:rFonts w:ascii="Times New Roman" w:eastAsia="Cambria" w:hAnsi="Times New Roman"/>
          <w:szCs w:val="24"/>
        </w:rPr>
        <w:t xml:space="preserve"> The recognition of victims is seen as a</w:t>
      </w:r>
      <w:r w:rsidR="00F55F69">
        <w:rPr>
          <w:rFonts w:ascii="Times New Roman" w:eastAsia="Cambria" w:hAnsi="Times New Roman"/>
          <w:szCs w:val="24"/>
        </w:rPr>
        <w:t>cknowledging</w:t>
      </w:r>
      <w:r w:rsidR="004D3C49">
        <w:rPr>
          <w:rFonts w:ascii="Times New Roman" w:eastAsia="Cambria" w:hAnsi="Times New Roman"/>
          <w:szCs w:val="24"/>
        </w:rPr>
        <w:t xml:space="preserve"> </w:t>
      </w:r>
      <w:r w:rsidR="004D3C49">
        <w:rPr>
          <w:rFonts w:ascii="Times New Roman" w:eastAsia="Cambria" w:hAnsi="Times New Roman"/>
          <w:szCs w:val="24"/>
        </w:rPr>
        <w:lastRenderedPageBreak/>
        <w:t>the harm they have suffered, which complements addressing the wrong committed by the perpetrators.</w:t>
      </w:r>
      <w:r w:rsidR="00904AB3">
        <w:rPr>
          <w:rFonts w:ascii="Times New Roman" w:eastAsia="Cambria" w:hAnsi="Times New Roman"/>
          <w:szCs w:val="24"/>
        </w:rPr>
        <w:t xml:space="preserve"> The LRV focused on the </w:t>
      </w:r>
      <w:r w:rsidR="00F55F69">
        <w:rPr>
          <w:rFonts w:ascii="Times New Roman" w:eastAsia="Cambria" w:hAnsi="Times New Roman"/>
          <w:szCs w:val="24"/>
        </w:rPr>
        <w:t>damage</w:t>
      </w:r>
      <w:r w:rsidR="00904AB3">
        <w:rPr>
          <w:rFonts w:ascii="Times New Roman" w:eastAsia="Cambria" w:hAnsi="Times New Roman"/>
          <w:szCs w:val="24"/>
        </w:rPr>
        <w:t xml:space="preserve"> which has been </w:t>
      </w:r>
      <w:r w:rsidR="00113B44">
        <w:rPr>
          <w:rFonts w:ascii="Times New Roman" w:eastAsia="Cambria" w:hAnsi="Times New Roman"/>
          <w:szCs w:val="24"/>
        </w:rPr>
        <w:t xml:space="preserve">the victims </w:t>
      </w:r>
      <w:r w:rsidR="00904AB3">
        <w:rPr>
          <w:rFonts w:ascii="Times New Roman" w:eastAsia="Cambria" w:hAnsi="Times New Roman"/>
          <w:szCs w:val="24"/>
        </w:rPr>
        <w:t>suffered rather than the wrong.</w:t>
      </w:r>
    </w:p>
    <w:p w14:paraId="2DD7C889" w14:textId="77777777" w:rsidR="007A2FA9" w:rsidRPr="006E622A" w:rsidRDefault="007A2FA9" w:rsidP="007A2FA9">
      <w:pPr>
        <w:spacing w:after="0" w:line="240" w:lineRule="auto"/>
        <w:jc w:val="both"/>
        <w:rPr>
          <w:rFonts w:ascii="Times New Roman" w:eastAsia="Cambria" w:hAnsi="Times New Roman"/>
          <w:sz w:val="22"/>
        </w:rPr>
      </w:pPr>
    </w:p>
    <w:p w14:paraId="4A34F2C1" w14:textId="5A743B27" w:rsidR="007A2FA9" w:rsidRPr="006E622A" w:rsidRDefault="007A2FA9" w:rsidP="007A2FA9">
      <w:pPr>
        <w:spacing w:after="0" w:line="480" w:lineRule="auto"/>
        <w:jc w:val="both"/>
        <w:rPr>
          <w:rFonts w:ascii="Times New Roman" w:eastAsia="Cambria" w:hAnsi="Times New Roman"/>
          <w:sz w:val="22"/>
        </w:rPr>
      </w:pPr>
      <w:r w:rsidRPr="003A18EA">
        <w:rPr>
          <w:rFonts w:ascii="Times New Roman" w:eastAsia="Cambria" w:hAnsi="Times New Roman"/>
          <w:szCs w:val="24"/>
        </w:rPr>
        <w:t xml:space="preserve">Similarly, </w:t>
      </w:r>
      <w:r w:rsidR="001B5ADF">
        <w:rPr>
          <w:rFonts w:ascii="Times New Roman" w:eastAsia="Cambria" w:hAnsi="Times New Roman"/>
          <w:szCs w:val="24"/>
        </w:rPr>
        <w:t>an</w:t>
      </w:r>
      <w:r w:rsidRPr="003A18EA">
        <w:rPr>
          <w:rFonts w:ascii="Times New Roman" w:eastAsia="Cambria" w:hAnsi="Times New Roman"/>
          <w:szCs w:val="24"/>
        </w:rPr>
        <w:t xml:space="preserve"> LRV said</w:t>
      </w:r>
      <w:r w:rsidRPr="006E622A">
        <w:rPr>
          <w:rFonts w:ascii="Times New Roman" w:eastAsia="Cambria" w:hAnsi="Times New Roman"/>
          <w:sz w:val="22"/>
        </w:rPr>
        <w:t>:</w:t>
      </w:r>
    </w:p>
    <w:p w14:paraId="6C51BEC9" w14:textId="4A12AE0D" w:rsidR="007A2FA9" w:rsidRPr="006E622A" w:rsidRDefault="007A2FA9" w:rsidP="007A2FA9">
      <w:pPr>
        <w:spacing w:after="0"/>
        <w:jc w:val="both"/>
        <w:rPr>
          <w:rFonts w:ascii="Times New Roman" w:eastAsia="Cambria" w:hAnsi="Times New Roman"/>
          <w:sz w:val="22"/>
        </w:rPr>
      </w:pPr>
      <w:r w:rsidRPr="003A18EA">
        <w:rPr>
          <w:rFonts w:ascii="Times New Roman" w:eastAsia="Cambria" w:hAnsi="Times New Roman"/>
          <w:szCs w:val="24"/>
        </w:rPr>
        <w:t>“[</w:t>
      </w:r>
      <w:r w:rsidRPr="003A18EA">
        <w:rPr>
          <w:rStyle w:val="QuoteChar"/>
          <w:rFonts w:ascii="Times New Roman" w:eastAsia="Cambria" w:hAnsi="Times New Roman"/>
          <w:i w:val="0"/>
          <w:szCs w:val="24"/>
        </w:rPr>
        <w:t>O]</w:t>
      </w:r>
      <w:proofErr w:type="spellStart"/>
      <w:r w:rsidRPr="003A18EA">
        <w:rPr>
          <w:rStyle w:val="QuoteChar"/>
          <w:rFonts w:ascii="Times New Roman" w:eastAsia="Cambria" w:hAnsi="Times New Roman"/>
          <w:i w:val="0"/>
          <w:szCs w:val="24"/>
        </w:rPr>
        <w:t>ne</w:t>
      </w:r>
      <w:proofErr w:type="spellEnd"/>
      <w:r w:rsidRPr="003A18EA">
        <w:rPr>
          <w:rStyle w:val="QuoteChar"/>
          <w:rFonts w:ascii="Times New Roman" w:eastAsia="Cambria" w:hAnsi="Times New Roman"/>
          <w:i w:val="0"/>
          <w:szCs w:val="24"/>
        </w:rPr>
        <w:t xml:space="preserve"> of our child clients was wounded and remains disabled, but the physical wounds that the militias left are not the worst…..These children </w:t>
      </w:r>
      <w:r w:rsidR="001B5ADF">
        <w:rPr>
          <w:rStyle w:val="QuoteChar"/>
          <w:rFonts w:ascii="Times New Roman" w:eastAsia="Cambria" w:hAnsi="Times New Roman"/>
          <w:i w:val="0"/>
          <w:szCs w:val="24"/>
        </w:rPr>
        <w:t>..</w:t>
      </w:r>
      <w:r w:rsidRPr="003A18EA">
        <w:rPr>
          <w:rStyle w:val="QuoteChar"/>
          <w:rFonts w:ascii="Times New Roman" w:eastAsia="Cambria" w:hAnsi="Times New Roman"/>
          <w:i w:val="0"/>
          <w:szCs w:val="24"/>
        </w:rPr>
        <w:t>.were deprived of all contact with their families. They saw their friends die. They were forced to kill…One of my clients who is now barely 15 years, told us, the psychologist, I am not all right, I don’t know what to do. My body’</w:t>
      </w:r>
      <w:r w:rsidR="003A1A69">
        <w:rPr>
          <w:rStyle w:val="QuoteChar"/>
          <w:rFonts w:ascii="Times New Roman" w:eastAsia="Cambria" w:hAnsi="Times New Roman"/>
          <w:i w:val="0"/>
          <w:szCs w:val="24"/>
        </w:rPr>
        <w:t>s</w:t>
      </w:r>
      <w:r w:rsidRPr="003A18EA">
        <w:rPr>
          <w:rStyle w:val="QuoteChar"/>
          <w:rFonts w:ascii="Times New Roman" w:eastAsia="Cambria" w:hAnsi="Times New Roman"/>
          <w:i w:val="0"/>
          <w:szCs w:val="24"/>
        </w:rPr>
        <w:t xml:space="preserve"> not all right. My head hurts</w:t>
      </w:r>
      <w:r w:rsidRPr="006E622A">
        <w:rPr>
          <w:rFonts w:ascii="Times New Roman" w:eastAsia="Cambria" w:hAnsi="Times New Roman"/>
          <w:sz w:val="22"/>
        </w:rPr>
        <w:t>…..”</w:t>
      </w:r>
      <w:r w:rsidRPr="006E622A">
        <w:rPr>
          <w:rFonts w:ascii="Times New Roman" w:eastAsia="Cambria" w:hAnsi="Times New Roman"/>
          <w:sz w:val="22"/>
          <w:vertAlign w:val="superscript"/>
        </w:rPr>
        <w:footnoteReference w:id="237"/>
      </w:r>
    </w:p>
    <w:p w14:paraId="17111BB5" w14:textId="77777777" w:rsidR="007A2FA9" w:rsidRPr="006E622A" w:rsidRDefault="007A2FA9" w:rsidP="007A2FA9">
      <w:pPr>
        <w:spacing w:after="0" w:line="240" w:lineRule="auto"/>
        <w:jc w:val="both"/>
        <w:rPr>
          <w:rFonts w:ascii="Times New Roman" w:eastAsia="Cambria" w:hAnsi="Times New Roman"/>
          <w:sz w:val="22"/>
        </w:rPr>
      </w:pPr>
    </w:p>
    <w:p w14:paraId="0660BDCF" w14:textId="650A16F4" w:rsidR="007A2FA9" w:rsidRPr="003A18EA" w:rsidRDefault="007A2FA9" w:rsidP="007A2FA9">
      <w:pPr>
        <w:spacing w:after="0" w:line="480" w:lineRule="auto"/>
        <w:jc w:val="both"/>
        <w:rPr>
          <w:rFonts w:ascii="Times New Roman" w:eastAsia="Cambria" w:hAnsi="Times New Roman"/>
          <w:szCs w:val="24"/>
        </w:rPr>
      </w:pPr>
      <w:r w:rsidRPr="00E306FF">
        <w:rPr>
          <w:rFonts w:ascii="Times New Roman" w:eastAsia="Cambria" w:hAnsi="Times New Roman"/>
          <w:szCs w:val="24"/>
        </w:rPr>
        <w:t>These excerpts illustrate victims</w:t>
      </w:r>
      <w:r>
        <w:rPr>
          <w:rFonts w:ascii="Times New Roman" w:eastAsia="Cambria" w:hAnsi="Times New Roman"/>
          <w:szCs w:val="24"/>
        </w:rPr>
        <w:t>’</w:t>
      </w:r>
      <w:r w:rsidRPr="00E306FF">
        <w:rPr>
          <w:rFonts w:ascii="Times New Roman" w:eastAsia="Cambria" w:hAnsi="Times New Roman"/>
          <w:szCs w:val="24"/>
        </w:rPr>
        <w:t xml:space="preserve"> views an</w:t>
      </w:r>
      <w:r>
        <w:rPr>
          <w:rFonts w:ascii="Times New Roman" w:eastAsia="Cambria" w:hAnsi="Times New Roman"/>
          <w:szCs w:val="24"/>
        </w:rPr>
        <w:t xml:space="preserve">d concerns through their LRVs to </w:t>
      </w:r>
      <w:r w:rsidRPr="00E306FF">
        <w:rPr>
          <w:rFonts w:ascii="Times New Roman" w:eastAsia="Cambria" w:hAnsi="Times New Roman"/>
          <w:szCs w:val="24"/>
        </w:rPr>
        <w:t xml:space="preserve">the Court, </w:t>
      </w:r>
      <w:r>
        <w:rPr>
          <w:rFonts w:ascii="Times New Roman" w:eastAsia="Cambria" w:hAnsi="Times New Roman"/>
          <w:szCs w:val="24"/>
        </w:rPr>
        <w:t xml:space="preserve">including </w:t>
      </w:r>
      <w:r w:rsidRPr="00E306FF">
        <w:rPr>
          <w:rFonts w:ascii="Times New Roman" w:eastAsia="Cambria" w:hAnsi="Times New Roman"/>
          <w:szCs w:val="24"/>
        </w:rPr>
        <w:t>the judges(decision-makers)</w:t>
      </w:r>
      <w:r w:rsidR="001B5ADF">
        <w:rPr>
          <w:rFonts w:ascii="Times New Roman" w:eastAsia="Cambria" w:hAnsi="Times New Roman"/>
          <w:szCs w:val="24"/>
        </w:rPr>
        <w:t>, which</w:t>
      </w:r>
      <w:r>
        <w:rPr>
          <w:rFonts w:ascii="Times New Roman" w:eastAsia="Cambria" w:hAnsi="Times New Roman"/>
          <w:szCs w:val="24"/>
        </w:rPr>
        <w:t xml:space="preserve"> is considered a response to the court’s consultation.</w:t>
      </w:r>
      <w:r w:rsidR="001B5ADF">
        <w:rPr>
          <w:rFonts w:ascii="Times New Roman" w:eastAsia="Cambria" w:hAnsi="Times New Roman"/>
          <w:szCs w:val="24"/>
        </w:rPr>
        <w:t xml:space="preserve"> Through these excerpts, the LRVs were able to express the victims’ interests. </w:t>
      </w:r>
      <w:r w:rsidRPr="00E306FF">
        <w:rPr>
          <w:rFonts w:ascii="Times New Roman" w:eastAsia="Cambria" w:hAnsi="Times New Roman"/>
          <w:szCs w:val="24"/>
        </w:rPr>
        <w:t>The re</w:t>
      </w:r>
      <w:r w:rsidR="00F55F69">
        <w:rPr>
          <w:rFonts w:ascii="Times New Roman" w:eastAsia="Cambria" w:hAnsi="Times New Roman"/>
          <w:szCs w:val="24"/>
        </w:rPr>
        <w:t>action</w:t>
      </w:r>
      <w:r w:rsidRPr="00E306FF">
        <w:rPr>
          <w:rFonts w:ascii="Times New Roman" w:eastAsia="Cambria" w:hAnsi="Times New Roman"/>
          <w:szCs w:val="24"/>
        </w:rPr>
        <w:t xml:space="preserve"> of the presiding judge supports this: “</w:t>
      </w:r>
      <w:r w:rsidRPr="00966D54">
        <w:rPr>
          <w:rFonts w:ascii="Times New Roman" w:eastAsia="Cambria" w:hAnsi="Times New Roman"/>
          <w:szCs w:val="24"/>
        </w:rPr>
        <w:t xml:space="preserve">We are </w:t>
      </w:r>
      <w:r w:rsidRPr="003A18EA">
        <w:rPr>
          <w:rFonts w:ascii="Times New Roman" w:eastAsia="Cambria" w:hAnsi="Times New Roman"/>
          <w:szCs w:val="24"/>
        </w:rPr>
        <w:t>listening to you carefully, because what you have to say is perhaps what is most important,</w:t>
      </w:r>
      <w:r w:rsidR="001B5ADF">
        <w:rPr>
          <w:rFonts w:ascii="Times New Roman" w:eastAsia="Cambria" w:hAnsi="Times New Roman"/>
          <w:szCs w:val="24"/>
        </w:rPr>
        <w:t xml:space="preserve"> </w:t>
      </w:r>
      <w:r w:rsidRPr="003A18EA">
        <w:rPr>
          <w:rFonts w:ascii="Times New Roman" w:eastAsia="Cambria" w:hAnsi="Times New Roman"/>
          <w:szCs w:val="24"/>
        </w:rPr>
        <w:t xml:space="preserve">especially </w:t>
      </w:r>
      <w:r w:rsidR="00F55F69">
        <w:rPr>
          <w:rFonts w:ascii="Times New Roman" w:eastAsia="Cambria" w:hAnsi="Times New Roman"/>
          <w:szCs w:val="24"/>
        </w:rPr>
        <w:t>given</w:t>
      </w:r>
      <w:r w:rsidRPr="003A18EA">
        <w:rPr>
          <w:rFonts w:ascii="Times New Roman" w:eastAsia="Cambria" w:hAnsi="Times New Roman"/>
          <w:szCs w:val="24"/>
        </w:rPr>
        <w:t xml:space="preserve"> the Statute of the ICC.</w:t>
      </w:r>
      <w:r w:rsidRPr="003A18EA">
        <w:rPr>
          <w:rFonts w:ascii="Times New Roman" w:eastAsia="Cambria" w:hAnsi="Times New Roman"/>
          <w:i/>
          <w:szCs w:val="24"/>
        </w:rPr>
        <w:t>”</w:t>
      </w:r>
      <w:r w:rsidRPr="003A18EA">
        <w:rPr>
          <w:rFonts w:ascii="Times New Roman" w:eastAsia="Cambria" w:hAnsi="Times New Roman"/>
          <w:i/>
          <w:szCs w:val="24"/>
          <w:vertAlign w:val="superscript"/>
        </w:rPr>
        <w:footnoteReference w:id="238"/>
      </w:r>
      <w:r w:rsidRPr="003A18EA">
        <w:rPr>
          <w:rFonts w:ascii="Times New Roman" w:eastAsia="Cambria" w:hAnsi="Times New Roman"/>
          <w:szCs w:val="24"/>
        </w:rPr>
        <w:t xml:space="preserve"> The Judge’s remarks show an acknowledgement of victims’ voice, which relates to victims </w:t>
      </w:r>
      <w:r w:rsidR="002A62C8">
        <w:rPr>
          <w:rFonts w:ascii="Times New Roman" w:eastAsia="Cambria" w:hAnsi="Times New Roman"/>
          <w:szCs w:val="24"/>
        </w:rPr>
        <w:t>consultation</w:t>
      </w:r>
      <w:r w:rsidRPr="003A18EA">
        <w:rPr>
          <w:rFonts w:ascii="Times New Roman" w:eastAsia="Cambria" w:hAnsi="Times New Roman"/>
          <w:szCs w:val="24"/>
        </w:rPr>
        <w:t xml:space="preserve"> while the judges listen. It depends on the if the judge decides to take these views and concerns into consideration while balancing it against the defence rights and fair trial.</w:t>
      </w:r>
    </w:p>
    <w:p w14:paraId="3A43FC67" w14:textId="77777777" w:rsidR="009914F0" w:rsidRDefault="009914F0" w:rsidP="006C59E3">
      <w:pPr>
        <w:spacing w:line="480" w:lineRule="auto"/>
        <w:jc w:val="both"/>
        <w:rPr>
          <w:rFonts w:ascii="Times New Roman" w:hAnsi="Times New Roman"/>
          <w:lang w:val="en-US"/>
        </w:rPr>
      </w:pPr>
    </w:p>
    <w:p w14:paraId="7BBC0D81" w14:textId="1F9535F7" w:rsidR="00DA492C" w:rsidRPr="00DA492C" w:rsidRDefault="003A1A69" w:rsidP="006C59E3">
      <w:pPr>
        <w:spacing w:line="480" w:lineRule="auto"/>
        <w:jc w:val="both"/>
        <w:rPr>
          <w:rFonts w:ascii="Times New Roman" w:hAnsi="Times New Roman"/>
          <w:lang w:val="en-US"/>
        </w:rPr>
      </w:pPr>
      <w:r>
        <w:rPr>
          <w:rFonts w:ascii="Times New Roman" w:hAnsi="Times New Roman"/>
          <w:lang w:val="en-US"/>
        </w:rPr>
        <w:lastRenderedPageBreak/>
        <w:t>Fu</w:t>
      </w:r>
      <w:r w:rsidR="002A62C8">
        <w:rPr>
          <w:rFonts w:ascii="Times New Roman" w:hAnsi="Times New Roman"/>
          <w:lang w:val="en-US"/>
        </w:rPr>
        <w:t>r</w:t>
      </w:r>
      <w:r>
        <w:rPr>
          <w:rFonts w:ascii="Times New Roman" w:hAnsi="Times New Roman"/>
          <w:lang w:val="en-US"/>
        </w:rPr>
        <w:t>thermore, t</w:t>
      </w:r>
      <w:r w:rsidR="00904AB3">
        <w:rPr>
          <w:rFonts w:ascii="Times New Roman" w:hAnsi="Times New Roman"/>
          <w:lang w:val="en-US"/>
        </w:rPr>
        <w:t xml:space="preserve">he Prosecutor addresses the wrong because it is considered a </w:t>
      </w:r>
      <w:r w:rsidR="005E111D">
        <w:rPr>
          <w:rFonts w:ascii="Times New Roman" w:hAnsi="Times New Roman"/>
          <w:lang w:val="en-US"/>
        </w:rPr>
        <w:t>disruption</w:t>
      </w:r>
      <w:r w:rsidR="00904AB3">
        <w:rPr>
          <w:rFonts w:ascii="Times New Roman" w:hAnsi="Times New Roman"/>
          <w:lang w:val="en-US"/>
        </w:rPr>
        <w:t xml:space="preserve"> in the social order.</w:t>
      </w:r>
      <w:r w:rsidR="00512C79">
        <w:rPr>
          <w:rFonts w:ascii="Times New Roman" w:hAnsi="Times New Roman"/>
          <w:lang w:val="en-US"/>
        </w:rPr>
        <w:t xml:space="preserve"> T</w:t>
      </w:r>
      <w:r w:rsidR="005E111D">
        <w:rPr>
          <w:rFonts w:ascii="Times New Roman" w:hAnsi="Times New Roman"/>
          <w:lang w:val="en-US"/>
        </w:rPr>
        <w:t xml:space="preserve">o remedy the </w:t>
      </w:r>
      <w:r w:rsidR="00512C79">
        <w:rPr>
          <w:rFonts w:ascii="Times New Roman" w:hAnsi="Times New Roman"/>
          <w:lang w:val="en-US"/>
        </w:rPr>
        <w:t>dis</w:t>
      </w:r>
      <w:r w:rsidR="00F55F69">
        <w:rPr>
          <w:rFonts w:ascii="Times New Roman" w:hAnsi="Times New Roman"/>
          <w:lang w:val="en-US"/>
        </w:rPr>
        <w:t>order</w:t>
      </w:r>
      <w:r w:rsidR="00512C79">
        <w:rPr>
          <w:rFonts w:ascii="Times New Roman" w:hAnsi="Times New Roman"/>
          <w:lang w:val="en-US"/>
        </w:rPr>
        <w:t xml:space="preserve"> in the social orde</w:t>
      </w:r>
      <w:r w:rsidR="005E111D">
        <w:rPr>
          <w:rFonts w:ascii="Times New Roman" w:hAnsi="Times New Roman"/>
          <w:lang w:val="en-US"/>
        </w:rPr>
        <w:t>r, t</w:t>
      </w:r>
      <w:r w:rsidR="00DA492C" w:rsidRPr="00DA492C">
        <w:rPr>
          <w:rFonts w:ascii="Times New Roman" w:hAnsi="Times New Roman"/>
          <w:lang w:val="en-US"/>
        </w:rPr>
        <w:t>he Prosecutor represents the inter</w:t>
      </w:r>
      <w:r w:rsidR="00F55F69">
        <w:rPr>
          <w:rFonts w:ascii="Times New Roman" w:hAnsi="Times New Roman"/>
          <w:lang w:val="en-US"/>
        </w:rPr>
        <w:t>national community's interests</w:t>
      </w:r>
      <w:r w:rsidR="00DA492C">
        <w:rPr>
          <w:rFonts w:ascii="Times New Roman" w:hAnsi="Times New Roman"/>
          <w:lang w:val="en-US"/>
        </w:rPr>
        <w:t>, which includes seeking truth and justice.</w:t>
      </w:r>
      <w:r w:rsidR="00DA492C" w:rsidRPr="00DA492C">
        <w:rPr>
          <w:rStyle w:val="FootnoteReference"/>
          <w:rFonts w:ascii="Times New Roman" w:hAnsi="Times New Roman"/>
          <w:lang w:val="en-US"/>
        </w:rPr>
        <w:footnoteReference w:id="239"/>
      </w:r>
      <w:r w:rsidR="00C668F1">
        <w:rPr>
          <w:rFonts w:ascii="Times New Roman" w:hAnsi="Times New Roman"/>
          <w:lang w:val="en-US"/>
        </w:rPr>
        <w:t xml:space="preserve">Victims, as independent parties also have interests in obtaining truth and justice. </w:t>
      </w:r>
      <w:r w:rsidR="00512C79">
        <w:rPr>
          <w:rFonts w:ascii="Times New Roman" w:hAnsi="Times New Roman"/>
          <w:lang w:val="en-US"/>
        </w:rPr>
        <w:t xml:space="preserve">However, </w:t>
      </w:r>
      <w:r w:rsidR="00F55F69">
        <w:rPr>
          <w:rFonts w:ascii="Times New Roman" w:hAnsi="Times New Roman"/>
          <w:lang w:val="en-US"/>
        </w:rPr>
        <w:t>victims' concern</w:t>
      </w:r>
      <w:r w:rsidR="00512C79">
        <w:rPr>
          <w:rFonts w:ascii="Times New Roman" w:hAnsi="Times New Roman"/>
          <w:lang w:val="en-US"/>
        </w:rPr>
        <w:t>s mainly lie in the harm they have suffered from the perpetrators</w:t>
      </w:r>
      <w:r w:rsidR="007A79E5">
        <w:rPr>
          <w:rFonts w:ascii="Times New Roman" w:hAnsi="Times New Roman"/>
          <w:lang w:val="en-US"/>
        </w:rPr>
        <w:t>'</w:t>
      </w:r>
      <w:r w:rsidR="00512C79">
        <w:rPr>
          <w:rFonts w:ascii="Times New Roman" w:hAnsi="Times New Roman"/>
          <w:lang w:val="en-US"/>
        </w:rPr>
        <w:t xml:space="preserve"> actions and inactions.</w:t>
      </w:r>
      <w:r w:rsidR="007A79E5">
        <w:rPr>
          <w:rFonts w:ascii="Times New Roman" w:hAnsi="Times New Roman"/>
          <w:lang w:val="en-US"/>
        </w:rPr>
        <w:t xml:space="preserve"> Therefore, the interests of both Prosecutor and victims emerge from the disruption in the social order. However, there are different perspectives and consequences for both participants.</w:t>
      </w:r>
      <w:r w:rsidR="00BC1CF7">
        <w:rPr>
          <w:rFonts w:ascii="Times New Roman" w:hAnsi="Times New Roman"/>
          <w:lang w:val="en-US"/>
        </w:rPr>
        <w:t xml:space="preserve"> Sometimes, their interests may align or overlap. The Chamber addressed </w:t>
      </w:r>
      <w:r w:rsidR="007A79E5">
        <w:rPr>
          <w:rFonts w:ascii="Times New Roman" w:hAnsi="Times New Roman"/>
          <w:lang w:val="en-US"/>
        </w:rPr>
        <w:t xml:space="preserve"> </w:t>
      </w:r>
      <w:r w:rsidR="00BC1CF7">
        <w:rPr>
          <w:rFonts w:ascii="Times New Roman" w:hAnsi="Times New Roman"/>
          <w:lang w:val="en-US"/>
        </w:rPr>
        <w:t>the overlap in roles below:</w:t>
      </w:r>
    </w:p>
    <w:p w14:paraId="689784D6" w14:textId="5333DED4" w:rsidR="00772CFF" w:rsidRPr="00772CFF" w:rsidRDefault="00772CFF" w:rsidP="005E40FA">
      <w:pPr>
        <w:ind w:left="720"/>
        <w:jc w:val="center"/>
        <w:rPr>
          <w:rFonts w:ascii="Times New Roman" w:hAnsi="Times New Roman"/>
          <w:i/>
          <w:szCs w:val="24"/>
        </w:rPr>
      </w:pPr>
      <w:r w:rsidRPr="00772CFF">
        <w:rPr>
          <w:rFonts w:ascii="Times New Roman" w:hAnsi="Times New Roman"/>
          <w:i/>
          <w:szCs w:val="24"/>
        </w:rPr>
        <w:t>“</w:t>
      </w:r>
      <w:r w:rsidRPr="005E40FA">
        <w:rPr>
          <w:rFonts w:ascii="Times New Roman" w:hAnsi="Times New Roman"/>
          <w:szCs w:val="24"/>
        </w:rPr>
        <w:t>The two Legal Representatives consider that, while it is agreed that the victims cannot assume the role of the Prosecutor, with whom the burden of</w:t>
      </w:r>
      <w:r w:rsidRPr="00772CFF">
        <w:rPr>
          <w:rFonts w:ascii="Times New Roman" w:hAnsi="Times New Roman"/>
          <w:i/>
          <w:szCs w:val="24"/>
        </w:rPr>
        <w:t xml:space="preserve"> </w:t>
      </w:r>
      <w:r w:rsidRPr="005E40FA">
        <w:rPr>
          <w:rFonts w:ascii="Times New Roman" w:hAnsi="Times New Roman"/>
          <w:szCs w:val="24"/>
        </w:rPr>
        <w:t>proof solely lies, and that their intervention must in no way have the effect of their replacing the latter, they nevertheless have – as does the Court – an interest in the determination of the truth. Furthermore, they emphasise that the proliferation of victims in the instant case will have no implications for the Defence’s workload since  not all the victims will want or be able to systematically present evidence</w:t>
      </w:r>
      <w:r w:rsidR="00E00649">
        <w:rPr>
          <w:rFonts w:ascii="Times New Roman" w:hAnsi="Times New Roman"/>
          <w:szCs w:val="24"/>
        </w:rPr>
        <w:t>.</w:t>
      </w:r>
      <w:r w:rsidRPr="00772CFF">
        <w:rPr>
          <w:rFonts w:ascii="Times New Roman" w:hAnsi="Times New Roman"/>
          <w:i/>
          <w:szCs w:val="24"/>
        </w:rPr>
        <w:t>”</w:t>
      </w:r>
      <w:r w:rsidRPr="00772CFF">
        <w:rPr>
          <w:rFonts w:ascii="Times New Roman" w:hAnsi="Times New Roman"/>
          <w:i/>
          <w:szCs w:val="24"/>
          <w:vertAlign w:val="superscript"/>
        </w:rPr>
        <w:footnoteReference w:id="240"/>
      </w:r>
    </w:p>
    <w:p w14:paraId="17CFF251" w14:textId="07F855F1" w:rsidR="00772CFF" w:rsidRDefault="00772CFF" w:rsidP="005E40FA">
      <w:pPr>
        <w:ind w:left="720"/>
        <w:jc w:val="center"/>
        <w:rPr>
          <w:rFonts w:ascii="Times New Roman" w:hAnsi="Times New Roman"/>
          <w:szCs w:val="24"/>
        </w:rPr>
      </w:pPr>
      <w:r w:rsidRPr="00772CFF">
        <w:rPr>
          <w:rFonts w:ascii="Times New Roman" w:hAnsi="Times New Roman"/>
          <w:i/>
          <w:szCs w:val="24"/>
        </w:rPr>
        <w:t>“</w:t>
      </w:r>
      <w:r w:rsidRPr="005E40FA">
        <w:rPr>
          <w:rFonts w:ascii="Times New Roman" w:hAnsi="Times New Roman"/>
          <w:szCs w:val="24"/>
        </w:rPr>
        <w:t>With respect to the possibility of the Legal Representatives conducting investigations, they recall that their sole objective is to gather evidence seeking to prove the harm suffered by the victims and not to investigate the guilt of the accused</w:t>
      </w:r>
      <w:r w:rsidR="00E00649">
        <w:rPr>
          <w:rFonts w:ascii="Times New Roman" w:hAnsi="Times New Roman"/>
          <w:szCs w:val="24"/>
        </w:rPr>
        <w:t>.</w:t>
      </w:r>
      <w:r w:rsidRPr="00772CFF">
        <w:rPr>
          <w:rFonts w:ascii="Times New Roman" w:hAnsi="Times New Roman"/>
          <w:szCs w:val="24"/>
        </w:rPr>
        <w:t>”</w:t>
      </w:r>
      <w:r w:rsidRPr="00772CFF">
        <w:rPr>
          <w:rFonts w:ascii="Times New Roman" w:hAnsi="Times New Roman"/>
          <w:szCs w:val="24"/>
          <w:vertAlign w:val="superscript"/>
        </w:rPr>
        <w:footnoteReference w:id="241"/>
      </w:r>
    </w:p>
    <w:p w14:paraId="1F8FC879" w14:textId="1F65EEF3" w:rsidR="003B3A95" w:rsidRDefault="003B3A95" w:rsidP="0083295D">
      <w:pPr>
        <w:spacing w:line="480" w:lineRule="auto"/>
        <w:jc w:val="both"/>
        <w:rPr>
          <w:rFonts w:ascii="Times New Roman" w:hAnsi="Times New Roman"/>
          <w:szCs w:val="24"/>
        </w:rPr>
      </w:pPr>
      <w:r>
        <w:rPr>
          <w:rFonts w:ascii="Times New Roman" w:hAnsi="Times New Roman"/>
          <w:szCs w:val="24"/>
        </w:rPr>
        <w:lastRenderedPageBreak/>
        <w:t xml:space="preserve">The above statements demonstrate the blurry intersection between the </w:t>
      </w:r>
      <w:r w:rsidR="00F55F69">
        <w:rPr>
          <w:rFonts w:ascii="Times New Roman" w:hAnsi="Times New Roman"/>
          <w:szCs w:val="24"/>
        </w:rPr>
        <w:t>prosecutor's roles and interests</w:t>
      </w:r>
      <w:r>
        <w:rPr>
          <w:rFonts w:ascii="Times New Roman" w:hAnsi="Times New Roman"/>
          <w:szCs w:val="24"/>
        </w:rPr>
        <w:t xml:space="preserve"> and the victims in criminal trials at the ICC.</w:t>
      </w:r>
      <w:r w:rsidR="007B0D9C">
        <w:rPr>
          <w:rFonts w:ascii="Times New Roman" w:hAnsi="Times New Roman"/>
          <w:szCs w:val="24"/>
        </w:rPr>
        <w:t xml:space="preserve"> </w:t>
      </w:r>
      <w:r>
        <w:rPr>
          <w:rFonts w:ascii="Times New Roman" w:hAnsi="Times New Roman"/>
          <w:szCs w:val="24"/>
        </w:rPr>
        <w:t>Evidently,</w:t>
      </w:r>
      <w:r w:rsidR="007B0D9C">
        <w:rPr>
          <w:rFonts w:ascii="Times New Roman" w:hAnsi="Times New Roman"/>
          <w:szCs w:val="24"/>
        </w:rPr>
        <w:t xml:space="preserve"> </w:t>
      </w:r>
      <w:r>
        <w:rPr>
          <w:rFonts w:ascii="Times New Roman" w:hAnsi="Times New Roman"/>
          <w:szCs w:val="24"/>
        </w:rPr>
        <w:t>there ha</w:t>
      </w:r>
      <w:r w:rsidR="00360EE1">
        <w:rPr>
          <w:rFonts w:ascii="Times New Roman" w:hAnsi="Times New Roman"/>
          <w:szCs w:val="24"/>
        </w:rPr>
        <w:t>ve</w:t>
      </w:r>
      <w:r>
        <w:rPr>
          <w:rFonts w:ascii="Times New Roman" w:hAnsi="Times New Roman"/>
          <w:szCs w:val="24"/>
        </w:rPr>
        <w:t xml:space="preserve"> been instances of overlapping </w:t>
      </w:r>
      <w:r w:rsidR="00F55F69">
        <w:rPr>
          <w:rFonts w:ascii="Times New Roman" w:hAnsi="Times New Roman"/>
          <w:szCs w:val="24"/>
        </w:rPr>
        <w:t>function</w:t>
      </w:r>
      <w:r>
        <w:rPr>
          <w:rFonts w:ascii="Times New Roman" w:hAnsi="Times New Roman"/>
          <w:szCs w:val="24"/>
        </w:rPr>
        <w:t>s and interests between the Prosecutor and the victims.</w:t>
      </w:r>
      <w:r w:rsidR="00360EE1">
        <w:rPr>
          <w:rFonts w:ascii="Times New Roman" w:hAnsi="Times New Roman"/>
          <w:szCs w:val="24"/>
        </w:rPr>
        <w:t xml:space="preserve"> </w:t>
      </w:r>
      <w:r w:rsidR="00F55F69">
        <w:rPr>
          <w:rFonts w:ascii="Times New Roman" w:hAnsi="Times New Roman"/>
          <w:szCs w:val="24"/>
        </w:rPr>
        <w:t>As a third party with no full party rights, the victims explain</w:t>
      </w:r>
      <w:r w:rsidR="007B0D9C">
        <w:rPr>
          <w:rFonts w:ascii="Times New Roman" w:hAnsi="Times New Roman"/>
          <w:szCs w:val="24"/>
        </w:rPr>
        <w:t xml:space="preserve"> this </w:t>
      </w:r>
      <w:r w:rsidR="002A62C8">
        <w:rPr>
          <w:rFonts w:ascii="Times New Roman" w:hAnsi="Times New Roman"/>
          <w:szCs w:val="24"/>
        </w:rPr>
        <w:t>indistinct</w:t>
      </w:r>
      <w:r w:rsidR="007B0D9C">
        <w:rPr>
          <w:rFonts w:ascii="Times New Roman" w:hAnsi="Times New Roman"/>
          <w:szCs w:val="24"/>
        </w:rPr>
        <w:t xml:space="preserve"> intersection</w:t>
      </w:r>
      <w:r w:rsidR="006C59E3">
        <w:rPr>
          <w:rFonts w:ascii="Times New Roman" w:hAnsi="Times New Roman"/>
          <w:szCs w:val="24"/>
        </w:rPr>
        <w:t>—a</w:t>
      </w:r>
      <w:r w:rsidR="007B0D9C">
        <w:rPr>
          <w:rFonts w:ascii="Times New Roman" w:hAnsi="Times New Roman"/>
          <w:szCs w:val="24"/>
        </w:rPr>
        <w:t>n unforeseen implication of the compromise reached</w:t>
      </w:r>
      <w:r w:rsidR="00360EE1">
        <w:rPr>
          <w:rFonts w:ascii="Times New Roman" w:hAnsi="Times New Roman"/>
          <w:szCs w:val="24"/>
        </w:rPr>
        <w:t xml:space="preserve"> in </w:t>
      </w:r>
      <w:r w:rsidR="007B0D9C">
        <w:rPr>
          <w:rFonts w:ascii="Times New Roman" w:hAnsi="Times New Roman"/>
          <w:szCs w:val="24"/>
        </w:rPr>
        <w:t xml:space="preserve"> Rome negotiations.</w:t>
      </w:r>
    </w:p>
    <w:p w14:paraId="4FD27FBE" w14:textId="0ED912F7" w:rsidR="002A62C8" w:rsidRDefault="002A62C8" w:rsidP="0083295D">
      <w:pPr>
        <w:spacing w:line="480" w:lineRule="auto"/>
        <w:jc w:val="both"/>
        <w:rPr>
          <w:rFonts w:ascii="Times New Roman" w:hAnsi="Times New Roman"/>
          <w:szCs w:val="24"/>
        </w:rPr>
      </w:pPr>
      <w:r>
        <w:rPr>
          <w:rFonts w:ascii="Times New Roman" w:hAnsi="Times New Roman"/>
          <w:szCs w:val="24"/>
        </w:rPr>
        <w:t xml:space="preserve">In this instance, the chamber distinguished the </w:t>
      </w:r>
      <w:r w:rsidR="00F55F69">
        <w:rPr>
          <w:rFonts w:ascii="Times New Roman" w:hAnsi="Times New Roman"/>
          <w:szCs w:val="24"/>
        </w:rPr>
        <w:t>prosecutor's role</w:t>
      </w:r>
      <w:r>
        <w:rPr>
          <w:rFonts w:ascii="Times New Roman" w:hAnsi="Times New Roman"/>
          <w:szCs w:val="24"/>
        </w:rPr>
        <w:t xml:space="preserve"> and defence from the victims’ by drawing clear boundaries on victims’ ability to present evidence and conduct investigations</w:t>
      </w:r>
      <w:r w:rsidR="005E6555">
        <w:rPr>
          <w:rFonts w:ascii="Times New Roman" w:hAnsi="Times New Roman"/>
          <w:szCs w:val="24"/>
        </w:rPr>
        <w:t>, thus striking a balance between the participants' function</w:t>
      </w:r>
      <w:r>
        <w:rPr>
          <w:rFonts w:ascii="Times New Roman" w:hAnsi="Times New Roman"/>
          <w:szCs w:val="24"/>
        </w:rPr>
        <w:t>s.</w:t>
      </w:r>
      <w:r w:rsidR="00F25F21" w:rsidRPr="00F25F21">
        <w:rPr>
          <w:rFonts w:ascii="Times New Roman" w:eastAsia="Cambria" w:hAnsi="Times New Roman"/>
          <w:szCs w:val="24"/>
          <w:lang w:eastAsia="ja-JP"/>
        </w:rPr>
        <w:t xml:space="preserve"> </w:t>
      </w:r>
      <w:r w:rsidR="00F25F21">
        <w:rPr>
          <w:rFonts w:ascii="Times New Roman" w:eastAsia="Cambria" w:hAnsi="Times New Roman"/>
          <w:szCs w:val="24"/>
          <w:lang w:eastAsia="ja-JP"/>
        </w:rPr>
        <w:t xml:space="preserve">To some extent; it is noteworthy that the PTC was not meant to determine truth pertaining to the </w:t>
      </w:r>
      <w:r w:rsidR="00697CD0">
        <w:rPr>
          <w:rFonts w:ascii="Times New Roman" w:eastAsia="Cambria" w:hAnsi="Times New Roman"/>
          <w:szCs w:val="24"/>
          <w:lang w:eastAsia="ja-JP"/>
        </w:rPr>
        <w:t>suspect's innocence or guil</w:t>
      </w:r>
      <w:r w:rsidR="00F25F21">
        <w:rPr>
          <w:rFonts w:ascii="Times New Roman" w:eastAsia="Cambria" w:hAnsi="Times New Roman"/>
          <w:szCs w:val="24"/>
          <w:lang w:eastAsia="ja-JP"/>
        </w:rPr>
        <w:t>t, as this is the function of the trial chamber. At this phase, what is required is to provide sufficient evidence to establish substantial grounds to believe that the suspect committed the crimes.</w:t>
      </w:r>
      <w:r w:rsidR="00F25F21">
        <w:rPr>
          <w:rStyle w:val="FootnoteReference"/>
          <w:rFonts w:ascii="Times New Roman" w:eastAsia="Cambria" w:hAnsi="Times New Roman"/>
          <w:szCs w:val="24"/>
          <w:lang w:eastAsia="ja-JP"/>
        </w:rPr>
        <w:footnoteReference w:id="242"/>
      </w:r>
    </w:p>
    <w:p w14:paraId="597B8778" w14:textId="2A9AE665" w:rsidR="002A62C8" w:rsidRPr="00772CFF" w:rsidRDefault="002A62C8" w:rsidP="002A62C8">
      <w:pPr>
        <w:spacing w:line="480" w:lineRule="auto"/>
        <w:jc w:val="both"/>
        <w:rPr>
          <w:rFonts w:ascii="Times New Roman" w:hAnsi="Times New Roman"/>
          <w:szCs w:val="24"/>
          <w:lang w:val="en-US"/>
        </w:rPr>
      </w:pPr>
      <w:r w:rsidRPr="00772CFF">
        <w:rPr>
          <w:rFonts w:ascii="Times New Roman" w:hAnsi="Times New Roman"/>
          <w:szCs w:val="24"/>
          <w:lang w:val="en-US"/>
        </w:rPr>
        <w:t xml:space="preserve">Some scholars have acknowledged the difference between </w:t>
      </w:r>
      <w:r>
        <w:rPr>
          <w:rFonts w:ascii="Times New Roman" w:hAnsi="Times New Roman"/>
          <w:szCs w:val="24"/>
          <w:lang w:val="en-US"/>
        </w:rPr>
        <w:t xml:space="preserve">the </w:t>
      </w:r>
      <w:r w:rsidRPr="00772CFF">
        <w:rPr>
          <w:rFonts w:ascii="Times New Roman" w:hAnsi="Times New Roman"/>
          <w:szCs w:val="24"/>
          <w:lang w:val="en-US"/>
        </w:rPr>
        <w:t xml:space="preserve">interests of the Prosecutor and </w:t>
      </w:r>
      <w:r>
        <w:rPr>
          <w:rFonts w:ascii="Times New Roman" w:hAnsi="Times New Roman"/>
          <w:szCs w:val="24"/>
          <w:lang w:val="en-US"/>
        </w:rPr>
        <w:t xml:space="preserve">the </w:t>
      </w:r>
      <w:r w:rsidRPr="00772CFF">
        <w:rPr>
          <w:rFonts w:ascii="Times New Roman" w:hAnsi="Times New Roman"/>
          <w:szCs w:val="24"/>
          <w:lang w:val="en-US"/>
        </w:rPr>
        <w:t>interests of victims.</w:t>
      </w:r>
      <w:r w:rsidRPr="00772CFF">
        <w:rPr>
          <w:rFonts w:ascii="Times New Roman" w:hAnsi="Times New Roman"/>
          <w:szCs w:val="24"/>
          <w:vertAlign w:val="superscript"/>
          <w:lang w:val="en-US"/>
        </w:rPr>
        <w:footnoteReference w:id="243"/>
      </w:r>
      <w:r w:rsidRPr="00772CFF">
        <w:rPr>
          <w:rFonts w:ascii="Times New Roman" w:hAnsi="Times New Roman"/>
          <w:szCs w:val="24"/>
          <w:lang w:val="en-US"/>
        </w:rPr>
        <w:t xml:space="preserve">As mentioned earlier, </w:t>
      </w:r>
      <w:r>
        <w:rPr>
          <w:rFonts w:ascii="Times New Roman" w:hAnsi="Times New Roman"/>
          <w:szCs w:val="24"/>
          <w:lang w:val="en-US"/>
        </w:rPr>
        <w:t xml:space="preserve">the </w:t>
      </w:r>
      <w:r w:rsidRPr="00772CFF">
        <w:rPr>
          <w:rFonts w:ascii="Times New Roman" w:hAnsi="Times New Roman"/>
          <w:szCs w:val="24"/>
          <w:lang w:val="en-US"/>
        </w:rPr>
        <w:t>prosecutor represents the interests of society.</w:t>
      </w:r>
      <w:r>
        <w:rPr>
          <w:rFonts w:ascii="Times New Roman" w:hAnsi="Times New Roman"/>
          <w:szCs w:val="24"/>
          <w:lang w:val="en-US"/>
        </w:rPr>
        <w:t xml:space="preserve"> </w:t>
      </w:r>
      <w:r w:rsidRPr="00772CFF">
        <w:rPr>
          <w:rFonts w:ascii="Times New Roman" w:hAnsi="Times New Roman"/>
          <w:szCs w:val="24"/>
          <w:lang w:val="en-US"/>
        </w:rPr>
        <w:t xml:space="preserve">There are situations in which victims’ interests may overlap with </w:t>
      </w:r>
      <w:r>
        <w:rPr>
          <w:rFonts w:ascii="Times New Roman" w:hAnsi="Times New Roman"/>
          <w:szCs w:val="24"/>
          <w:lang w:val="en-US"/>
        </w:rPr>
        <w:t xml:space="preserve">the </w:t>
      </w:r>
      <w:r w:rsidRPr="00772CFF">
        <w:rPr>
          <w:rFonts w:ascii="Times New Roman" w:hAnsi="Times New Roman"/>
          <w:szCs w:val="24"/>
          <w:lang w:val="en-US"/>
        </w:rPr>
        <w:t>prosecutor’s interests.</w:t>
      </w:r>
      <w:r>
        <w:rPr>
          <w:rFonts w:ascii="Times New Roman" w:hAnsi="Times New Roman"/>
          <w:szCs w:val="24"/>
          <w:lang w:val="en-US"/>
        </w:rPr>
        <w:t xml:space="preserve"> </w:t>
      </w:r>
      <w:r w:rsidRPr="00772CFF">
        <w:rPr>
          <w:rFonts w:ascii="Times New Roman" w:hAnsi="Times New Roman"/>
          <w:szCs w:val="24"/>
          <w:lang w:val="en-US"/>
        </w:rPr>
        <w:t xml:space="preserve">Similarly, </w:t>
      </w:r>
      <w:r>
        <w:rPr>
          <w:rFonts w:ascii="Times New Roman" w:hAnsi="Times New Roman"/>
          <w:szCs w:val="24"/>
          <w:lang w:val="en-US"/>
        </w:rPr>
        <w:t xml:space="preserve">the </w:t>
      </w:r>
      <w:r w:rsidRPr="00772CFF">
        <w:rPr>
          <w:rFonts w:ascii="Times New Roman" w:hAnsi="Times New Roman"/>
          <w:szCs w:val="24"/>
          <w:lang w:val="en-US"/>
        </w:rPr>
        <w:t xml:space="preserve">victims’ role may also </w:t>
      </w:r>
      <w:r w:rsidR="00F55F69">
        <w:rPr>
          <w:rFonts w:ascii="Times New Roman" w:hAnsi="Times New Roman"/>
          <w:szCs w:val="24"/>
          <w:lang w:val="en-US"/>
        </w:rPr>
        <w:t>coincide</w:t>
      </w:r>
      <w:r w:rsidRPr="00772CFF">
        <w:rPr>
          <w:rFonts w:ascii="Times New Roman" w:hAnsi="Times New Roman"/>
          <w:szCs w:val="24"/>
          <w:lang w:val="en-US"/>
        </w:rPr>
        <w:t xml:space="preserve"> with </w:t>
      </w:r>
      <w:r>
        <w:rPr>
          <w:rFonts w:ascii="Times New Roman" w:hAnsi="Times New Roman"/>
          <w:szCs w:val="24"/>
          <w:lang w:val="en-US"/>
        </w:rPr>
        <w:t xml:space="preserve">the </w:t>
      </w:r>
      <w:r w:rsidRPr="00772CFF">
        <w:rPr>
          <w:rFonts w:ascii="Times New Roman" w:hAnsi="Times New Roman"/>
          <w:szCs w:val="24"/>
          <w:lang w:val="en-US"/>
        </w:rPr>
        <w:lastRenderedPageBreak/>
        <w:t>prosecutor’s role.</w:t>
      </w:r>
      <w:r>
        <w:rPr>
          <w:rFonts w:ascii="Times New Roman" w:hAnsi="Times New Roman"/>
          <w:szCs w:val="24"/>
          <w:lang w:val="en-US"/>
        </w:rPr>
        <w:t xml:space="preserve"> For instance, the role they perform in ascertaining the truth reflects their interests in </w:t>
      </w:r>
      <w:r w:rsidR="00F55F69">
        <w:rPr>
          <w:rFonts w:ascii="Times New Roman" w:hAnsi="Times New Roman"/>
          <w:szCs w:val="24"/>
          <w:lang w:val="en-US"/>
        </w:rPr>
        <w:t>determining</w:t>
      </w:r>
      <w:r>
        <w:rPr>
          <w:rFonts w:ascii="Times New Roman" w:hAnsi="Times New Roman"/>
          <w:szCs w:val="24"/>
          <w:lang w:val="en-US"/>
        </w:rPr>
        <w:t xml:space="preserve"> the truth. The interests of victims could be interests general to all the victims or claims distinct to each victim. Ascertaining the latter requires a case-by-case basis. The Chambers have interpreted </w:t>
      </w:r>
      <w:r w:rsidR="00F55F69">
        <w:rPr>
          <w:rFonts w:ascii="Times New Roman" w:hAnsi="Times New Roman"/>
          <w:szCs w:val="24"/>
          <w:lang w:val="en-US"/>
        </w:rPr>
        <w:t>victims' general interests to include reparations, safety and security measures, presenting their views and concerns, verifying specific facts,</w:t>
      </w:r>
      <w:r>
        <w:rPr>
          <w:rFonts w:ascii="Times New Roman" w:hAnsi="Times New Roman"/>
          <w:szCs w:val="24"/>
          <w:lang w:val="en-US"/>
        </w:rPr>
        <w:t xml:space="preserve"> and ascertaining the truth, protecting their dignity at trial.</w:t>
      </w:r>
      <w:r>
        <w:rPr>
          <w:rStyle w:val="FootnoteReference"/>
          <w:rFonts w:ascii="Times New Roman" w:hAnsi="Times New Roman"/>
          <w:szCs w:val="24"/>
          <w:lang w:val="en-US"/>
        </w:rPr>
        <w:footnoteReference w:id="244"/>
      </w:r>
      <w:r>
        <w:rPr>
          <w:rFonts w:ascii="Times New Roman" w:hAnsi="Times New Roman"/>
          <w:szCs w:val="24"/>
          <w:lang w:val="en-US"/>
        </w:rPr>
        <w:t>In the same vein, general interests also include identification and prosecution of the alleged perpetrators.</w:t>
      </w:r>
      <w:r>
        <w:rPr>
          <w:rStyle w:val="FootnoteReference"/>
          <w:rFonts w:ascii="Times New Roman" w:hAnsi="Times New Roman"/>
          <w:szCs w:val="24"/>
          <w:lang w:val="en-US"/>
        </w:rPr>
        <w:footnoteReference w:id="245"/>
      </w:r>
    </w:p>
    <w:p w14:paraId="7308F290" w14:textId="03CA4479" w:rsidR="002A62C8" w:rsidRPr="00772CFF" w:rsidRDefault="002A62C8" w:rsidP="002A62C8">
      <w:pPr>
        <w:spacing w:line="480" w:lineRule="auto"/>
        <w:jc w:val="both"/>
        <w:rPr>
          <w:rFonts w:ascii="Times New Roman" w:hAnsi="Times New Roman"/>
          <w:szCs w:val="24"/>
          <w:lang w:val="en-US"/>
        </w:rPr>
      </w:pPr>
      <w:r w:rsidRPr="00772CFF">
        <w:rPr>
          <w:rFonts w:ascii="Times New Roman" w:hAnsi="Times New Roman"/>
          <w:szCs w:val="24"/>
          <w:lang w:val="en-US"/>
        </w:rPr>
        <w:t>The role of victims in criminal proceedings is not unconnected to their personal interests.</w:t>
      </w:r>
      <w:r>
        <w:rPr>
          <w:rFonts w:ascii="Times New Roman" w:hAnsi="Times New Roman"/>
          <w:szCs w:val="24"/>
          <w:lang w:val="en-US"/>
        </w:rPr>
        <w:t xml:space="preserve"> </w:t>
      </w:r>
      <w:r w:rsidRPr="00772CFF">
        <w:rPr>
          <w:rFonts w:ascii="Times New Roman" w:hAnsi="Times New Roman"/>
          <w:szCs w:val="24"/>
          <w:lang w:val="en-US"/>
        </w:rPr>
        <w:t>For instance, the ICC incorporated two different approaches to determining the role of victims in proceedings.</w:t>
      </w:r>
      <w:r>
        <w:rPr>
          <w:rFonts w:ascii="Times New Roman" w:hAnsi="Times New Roman"/>
          <w:szCs w:val="24"/>
          <w:lang w:val="en-US"/>
        </w:rPr>
        <w:t xml:space="preserve"> </w:t>
      </w:r>
      <w:r w:rsidRPr="00772CFF">
        <w:rPr>
          <w:rFonts w:ascii="Times New Roman" w:hAnsi="Times New Roman"/>
          <w:szCs w:val="24"/>
          <w:lang w:val="en-US"/>
        </w:rPr>
        <w:t xml:space="preserve">The first is </w:t>
      </w:r>
      <w:r>
        <w:rPr>
          <w:rFonts w:ascii="Times New Roman" w:hAnsi="Times New Roman"/>
          <w:szCs w:val="24"/>
          <w:lang w:val="en-US"/>
        </w:rPr>
        <w:t xml:space="preserve">a </w:t>
      </w:r>
      <w:r w:rsidRPr="00772CFF">
        <w:rPr>
          <w:rFonts w:ascii="Times New Roman" w:hAnsi="Times New Roman"/>
          <w:szCs w:val="24"/>
          <w:lang w:val="en-US"/>
        </w:rPr>
        <w:t>systematic approach</w:t>
      </w:r>
      <w:r>
        <w:rPr>
          <w:rFonts w:ascii="Times New Roman" w:hAnsi="Times New Roman"/>
          <w:szCs w:val="24"/>
          <w:lang w:val="en-US"/>
        </w:rPr>
        <w:t>,</w:t>
      </w:r>
      <w:r w:rsidRPr="00772CFF">
        <w:rPr>
          <w:rFonts w:ascii="Times New Roman" w:hAnsi="Times New Roman"/>
          <w:szCs w:val="24"/>
          <w:lang w:val="en-US"/>
        </w:rPr>
        <w:t xml:space="preserve"> while the other is </w:t>
      </w:r>
      <w:r>
        <w:rPr>
          <w:rFonts w:ascii="Times New Roman" w:hAnsi="Times New Roman"/>
          <w:szCs w:val="24"/>
          <w:lang w:val="en-US"/>
        </w:rPr>
        <w:t xml:space="preserve">a </w:t>
      </w:r>
      <w:r w:rsidRPr="00772CFF">
        <w:rPr>
          <w:rFonts w:ascii="Times New Roman" w:hAnsi="Times New Roman"/>
          <w:szCs w:val="24"/>
          <w:lang w:val="en-US"/>
        </w:rPr>
        <w:t>casuistic approach.</w:t>
      </w:r>
      <w:r>
        <w:rPr>
          <w:rStyle w:val="FootnoteReference"/>
          <w:rFonts w:ascii="Times New Roman" w:hAnsi="Times New Roman"/>
          <w:szCs w:val="24"/>
          <w:lang w:val="en-US"/>
        </w:rPr>
        <w:footnoteReference w:id="246"/>
      </w:r>
      <w:r>
        <w:rPr>
          <w:rFonts w:ascii="Times New Roman" w:hAnsi="Times New Roman"/>
          <w:szCs w:val="24"/>
          <w:lang w:val="en-US"/>
        </w:rPr>
        <w:t xml:space="preserve">The systematic approach illustrates that once </w:t>
      </w:r>
      <w:r w:rsidR="00F55F69">
        <w:rPr>
          <w:rFonts w:ascii="Times New Roman" w:hAnsi="Times New Roman"/>
          <w:szCs w:val="24"/>
          <w:lang w:val="en-US"/>
        </w:rPr>
        <w:t>victims' procedural status has</w:t>
      </w:r>
      <w:r>
        <w:rPr>
          <w:rFonts w:ascii="Times New Roman" w:hAnsi="Times New Roman"/>
          <w:szCs w:val="24"/>
          <w:lang w:val="en-US"/>
        </w:rPr>
        <w:t xml:space="preserve"> been verified at the initial stage(investigation stage of a situation or a preliminary stage), where a new situation or case arises, such victims do not require new verification.</w:t>
      </w:r>
      <w:r>
        <w:rPr>
          <w:rStyle w:val="FootnoteReference"/>
          <w:rFonts w:ascii="Times New Roman" w:hAnsi="Times New Roman"/>
          <w:szCs w:val="24"/>
          <w:lang w:val="en-US"/>
        </w:rPr>
        <w:footnoteReference w:id="247"/>
      </w:r>
      <w:r>
        <w:rPr>
          <w:rFonts w:ascii="Times New Roman" w:hAnsi="Times New Roman"/>
          <w:szCs w:val="24"/>
          <w:lang w:val="en-US"/>
        </w:rPr>
        <w:t xml:space="preserve"> Conversely, the casuistic approach precludes the application of a one-way verification for the procedural status of victims. It is suggested that the </w:t>
      </w:r>
      <w:r>
        <w:rPr>
          <w:rFonts w:ascii="Times New Roman" w:hAnsi="Times New Roman"/>
          <w:szCs w:val="24"/>
          <w:lang w:val="en-US"/>
        </w:rPr>
        <w:lastRenderedPageBreak/>
        <w:t xml:space="preserve">systematic approach fosters efficient trial and promotes time management for criminal trial at the ICC. </w:t>
      </w:r>
    </w:p>
    <w:p w14:paraId="6A0A8287" w14:textId="597A5EDD" w:rsidR="00772CFF" w:rsidRDefault="002A62C8" w:rsidP="0083295D">
      <w:pPr>
        <w:spacing w:line="480" w:lineRule="auto"/>
        <w:jc w:val="both"/>
        <w:rPr>
          <w:rFonts w:ascii="Times New Roman" w:hAnsi="Times New Roman"/>
          <w:szCs w:val="24"/>
          <w:lang w:val="en-US"/>
        </w:rPr>
      </w:pPr>
      <w:r>
        <w:rPr>
          <w:rFonts w:ascii="Times New Roman" w:hAnsi="Times New Roman"/>
          <w:szCs w:val="24"/>
        </w:rPr>
        <w:t xml:space="preserve"> </w:t>
      </w:r>
      <w:r w:rsidR="00772CFF" w:rsidRPr="00772CFF">
        <w:rPr>
          <w:rFonts w:ascii="Times New Roman" w:hAnsi="Times New Roman"/>
          <w:szCs w:val="24"/>
          <w:lang w:val="en-US"/>
        </w:rPr>
        <w:t xml:space="preserve">In </w:t>
      </w:r>
      <w:r w:rsidR="003B3A95">
        <w:rPr>
          <w:rFonts w:ascii="Times New Roman" w:hAnsi="Times New Roman"/>
          <w:szCs w:val="24"/>
          <w:lang w:val="en-US"/>
        </w:rPr>
        <w:t xml:space="preserve">some parts of </w:t>
      </w:r>
      <w:r w:rsidR="00772CFF" w:rsidRPr="00772CFF">
        <w:rPr>
          <w:rFonts w:ascii="Times New Roman" w:hAnsi="Times New Roman"/>
          <w:szCs w:val="24"/>
          <w:lang w:val="en-US"/>
        </w:rPr>
        <w:t>cont</w:t>
      </w:r>
      <w:r w:rsidR="003B3A95">
        <w:rPr>
          <w:rFonts w:ascii="Times New Roman" w:hAnsi="Times New Roman"/>
          <w:szCs w:val="24"/>
          <w:lang w:val="en-US"/>
        </w:rPr>
        <w:t xml:space="preserve">inental Europe, victims are </w:t>
      </w:r>
      <w:r w:rsidR="00772CFF" w:rsidRPr="00772CFF">
        <w:rPr>
          <w:rFonts w:ascii="Times New Roman" w:hAnsi="Times New Roman"/>
          <w:szCs w:val="24"/>
          <w:lang w:val="en-US"/>
        </w:rPr>
        <w:t>referred to as ‘</w:t>
      </w:r>
      <w:r w:rsidR="00772CFF" w:rsidRPr="003B3A95">
        <w:rPr>
          <w:rFonts w:ascii="Times New Roman" w:hAnsi="Times New Roman"/>
          <w:i/>
          <w:szCs w:val="24"/>
          <w:lang w:val="en-US"/>
        </w:rPr>
        <w:t>partie</w:t>
      </w:r>
      <w:r w:rsidR="00F55F69">
        <w:rPr>
          <w:rFonts w:ascii="Times New Roman" w:hAnsi="Times New Roman"/>
          <w:i/>
          <w:szCs w:val="24"/>
          <w:lang w:val="en-US"/>
        </w:rPr>
        <w:t>s</w:t>
      </w:r>
      <w:r w:rsidR="00772CFF" w:rsidRPr="003B3A95">
        <w:rPr>
          <w:rFonts w:ascii="Times New Roman" w:hAnsi="Times New Roman"/>
          <w:i/>
          <w:szCs w:val="24"/>
          <w:lang w:val="en-US"/>
        </w:rPr>
        <w:t xml:space="preserve"> civile’</w:t>
      </w:r>
      <w:r w:rsidR="00772CFF" w:rsidRPr="00772CFF">
        <w:rPr>
          <w:rFonts w:ascii="Times New Roman" w:hAnsi="Times New Roman"/>
          <w:szCs w:val="24"/>
          <w:lang w:val="en-US"/>
        </w:rPr>
        <w:t>,</w:t>
      </w:r>
      <w:r w:rsidR="00772CFF" w:rsidRPr="00772CFF">
        <w:rPr>
          <w:rFonts w:ascii="Times New Roman" w:hAnsi="Times New Roman"/>
          <w:szCs w:val="24"/>
          <w:vertAlign w:val="superscript"/>
          <w:lang w:val="en-US"/>
        </w:rPr>
        <w:footnoteReference w:id="248"/>
      </w:r>
      <w:r w:rsidR="00772CFF" w:rsidRPr="00772CFF">
        <w:rPr>
          <w:rFonts w:ascii="Times New Roman" w:hAnsi="Times New Roman"/>
          <w:szCs w:val="24"/>
          <w:lang w:val="en-US"/>
        </w:rPr>
        <w:t xml:space="preserve"> </w:t>
      </w:r>
      <w:proofErr w:type="spellStart"/>
      <w:r w:rsidR="00360EE1">
        <w:rPr>
          <w:rFonts w:ascii="Times New Roman" w:hAnsi="Times New Roman"/>
          <w:szCs w:val="24"/>
          <w:lang w:val="en-US"/>
        </w:rPr>
        <w:t>A</w:t>
      </w:r>
      <w:r w:rsidR="00772CFF" w:rsidRPr="00772CFF">
        <w:rPr>
          <w:rFonts w:ascii="Times New Roman" w:hAnsi="Times New Roman"/>
          <w:szCs w:val="24"/>
          <w:lang w:val="en-US"/>
        </w:rPr>
        <w:t>uxillary</w:t>
      </w:r>
      <w:proofErr w:type="spellEnd"/>
      <w:r w:rsidR="00772CFF" w:rsidRPr="00772CFF">
        <w:rPr>
          <w:rFonts w:ascii="Times New Roman" w:hAnsi="Times New Roman"/>
          <w:szCs w:val="24"/>
          <w:lang w:val="en-US"/>
        </w:rPr>
        <w:t xml:space="preserve"> prosecutor.</w:t>
      </w:r>
      <w:r w:rsidR="00772CFF" w:rsidRPr="00772CFF">
        <w:rPr>
          <w:rFonts w:ascii="Times New Roman" w:hAnsi="Times New Roman"/>
          <w:szCs w:val="24"/>
          <w:vertAlign w:val="superscript"/>
          <w:lang w:val="en-US"/>
        </w:rPr>
        <w:footnoteReference w:id="249"/>
      </w:r>
      <w:r w:rsidR="00772CFF" w:rsidRPr="00772CFF">
        <w:rPr>
          <w:rFonts w:ascii="Times New Roman" w:hAnsi="Times New Roman"/>
          <w:szCs w:val="24"/>
          <w:lang w:val="en-US"/>
        </w:rPr>
        <w:t xml:space="preserve">As </w:t>
      </w:r>
      <w:r w:rsidR="00772CFF" w:rsidRPr="003B3A95">
        <w:rPr>
          <w:rFonts w:ascii="Times New Roman" w:hAnsi="Times New Roman"/>
          <w:i/>
          <w:szCs w:val="24"/>
          <w:lang w:val="en-US"/>
        </w:rPr>
        <w:t>partie</w:t>
      </w:r>
      <w:r w:rsidR="00F55F69">
        <w:rPr>
          <w:rFonts w:ascii="Times New Roman" w:hAnsi="Times New Roman"/>
          <w:i/>
          <w:szCs w:val="24"/>
          <w:lang w:val="en-US"/>
        </w:rPr>
        <w:t>s</w:t>
      </w:r>
      <w:r w:rsidR="00772CFF" w:rsidRPr="003B3A95">
        <w:rPr>
          <w:rFonts w:ascii="Times New Roman" w:hAnsi="Times New Roman"/>
          <w:i/>
          <w:szCs w:val="24"/>
          <w:lang w:val="en-US"/>
        </w:rPr>
        <w:t xml:space="preserve"> civile</w:t>
      </w:r>
      <w:r w:rsidR="00772CFF" w:rsidRPr="00772CFF">
        <w:rPr>
          <w:rFonts w:ascii="Times New Roman" w:hAnsi="Times New Roman"/>
          <w:szCs w:val="24"/>
          <w:lang w:val="en-US"/>
        </w:rPr>
        <w:t>, the victims are encouraged to participate in proceedings to facilitate civil compensation.</w:t>
      </w:r>
      <w:r w:rsidR="003B3A95">
        <w:rPr>
          <w:rFonts w:ascii="Times New Roman" w:hAnsi="Times New Roman"/>
          <w:szCs w:val="24"/>
          <w:lang w:val="en-US"/>
        </w:rPr>
        <w:t xml:space="preserve"> </w:t>
      </w:r>
      <w:r w:rsidR="00772CFF" w:rsidRPr="00772CFF">
        <w:rPr>
          <w:rFonts w:ascii="Times New Roman" w:hAnsi="Times New Roman"/>
          <w:szCs w:val="24"/>
          <w:lang w:val="en-US"/>
        </w:rPr>
        <w:t xml:space="preserve">This is limited to establishing </w:t>
      </w:r>
      <w:r w:rsidR="00360EE1">
        <w:rPr>
          <w:rFonts w:ascii="Times New Roman" w:hAnsi="Times New Roman"/>
          <w:szCs w:val="24"/>
          <w:lang w:val="en-US"/>
        </w:rPr>
        <w:t xml:space="preserve">a </w:t>
      </w:r>
      <w:r w:rsidR="00772CFF" w:rsidRPr="00772CFF">
        <w:rPr>
          <w:rFonts w:ascii="Times New Roman" w:hAnsi="Times New Roman"/>
          <w:szCs w:val="24"/>
          <w:lang w:val="en-US"/>
        </w:rPr>
        <w:t>civil compensation claim.</w:t>
      </w:r>
      <w:r w:rsidR="00772CFF" w:rsidRPr="00772CFF">
        <w:rPr>
          <w:rFonts w:ascii="Times New Roman" w:hAnsi="Times New Roman"/>
          <w:szCs w:val="24"/>
          <w:vertAlign w:val="superscript"/>
          <w:lang w:val="en-US"/>
        </w:rPr>
        <w:footnoteReference w:id="250"/>
      </w:r>
      <w:r w:rsidR="00772CFF" w:rsidRPr="00772CFF">
        <w:rPr>
          <w:rFonts w:ascii="Times New Roman" w:hAnsi="Times New Roman"/>
          <w:szCs w:val="24"/>
          <w:lang w:val="en-US"/>
        </w:rPr>
        <w:t xml:space="preserve"> Within the inquisitorial criminal procedure, victims are seen as separate parties in the criminal proceedings.</w:t>
      </w:r>
      <w:r w:rsidR="00772CFF" w:rsidRPr="00772CFF">
        <w:rPr>
          <w:rFonts w:ascii="Times New Roman" w:hAnsi="Times New Roman"/>
          <w:szCs w:val="24"/>
          <w:vertAlign w:val="superscript"/>
          <w:lang w:val="en-US"/>
        </w:rPr>
        <w:footnoteReference w:id="251"/>
      </w:r>
      <w:r w:rsidR="00772CFF" w:rsidRPr="00772CFF">
        <w:rPr>
          <w:rFonts w:ascii="Times New Roman" w:hAnsi="Times New Roman"/>
          <w:szCs w:val="24"/>
          <w:lang w:val="en-US"/>
        </w:rPr>
        <w:t xml:space="preserve">They are independent of the prosecutor as they pursue their interests without being subject to the </w:t>
      </w:r>
      <w:r w:rsidR="00F55F69">
        <w:rPr>
          <w:rFonts w:ascii="Times New Roman" w:hAnsi="Times New Roman"/>
          <w:szCs w:val="24"/>
          <w:lang w:val="en-US"/>
        </w:rPr>
        <w:t>prosecutor's control</w:t>
      </w:r>
      <w:r w:rsidR="00772CFF" w:rsidRPr="00772CFF">
        <w:rPr>
          <w:rFonts w:ascii="Times New Roman" w:hAnsi="Times New Roman"/>
          <w:szCs w:val="24"/>
          <w:lang w:val="en-US"/>
        </w:rPr>
        <w:t>. In this instance</w:t>
      </w:r>
      <w:r w:rsidR="00360EE1">
        <w:rPr>
          <w:rFonts w:ascii="Times New Roman" w:hAnsi="Times New Roman"/>
          <w:szCs w:val="24"/>
          <w:lang w:val="en-US"/>
        </w:rPr>
        <w:t>,</w:t>
      </w:r>
      <w:r w:rsidR="00772CFF" w:rsidRPr="00772CFF">
        <w:rPr>
          <w:rFonts w:ascii="Times New Roman" w:hAnsi="Times New Roman"/>
          <w:szCs w:val="24"/>
          <w:lang w:val="en-US"/>
        </w:rPr>
        <w:t xml:space="preserve"> victims submit evidence,</w:t>
      </w:r>
      <w:r w:rsidR="007B0D9C">
        <w:rPr>
          <w:rFonts w:ascii="Times New Roman" w:hAnsi="Times New Roman"/>
          <w:szCs w:val="24"/>
          <w:lang w:val="en-US"/>
        </w:rPr>
        <w:t xml:space="preserve"> </w:t>
      </w:r>
      <w:r w:rsidR="00772CFF" w:rsidRPr="00772CFF">
        <w:rPr>
          <w:rFonts w:ascii="Times New Roman" w:hAnsi="Times New Roman"/>
          <w:szCs w:val="24"/>
          <w:lang w:val="en-US"/>
        </w:rPr>
        <w:t xml:space="preserve">respond to submissions made by the prosecution and the </w:t>
      </w:r>
      <w:proofErr w:type="spellStart"/>
      <w:r w:rsidR="00772CFF" w:rsidRPr="00772CFF">
        <w:rPr>
          <w:rFonts w:ascii="Times New Roman" w:hAnsi="Times New Roman"/>
          <w:szCs w:val="24"/>
          <w:lang w:val="en-US"/>
        </w:rPr>
        <w:t>defence</w:t>
      </w:r>
      <w:proofErr w:type="spellEnd"/>
      <w:r w:rsidR="00772CFF" w:rsidRPr="00772CFF">
        <w:rPr>
          <w:rFonts w:ascii="Times New Roman" w:hAnsi="Times New Roman"/>
          <w:szCs w:val="24"/>
          <w:lang w:val="en-US"/>
        </w:rPr>
        <w:t>.</w:t>
      </w:r>
      <w:r w:rsidR="00772CFF" w:rsidRPr="00772CFF">
        <w:rPr>
          <w:rFonts w:ascii="Times New Roman" w:hAnsi="Times New Roman"/>
          <w:szCs w:val="24"/>
          <w:vertAlign w:val="superscript"/>
          <w:lang w:val="en-US"/>
        </w:rPr>
        <w:footnoteReference w:id="252"/>
      </w:r>
      <w:r w:rsidR="00F55F69">
        <w:rPr>
          <w:rFonts w:ascii="Times New Roman" w:hAnsi="Times New Roman"/>
          <w:szCs w:val="24"/>
          <w:lang w:val="en-US"/>
        </w:rPr>
        <w:t>Also</w:t>
      </w:r>
      <w:r w:rsidR="00772CFF" w:rsidRPr="00772CFF">
        <w:rPr>
          <w:rFonts w:ascii="Times New Roman" w:hAnsi="Times New Roman"/>
          <w:szCs w:val="24"/>
          <w:lang w:val="en-US"/>
        </w:rPr>
        <w:t xml:space="preserve">, they express their opinions on decisions made by the court. They are independent and have </w:t>
      </w:r>
      <w:r w:rsidR="00360EE1">
        <w:rPr>
          <w:rFonts w:ascii="Times New Roman" w:hAnsi="Times New Roman"/>
          <w:szCs w:val="24"/>
          <w:lang w:val="en-US"/>
        </w:rPr>
        <w:t xml:space="preserve">the </w:t>
      </w:r>
      <w:r w:rsidR="00772CFF" w:rsidRPr="00772CFF">
        <w:rPr>
          <w:rFonts w:ascii="Times New Roman" w:hAnsi="Times New Roman"/>
          <w:szCs w:val="24"/>
          <w:lang w:val="en-US"/>
        </w:rPr>
        <w:t>right to legal representation, with an independent voice.</w:t>
      </w:r>
      <w:r w:rsidR="007B0D9C">
        <w:rPr>
          <w:rFonts w:ascii="Times New Roman" w:hAnsi="Times New Roman"/>
          <w:szCs w:val="24"/>
          <w:lang w:val="en-US"/>
        </w:rPr>
        <w:t xml:space="preserve"> </w:t>
      </w:r>
      <w:r w:rsidR="00772CFF" w:rsidRPr="00772CFF">
        <w:rPr>
          <w:rFonts w:ascii="Times New Roman" w:hAnsi="Times New Roman"/>
          <w:szCs w:val="24"/>
          <w:lang w:val="en-US"/>
        </w:rPr>
        <w:t>The inquisitorial system of procedure, which is predominant in civil law jurisdictions</w:t>
      </w:r>
      <w:r w:rsidR="009D3189">
        <w:rPr>
          <w:rFonts w:ascii="Times New Roman" w:hAnsi="Times New Roman"/>
          <w:szCs w:val="24"/>
          <w:lang w:val="en-US"/>
        </w:rPr>
        <w:t>, reveals victims' independence</w:t>
      </w:r>
      <w:r w:rsidR="00772CFF" w:rsidRPr="00772CFF">
        <w:rPr>
          <w:rFonts w:ascii="Times New Roman" w:hAnsi="Times New Roman"/>
          <w:szCs w:val="24"/>
          <w:lang w:val="en-US"/>
        </w:rPr>
        <w:t xml:space="preserve"> in criminal procedure, a deviation from the norm in traditional common law jurisdictions.</w:t>
      </w:r>
      <w:r w:rsidR="007B0D9C">
        <w:rPr>
          <w:rFonts w:ascii="Times New Roman" w:hAnsi="Times New Roman"/>
          <w:szCs w:val="24"/>
          <w:lang w:val="en-US"/>
        </w:rPr>
        <w:t xml:space="preserve"> </w:t>
      </w:r>
      <w:r w:rsidR="00772CFF" w:rsidRPr="00772CFF">
        <w:rPr>
          <w:rFonts w:ascii="Times New Roman" w:hAnsi="Times New Roman"/>
          <w:szCs w:val="24"/>
          <w:lang w:val="en-US"/>
        </w:rPr>
        <w:t>Funk refer</w:t>
      </w:r>
      <w:r w:rsidR="007B0D9C">
        <w:rPr>
          <w:rFonts w:ascii="Times New Roman" w:hAnsi="Times New Roman"/>
          <w:szCs w:val="24"/>
          <w:lang w:val="en-US"/>
        </w:rPr>
        <w:t>s</w:t>
      </w:r>
      <w:r w:rsidR="00772CFF" w:rsidRPr="00772CFF">
        <w:rPr>
          <w:rFonts w:ascii="Times New Roman" w:hAnsi="Times New Roman"/>
          <w:szCs w:val="24"/>
          <w:lang w:val="en-US"/>
        </w:rPr>
        <w:t xml:space="preserve"> to victims as “</w:t>
      </w:r>
      <w:r w:rsidR="00772CFF" w:rsidRPr="00107E1E">
        <w:rPr>
          <w:rFonts w:ascii="Times New Roman" w:hAnsi="Times New Roman"/>
          <w:i/>
          <w:szCs w:val="24"/>
          <w:lang w:val="en-US"/>
        </w:rPr>
        <w:t>formally independent, co-equal participants</w:t>
      </w:r>
      <w:r w:rsidR="00772CFF" w:rsidRPr="00772CFF">
        <w:rPr>
          <w:rFonts w:ascii="Times New Roman" w:hAnsi="Times New Roman"/>
          <w:szCs w:val="24"/>
          <w:lang w:val="en-US"/>
        </w:rPr>
        <w:t>” in the proceedings.</w:t>
      </w:r>
      <w:r w:rsidR="00772CFF" w:rsidRPr="00772CFF">
        <w:rPr>
          <w:rFonts w:ascii="Times New Roman" w:hAnsi="Times New Roman"/>
          <w:szCs w:val="24"/>
          <w:vertAlign w:val="superscript"/>
          <w:lang w:val="en-US"/>
        </w:rPr>
        <w:footnoteReference w:id="253"/>
      </w:r>
      <w:r w:rsidR="00772CFF" w:rsidRPr="00772CFF">
        <w:rPr>
          <w:rFonts w:ascii="Times New Roman" w:hAnsi="Times New Roman"/>
          <w:szCs w:val="24"/>
          <w:lang w:val="en-US"/>
        </w:rPr>
        <w:t xml:space="preserve"> One reasonable implication of the civil law jurisdiction is the distinction between victims’ interests and prosecutor’s interests.</w:t>
      </w:r>
      <w:r w:rsidR="00360EE1">
        <w:rPr>
          <w:rFonts w:ascii="Times New Roman" w:hAnsi="Times New Roman"/>
          <w:szCs w:val="24"/>
          <w:lang w:val="en-US"/>
        </w:rPr>
        <w:t xml:space="preserve"> By </w:t>
      </w:r>
      <w:r w:rsidR="00360EE1">
        <w:rPr>
          <w:rFonts w:ascii="Times New Roman" w:hAnsi="Times New Roman"/>
          <w:szCs w:val="24"/>
          <w:lang w:val="en-US"/>
        </w:rPr>
        <w:lastRenderedPageBreak/>
        <w:t>analogy to</w:t>
      </w:r>
      <w:r w:rsidR="00772CFF" w:rsidRPr="00772CFF">
        <w:rPr>
          <w:rFonts w:ascii="Times New Roman" w:hAnsi="Times New Roman"/>
          <w:szCs w:val="24"/>
          <w:lang w:val="en-US"/>
        </w:rPr>
        <w:t xml:space="preserve"> the ICC, it is believed that victims pursue their interests while the Prosecutor represents general or community interests.</w:t>
      </w:r>
    </w:p>
    <w:p w14:paraId="71DBCE30" w14:textId="336C112A" w:rsidR="00F25F21" w:rsidRDefault="00F25F21" w:rsidP="00F25F21">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Many times, the adversarial procedure applies during the trial.</w:t>
      </w:r>
      <w:r>
        <w:rPr>
          <w:rStyle w:val="FootnoteReference"/>
          <w:rFonts w:ascii="Times New Roman" w:eastAsia="Cambria" w:hAnsi="Times New Roman"/>
          <w:szCs w:val="24"/>
          <w:lang w:eastAsia="ja-JP"/>
        </w:rPr>
        <w:footnoteReference w:id="254"/>
      </w:r>
      <w:r>
        <w:rPr>
          <w:rFonts w:ascii="Times New Roman" w:eastAsia="Cambria" w:hAnsi="Times New Roman"/>
          <w:szCs w:val="24"/>
          <w:lang w:eastAsia="ja-JP"/>
        </w:rPr>
        <w:t xml:space="preserve"> Nevertheless, It seems the PTC is more inquisitorial than the TC, especially in relation to the confirmation of charges. Article 60 provides for the charging process of a person-initial appearance before the PTC. The process continues until confirmation of charges before trial.</w:t>
      </w:r>
      <w:r>
        <w:rPr>
          <w:rStyle w:val="FootnoteReference"/>
          <w:rFonts w:ascii="Times New Roman" w:eastAsia="Cambria" w:hAnsi="Times New Roman"/>
          <w:szCs w:val="24"/>
          <w:lang w:eastAsia="ja-JP"/>
        </w:rPr>
        <w:footnoteReference w:id="255"/>
      </w:r>
      <w:r>
        <w:rPr>
          <w:rFonts w:ascii="Times New Roman" w:eastAsia="Cambria" w:hAnsi="Times New Roman"/>
          <w:szCs w:val="24"/>
          <w:lang w:eastAsia="ja-JP"/>
        </w:rPr>
        <w:t xml:space="preserve"> It is observed that the Pre-Trial Chamber plays an active role in the initial proceedings. It is actively involved in truth-seeking-a feature of the inquisitorial system of procedure. The PTC is responsible for the confirmation of charges hearing.</w:t>
      </w:r>
      <w:r>
        <w:rPr>
          <w:rStyle w:val="FootnoteReference"/>
          <w:rFonts w:ascii="Times New Roman" w:eastAsia="Cambria" w:hAnsi="Times New Roman"/>
          <w:szCs w:val="24"/>
          <w:lang w:eastAsia="ja-JP"/>
        </w:rPr>
        <w:footnoteReference w:id="256"/>
      </w:r>
      <w:r>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 </w:t>
      </w:r>
      <w:r>
        <w:rPr>
          <w:rFonts w:ascii="Times New Roman" w:eastAsia="Cambria" w:hAnsi="Times New Roman"/>
          <w:szCs w:val="24"/>
          <w:lang w:eastAsia="ja-JP"/>
        </w:rPr>
        <w:t>It also supervises the Prosecutor’s submission of charging document and evidence disclosure which is required at the hearing.</w:t>
      </w:r>
      <w:r>
        <w:rPr>
          <w:rStyle w:val="FootnoteReference"/>
          <w:rFonts w:ascii="Times New Roman" w:eastAsia="Cambria" w:hAnsi="Times New Roman"/>
          <w:szCs w:val="24"/>
          <w:lang w:eastAsia="ja-JP"/>
        </w:rPr>
        <w:footnoteReference w:id="257"/>
      </w:r>
      <w:r>
        <w:rPr>
          <w:rFonts w:ascii="Times New Roman" w:eastAsia="Cambria" w:hAnsi="Times New Roman"/>
          <w:szCs w:val="24"/>
          <w:lang w:eastAsia="ja-JP"/>
        </w:rPr>
        <w:t xml:space="preserve"> It appears the process for evidence disclosure aligns with the inquisitorial system. A perfect illustration is seen in the Lubanga case, which empowers the PTC to analyse the evidence</w:t>
      </w:r>
      <w:r>
        <w:rPr>
          <w:rStyle w:val="FootnoteReference"/>
          <w:rFonts w:ascii="Times New Roman" w:eastAsia="Cambria" w:hAnsi="Times New Roman"/>
          <w:szCs w:val="24"/>
          <w:lang w:eastAsia="ja-JP"/>
        </w:rPr>
        <w:footnoteReference w:id="258"/>
      </w:r>
      <w:r>
        <w:rPr>
          <w:rFonts w:ascii="Times New Roman" w:eastAsia="Cambria" w:hAnsi="Times New Roman"/>
          <w:szCs w:val="24"/>
          <w:lang w:eastAsia="ja-JP"/>
        </w:rPr>
        <w:t xml:space="preserve">-an investigative power. </w:t>
      </w:r>
      <w:proofErr w:type="spellStart"/>
      <w:r>
        <w:rPr>
          <w:rFonts w:ascii="Times New Roman" w:eastAsia="Cambria" w:hAnsi="Times New Roman"/>
          <w:szCs w:val="24"/>
          <w:lang w:eastAsia="ja-JP"/>
        </w:rPr>
        <w:t>Scheffer</w:t>
      </w:r>
      <w:proofErr w:type="spellEnd"/>
      <w:r>
        <w:rPr>
          <w:rFonts w:ascii="Times New Roman" w:eastAsia="Cambria" w:hAnsi="Times New Roman"/>
          <w:szCs w:val="24"/>
          <w:lang w:eastAsia="ja-JP"/>
        </w:rPr>
        <w:t xml:space="preserve"> notes that the disclosure system has transformed the judge into an active one with investigative </w:t>
      </w:r>
      <w:r>
        <w:rPr>
          <w:rFonts w:ascii="Times New Roman" w:eastAsia="Cambria" w:hAnsi="Times New Roman"/>
          <w:szCs w:val="24"/>
          <w:lang w:eastAsia="ja-JP"/>
        </w:rPr>
        <w:lastRenderedPageBreak/>
        <w:t>powers control over the parties and evidence as opposed to a passive judge and active parties.</w:t>
      </w:r>
      <w:r>
        <w:rPr>
          <w:rStyle w:val="FootnoteReference"/>
          <w:rFonts w:ascii="Times New Roman" w:eastAsia="Cambria" w:hAnsi="Times New Roman"/>
          <w:szCs w:val="24"/>
          <w:lang w:eastAsia="ja-JP"/>
        </w:rPr>
        <w:footnoteReference w:id="259"/>
      </w:r>
    </w:p>
    <w:p w14:paraId="1881FA75" w14:textId="77777777" w:rsidR="00F25F21" w:rsidRDefault="00F25F21" w:rsidP="00F25F21">
      <w:pPr>
        <w:spacing w:after="0" w:line="480" w:lineRule="auto"/>
        <w:jc w:val="both"/>
        <w:rPr>
          <w:rFonts w:ascii="Times New Roman" w:eastAsia="Cambria" w:hAnsi="Times New Roman"/>
          <w:szCs w:val="24"/>
          <w:lang w:eastAsia="ja-JP"/>
        </w:rPr>
      </w:pPr>
    </w:p>
    <w:p w14:paraId="4D720716" w14:textId="498E57E7" w:rsidR="00F25F21" w:rsidRPr="006E622A" w:rsidRDefault="00F25F21" w:rsidP="00F25F21">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To some extent; it is noteworthy that the PTC was not meant to determine truth pertaining to the </w:t>
      </w:r>
      <w:r w:rsidR="00F55F69">
        <w:rPr>
          <w:rFonts w:ascii="Times New Roman" w:eastAsia="Cambria" w:hAnsi="Times New Roman"/>
          <w:szCs w:val="24"/>
          <w:lang w:eastAsia="ja-JP"/>
        </w:rPr>
        <w:t>suspect's innocence or guil</w:t>
      </w:r>
      <w:r>
        <w:rPr>
          <w:rFonts w:ascii="Times New Roman" w:eastAsia="Cambria" w:hAnsi="Times New Roman"/>
          <w:szCs w:val="24"/>
          <w:lang w:eastAsia="ja-JP"/>
        </w:rPr>
        <w:t>t, as this is the function of the trial chamber. At this phase, what is required is to provide sufficient evidence to establish substantial grounds to believe that the suspect committed the crimes.</w:t>
      </w:r>
      <w:r>
        <w:rPr>
          <w:rStyle w:val="FootnoteReference"/>
          <w:rFonts w:ascii="Times New Roman" w:eastAsia="Cambria" w:hAnsi="Times New Roman"/>
          <w:szCs w:val="24"/>
          <w:lang w:eastAsia="ja-JP"/>
        </w:rPr>
        <w:footnoteReference w:id="260"/>
      </w:r>
      <w:r>
        <w:rPr>
          <w:rFonts w:ascii="Times New Roman" w:eastAsia="Cambria" w:hAnsi="Times New Roman"/>
          <w:szCs w:val="24"/>
          <w:lang w:eastAsia="ja-JP"/>
        </w:rPr>
        <w:t>The adversarial criminal procedure is cautious about granting victims extensive role and rights in the proceedings</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261"/>
      </w:r>
      <w:r>
        <w:rPr>
          <w:rFonts w:ascii="Times New Roman" w:eastAsia="Cambria" w:hAnsi="Times New Roman"/>
          <w:szCs w:val="24"/>
          <w:lang w:eastAsia="ja-JP"/>
        </w:rPr>
        <w:t xml:space="preserve"> In sharp contrast, </w:t>
      </w:r>
      <w:r w:rsidRPr="006E622A">
        <w:rPr>
          <w:rFonts w:ascii="Times New Roman" w:eastAsia="Cambria" w:hAnsi="Times New Roman"/>
          <w:szCs w:val="24"/>
          <w:lang w:eastAsia="ja-JP"/>
        </w:rPr>
        <w:t>the in</w:t>
      </w:r>
      <w:r>
        <w:rPr>
          <w:rFonts w:ascii="Times New Roman" w:eastAsia="Cambria" w:hAnsi="Times New Roman"/>
          <w:szCs w:val="24"/>
          <w:lang w:eastAsia="ja-JP"/>
        </w:rPr>
        <w:t xml:space="preserve">quisitorial criminal procedure, with its roots civil law traditions, grants extensive rights and </w:t>
      </w:r>
      <w:r w:rsidR="00F55F69">
        <w:rPr>
          <w:rFonts w:ascii="Times New Roman" w:eastAsia="Cambria" w:hAnsi="Times New Roman"/>
          <w:szCs w:val="24"/>
          <w:lang w:eastAsia="ja-JP"/>
        </w:rPr>
        <w:t>victims role</w:t>
      </w:r>
      <w:r>
        <w:rPr>
          <w:rFonts w:ascii="Times New Roman" w:eastAsia="Cambria" w:hAnsi="Times New Roman"/>
          <w:szCs w:val="24"/>
          <w:lang w:eastAsia="ja-JP"/>
        </w:rPr>
        <w:t>s. However, within the ICC context, victims</w:t>
      </w:r>
      <w:r w:rsidR="00F55F69">
        <w:rPr>
          <w:rFonts w:ascii="Times New Roman" w:eastAsia="Cambria" w:hAnsi="Times New Roman"/>
          <w:szCs w:val="24"/>
          <w:lang w:eastAsia="ja-JP"/>
        </w:rPr>
        <w:t>' rights are restricted because the trial process is primarily adversarial</w:t>
      </w:r>
      <w:r>
        <w:rPr>
          <w:rFonts w:ascii="Times New Roman" w:eastAsia="Cambria" w:hAnsi="Times New Roman"/>
          <w:szCs w:val="24"/>
          <w:lang w:eastAsia="ja-JP"/>
        </w:rPr>
        <w:t>. The parties have the full rights to participation as well as control over the presentation of evidence.</w:t>
      </w:r>
      <w:r>
        <w:rPr>
          <w:rStyle w:val="FootnoteReference"/>
          <w:rFonts w:ascii="Times New Roman" w:eastAsia="Cambria" w:hAnsi="Times New Roman"/>
          <w:szCs w:val="24"/>
          <w:lang w:eastAsia="ja-JP"/>
        </w:rPr>
        <w:footnoteReference w:id="262"/>
      </w:r>
      <w:r>
        <w:rPr>
          <w:rFonts w:ascii="Times New Roman" w:eastAsia="Cambria" w:hAnsi="Times New Roman"/>
          <w:szCs w:val="24"/>
          <w:lang w:eastAsia="ja-JP"/>
        </w:rPr>
        <w:t xml:space="preserve"> Although one may infer that the </w:t>
      </w:r>
      <w:r w:rsidR="00F55F69">
        <w:rPr>
          <w:rFonts w:ascii="Times New Roman" w:eastAsia="Cambria" w:hAnsi="Times New Roman"/>
          <w:szCs w:val="24"/>
          <w:lang w:eastAsia="ja-JP"/>
        </w:rPr>
        <w:t xml:space="preserve">ICC's criminal procedure is mixed, arguably, the ICC is largely adversarial than inquisitorial </w:t>
      </w:r>
      <w:r>
        <w:rPr>
          <w:rFonts w:ascii="Times New Roman" w:eastAsia="Cambria" w:hAnsi="Times New Roman"/>
          <w:szCs w:val="24"/>
          <w:lang w:eastAsia="ja-JP"/>
        </w:rPr>
        <w:t>because of the limitations on the exercise of victims’ rights.</w:t>
      </w:r>
      <w:r w:rsidRPr="00D132CF">
        <w:rPr>
          <w:rFonts w:ascii="Times New Roman" w:eastAsia="Cambria" w:hAnsi="Times New Roman"/>
          <w:szCs w:val="24"/>
          <w:lang w:eastAsia="ja-JP"/>
        </w:rPr>
        <w:t xml:space="preserve"> </w:t>
      </w:r>
      <w:r>
        <w:rPr>
          <w:rFonts w:ascii="Times New Roman" w:eastAsia="Cambria" w:hAnsi="Times New Roman"/>
          <w:szCs w:val="24"/>
          <w:lang w:eastAsia="ja-JP"/>
        </w:rPr>
        <w:t>As was mentioned in the introduction, the victims are third parties in the proceedings.</w:t>
      </w:r>
    </w:p>
    <w:p w14:paraId="7A217D96" w14:textId="77777777" w:rsidR="00F25F21" w:rsidRDefault="00F25F21" w:rsidP="0083295D">
      <w:pPr>
        <w:spacing w:line="480" w:lineRule="auto"/>
        <w:jc w:val="both"/>
        <w:rPr>
          <w:rFonts w:ascii="Times New Roman" w:hAnsi="Times New Roman"/>
          <w:szCs w:val="24"/>
          <w:lang w:val="en-US"/>
        </w:rPr>
      </w:pPr>
    </w:p>
    <w:p w14:paraId="6DB70B26" w14:textId="4593FF38" w:rsidR="000B4AF2" w:rsidRDefault="007C1A55" w:rsidP="006B62D0">
      <w:pPr>
        <w:spacing w:line="480" w:lineRule="auto"/>
        <w:jc w:val="both"/>
        <w:rPr>
          <w:rFonts w:ascii="Times New Roman" w:hAnsi="Times New Roman"/>
          <w:szCs w:val="24"/>
        </w:rPr>
      </w:pPr>
      <w:r>
        <w:rPr>
          <w:rFonts w:ascii="Times New Roman" w:hAnsi="Times New Roman"/>
          <w:szCs w:val="24"/>
        </w:rPr>
        <w:t>As stated previously</w:t>
      </w:r>
      <w:r w:rsidR="00772CFF" w:rsidRPr="00772CFF">
        <w:rPr>
          <w:rFonts w:ascii="Times New Roman" w:hAnsi="Times New Roman"/>
          <w:szCs w:val="24"/>
        </w:rPr>
        <w:t>, Article 68(3)  provides the most general provision for victim participation. It expressly indicates the significance of ‘</w:t>
      </w:r>
      <w:r w:rsidR="00772CFF" w:rsidRPr="005B6F75">
        <w:rPr>
          <w:rFonts w:ascii="Times New Roman" w:hAnsi="Times New Roman"/>
          <w:i/>
          <w:szCs w:val="24"/>
        </w:rPr>
        <w:t>personal interests’</w:t>
      </w:r>
      <w:r w:rsidR="00772CFF" w:rsidRPr="00772CFF">
        <w:rPr>
          <w:rFonts w:ascii="Times New Roman" w:hAnsi="Times New Roman"/>
          <w:szCs w:val="24"/>
        </w:rPr>
        <w:t xml:space="preserve"> as a yardstick for victims’ involvement in the proceedings.</w:t>
      </w:r>
      <w:r w:rsidR="007F267D">
        <w:rPr>
          <w:rFonts w:ascii="Times New Roman" w:hAnsi="Times New Roman"/>
          <w:szCs w:val="24"/>
        </w:rPr>
        <w:t xml:space="preserve"> </w:t>
      </w:r>
      <w:r w:rsidR="005B6F75">
        <w:rPr>
          <w:rFonts w:ascii="Times New Roman" w:hAnsi="Times New Roman"/>
          <w:szCs w:val="24"/>
        </w:rPr>
        <w:t>Victims interests may also include</w:t>
      </w:r>
      <w:r w:rsidR="00772CFF" w:rsidRPr="00772CFF">
        <w:rPr>
          <w:rFonts w:ascii="Times New Roman" w:hAnsi="Times New Roman"/>
          <w:szCs w:val="24"/>
        </w:rPr>
        <w:t xml:space="preserve"> reparations, truth, justice and protection.</w:t>
      </w:r>
      <w:r w:rsidR="005B6F75">
        <w:rPr>
          <w:rFonts w:ascii="Times New Roman" w:hAnsi="Times New Roman"/>
          <w:szCs w:val="24"/>
        </w:rPr>
        <w:t xml:space="preserve"> </w:t>
      </w:r>
      <w:r w:rsidR="00772CFF" w:rsidRPr="00772CFF">
        <w:rPr>
          <w:rFonts w:ascii="Times New Roman" w:hAnsi="Times New Roman"/>
          <w:szCs w:val="24"/>
        </w:rPr>
        <w:t>It is worth</w:t>
      </w:r>
      <w:r w:rsidR="00F55F69">
        <w:rPr>
          <w:rFonts w:ascii="Times New Roman" w:hAnsi="Times New Roman"/>
          <w:szCs w:val="24"/>
        </w:rPr>
        <w:t xml:space="preserve"> mentioning that the roles victims play during the trials depend</w:t>
      </w:r>
      <w:r w:rsidR="00772CFF" w:rsidRPr="00772CFF">
        <w:rPr>
          <w:rFonts w:ascii="Times New Roman" w:hAnsi="Times New Roman"/>
          <w:szCs w:val="24"/>
        </w:rPr>
        <w:t xml:space="preserve"> on their personal interests.</w:t>
      </w:r>
      <w:r w:rsidR="005B6F75">
        <w:rPr>
          <w:rFonts w:ascii="Times New Roman" w:hAnsi="Times New Roman"/>
          <w:szCs w:val="24"/>
        </w:rPr>
        <w:t xml:space="preserve"> </w:t>
      </w:r>
      <w:r w:rsidR="00772CFF" w:rsidRPr="00772CFF">
        <w:rPr>
          <w:rFonts w:ascii="Times New Roman" w:hAnsi="Times New Roman"/>
          <w:szCs w:val="24"/>
        </w:rPr>
        <w:t>It follows that if their personal interests</w:t>
      </w:r>
      <w:r>
        <w:rPr>
          <w:rFonts w:ascii="Times New Roman" w:hAnsi="Times New Roman"/>
          <w:szCs w:val="24"/>
        </w:rPr>
        <w:t xml:space="preserve"> are not affected, they may be precluded from participation</w:t>
      </w:r>
      <w:r w:rsidR="00772CFF" w:rsidRPr="00772CFF">
        <w:rPr>
          <w:rFonts w:ascii="Times New Roman" w:hAnsi="Times New Roman"/>
          <w:szCs w:val="24"/>
        </w:rPr>
        <w:t xml:space="preserve">. It would be beneficial for victims if they were included from the early stages like the </w:t>
      </w:r>
      <w:r w:rsidR="005B6F75">
        <w:rPr>
          <w:rFonts w:ascii="Times New Roman" w:hAnsi="Times New Roman"/>
          <w:szCs w:val="24"/>
        </w:rPr>
        <w:t xml:space="preserve">preliminary examination, </w:t>
      </w:r>
      <w:r w:rsidR="00772CFF" w:rsidRPr="00772CFF">
        <w:rPr>
          <w:rFonts w:ascii="Times New Roman" w:hAnsi="Times New Roman"/>
          <w:szCs w:val="24"/>
        </w:rPr>
        <w:t>investigation or situation.</w:t>
      </w:r>
      <w:r w:rsidR="00CB14FD">
        <w:rPr>
          <w:rFonts w:ascii="Times New Roman" w:hAnsi="Times New Roman"/>
          <w:szCs w:val="24"/>
        </w:rPr>
        <w:t xml:space="preserve"> Arguably, inclusion at initial phase </w:t>
      </w:r>
      <w:r w:rsidR="005B6F75">
        <w:rPr>
          <w:rFonts w:ascii="Times New Roman" w:hAnsi="Times New Roman"/>
          <w:szCs w:val="24"/>
        </w:rPr>
        <w:t>might increase their sense of belonging.</w:t>
      </w:r>
    </w:p>
    <w:p w14:paraId="7B759468" w14:textId="3F728E5E" w:rsidR="00772CFF" w:rsidRPr="00772CFF" w:rsidRDefault="002A62C8" w:rsidP="006B62D0">
      <w:pPr>
        <w:spacing w:line="480" w:lineRule="auto"/>
        <w:jc w:val="both"/>
        <w:rPr>
          <w:rFonts w:ascii="Times New Roman" w:hAnsi="Times New Roman"/>
          <w:szCs w:val="24"/>
        </w:rPr>
      </w:pPr>
      <w:r>
        <w:rPr>
          <w:rFonts w:ascii="Times New Roman" w:hAnsi="Times New Roman"/>
          <w:szCs w:val="24"/>
        </w:rPr>
        <w:t>Nevertheless</w:t>
      </w:r>
      <w:r w:rsidR="005B6F75">
        <w:rPr>
          <w:rFonts w:ascii="Times New Roman" w:hAnsi="Times New Roman"/>
          <w:szCs w:val="24"/>
        </w:rPr>
        <w:t xml:space="preserve">, </w:t>
      </w:r>
      <w:r w:rsidR="00456125">
        <w:rPr>
          <w:rFonts w:ascii="Times New Roman" w:hAnsi="Times New Roman"/>
          <w:szCs w:val="24"/>
        </w:rPr>
        <w:t>it may also heighten their expectation</w:t>
      </w:r>
      <w:r w:rsidR="00CB14FD">
        <w:rPr>
          <w:rFonts w:ascii="Times New Roman" w:hAnsi="Times New Roman"/>
          <w:szCs w:val="24"/>
        </w:rPr>
        <w:t>. While it is feasible if considered, one implication of victims inclusion at the initial phase is that there might be a risk of victims’ identity being compromised. Similarly, the perpetrators or allies of the perpetrators may threaten the life or safety of the victims.</w:t>
      </w:r>
      <w:r w:rsidR="006C3434">
        <w:rPr>
          <w:rFonts w:ascii="Times New Roman" w:hAnsi="Times New Roman"/>
          <w:szCs w:val="24"/>
        </w:rPr>
        <w:t xml:space="preserve"> One approach to fostering the effectiveness of victims</w:t>
      </w:r>
      <w:r w:rsidR="00F55F69">
        <w:rPr>
          <w:rFonts w:ascii="Times New Roman" w:hAnsi="Times New Roman"/>
          <w:szCs w:val="24"/>
        </w:rPr>
        <w:t>' inclusion at the phase is assessing the risk and providing</w:t>
      </w:r>
      <w:r w:rsidR="006C3434">
        <w:rPr>
          <w:rFonts w:ascii="Times New Roman" w:hAnsi="Times New Roman"/>
          <w:szCs w:val="24"/>
        </w:rPr>
        <w:t xml:space="preserve"> protective measures.</w:t>
      </w:r>
    </w:p>
    <w:p w14:paraId="68CB5E67" w14:textId="1FD00932" w:rsidR="00772CFF" w:rsidRDefault="00772CFF" w:rsidP="006B62D0">
      <w:pPr>
        <w:spacing w:line="480" w:lineRule="auto"/>
        <w:jc w:val="both"/>
        <w:rPr>
          <w:rFonts w:ascii="Times New Roman" w:hAnsi="Times New Roman"/>
          <w:szCs w:val="24"/>
        </w:rPr>
      </w:pPr>
      <w:proofErr w:type="spellStart"/>
      <w:r w:rsidRPr="00772CFF">
        <w:rPr>
          <w:rFonts w:ascii="Times New Roman" w:hAnsi="Times New Roman"/>
          <w:szCs w:val="24"/>
        </w:rPr>
        <w:t>Donat-Catin</w:t>
      </w:r>
      <w:proofErr w:type="spellEnd"/>
      <w:r w:rsidRPr="00772CFF">
        <w:rPr>
          <w:rFonts w:ascii="Times New Roman" w:hAnsi="Times New Roman"/>
          <w:szCs w:val="24"/>
        </w:rPr>
        <w:t xml:space="preserve"> and </w:t>
      </w:r>
      <w:proofErr w:type="spellStart"/>
      <w:r w:rsidRPr="00772CFF">
        <w:rPr>
          <w:rFonts w:ascii="Times New Roman" w:hAnsi="Times New Roman"/>
          <w:szCs w:val="24"/>
        </w:rPr>
        <w:t>Spees</w:t>
      </w:r>
      <w:proofErr w:type="spellEnd"/>
      <w:r w:rsidRPr="00772CFF">
        <w:rPr>
          <w:rFonts w:ascii="Times New Roman" w:hAnsi="Times New Roman"/>
          <w:szCs w:val="24"/>
        </w:rPr>
        <w:t xml:space="preserve"> criticised the criminal tribunals’ function because they failed to focus on victims’ interests. They argued that the </w:t>
      </w:r>
      <w:r w:rsidR="00F55F69">
        <w:rPr>
          <w:rFonts w:ascii="Times New Roman" w:hAnsi="Times New Roman"/>
          <w:szCs w:val="24"/>
        </w:rPr>
        <w:t>tribunals' inadequacie</w:t>
      </w:r>
      <w:r w:rsidRPr="00772CFF">
        <w:rPr>
          <w:rFonts w:ascii="Times New Roman" w:hAnsi="Times New Roman"/>
          <w:szCs w:val="24"/>
        </w:rPr>
        <w:t xml:space="preserve">s to consider victims’ interests led to </w:t>
      </w:r>
      <w:r w:rsidR="007C1A55">
        <w:rPr>
          <w:rFonts w:ascii="Times New Roman" w:hAnsi="Times New Roman"/>
          <w:szCs w:val="24"/>
        </w:rPr>
        <w:t xml:space="preserve">a </w:t>
      </w:r>
      <w:r w:rsidRPr="00772CFF">
        <w:rPr>
          <w:rFonts w:ascii="Times New Roman" w:hAnsi="Times New Roman"/>
          <w:szCs w:val="24"/>
        </w:rPr>
        <w:t>separation between the work of the tribunal and the victims</w:t>
      </w:r>
      <w:r w:rsidR="00CB14FD">
        <w:rPr>
          <w:rFonts w:ascii="Times New Roman" w:hAnsi="Times New Roman"/>
          <w:szCs w:val="24"/>
        </w:rPr>
        <w:t xml:space="preserve"> </w:t>
      </w:r>
      <w:r w:rsidR="00CB14FD">
        <w:rPr>
          <w:rFonts w:ascii="Times New Roman" w:hAnsi="Times New Roman"/>
          <w:szCs w:val="24"/>
        </w:rPr>
        <w:lastRenderedPageBreak/>
        <w:t xml:space="preserve">of </w:t>
      </w:r>
      <w:r w:rsidR="00BF7C15">
        <w:rPr>
          <w:rFonts w:ascii="Times New Roman" w:hAnsi="Times New Roman"/>
          <w:szCs w:val="24"/>
        </w:rPr>
        <w:t>the</w:t>
      </w:r>
      <w:r w:rsidRPr="00772CFF">
        <w:rPr>
          <w:rFonts w:ascii="Times New Roman" w:hAnsi="Times New Roman"/>
          <w:szCs w:val="24"/>
        </w:rPr>
        <w:t xml:space="preserve"> Rwanda genocide.</w:t>
      </w:r>
      <w:r w:rsidRPr="00772CFF">
        <w:rPr>
          <w:rFonts w:ascii="Times New Roman" w:hAnsi="Times New Roman"/>
          <w:szCs w:val="24"/>
          <w:vertAlign w:val="superscript"/>
        </w:rPr>
        <w:footnoteReference w:id="263"/>
      </w:r>
      <w:r w:rsidR="007C1A55">
        <w:rPr>
          <w:rFonts w:ascii="Times New Roman" w:hAnsi="Times New Roman"/>
          <w:szCs w:val="24"/>
        </w:rPr>
        <w:t>An illustration of the previous tribunals’ failure to recognise victims’ interests led to a gap in their functions. An emphasis on this gap reveals the importance of victims’ interests during criminal trials.</w:t>
      </w:r>
    </w:p>
    <w:p w14:paraId="6E3BB26E" w14:textId="600F08A4" w:rsidR="004C7C02" w:rsidRDefault="004C7C02" w:rsidP="006B62D0">
      <w:pPr>
        <w:spacing w:line="480" w:lineRule="auto"/>
        <w:jc w:val="both"/>
        <w:rPr>
          <w:rFonts w:ascii="Times New Roman" w:hAnsi="Times New Roman"/>
          <w:szCs w:val="24"/>
        </w:rPr>
      </w:pPr>
      <w:r>
        <w:rPr>
          <w:rFonts w:ascii="Times New Roman" w:hAnsi="Times New Roman"/>
          <w:szCs w:val="24"/>
        </w:rPr>
        <w:t xml:space="preserve">It is settled that </w:t>
      </w:r>
      <w:r w:rsidR="00BF7C15">
        <w:rPr>
          <w:rFonts w:ascii="Times New Roman" w:hAnsi="Times New Roman"/>
          <w:szCs w:val="24"/>
        </w:rPr>
        <w:t>the ICC’s mandate is to prosecute the perpetrators of international crimes</w:t>
      </w:r>
      <w:r>
        <w:rPr>
          <w:rStyle w:val="FootnoteReference"/>
          <w:rFonts w:ascii="Times New Roman" w:hAnsi="Times New Roman"/>
          <w:szCs w:val="24"/>
        </w:rPr>
        <w:footnoteReference w:id="264"/>
      </w:r>
      <w:r w:rsidR="00BF7C15">
        <w:rPr>
          <w:rFonts w:ascii="Times New Roman" w:hAnsi="Times New Roman"/>
          <w:szCs w:val="24"/>
        </w:rPr>
        <w:t>-a means to achieve justice. This mandate is known to be the primary function of the Prosecutor. This raises the question of the place of victims interests during the initiation of prosecution.  Article 53(2) highlights victims’ interests as one of the factors the prosecutor is required to consider if he decides not to prosecute in the interests of justice. Article 53(2) grants the prosecutor the power to conclude that there</w:t>
      </w:r>
      <w:r>
        <w:rPr>
          <w:rFonts w:ascii="Times New Roman" w:hAnsi="Times New Roman"/>
          <w:szCs w:val="24"/>
        </w:rPr>
        <w:t>:</w:t>
      </w:r>
      <w:r w:rsidR="00BF7C15">
        <w:rPr>
          <w:rFonts w:ascii="Times New Roman" w:hAnsi="Times New Roman"/>
          <w:szCs w:val="24"/>
        </w:rPr>
        <w:t xml:space="preserve"> </w:t>
      </w:r>
    </w:p>
    <w:p w14:paraId="3450D209" w14:textId="19E06D41" w:rsidR="00BF7C15" w:rsidRDefault="004C7C02" w:rsidP="004C7C02">
      <w:pPr>
        <w:spacing w:line="480" w:lineRule="auto"/>
        <w:jc w:val="center"/>
        <w:rPr>
          <w:rFonts w:ascii="Times New Roman" w:hAnsi="Times New Roman"/>
          <w:szCs w:val="24"/>
        </w:rPr>
      </w:pPr>
      <w:r>
        <w:rPr>
          <w:rFonts w:ascii="Times New Roman" w:hAnsi="Times New Roman"/>
          <w:szCs w:val="24"/>
        </w:rPr>
        <w:t>“</w:t>
      </w:r>
      <w:r w:rsidR="00BF7C15">
        <w:rPr>
          <w:rFonts w:ascii="Times New Roman" w:hAnsi="Times New Roman"/>
          <w:szCs w:val="24"/>
        </w:rPr>
        <w:t xml:space="preserve">is not a sufficient basis for a prosecution” if, among other things a “prosecution is not in the interests of justice, taking into account all the circumstances, including the gravity of the crime, </w:t>
      </w:r>
      <w:r w:rsidR="00BF7C15" w:rsidRPr="004C7C02">
        <w:rPr>
          <w:rFonts w:ascii="Times New Roman" w:hAnsi="Times New Roman"/>
          <w:b/>
          <w:bCs/>
          <w:szCs w:val="24"/>
          <w:u w:val="single"/>
        </w:rPr>
        <w:t>the interests of victims</w:t>
      </w:r>
      <w:r w:rsidR="00BF7C15">
        <w:rPr>
          <w:rFonts w:ascii="Times New Roman" w:hAnsi="Times New Roman"/>
          <w:szCs w:val="24"/>
        </w:rPr>
        <w:t xml:space="preserve"> and the age or infirmity of the alleged perpetrator, and his or her role in the alleged crime</w:t>
      </w:r>
      <w:r>
        <w:rPr>
          <w:rFonts w:ascii="Times New Roman" w:hAnsi="Times New Roman"/>
          <w:szCs w:val="24"/>
        </w:rPr>
        <w:t>.</w:t>
      </w:r>
      <w:r w:rsidR="00BF7C15">
        <w:rPr>
          <w:rFonts w:ascii="Times New Roman" w:hAnsi="Times New Roman"/>
          <w:szCs w:val="24"/>
        </w:rPr>
        <w:t>”</w:t>
      </w:r>
      <w:r>
        <w:rPr>
          <w:rStyle w:val="FootnoteReference"/>
          <w:rFonts w:ascii="Times New Roman" w:hAnsi="Times New Roman"/>
          <w:szCs w:val="24"/>
        </w:rPr>
        <w:footnoteReference w:id="265"/>
      </w:r>
    </w:p>
    <w:p w14:paraId="69E72697" w14:textId="6C890E68" w:rsidR="001C15F2" w:rsidRPr="00687D64" w:rsidRDefault="004C7C02" w:rsidP="00687D64">
      <w:pPr>
        <w:spacing w:line="480" w:lineRule="auto"/>
        <w:jc w:val="both"/>
        <w:rPr>
          <w:rFonts w:ascii="Times New Roman" w:hAnsi="Times New Roman"/>
          <w:szCs w:val="24"/>
        </w:rPr>
      </w:pPr>
      <w:r>
        <w:rPr>
          <w:rFonts w:ascii="Times New Roman" w:hAnsi="Times New Roman"/>
          <w:szCs w:val="24"/>
        </w:rPr>
        <w:t xml:space="preserve">The “interests of victims” is deemed a factor to be considered amongst other </w:t>
      </w:r>
      <w:r w:rsidR="003A1A69">
        <w:rPr>
          <w:rFonts w:ascii="Times New Roman" w:hAnsi="Times New Roman"/>
          <w:szCs w:val="24"/>
        </w:rPr>
        <w:t>element</w:t>
      </w:r>
      <w:r>
        <w:rPr>
          <w:rFonts w:ascii="Times New Roman" w:hAnsi="Times New Roman"/>
          <w:szCs w:val="24"/>
        </w:rPr>
        <w:t xml:space="preserve">s for the prosecution to make the decision “in the interests of justice.” </w:t>
      </w:r>
      <w:r w:rsidR="009F3013">
        <w:rPr>
          <w:rFonts w:ascii="Times New Roman" w:hAnsi="Times New Roman"/>
          <w:szCs w:val="24"/>
        </w:rPr>
        <w:t xml:space="preserve">At the same time, the meaning of this concept might seem ambiguous because it is not stated in Article </w:t>
      </w:r>
      <w:r w:rsidR="009F3013">
        <w:rPr>
          <w:rFonts w:ascii="Times New Roman" w:hAnsi="Times New Roman"/>
          <w:szCs w:val="24"/>
        </w:rPr>
        <w:lastRenderedPageBreak/>
        <w:t>53.</w:t>
      </w:r>
      <w:r w:rsidR="006C64AA">
        <w:rPr>
          <w:rFonts w:ascii="Times New Roman" w:hAnsi="Times New Roman"/>
          <w:szCs w:val="24"/>
        </w:rPr>
        <w:t xml:space="preserve"> Nevertheless, its meaning could be inferred from the context, object and purpose of the Rome Statute.</w:t>
      </w:r>
      <w:r w:rsidR="006C64AA">
        <w:rPr>
          <w:rStyle w:val="FootnoteReference"/>
          <w:rFonts w:ascii="Times New Roman" w:hAnsi="Times New Roman"/>
          <w:szCs w:val="24"/>
        </w:rPr>
        <w:footnoteReference w:id="266"/>
      </w:r>
      <w:r w:rsidR="006C64AA">
        <w:rPr>
          <w:rFonts w:ascii="Times New Roman" w:hAnsi="Times New Roman"/>
          <w:szCs w:val="24"/>
        </w:rPr>
        <w:t xml:space="preserve">From the provision of </w:t>
      </w:r>
      <w:r w:rsidR="003A1A69">
        <w:rPr>
          <w:rFonts w:ascii="Times New Roman" w:hAnsi="Times New Roman"/>
          <w:szCs w:val="24"/>
        </w:rPr>
        <w:t>A</w:t>
      </w:r>
      <w:r w:rsidR="006C64AA">
        <w:rPr>
          <w:rFonts w:ascii="Times New Roman" w:hAnsi="Times New Roman"/>
          <w:szCs w:val="24"/>
        </w:rPr>
        <w:t>rticle 53(2</w:t>
      </w:r>
      <w:r w:rsidR="000562DB">
        <w:rPr>
          <w:rFonts w:ascii="Times New Roman" w:hAnsi="Times New Roman"/>
          <w:szCs w:val="24"/>
        </w:rPr>
        <w:t>)</w:t>
      </w:r>
      <w:r w:rsidR="006C64AA">
        <w:rPr>
          <w:rFonts w:ascii="Times New Roman" w:hAnsi="Times New Roman"/>
          <w:szCs w:val="24"/>
        </w:rPr>
        <w:t>, victims</w:t>
      </w:r>
      <w:r w:rsidR="00F55F69">
        <w:rPr>
          <w:rFonts w:ascii="Times New Roman" w:hAnsi="Times New Roman"/>
          <w:szCs w:val="24"/>
        </w:rPr>
        <w:t>' interests are a factor to be considered in determining</w:t>
      </w:r>
      <w:r w:rsidR="006C64AA">
        <w:rPr>
          <w:rFonts w:ascii="Times New Roman" w:hAnsi="Times New Roman"/>
          <w:szCs w:val="24"/>
        </w:rPr>
        <w:t xml:space="preserve"> </w:t>
      </w:r>
      <w:r w:rsidR="00F55F69">
        <w:rPr>
          <w:rFonts w:ascii="Times New Roman" w:hAnsi="Times New Roman"/>
          <w:szCs w:val="24"/>
        </w:rPr>
        <w:t xml:space="preserve">the </w:t>
      </w:r>
      <w:r w:rsidR="006C64AA">
        <w:rPr>
          <w:rFonts w:ascii="Times New Roman" w:hAnsi="Times New Roman"/>
          <w:szCs w:val="24"/>
        </w:rPr>
        <w:t>interests of justice. Impliedly, it is inferred that at this stage, victims interests should be taken into account. Arguably, since victims’ interests cannot be considered in their absence or without their participation,</w:t>
      </w:r>
      <w:r w:rsidR="00D65EC0">
        <w:rPr>
          <w:rFonts w:ascii="Times New Roman" w:hAnsi="Times New Roman"/>
          <w:szCs w:val="24"/>
        </w:rPr>
        <w:t xml:space="preserve"> presumably, victims interests are deciphered through their roles before and during the investigation.</w:t>
      </w:r>
      <w:r w:rsidR="006C64AA">
        <w:rPr>
          <w:rFonts w:ascii="Times New Roman" w:hAnsi="Times New Roman"/>
          <w:szCs w:val="24"/>
        </w:rPr>
        <w:t xml:space="preserve"> Victim participation ensures their interests are relayed before investigation-a viable factor to be considered by the Prosecutor. However, we should bear in mind that victims interests are distinct from the prosecutor’s interests.</w:t>
      </w:r>
      <w:r w:rsidR="003A1A69">
        <w:rPr>
          <w:rFonts w:ascii="Times New Roman" w:hAnsi="Times New Roman"/>
          <w:szCs w:val="24"/>
        </w:rPr>
        <w:t xml:space="preserve"> </w:t>
      </w:r>
      <w:r w:rsidR="00687D64">
        <w:rPr>
          <w:rFonts w:ascii="Times New Roman" w:hAnsi="Times New Roman"/>
          <w:szCs w:val="24"/>
        </w:rPr>
        <w:t>Victim participation becomes meaningful where they are permitted to exercise their right to justice in connection with knowing the truth and obtaining reparations.</w:t>
      </w:r>
      <w:r w:rsidR="003A1A69">
        <w:rPr>
          <w:rFonts w:ascii="Times New Roman" w:hAnsi="Times New Roman"/>
          <w:szCs w:val="24"/>
        </w:rPr>
        <w:t xml:space="preserve"> </w:t>
      </w:r>
      <w:r w:rsidR="00687D64">
        <w:rPr>
          <w:rFonts w:ascii="Times New Roman" w:hAnsi="Times New Roman"/>
          <w:szCs w:val="24"/>
        </w:rPr>
        <w:t>Victims contribution to truth-finding displaces symbolic participation</w:t>
      </w:r>
      <w:r w:rsidR="001C15F2">
        <w:t>.</w:t>
      </w:r>
      <w:r w:rsidR="001C15F2">
        <w:rPr>
          <w:rStyle w:val="FootnoteReference"/>
        </w:rPr>
        <w:footnoteReference w:id="267"/>
      </w:r>
      <w:r w:rsidR="00687D64">
        <w:rPr>
          <w:rFonts w:ascii="Times New Roman" w:hAnsi="Times New Roman"/>
          <w:szCs w:val="24"/>
        </w:rPr>
        <w:t xml:space="preserve">Meaningful participation is an </w:t>
      </w:r>
      <w:r w:rsidR="001C15F2" w:rsidRPr="001C15F2">
        <w:rPr>
          <w:rFonts w:ascii="Times New Roman" w:hAnsi="Times New Roman"/>
        </w:rPr>
        <w:t>integral function of</w:t>
      </w:r>
      <w:r w:rsidR="00687D64">
        <w:rPr>
          <w:rFonts w:ascii="Times New Roman" w:hAnsi="Times New Roman"/>
        </w:rPr>
        <w:t xml:space="preserve"> </w:t>
      </w:r>
      <w:r w:rsidR="001C15F2" w:rsidRPr="001C15F2">
        <w:rPr>
          <w:rFonts w:ascii="Times New Roman" w:hAnsi="Times New Roman"/>
        </w:rPr>
        <w:t xml:space="preserve">criminal proceedings in contrast to the widely held view that </w:t>
      </w:r>
      <w:r w:rsidR="00F55F69">
        <w:rPr>
          <w:rFonts w:ascii="Times New Roman" w:hAnsi="Times New Roman"/>
        </w:rPr>
        <w:t>victims' involvement</w:t>
      </w:r>
      <w:r w:rsidR="001C15F2" w:rsidRPr="001C15F2">
        <w:rPr>
          <w:rFonts w:ascii="Times New Roman" w:hAnsi="Times New Roman"/>
        </w:rPr>
        <w:t xml:space="preserve"> offsets the balance of arms</w:t>
      </w:r>
      <w:r w:rsidR="00687D64">
        <w:rPr>
          <w:rFonts w:ascii="Times New Roman" w:hAnsi="Times New Roman"/>
        </w:rPr>
        <w:t>;</w:t>
      </w:r>
      <w:r w:rsidR="003A1A69">
        <w:rPr>
          <w:rFonts w:ascii="Times New Roman" w:hAnsi="Times New Roman"/>
        </w:rPr>
        <w:t xml:space="preserve"> </w:t>
      </w:r>
      <w:r w:rsidR="00687D64">
        <w:rPr>
          <w:rFonts w:ascii="Times New Roman" w:hAnsi="Times New Roman"/>
        </w:rPr>
        <w:t>a necessity</w:t>
      </w:r>
      <w:r w:rsidR="001C15F2" w:rsidRPr="001C15F2">
        <w:rPr>
          <w:rFonts w:ascii="Times New Roman" w:hAnsi="Times New Roman"/>
        </w:rPr>
        <w:t xml:space="preserve"> for the determination of the truth, justice and reparations.</w:t>
      </w:r>
    </w:p>
    <w:p w14:paraId="55F77452" w14:textId="6CB1AA44" w:rsidR="00B33934" w:rsidRDefault="00B33934" w:rsidP="00D65EC0">
      <w:pPr>
        <w:spacing w:line="480" w:lineRule="auto"/>
        <w:jc w:val="both"/>
        <w:rPr>
          <w:rFonts w:ascii="Times New Roman" w:hAnsi="Times New Roman"/>
          <w:szCs w:val="24"/>
        </w:rPr>
      </w:pPr>
      <w:r>
        <w:rPr>
          <w:rFonts w:ascii="Times New Roman" w:hAnsi="Times New Roman"/>
          <w:szCs w:val="24"/>
        </w:rPr>
        <w:t xml:space="preserve">Besides, the LRV argued that Article 69(1) and Article 68(3) are not legally incompatible given that the victim would have to swear an oath as to the truthfulness </w:t>
      </w:r>
      <w:r>
        <w:rPr>
          <w:rFonts w:ascii="Times New Roman" w:hAnsi="Times New Roman"/>
          <w:szCs w:val="24"/>
        </w:rPr>
        <w:lastRenderedPageBreak/>
        <w:t>of their testimony.</w:t>
      </w:r>
      <w:r>
        <w:rPr>
          <w:rStyle w:val="FootnoteReference"/>
          <w:rFonts w:ascii="Times New Roman" w:hAnsi="Times New Roman"/>
          <w:szCs w:val="24"/>
        </w:rPr>
        <w:footnoteReference w:id="268"/>
      </w:r>
      <w:r>
        <w:rPr>
          <w:rFonts w:ascii="Times New Roman" w:hAnsi="Times New Roman"/>
          <w:szCs w:val="24"/>
        </w:rPr>
        <w:t>This assertion displaces the contention that a person cannot have the status of both victim and witnesses.</w:t>
      </w:r>
      <w:r w:rsidR="00477737">
        <w:rPr>
          <w:rFonts w:ascii="Times New Roman" w:hAnsi="Times New Roman"/>
          <w:szCs w:val="24"/>
        </w:rPr>
        <w:t xml:space="preserve"> </w:t>
      </w:r>
      <w:r w:rsidR="006779FC">
        <w:rPr>
          <w:rFonts w:ascii="Times New Roman" w:hAnsi="Times New Roman"/>
          <w:szCs w:val="24"/>
        </w:rPr>
        <w:t xml:space="preserve">Arguably, the </w:t>
      </w:r>
      <w:r w:rsidR="00F55F69">
        <w:rPr>
          <w:rFonts w:ascii="Times New Roman" w:hAnsi="Times New Roman"/>
          <w:szCs w:val="24"/>
        </w:rPr>
        <w:t>trial’s purpose</w:t>
      </w:r>
      <w:r w:rsidR="006779FC">
        <w:rPr>
          <w:rFonts w:ascii="Times New Roman" w:hAnsi="Times New Roman"/>
          <w:szCs w:val="24"/>
        </w:rPr>
        <w:t xml:space="preserve"> is t</w:t>
      </w:r>
      <w:r w:rsidR="005F6D93">
        <w:rPr>
          <w:rFonts w:ascii="Times New Roman" w:hAnsi="Times New Roman"/>
          <w:szCs w:val="24"/>
        </w:rPr>
        <w:t>o determine</w:t>
      </w:r>
      <w:r w:rsidR="006779FC">
        <w:rPr>
          <w:rFonts w:ascii="Times New Roman" w:hAnsi="Times New Roman"/>
          <w:szCs w:val="24"/>
        </w:rPr>
        <w:t xml:space="preserve"> legal truth</w:t>
      </w:r>
      <w:r w:rsidR="003A1A69">
        <w:rPr>
          <w:rFonts w:ascii="Times New Roman" w:hAnsi="Times New Roman"/>
          <w:szCs w:val="24"/>
        </w:rPr>
        <w:t>,</w:t>
      </w:r>
      <w:r w:rsidR="006779FC">
        <w:rPr>
          <w:rFonts w:ascii="Times New Roman" w:hAnsi="Times New Roman"/>
          <w:szCs w:val="24"/>
        </w:rPr>
        <w:t xml:space="preserve"> and the Chamber has the power to weight testimony and evidence.</w:t>
      </w:r>
      <w:r w:rsidR="006779FC">
        <w:rPr>
          <w:rStyle w:val="FootnoteReference"/>
          <w:rFonts w:ascii="Times New Roman" w:hAnsi="Times New Roman"/>
          <w:szCs w:val="24"/>
        </w:rPr>
        <w:footnoteReference w:id="269"/>
      </w:r>
      <w:r>
        <w:rPr>
          <w:rFonts w:ascii="Times New Roman" w:hAnsi="Times New Roman"/>
          <w:szCs w:val="24"/>
        </w:rPr>
        <w:t xml:space="preserve"> </w:t>
      </w:r>
      <w:r w:rsidR="006779FC">
        <w:rPr>
          <w:rFonts w:ascii="Times New Roman" w:hAnsi="Times New Roman"/>
          <w:szCs w:val="24"/>
        </w:rPr>
        <w:t>The LRV buttressed her point</w:t>
      </w:r>
      <w:r>
        <w:rPr>
          <w:rFonts w:ascii="Times New Roman" w:hAnsi="Times New Roman"/>
          <w:szCs w:val="24"/>
        </w:rPr>
        <w:t xml:space="preserve"> for the legal compatibility between the </w:t>
      </w:r>
      <w:r w:rsidR="00F55F69">
        <w:rPr>
          <w:rFonts w:ascii="Times New Roman" w:hAnsi="Times New Roman"/>
          <w:szCs w:val="24"/>
        </w:rPr>
        <w:t>victim's status</w:t>
      </w:r>
      <w:r>
        <w:rPr>
          <w:rFonts w:ascii="Times New Roman" w:hAnsi="Times New Roman"/>
          <w:szCs w:val="24"/>
        </w:rPr>
        <w:t xml:space="preserve"> and that of the witness</w:t>
      </w:r>
      <w:r w:rsidR="00F55F69">
        <w:rPr>
          <w:rFonts w:ascii="Times New Roman" w:hAnsi="Times New Roman"/>
          <w:szCs w:val="24"/>
        </w:rPr>
        <w:t>. S</w:t>
      </w:r>
      <w:r w:rsidR="007320AB">
        <w:rPr>
          <w:rFonts w:ascii="Times New Roman" w:hAnsi="Times New Roman"/>
          <w:szCs w:val="24"/>
        </w:rPr>
        <w:t xml:space="preserve">he </w:t>
      </w:r>
      <w:r w:rsidR="00F55F69">
        <w:rPr>
          <w:rFonts w:ascii="Times New Roman" w:hAnsi="Times New Roman"/>
          <w:szCs w:val="24"/>
        </w:rPr>
        <w:t>explained</w:t>
      </w:r>
      <w:r w:rsidR="007320AB">
        <w:rPr>
          <w:rFonts w:ascii="Times New Roman" w:hAnsi="Times New Roman"/>
          <w:szCs w:val="24"/>
        </w:rPr>
        <w:t>:</w:t>
      </w:r>
    </w:p>
    <w:p w14:paraId="339861A2" w14:textId="1672C666" w:rsidR="007320AB" w:rsidRPr="00F55F69" w:rsidRDefault="007320AB" w:rsidP="007320AB">
      <w:pPr>
        <w:pStyle w:val="Quote"/>
        <w:rPr>
          <w:rFonts w:ascii="Times New Roman" w:hAnsi="Times New Roman"/>
          <w:i w:val="0"/>
          <w:iCs w:val="0"/>
        </w:rPr>
      </w:pPr>
      <w:r w:rsidRPr="00F55F69">
        <w:rPr>
          <w:rFonts w:ascii="Times New Roman" w:hAnsi="Times New Roman"/>
          <w:i w:val="0"/>
          <w:iCs w:val="0"/>
        </w:rPr>
        <w:t>Moreover, it follows from paragraphs 97 and 99 of the Judgement on the appeals of  The Prosecutor and The Defence against Trial Chamber I’s Decision on victims’ participation that if victims can tender evidence at trial and discuss </w:t>
      </w:r>
      <w:r w:rsidRPr="00F55F69">
        <w:rPr>
          <w:rFonts w:ascii="Times New Roman" w:hAnsi="Times New Roman"/>
        </w:rPr>
        <w:t>evidence adduced by the parties, then, a fortiori, they have the right </w:t>
      </w:r>
      <w:r w:rsidR="003A1A69" w:rsidRPr="00F55F69">
        <w:rPr>
          <w:rFonts w:ascii="Times New Roman" w:hAnsi="Times New Roman"/>
        </w:rPr>
        <w:t>t</w:t>
      </w:r>
      <w:r w:rsidRPr="00F55F69">
        <w:rPr>
          <w:rFonts w:ascii="Times New Roman" w:hAnsi="Times New Roman"/>
        </w:rPr>
        <w:t>o appear as witnesses, the interest being the determination</w:t>
      </w:r>
      <w:r w:rsidR="003A1A69" w:rsidRPr="00F55F69">
        <w:rPr>
          <w:rFonts w:ascii="Times New Roman" w:hAnsi="Times New Roman"/>
        </w:rPr>
        <w:t xml:space="preserve"> of </w:t>
      </w:r>
      <w:r w:rsidRPr="00F55F69">
        <w:rPr>
          <w:rFonts w:ascii="Times New Roman" w:hAnsi="Times New Roman"/>
        </w:rPr>
        <w:t>tru</w:t>
      </w:r>
      <w:r w:rsidR="003A1A69" w:rsidRPr="00F55F69">
        <w:rPr>
          <w:rFonts w:ascii="Times New Roman" w:hAnsi="Times New Roman"/>
        </w:rPr>
        <w:t>t</w:t>
      </w:r>
      <w:r w:rsidRPr="00F55F69">
        <w:rPr>
          <w:rFonts w:ascii="Times New Roman" w:hAnsi="Times New Roman"/>
        </w:rPr>
        <w:t>h.</w:t>
      </w:r>
      <w:r w:rsidR="003A1A69" w:rsidRPr="00F55F69">
        <w:rPr>
          <w:rFonts w:ascii="Times New Roman" w:hAnsi="Times New Roman"/>
        </w:rPr>
        <w:t xml:space="preserve"> </w:t>
      </w:r>
      <w:r w:rsidRPr="00F55F69">
        <w:rPr>
          <w:rFonts w:ascii="Times New Roman" w:hAnsi="Times New Roman"/>
          <w:i w:val="0"/>
          <w:iCs w:val="0"/>
        </w:rPr>
        <w:t>Testimony constitutes evidence just as much as other materials and evidence</w:t>
      </w:r>
    </w:p>
    <w:p w14:paraId="46FDCF02" w14:textId="0AF599EC" w:rsidR="007320AB" w:rsidRPr="00F55F69" w:rsidRDefault="007320AB" w:rsidP="007320AB">
      <w:pPr>
        <w:pStyle w:val="Quote"/>
        <w:rPr>
          <w:rFonts w:ascii="Times New Roman" w:hAnsi="Times New Roman"/>
        </w:rPr>
      </w:pPr>
      <w:r w:rsidRPr="00F55F69">
        <w:rPr>
          <w:rFonts w:ascii="Times New Roman" w:hAnsi="Times New Roman"/>
          <w:i w:val="0"/>
          <w:iCs w:val="0"/>
        </w:rPr>
        <w:t>We respectfully submit that the main eyewitnesses in series of crimes presented to the Chamber are most often the victims and the perpetrators</w:t>
      </w:r>
      <w:r w:rsidRPr="00F55F69">
        <w:rPr>
          <w:rFonts w:ascii="Times New Roman" w:hAnsi="Times New Roman"/>
        </w:rPr>
        <w:t>.</w:t>
      </w:r>
      <w:r w:rsidRPr="00F55F69">
        <w:rPr>
          <w:rStyle w:val="FootnoteReference"/>
          <w:rFonts w:ascii="Times New Roman" w:hAnsi="Times New Roman"/>
        </w:rPr>
        <w:footnoteReference w:id="270"/>
      </w:r>
    </w:p>
    <w:p w14:paraId="503B32E8" w14:textId="106EB382" w:rsidR="009E0C7F" w:rsidRDefault="009E0C7F" w:rsidP="009E0C7F"/>
    <w:p w14:paraId="01E94B83" w14:textId="30AF0521" w:rsidR="009E0C7F" w:rsidRPr="00E20629" w:rsidRDefault="009E0C7F" w:rsidP="003A1A69">
      <w:pPr>
        <w:spacing w:line="480" w:lineRule="auto"/>
        <w:jc w:val="both"/>
        <w:rPr>
          <w:rFonts w:ascii="Times New Roman" w:hAnsi="Times New Roman"/>
        </w:rPr>
      </w:pPr>
      <w:r w:rsidRPr="00E20629">
        <w:rPr>
          <w:rFonts w:ascii="Times New Roman" w:hAnsi="Times New Roman"/>
        </w:rPr>
        <w:t>In this situation, the Statute and the RPE do not grant victims the unfettered right to lead evidence or question witnesses.</w:t>
      </w:r>
      <w:r w:rsidR="003A1A69">
        <w:rPr>
          <w:rFonts w:ascii="Times New Roman" w:hAnsi="Times New Roman"/>
        </w:rPr>
        <w:t xml:space="preserve"> </w:t>
      </w:r>
      <w:r w:rsidRPr="00E20629">
        <w:rPr>
          <w:rFonts w:ascii="Times New Roman" w:hAnsi="Times New Roman"/>
        </w:rPr>
        <w:t>Nevertheless,</w:t>
      </w:r>
      <w:r w:rsidR="003A1A69">
        <w:rPr>
          <w:rFonts w:ascii="Times New Roman" w:hAnsi="Times New Roman"/>
        </w:rPr>
        <w:t xml:space="preserve"> </w:t>
      </w:r>
      <w:r w:rsidRPr="00E20629">
        <w:rPr>
          <w:rFonts w:ascii="Times New Roman" w:hAnsi="Times New Roman"/>
        </w:rPr>
        <w:t>they could te</w:t>
      </w:r>
      <w:r w:rsidR="00E20629" w:rsidRPr="00E20629">
        <w:rPr>
          <w:rFonts w:ascii="Times New Roman" w:hAnsi="Times New Roman"/>
        </w:rPr>
        <w:t xml:space="preserve">nder evidence or </w:t>
      </w:r>
      <w:r w:rsidR="00E20629" w:rsidRPr="00E20629">
        <w:rPr>
          <w:rFonts w:ascii="Times New Roman" w:hAnsi="Times New Roman"/>
        </w:rPr>
        <w:lastRenderedPageBreak/>
        <w:t>challenge evidence provided they have shown that the trial</w:t>
      </w:r>
      <w:r w:rsidR="00E20629">
        <w:rPr>
          <w:rFonts w:ascii="Times New Roman" w:hAnsi="Times New Roman"/>
        </w:rPr>
        <w:t xml:space="preserve"> proceedings</w:t>
      </w:r>
      <w:r w:rsidR="00E20629" w:rsidRPr="00E20629">
        <w:rPr>
          <w:rFonts w:ascii="Times New Roman" w:hAnsi="Times New Roman"/>
        </w:rPr>
        <w:t xml:space="preserve"> affect their interests.</w:t>
      </w:r>
      <w:r w:rsidR="003A1A69">
        <w:rPr>
          <w:rFonts w:ascii="Times New Roman" w:hAnsi="Times New Roman"/>
        </w:rPr>
        <w:t xml:space="preserve"> </w:t>
      </w:r>
      <w:r w:rsidR="00E20629">
        <w:rPr>
          <w:rFonts w:ascii="Times New Roman" w:hAnsi="Times New Roman"/>
        </w:rPr>
        <w:t xml:space="preserve">Where a victim testifies as a witness, </w:t>
      </w:r>
      <w:r w:rsidR="000562DB">
        <w:rPr>
          <w:rFonts w:ascii="Times New Roman" w:hAnsi="Times New Roman"/>
        </w:rPr>
        <w:t>their role as a victim is suspended under oath.</w:t>
      </w:r>
      <w:r w:rsidR="003A1A69">
        <w:rPr>
          <w:rFonts w:ascii="Times New Roman" w:hAnsi="Times New Roman"/>
        </w:rPr>
        <w:t xml:space="preserve"> </w:t>
      </w:r>
      <w:r w:rsidR="000562DB">
        <w:rPr>
          <w:rFonts w:ascii="Times New Roman" w:hAnsi="Times New Roman"/>
        </w:rPr>
        <w:t>Presumably</w:t>
      </w:r>
      <w:r w:rsidR="003A1A69">
        <w:rPr>
          <w:rFonts w:ascii="Times New Roman" w:hAnsi="Times New Roman"/>
        </w:rPr>
        <w:t>,</w:t>
      </w:r>
      <w:r w:rsidR="000562DB">
        <w:rPr>
          <w:rFonts w:ascii="Times New Roman" w:hAnsi="Times New Roman"/>
        </w:rPr>
        <w:t xml:space="preserve"> their position as </w:t>
      </w:r>
      <w:r w:rsidR="003A1A69">
        <w:rPr>
          <w:rFonts w:ascii="Times New Roman" w:hAnsi="Times New Roman"/>
        </w:rPr>
        <w:t xml:space="preserve">a </w:t>
      </w:r>
      <w:r w:rsidR="000562DB">
        <w:rPr>
          <w:rFonts w:ascii="Times New Roman" w:hAnsi="Times New Roman"/>
        </w:rPr>
        <w:t>victim is reactivated after the testimony.</w:t>
      </w:r>
    </w:p>
    <w:p w14:paraId="4FCAF5DD" w14:textId="77777777" w:rsidR="00F55F69" w:rsidRPr="00F55F69" w:rsidRDefault="00F55F69" w:rsidP="00F55F69">
      <w:pPr>
        <w:spacing w:line="480" w:lineRule="auto"/>
        <w:jc w:val="both"/>
        <w:rPr>
          <w:rFonts w:ascii="Helvetica" w:hAnsi="Helvetica"/>
          <w:szCs w:val="24"/>
        </w:rPr>
      </w:pPr>
      <w:r w:rsidRPr="00F55F69">
        <w:rPr>
          <w:rFonts w:ascii="Times New Roman" w:hAnsi="Times New Roman"/>
          <w:szCs w:val="24"/>
        </w:rPr>
        <w:t>As stated previously, Article 68(3)  provides the most general provision for victim participation. It expressly indicates the significance of ‘</w:t>
      </w:r>
      <w:r w:rsidRPr="00F55F69">
        <w:rPr>
          <w:rFonts w:ascii="Times New Roman" w:hAnsi="Times New Roman"/>
          <w:i/>
          <w:iCs/>
          <w:szCs w:val="24"/>
        </w:rPr>
        <w:t>personal interests’</w:t>
      </w:r>
      <w:r w:rsidRPr="00F55F69">
        <w:rPr>
          <w:rFonts w:ascii="Times New Roman" w:hAnsi="Times New Roman"/>
          <w:szCs w:val="24"/>
        </w:rPr>
        <w:t xml:space="preserve"> as a yardstick for victims’ involvement in the proceedings. Victims interests may also include reparations, truth, justice and protection. It is worth mentioning that the roles victims play during the trials depend on their personal interests. It follows that if their interests are not affected, they may be precluded from participation. It would be beneficial for victims if they were included from the early stages like the preliminary examination, investigation or situation. Arguably, inclusion at initial phase might increase their sense of belonging. Yet, it may also heighten their expectation. While it is feasible if considered, one implication of victims inclusion at the initial phase is that there might be a risk of victims’ identity being compromised. Similarly, the perpetrators or allies of the perpetrators may threaten the life or safety of the victims. One approach to fostering the effectiveness of victims' inclusion at the phase is assessing the risk and providing protective measures.</w:t>
      </w:r>
    </w:p>
    <w:p w14:paraId="5CF182BD" w14:textId="2E613099" w:rsidR="006B62D0" w:rsidRDefault="00772CFF" w:rsidP="006B62D0">
      <w:pPr>
        <w:spacing w:line="480" w:lineRule="auto"/>
        <w:jc w:val="both"/>
        <w:rPr>
          <w:rFonts w:ascii="Times New Roman" w:hAnsi="Times New Roman"/>
          <w:szCs w:val="24"/>
        </w:rPr>
      </w:pPr>
      <w:r w:rsidRPr="00772CFF">
        <w:rPr>
          <w:rFonts w:ascii="Times New Roman" w:hAnsi="Times New Roman"/>
          <w:szCs w:val="24"/>
        </w:rPr>
        <w:t>Be that as it may, McDermott classified the participants in criminal trials into two.</w:t>
      </w:r>
      <w:r w:rsidRPr="00772CFF">
        <w:rPr>
          <w:rFonts w:ascii="Times New Roman" w:hAnsi="Times New Roman"/>
          <w:szCs w:val="24"/>
          <w:vertAlign w:val="superscript"/>
        </w:rPr>
        <w:footnoteReference w:id="271"/>
      </w:r>
      <w:r w:rsidRPr="00772CFF">
        <w:rPr>
          <w:rFonts w:ascii="Times New Roman" w:hAnsi="Times New Roman"/>
          <w:szCs w:val="24"/>
        </w:rPr>
        <w:t xml:space="preserve"> From her perspective, the accused is the only actor with ‘</w:t>
      </w:r>
      <w:r w:rsidRPr="00772CFF">
        <w:rPr>
          <w:rFonts w:ascii="Times New Roman" w:hAnsi="Times New Roman"/>
          <w:i/>
          <w:szCs w:val="24"/>
        </w:rPr>
        <w:t>enforceable rights’</w:t>
      </w:r>
      <w:r w:rsidRPr="00772CFF">
        <w:rPr>
          <w:rFonts w:ascii="Times New Roman" w:hAnsi="Times New Roman"/>
          <w:szCs w:val="24"/>
        </w:rPr>
        <w:t xml:space="preserve"> because </w:t>
      </w:r>
      <w:r w:rsidRPr="00772CFF">
        <w:rPr>
          <w:rFonts w:ascii="Times New Roman" w:hAnsi="Times New Roman"/>
          <w:szCs w:val="24"/>
        </w:rPr>
        <w:lastRenderedPageBreak/>
        <w:t xml:space="preserve">of his </w:t>
      </w:r>
      <w:r w:rsidRPr="00E55D68">
        <w:rPr>
          <w:rFonts w:ascii="Times New Roman" w:hAnsi="Times New Roman"/>
          <w:i/>
          <w:szCs w:val="24"/>
        </w:rPr>
        <w:t>‘status at the trial</w:t>
      </w:r>
      <w:r w:rsidRPr="00772CFF">
        <w:rPr>
          <w:rFonts w:ascii="Times New Roman" w:hAnsi="Times New Roman"/>
          <w:szCs w:val="24"/>
        </w:rPr>
        <w:t>.’ The ‘other actors’ such as the prosecutor, witnesses, victims, and the international community are seen as ‘interest-holders’, and holders of personal rights as human rights.</w:t>
      </w:r>
      <w:r w:rsidR="007C1A55">
        <w:rPr>
          <w:rFonts w:ascii="Times New Roman" w:hAnsi="Times New Roman"/>
          <w:szCs w:val="24"/>
        </w:rPr>
        <w:t xml:space="preserve"> An analysis of this literature views victims as stakeholders/interests. The victims are considered as ‘</w:t>
      </w:r>
      <w:r w:rsidR="007C1A55" w:rsidRPr="007C1A55">
        <w:rPr>
          <w:rFonts w:ascii="Times New Roman" w:hAnsi="Times New Roman"/>
          <w:i/>
          <w:szCs w:val="24"/>
        </w:rPr>
        <w:t>others</w:t>
      </w:r>
      <w:r w:rsidR="007C1A55">
        <w:rPr>
          <w:rFonts w:ascii="Times New Roman" w:hAnsi="Times New Roman"/>
          <w:szCs w:val="24"/>
        </w:rPr>
        <w:t xml:space="preserve">’ with no enforceable rights. </w:t>
      </w:r>
      <w:r w:rsidRPr="00772CFF">
        <w:rPr>
          <w:rFonts w:ascii="Times New Roman" w:hAnsi="Times New Roman"/>
          <w:szCs w:val="24"/>
        </w:rPr>
        <w:t>This</w:t>
      </w:r>
      <w:r w:rsidR="003A1A69">
        <w:rPr>
          <w:rFonts w:ascii="Times New Roman" w:hAnsi="Times New Roman"/>
          <w:szCs w:val="24"/>
        </w:rPr>
        <w:t xml:space="preserve"> argument</w:t>
      </w:r>
      <w:r w:rsidRPr="00772CFF">
        <w:rPr>
          <w:rFonts w:ascii="Times New Roman" w:hAnsi="Times New Roman"/>
          <w:szCs w:val="24"/>
        </w:rPr>
        <w:t xml:space="preserve"> connotes that their rights do not emerge from their</w:t>
      </w:r>
      <w:r w:rsidR="007C1A55">
        <w:rPr>
          <w:rFonts w:ascii="Times New Roman" w:hAnsi="Times New Roman"/>
          <w:szCs w:val="24"/>
        </w:rPr>
        <w:t xml:space="preserve"> status in criminal proceedings. Rather, the set of rights they are entitled is called procedural rights by their status. With this analysis, it shows criminal trial is offender centred. The accused rights are prioritised over the prosecutor and victims. </w:t>
      </w:r>
      <w:r w:rsidRPr="00772CFF">
        <w:rPr>
          <w:rFonts w:ascii="Times New Roman" w:hAnsi="Times New Roman"/>
          <w:szCs w:val="24"/>
        </w:rPr>
        <w:t xml:space="preserve">McDermott’s </w:t>
      </w:r>
      <w:r w:rsidR="003A1A69">
        <w:rPr>
          <w:rFonts w:ascii="Times New Roman" w:hAnsi="Times New Roman"/>
          <w:szCs w:val="24"/>
        </w:rPr>
        <w:t>comment</w:t>
      </w:r>
      <w:r w:rsidRPr="00772CFF">
        <w:rPr>
          <w:rFonts w:ascii="Times New Roman" w:hAnsi="Times New Roman"/>
          <w:szCs w:val="24"/>
        </w:rPr>
        <w:t xml:space="preserve"> seems to corroborate the opinion of Judge </w:t>
      </w:r>
      <w:proofErr w:type="spellStart"/>
      <w:r w:rsidRPr="00772CFF">
        <w:rPr>
          <w:rFonts w:ascii="Times New Roman" w:hAnsi="Times New Roman"/>
          <w:szCs w:val="24"/>
        </w:rPr>
        <w:t>Wyngaert</w:t>
      </w:r>
      <w:proofErr w:type="spellEnd"/>
      <w:r w:rsidRPr="00772CFF">
        <w:rPr>
          <w:rFonts w:ascii="Times New Roman" w:hAnsi="Times New Roman"/>
          <w:szCs w:val="24"/>
        </w:rPr>
        <w:t xml:space="preserve"> in the Katanga case.</w:t>
      </w:r>
      <w:r w:rsidRPr="00772CFF">
        <w:rPr>
          <w:rFonts w:ascii="Times New Roman" w:hAnsi="Times New Roman"/>
          <w:szCs w:val="24"/>
          <w:vertAlign w:val="superscript"/>
        </w:rPr>
        <w:footnoteReference w:id="272"/>
      </w:r>
      <w:r w:rsidRPr="00772CFF">
        <w:rPr>
          <w:rFonts w:ascii="Times New Roman" w:hAnsi="Times New Roman"/>
          <w:szCs w:val="24"/>
        </w:rPr>
        <w:t xml:space="preserve">This displaces the idea that </w:t>
      </w:r>
      <w:r w:rsidR="00F55F69">
        <w:rPr>
          <w:rFonts w:ascii="Times New Roman" w:hAnsi="Times New Roman"/>
          <w:szCs w:val="24"/>
        </w:rPr>
        <w:t>victims' right</w:t>
      </w:r>
      <w:r w:rsidRPr="00772CFF">
        <w:rPr>
          <w:rFonts w:ascii="Times New Roman" w:hAnsi="Times New Roman"/>
          <w:szCs w:val="24"/>
        </w:rPr>
        <w:t>s are needed to balance against the rights of the accused</w:t>
      </w:r>
      <w:r w:rsidR="006B62D0">
        <w:rPr>
          <w:rFonts w:ascii="Times New Roman" w:hAnsi="Times New Roman"/>
          <w:szCs w:val="24"/>
        </w:rPr>
        <w:t>.</w:t>
      </w:r>
    </w:p>
    <w:p w14:paraId="38316706" w14:textId="43C37379" w:rsidR="00772CFF" w:rsidRPr="00772CFF" w:rsidRDefault="00772CFF" w:rsidP="006B62D0">
      <w:pPr>
        <w:spacing w:line="480" w:lineRule="auto"/>
        <w:jc w:val="both"/>
        <w:rPr>
          <w:rFonts w:ascii="Times New Roman" w:hAnsi="Times New Roman"/>
          <w:szCs w:val="24"/>
        </w:rPr>
      </w:pPr>
      <w:r w:rsidRPr="00772CFF">
        <w:rPr>
          <w:rFonts w:ascii="Times New Roman" w:hAnsi="Times New Roman"/>
          <w:szCs w:val="24"/>
        </w:rPr>
        <w:t xml:space="preserve">Interestingly, the majority decision in Katanga shows the prioritisation of the Prosecutor’s interests over the accused right to </w:t>
      </w:r>
      <w:r w:rsidR="00D06E98">
        <w:rPr>
          <w:rFonts w:ascii="Times New Roman" w:hAnsi="Times New Roman"/>
          <w:szCs w:val="24"/>
        </w:rPr>
        <w:t xml:space="preserve">a </w:t>
      </w:r>
      <w:r w:rsidRPr="00772CFF">
        <w:rPr>
          <w:rFonts w:ascii="Times New Roman" w:hAnsi="Times New Roman"/>
          <w:szCs w:val="24"/>
        </w:rPr>
        <w:t>fair trial.</w:t>
      </w:r>
      <w:r w:rsidR="00E55D68">
        <w:rPr>
          <w:rFonts w:ascii="Times New Roman" w:hAnsi="Times New Roman"/>
          <w:szCs w:val="24"/>
        </w:rPr>
        <w:t xml:space="preserve"> </w:t>
      </w:r>
      <w:r w:rsidRPr="00772CFF">
        <w:rPr>
          <w:rFonts w:ascii="Times New Roman" w:hAnsi="Times New Roman"/>
          <w:szCs w:val="24"/>
        </w:rPr>
        <w:t>One could also argue that victim</w:t>
      </w:r>
      <w:r w:rsidR="00E55D68">
        <w:rPr>
          <w:rFonts w:ascii="Times New Roman" w:hAnsi="Times New Roman"/>
          <w:szCs w:val="24"/>
        </w:rPr>
        <w:t xml:space="preserve">s </w:t>
      </w:r>
      <w:r w:rsidR="009657F4">
        <w:rPr>
          <w:rFonts w:ascii="Times New Roman" w:hAnsi="Times New Roman"/>
          <w:szCs w:val="24"/>
        </w:rPr>
        <w:t>benefited from the conviction</w:t>
      </w:r>
      <w:r w:rsidR="00E55D68">
        <w:rPr>
          <w:rFonts w:ascii="Times New Roman" w:hAnsi="Times New Roman"/>
          <w:szCs w:val="24"/>
        </w:rPr>
        <w:t xml:space="preserve"> </w:t>
      </w:r>
      <w:r w:rsidR="00F55F69">
        <w:rPr>
          <w:rFonts w:ascii="Times New Roman" w:hAnsi="Times New Roman"/>
          <w:szCs w:val="24"/>
        </w:rPr>
        <w:t>largely</w:t>
      </w:r>
      <w:r w:rsidR="009657F4">
        <w:rPr>
          <w:rFonts w:ascii="Times New Roman" w:hAnsi="Times New Roman"/>
          <w:szCs w:val="24"/>
        </w:rPr>
        <w:t xml:space="preserve"> because </w:t>
      </w:r>
      <w:r w:rsidR="00E55D68">
        <w:rPr>
          <w:rFonts w:ascii="Times New Roman" w:hAnsi="Times New Roman"/>
          <w:szCs w:val="24"/>
        </w:rPr>
        <w:t>the impunity gap was</w:t>
      </w:r>
      <w:r w:rsidR="009657F4">
        <w:rPr>
          <w:rFonts w:ascii="Times New Roman" w:hAnsi="Times New Roman"/>
          <w:szCs w:val="24"/>
        </w:rPr>
        <w:t xml:space="preserve"> moderately</w:t>
      </w:r>
      <w:r w:rsidR="00E55D68">
        <w:rPr>
          <w:rFonts w:ascii="Times New Roman" w:hAnsi="Times New Roman"/>
          <w:szCs w:val="24"/>
        </w:rPr>
        <w:t xml:space="preserve"> closed</w:t>
      </w:r>
      <w:r w:rsidR="009657F4">
        <w:rPr>
          <w:rFonts w:ascii="Times New Roman" w:hAnsi="Times New Roman"/>
          <w:szCs w:val="24"/>
        </w:rPr>
        <w:t>.</w:t>
      </w:r>
      <w:r w:rsidR="00E55D68">
        <w:rPr>
          <w:rFonts w:ascii="Times New Roman" w:hAnsi="Times New Roman"/>
          <w:szCs w:val="24"/>
        </w:rPr>
        <w:t xml:space="preserve"> </w:t>
      </w:r>
      <w:r w:rsidRPr="00772CFF">
        <w:rPr>
          <w:rFonts w:ascii="Times New Roman" w:hAnsi="Times New Roman"/>
          <w:szCs w:val="24"/>
        </w:rPr>
        <w:t>Although, some authors have argued that victims have no interest</w:t>
      </w:r>
      <w:r w:rsidR="004C5C83">
        <w:rPr>
          <w:rFonts w:ascii="Times New Roman" w:hAnsi="Times New Roman"/>
          <w:szCs w:val="24"/>
        </w:rPr>
        <w:t>s</w:t>
      </w:r>
      <w:r w:rsidRPr="00772CFF">
        <w:rPr>
          <w:rFonts w:ascii="Times New Roman" w:hAnsi="Times New Roman"/>
          <w:szCs w:val="24"/>
        </w:rPr>
        <w:t xml:space="preserve"> in conviction</w:t>
      </w:r>
      <w:r w:rsidR="004C5C83">
        <w:rPr>
          <w:rFonts w:ascii="Times New Roman" w:hAnsi="Times New Roman"/>
          <w:szCs w:val="24"/>
        </w:rPr>
        <w:t>/sentencing</w:t>
      </w:r>
      <w:r w:rsidRPr="00772CFF">
        <w:rPr>
          <w:rFonts w:ascii="Times New Roman" w:hAnsi="Times New Roman"/>
          <w:szCs w:val="24"/>
        </w:rPr>
        <w:t>.</w:t>
      </w:r>
      <w:r w:rsidR="00E55D68">
        <w:rPr>
          <w:rStyle w:val="FootnoteReference"/>
          <w:rFonts w:ascii="Times New Roman" w:hAnsi="Times New Roman"/>
          <w:szCs w:val="24"/>
        </w:rPr>
        <w:footnoteReference w:id="273"/>
      </w:r>
      <w:r w:rsidR="004C5C83">
        <w:rPr>
          <w:rFonts w:ascii="Times New Roman" w:hAnsi="Times New Roman"/>
          <w:szCs w:val="24"/>
        </w:rPr>
        <w:t xml:space="preserve"> This argument is not</w:t>
      </w:r>
      <w:r w:rsidR="00D06E98">
        <w:rPr>
          <w:rFonts w:ascii="Times New Roman" w:hAnsi="Times New Roman"/>
          <w:szCs w:val="24"/>
        </w:rPr>
        <w:t xml:space="preserve"> totally</w:t>
      </w:r>
      <w:r w:rsidR="004C5C83">
        <w:rPr>
          <w:rFonts w:ascii="Times New Roman" w:hAnsi="Times New Roman"/>
          <w:szCs w:val="24"/>
        </w:rPr>
        <w:t xml:space="preserve"> correct </w:t>
      </w:r>
      <w:r w:rsidR="003A1A69">
        <w:rPr>
          <w:rFonts w:ascii="Times New Roman" w:hAnsi="Times New Roman"/>
          <w:szCs w:val="24"/>
        </w:rPr>
        <w:t>because</w:t>
      </w:r>
      <w:r w:rsidR="004C5C83">
        <w:rPr>
          <w:rFonts w:ascii="Times New Roman" w:hAnsi="Times New Roman"/>
          <w:szCs w:val="24"/>
        </w:rPr>
        <w:t xml:space="preserve"> victims crave for justice for the harm suffered.</w:t>
      </w:r>
      <w:r w:rsidR="00D06E98">
        <w:rPr>
          <w:rFonts w:ascii="Times New Roman" w:hAnsi="Times New Roman"/>
          <w:szCs w:val="24"/>
        </w:rPr>
        <w:t xml:space="preserve"> </w:t>
      </w:r>
      <w:r w:rsidR="004C5C83">
        <w:rPr>
          <w:rFonts w:ascii="Times New Roman" w:hAnsi="Times New Roman"/>
          <w:szCs w:val="24"/>
        </w:rPr>
        <w:t xml:space="preserve">Since conviction and sentencing are </w:t>
      </w:r>
      <w:r w:rsidR="00D06E98">
        <w:rPr>
          <w:rFonts w:ascii="Times New Roman" w:hAnsi="Times New Roman"/>
          <w:szCs w:val="24"/>
        </w:rPr>
        <w:t xml:space="preserve">the </w:t>
      </w:r>
      <w:r w:rsidR="004C5C83">
        <w:rPr>
          <w:rFonts w:ascii="Times New Roman" w:hAnsi="Times New Roman"/>
          <w:szCs w:val="24"/>
        </w:rPr>
        <w:t>outcome</w:t>
      </w:r>
      <w:r w:rsidR="00FD3033">
        <w:rPr>
          <w:rFonts w:ascii="Times New Roman" w:hAnsi="Times New Roman"/>
          <w:szCs w:val="24"/>
        </w:rPr>
        <w:t>s</w:t>
      </w:r>
      <w:r w:rsidR="004C5C83">
        <w:rPr>
          <w:rFonts w:ascii="Times New Roman" w:hAnsi="Times New Roman"/>
          <w:szCs w:val="24"/>
        </w:rPr>
        <w:t xml:space="preserve"> of criminal prosecution, it is only reasonable for victims to have interests in conviction/sentencing.</w:t>
      </w:r>
    </w:p>
    <w:p w14:paraId="5A4A2D44" w14:textId="1304ACFA" w:rsidR="003A4120" w:rsidRDefault="00111CCE" w:rsidP="006B62D0">
      <w:pPr>
        <w:spacing w:line="480" w:lineRule="auto"/>
        <w:jc w:val="both"/>
        <w:rPr>
          <w:rFonts w:ascii="Times New Roman" w:hAnsi="Times New Roman"/>
          <w:szCs w:val="24"/>
        </w:rPr>
      </w:pPr>
      <w:r>
        <w:rPr>
          <w:rFonts w:ascii="Times New Roman" w:hAnsi="Times New Roman"/>
          <w:szCs w:val="24"/>
        </w:rPr>
        <w:lastRenderedPageBreak/>
        <w:t>Notwithstanding</w:t>
      </w:r>
      <w:r w:rsidR="00772CFF" w:rsidRPr="00772CFF">
        <w:rPr>
          <w:rFonts w:ascii="Times New Roman" w:hAnsi="Times New Roman"/>
          <w:szCs w:val="24"/>
        </w:rPr>
        <w:t xml:space="preserve">, it is argued that it is not the </w:t>
      </w:r>
      <w:r w:rsidR="00F55F69">
        <w:rPr>
          <w:rFonts w:ascii="Times New Roman" w:hAnsi="Times New Roman"/>
          <w:szCs w:val="24"/>
        </w:rPr>
        <w:t>prosecutor's duty</w:t>
      </w:r>
      <w:r w:rsidR="00772CFF" w:rsidRPr="00772CFF">
        <w:rPr>
          <w:rFonts w:ascii="Times New Roman" w:hAnsi="Times New Roman"/>
          <w:szCs w:val="24"/>
        </w:rPr>
        <w:t xml:space="preserve"> to ensure/secure conviction where evidence shows that the accused is innocent.</w:t>
      </w:r>
      <w:r w:rsidR="004C5C83">
        <w:rPr>
          <w:rFonts w:ascii="Times New Roman" w:hAnsi="Times New Roman"/>
          <w:szCs w:val="24"/>
        </w:rPr>
        <w:t xml:space="preserve"> </w:t>
      </w:r>
      <w:r>
        <w:rPr>
          <w:rFonts w:ascii="Times New Roman" w:hAnsi="Times New Roman"/>
          <w:szCs w:val="24"/>
          <w:lang w:val="en-US"/>
        </w:rPr>
        <w:t>While the</w:t>
      </w:r>
      <w:r w:rsidR="00FD39B2" w:rsidRPr="00772CFF">
        <w:rPr>
          <w:rFonts w:ascii="Times New Roman" w:hAnsi="Times New Roman"/>
          <w:szCs w:val="24"/>
          <w:lang w:val="en-US"/>
        </w:rPr>
        <w:t xml:space="preserve"> </w:t>
      </w:r>
      <w:r w:rsidR="00F55F69">
        <w:rPr>
          <w:rFonts w:ascii="Times New Roman" w:hAnsi="Times New Roman"/>
          <w:szCs w:val="24"/>
          <w:lang w:val="en-US"/>
        </w:rPr>
        <w:t>prosecutor's role</w:t>
      </w:r>
      <w:r w:rsidR="00FD39B2" w:rsidRPr="00772CFF">
        <w:rPr>
          <w:rFonts w:ascii="Times New Roman" w:hAnsi="Times New Roman"/>
          <w:szCs w:val="24"/>
          <w:lang w:val="en-US"/>
        </w:rPr>
        <w:t xml:space="preserve"> spans from investigation to </w:t>
      </w:r>
      <w:r w:rsidR="00C03D3D">
        <w:rPr>
          <w:rFonts w:ascii="Times New Roman" w:hAnsi="Times New Roman"/>
          <w:szCs w:val="24"/>
          <w:lang w:val="en-US"/>
        </w:rPr>
        <w:t>evidence gathering, the collection of evidence is not predicated on securing a conviction. Still,</w:t>
      </w:r>
      <w:r w:rsidR="00FD39B2" w:rsidRPr="00772CFF">
        <w:rPr>
          <w:rFonts w:ascii="Times New Roman" w:hAnsi="Times New Roman"/>
          <w:szCs w:val="24"/>
        </w:rPr>
        <w:t xml:space="preserve"> such evidence should be collected </w:t>
      </w:r>
      <w:r w:rsidR="003A1A69">
        <w:rPr>
          <w:rFonts w:ascii="Times New Roman" w:hAnsi="Times New Roman"/>
          <w:szCs w:val="24"/>
        </w:rPr>
        <w:t>to establish</w:t>
      </w:r>
      <w:r w:rsidR="00FD39B2" w:rsidRPr="00772CFF">
        <w:rPr>
          <w:rFonts w:ascii="Times New Roman" w:hAnsi="Times New Roman"/>
          <w:szCs w:val="24"/>
        </w:rPr>
        <w:t xml:space="preserve"> the truth.</w:t>
      </w:r>
      <w:r w:rsidR="00D06E98">
        <w:rPr>
          <w:rFonts w:ascii="Times New Roman" w:hAnsi="Times New Roman"/>
          <w:szCs w:val="24"/>
        </w:rPr>
        <w:t xml:space="preserve"> </w:t>
      </w:r>
      <w:r w:rsidR="00FD39B2" w:rsidRPr="00772CFF">
        <w:rPr>
          <w:rFonts w:ascii="Times New Roman" w:hAnsi="Times New Roman"/>
          <w:szCs w:val="24"/>
        </w:rPr>
        <w:t>The prosecutor’s role</w:t>
      </w:r>
      <w:r>
        <w:rPr>
          <w:rFonts w:ascii="Times New Roman" w:hAnsi="Times New Roman"/>
          <w:szCs w:val="24"/>
        </w:rPr>
        <w:t xml:space="preserve"> </w:t>
      </w:r>
      <w:r w:rsidR="00D06E98">
        <w:rPr>
          <w:rFonts w:ascii="Times New Roman" w:hAnsi="Times New Roman"/>
          <w:szCs w:val="24"/>
        </w:rPr>
        <w:t>in</w:t>
      </w:r>
      <w:r>
        <w:rPr>
          <w:rFonts w:ascii="Times New Roman" w:hAnsi="Times New Roman"/>
          <w:szCs w:val="24"/>
        </w:rPr>
        <w:t xml:space="preserve"> establishing the truth continues throughout the investigation of </w:t>
      </w:r>
      <w:r w:rsidR="00D06E98">
        <w:rPr>
          <w:rFonts w:ascii="Times New Roman" w:hAnsi="Times New Roman"/>
          <w:szCs w:val="24"/>
        </w:rPr>
        <w:t xml:space="preserve">the </w:t>
      </w:r>
      <w:r>
        <w:rPr>
          <w:rFonts w:ascii="Times New Roman" w:hAnsi="Times New Roman"/>
          <w:szCs w:val="24"/>
        </w:rPr>
        <w:t>situation to trial</w:t>
      </w:r>
      <w:r w:rsidR="00FD39B2" w:rsidRPr="00772CFF">
        <w:rPr>
          <w:rFonts w:ascii="Times New Roman" w:hAnsi="Times New Roman"/>
          <w:szCs w:val="24"/>
        </w:rPr>
        <w:t>.</w:t>
      </w:r>
      <w:r w:rsidR="00FD39B2" w:rsidRPr="00772CFF">
        <w:rPr>
          <w:rFonts w:ascii="Times New Roman" w:hAnsi="Times New Roman"/>
          <w:szCs w:val="24"/>
          <w:vertAlign w:val="superscript"/>
        </w:rPr>
        <w:footnoteReference w:id="274"/>
      </w:r>
      <w:r>
        <w:rPr>
          <w:rFonts w:ascii="Times New Roman" w:hAnsi="Times New Roman"/>
          <w:szCs w:val="24"/>
        </w:rPr>
        <w:t>It is expected that the prosecutor would carry out his duties objectively.</w:t>
      </w:r>
    </w:p>
    <w:p w14:paraId="19CE6D86" w14:textId="61F59A70" w:rsidR="00772CFF" w:rsidRDefault="00F55F69" w:rsidP="000E360E">
      <w:pPr>
        <w:spacing w:line="480" w:lineRule="auto"/>
        <w:jc w:val="both"/>
        <w:rPr>
          <w:rFonts w:ascii="Times New Roman" w:hAnsi="Times New Roman"/>
          <w:szCs w:val="24"/>
        </w:rPr>
      </w:pPr>
      <w:r>
        <w:rPr>
          <w:rFonts w:ascii="Times New Roman" w:hAnsi="Times New Roman"/>
          <w:szCs w:val="24"/>
        </w:rPr>
        <w:t>The p</w:t>
      </w:r>
      <w:r w:rsidR="00772CFF" w:rsidRPr="00772CFF">
        <w:rPr>
          <w:rFonts w:ascii="Times New Roman" w:hAnsi="Times New Roman"/>
          <w:szCs w:val="24"/>
        </w:rPr>
        <w:t>rosecutor is in charge of exculpatory evidence/material,</w:t>
      </w:r>
      <w:r w:rsidR="000E360E" w:rsidRPr="000E360E">
        <w:rPr>
          <w:rFonts w:ascii="Times New Roman" w:hAnsi="Times New Roman"/>
          <w:szCs w:val="24"/>
        </w:rPr>
        <w:t xml:space="preserve"> </w:t>
      </w:r>
      <w:r w:rsidR="000E360E">
        <w:rPr>
          <w:rFonts w:ascii="Times New Roman" w:hAnsi="Times New Roman"/>
          <w:szCs w:val="24"/>
        </w:rPr>
        <w:t>which could acquit the accused</w:t>
      </w:r>
      <w:r>
        <w:rPr>
          <w:rFonts w:ascii="Times New Roman" w:hAnsi="Times New Roman"/>
          <w:szCs w:val="24"/>
        </w:rPr>
        <w:t>;</w:t>
      </w:r>
      <w:r w:rsidR="00772CFF" w:rsidRPr="00772CFF">
        <w:rPr>
          <w:rFonts w:ascii="Times New Roman" w:hAnsi="Times New Roman"/>
          <w:szCs w:val="24"/>
        </w:rPr>
        <w:t xml:space="preserve"> it is incumbent on him to submit the exculpatory</w:t>
      </w:r>
      <w:r w:rsidR="00F0349C">
        <w:rPr>
          <w:rFonts w:ascii="Times New Roman" w:hAnsi="Times New Roman"/>
          <w:szCs w:val="24"/>
        </w:rPr>
        <w:t xml:space="preserve"> evidence</w:t>
      </w:r>
      <w:r w:rsidR="000E360E">
        <w:rPr>
          <w:rFonts w:ascii="Times New Roman" w:hAnsi="Times New Roman"/>
          <w:szCs w:val="24"/>
        </w:rPr>
        <w:t>.</w:t>
      </w:r>
      <w:r w:rsidR="00D06E98">
        <w:rPr>
          <w:rFonts w:ascii="Times New Roman" w:hAnsi="Times New Roman"/>
          <w:szCs w:val="24"/>
        </w:rPr>
        <w:t xml:space="preserve"> </w:t>
      </w:r>
      <w:r w:rsidR="004C5C83">
        <w:rPr>
          <w:rFonts w:ascii="Times New Roman" w:hAnsi="Times New Roman"/>
          <w:szCs w:val="24"/>
        </w:rPr>
        <w:t>In Goldstone’ words, “</w:t>
      </w:r>
      <w:r w:rsidR="00772CFF" w:rsidRPr="000E360E">
        <w:rPr>
          <w:rFonts w:ascii="Times New Roman" w:hAnsi="Times New Roman"/>
          <w:szCs w:val="24"/>
        </w:rPr>
        <w:t>the fairness of any criminal justice system must be judge by acquittals</w:t>
      </w:r>
      <w:r w:rsidR="004C5C83" w:rsidRPr="000E360E">
        <w:rPr>
          <w:rFonts w:ascii="Times New Roman" w:hAnsi="Times New Roman"/>
          <w:szCs w:val="24"/>
        </w:rPr>
        <w:t>”</w:t>
      </w:r>
      <w:r w:rsidR="00772CFF" w:rsidRPr="00772CFF">
        <w:rPr>
          <w:rFonts w:ascii="Times New Roman" w:hAnsi="Times New Roman"/>
          <w:szCs w:val="24"/>
          <w:vertAlign w:val="superscript"/>
        </w:rPr>
        <w:footnoteReference w:id="275"/>
      </w:r>
      <w:r w:rsidR="004C5C83">
        <w:rPr>
          <w:rFonts w:ascii="Times New Roman" w:hAnsi="Times New Roman"/>
          <w:i/>
          <w:szCs w:val="24"/>
        </w:rPr>
        <w:t xml:space="preserve"> </w:t>
      </w:r>
      <w:r w:rsidR="004C5C83">
        <w:rPr>
          <w:rFonts w:ascii="Times New Roman" w:hAnsi="Times New Roman"/>
          <w:szCs w:val="24"/>
        </w:rPr>
        <w:t>It is worthy to note that acquittals most times does not indicate justice</w:t>
      </w:r>
      <w:r w:rsidR="003A1A69">
        <w:rPr>
          <w:rFonts w:ascii="Times New Roman" w:hAnsi="Times New Roman"/>
          <w:szCs w:val="24"/>
        </w:rPr>
        <w:t>;</w:t>
      </w:r>
      <w:r w:rsidR="004C5C83">
        <w:rPr>
          <w:rFonts w:ascii="Times New Roman" w:hAnsi="Times New Roman"/>
          <w:szCs w:val="24"/>
        </w:rPr>
        <w:t xml:space="preserve"> </w:t>
      </w:r>
      <w:r w:rsidR="003A1A69">
        <w:rPr>
          <w:rFonts w:ascii="Times New Roman" w:hAnsi="Times New Roman"/>
          <w:szCs w:val="24"/>
        </w:rPr>
        <w:t>instead</w:t>
      </w:r>
      <w:r w:rsidR="004C5C83">
        <w:rPr>
          <w:rFonts w:ascii="Times New Roman" w:hAnsi="Times New Roman"/>
          <w:szCs w:val="24"/>
        </w:rPr>
        <w:t>, it is a result of insufficient proof.</w:t>
      </w:r>
      <w:r w:rsidR="003A1A69">
        <w:rPr>
          <w:rFonts w:ascii="Times New Roman" w:hAnsi="Times New Roman"/>
          <w:szCs w:val="24"/>
        </w:rPr>
        <w:t xml:space="preserve"> </w:t>
      </w:r>
      <w:r w:rsidR="005753C9">
        <w:rPr>
          <w:rFonts w:ascii="Times New Roman" w:hAnsi="Times New Roman"/>
          <w:szCs w:val="24"/>
        </w:rPr>
        <w:t>The Prosecutor</w:t>
      </w:r>
      <w:r w:rsidR="00772CFF" w:rsidRPr="00772CFF">
        <w:rPr>
          <w:rFonts w:ascii="Times New Roman" w:hAnsi="Times New Roman"/>
          <w:szCs w:val="24"/>
        </w:rPr>
        <w:t xml:space="preserve"> did not prove any of the charges filed against Katanga</w:t>
      </w:r>
      <w:r w:rsidR="003A1A69">
        <w:rPr>
          <w:rFonts w:ascii="Times New Roman" w:hAnsi="Times New Roman"/>
          <w:szCs w:val="24"/>
        </w:rPr>
        <w:t xml:space="preserve">. The court convicted  </w:t>
      </w:r>
      <w:r w:rsidR="00772CFF" w:rsidRPr="00772CFF">
        <w:rPr>
          <w:rFonts w:ascii="Times New Roman" w:hAnsi="Times New Roman"/>
          <w:szCs w:val="24"/>
        </w:rPr>
        <w:t>Katanga based on charges that were singlehandedly re-characterised by the judges.</w:t>
      </w:r>
      <w:r w:rsidR="00772CFF" w:rsidRPr="00772CFF">
        <w:rPr>
          <w:rFonts w:ascii="Times New Roman" w:hAnsi="Times New Roman"/>
          <w:szCs w:val="24"/>
          <w:vertAlign w:val="superscript"/>
        </w:rPr>
        <w:footnoteReference w:id="276"/>
      </w:r>
      <w:r w:rsidR="004C5C83">
        <w:rPr>
          <w:rFonts w:ascii="Times New Roman" w:hAnsi="Times New Roman"/>
          <w:szCs w:val="24"/>
        </w:rPr>
        <w:t>From the above, both the prosecutor and the accused have interests in conviction.</w:t>
      </w:r>
    </w:p>
    <w:p w14:paraId="2718CD85" w14:textId="37192D69" w:rsidR="003A1A69" w:rsidRDefault="003A1A69" w:rsidP="000E360E">
      <w:pPr>
        <w:spacing w:line="480" w:lineRule="auto"/>
        <w:jc w:val="both"/>
        <w:rPr>
          <w:rFonts w:ascii="Times New Roman" w:hAnsi="Times New Roman"/>
          <w:szCs w:val="24"/>
          <w:vertAlign w:val="superscript"/>
        </w:rPr>
      </w:pPr>
      <w:r>
        <w:rPr>
          <w:rFonts w:ascii="Times New Roman" w:hAnsi="Times New Roman"/>
          <w:szCs w:val="24"/>
        </w:rPr>
        <w:t>O</w:t>
      </w:r>
      <w:r w:rsidR="0083295D">
        <w:rPr>
          <w:rFonts w:ascii="Times New Roman" w:hAnsi="Times New Roman"/>
          <w:szCs w:val="24"/>
        </w:rPr>
        <w:t>ne of</w:t>
      </w:r>
      <w:r w:rsidR="00223696">
        <w:rPr>
          <w:rFonts w:ascii="Times New Roman" w:hAnsi="Times New Roman"/>
          <w:szCs w:val="24"/>
        </w:rPr>
        <w:t xml:space="preserve"> the ruling</w:t>
      </w:r>
      <w:r w:rsidR="0083295D">
        <w:rPr>
          <w:rFonts w:ascii="Times New Roman" w:hAnsi="Times New Roman"/>
          <w:szCs w:val="24"/>
        </w:rPr>
        <w:t>s</w:t>
      </w:r>
      <w:r w:rsidR="00223696">
        <w:rPr>
          <w:rFonts w:ascii="Times New Roman" w:hAnsi="Times New Roman"/>
          <w:szCs w:val="24"/>
        </w:rPr>
        <w:t xml:space="preserve"> of the AC</w:t>
      </w:r>
      <w:r>
        <w:rPr>
          <w:rFonts w:ascii="Times New Roman" w:hAnsi="Times New Roman"/>
          <w:szCs w:val="24"/>
        </w:rPr>
        <w:t xml:space="preserve"> illustrates this distinction</w:t>
      </w:r>
      <w:r w:rsidR="00223696">
        <w:rPr>
          <w:rFonts w:ascii="Times New Roman" w:hAnsi="Times New Roman"/>
          <w:szCs w:val="24"/>
        </w:rPr>
        <w:t>.</w:t>
      </w:r>
      <w:r w:rsidR="00D06E98">
        <w:rPr>
          <w:rFonts w:ascii="Times New Roman" w:hAnsi="Times New Roman"/>
          <w:szCs w:val="24"/>
        </w:rPr>
        <w:t xml:space="preserve"> </w:t>
      </w:r>
      <w:r w:rsidR="00ED57BB">
        <w:rPr>
          <w:rFonts w:ascii="Times New Roman" w:hAnsi="Times New Roman"/>
          <w:szCs w:val="24"/>
        </w:rPr>
        <w:t>T</w:t>
      </w:r>
      <w:r w:rsidR="00ED57BB" w:rsidRPr="00772CFF">
        <w:rPr>
          <w:rFonts w:ascii="Times New Roman" w:hAnsi="Times New Roman"/>
          <w:szCs w:val="24"/>
        </w:rPr>
        <w:t>he Appeal Chamber</w:t>
      </w:r>
      <w:r w:rsidR="00F0349C">
        <w:rPr>
          <w:rFonts w:ascii="Times New Roman" w:hAnsi="Times New Roman"/>
          <w:szCs w:val="24"/>
        </w:rPr>
        <w:t>s has refused the victims</w:t>
      </w:r>
      <w:r w:rsidR="00223696">
        <w:rPr>
          <w:rFonts w:ascii="Times New Roman" w:hAnsi="Times New Roman"/>
          <w:szCs w:val="24"/>
        </w:rPr>
        <w:t>’</w:t>
      </w:r>
      <w:r w:rsidR="00F0349C">
        <w:rPr>
          <w:rFonts w:ascii="Times New Roman" w:hAnsi="Times New Roman"/>
          <w:szCs w:val="24"/>
        </w:rPr>
        <w:t xml:space="preserve"> plight</w:t>
      </w:r>
      <w:r w:rsidR="00ED57BB" w:rsidRPr="00772CFF">
        <w:rPr>
          <w:rFonts w:ascii="Times New Roman" w:hAnsi="Times New Roman"/>
          <w:szCs w:val="24"/>
        </w:rPr>
        <w:t xml:space="preserve"> to participate under </w:t>
      </w:r>
      <w:r w:rsidR="00D06E98">
        <w:rPr>
          <w:rFonts w:ascii="Times New Roman" w:hAnsi="Times New Roman"/>
          <w:szCs w:val="24"/>
        </w:rPr>
        <w:t>A</w:t>
      </w:r>
      <w:r w:rsidR="00ED57BB" w:rsidRPr="00772CFF">
        <w:rPr>
          <w:rFonts w:ascii="Times New Roman" w:hAnsi="Times New Roman"/>
          <w:szCs w:val="24"/>
        </w:rPr>
        <w:t xml:space="preserve">rticle 68(3) </w:t>
      </w:r>
      <w:r w:rsidR="00D06E98">
        <w:rPr>
          <w:rFonts w:ascii="Times New Roman" w:hAnsi="Times New Roman"/>
          <w:szCs w:val="24"/>
        </w:rPr>
        <w:t>concerning</w:t>
      </w:r>
      <w:r w:rsidR="00ED57BB" w:rsidRPr="00772CFF">
        <w:rPr>
          <w:rFonts w:ascii="Times New Roman" w:hAnsi="Times New Roman"/>
          <w:szCs w:val="24"/>
        </w:rPr>
        <w:t xml:space="preserve"> the admissibility of an appeal by the defendants because the victims failed to show that </w:t>
      </w:r>
      <w:r w:rsidR="00ED57BB" w:rsidRPr="00772CFF">
        <w:rPr>
          <w:rFonts w:ascii="Times New Roman" w:hAnsi="Times New Roman"/>
          <w:szCs w:val="24"/>
        </w:rPr>
        <w:lastRenderedPageBreak/>
        <w:t>their interests are affected.</w:t>
      </w:r>
      <w:r w:rsidR="00ED57BB" w:rsidRPr="00772CFF">
        <w:rPr>
          <w:rFonts w:ascii="Times New Roman" w:hAnsi="Times New Roman"/>
          <w:szCs w:val="24"/>
          <w:vertAlign w:val="superscript"/>
        </w:rPr>
        <w:footnoteReference w:id="277"/>
      </w:r>
      <w:r w:rsidR="00D06E98">
        <w:rPr>
          <w:rFonts w:ascii="Times New Roman" w:hAnsi="Times New Roman"/>
          <w:szCs w:val="24"/>
        </w:rPr>
        <w:t xml:space="preserve"> </w:t>
      </w:r>
      <w:r w:rsidR="00ED57BB" w:rsidRPr="00772CFF">
        <w:rPr>
          <w:rFonts w:ascii="Times New Roman" w:hAnsi="Times New Roman"/>
          <w:szCs w:val="24"/>
        </w:rPr>
        <w:t>In considering  ‘</w:t>
      </w:r>
      <w:r w:rsidR="00ED57BB" w:rsidRPr="00ED57BB">
        <w:rPr>
          <w:rFonts w:ascii="Times New Roman" w:hAnsi="Times New Roman"/>
          <w:i/>
          <w:szCs w:val="24"/>
        </w:rPr>
        <w:t>personal interests’</w:t>
      </w:r>
      <w:r w:rsidR="00ED57BB" w:rsidRPr="00772CFF">
        <w:rPr>
          <w:rFonts w:ascii="Times New Roman" w:hAnsi="Times New Roman"/>
          <w:szCs w:val="24"/>
        </w:rPr>
        <w:t>,</w:t>
      </w:r>
      <w:r w:rsidR="00D06E98">
        <w:rPr>
          <w:rFonts w:ascii="Times New Roman" w:hAnsi="Times New Roman"/>
          <w:szCs w:val="24"/>
        </w:rPr>
        <w:t xml:space="preserve"> </w:t>
      </w:r>
      <w:r w:rsidR="00ED57BB" w:rsidRPr="00772CFF">
        <w:rPr>
          <w:rFonts w:ascii="Times New Roman" w:hAnsi="Times New Roman"/>
          <w:szCs w:val="24"/>
        </w:rPr>
        <w:t>the AC found that the requirement is on a case-by-case assessment.</w:t>
      </w:r>
      <w:r w:rsidR="00D06E98">
        <w:rPr>
          <w:rFonts w:ascii="Times New Roman" w:hAnsi="Times New Roman"/>
          <w:szCs w:val="24"/>
        </w:rPr>
        <w:t xml:space="preserve"> </w:t>
      </w:r>
      <w:r w:rsidR="00ED57BB" w:rsidRPr="00772CFF">
        <w:rPr>
          <w:rFonts w:ascii="Times New Roman" w:hAnsi="Times New Roman"/>
          <w:szCs w:val="24"/>
        </w:rPr>
        <w:t>It also held that victims c</w:t>
      </w:r>
      <w:r w:rsidR="00D06E98">
        <w:rPr>
          <w:rFonts w:ascii="Times New Roman" w:hAnsi="Times New Roman"/>
          <w:szCs w:val="24"/>
        </w:rPr>
        <w:t xml:space="preserve">ould </w:t>
      </w:r>
      <w:r w:rsidR="00ED57BB" w:rsidRPr="00772CFF">
        <w:rPr>
          <w:rFonts w:ascii="Times New Roman" w:hAnsi="Times New Roman"/>
          <w:szCs w:val="24"/>
        </w:rPr>
        <w:t>not claim personal interests in matters that fall within the Prosecutor’s role.</w:t>
      </w:r>
      <w:r w:rsidR="00D06E98">
        <w:rPr>
          <w:rFonts w:ascii="Times New Roman" w:hAnsi="Times New Roman"/>
          <w:szCs w:val="24"/>
        </w:rPr>
        <w:t xml:space="preserve"> </w:t>
      </w:r>
      <w:r w:rsidR="00ED57BB" w:rsidRPr="00772CFF">
        <w:rPr>
          <w:rFonts w:ascii="Times New Roman" w:hAnsi="Times New Roman"/>
          <w:szCs w:val="24"/>
        </w:rPr>
        <w:t>This</w:t>
      </w:r>
      <w:r>
        <w:rPr>
          <w:rFonts w:ascii="Times New Roman" w:hAnsi="Times New Roman"/>
          <w:szCs w:val="24"/>
        </w:rPr>
        <w:t xml:space="preserve"> ruling</w:t>
      </w:r>
      <w:r w:rsidR="00ED57BB" w:rsidRPr="00772CFF">
        <w:rPr>
          <w:rFonts w:ascii="Times New Roman" w:hAnsi="Times New Roman"/>
          <w:szCs w:val="24"/>
        </w:rPr>
        <w:t xml:space="preserve"> </w:t>
      </w:r>
      <w:r w:rsidR="00F55F69">
        <w:rPr>
          <w:rFonts w:ascii="Times New Roman" w:hAnsi="Times New Roman"/>
          <w:szCs w:val="24"/>
        </w:rPr>
        <w:t>shows that victims are not assistant prosecutors, no</w:t>
      </w:r>
      <w:r w:rsidR="00ED57BB" w:rsidRPr="00772CFF">
        <w:rPr>
          <w:rFonts w:ascii="Times New Roman" w:hAnsi="Times New Roman"/>
          <w:szCs w:val="24"/>
        </w:rPr>
        <w:t xml:space="preserve">r do they fit into </w:t>
      </w:r>
      <w:r w:rsidR="00F55F69">
        <w:rPr>
          <w:rFonts w:ascii="Times New Roman" w:hAnsi="Times New Roman"/>
          <w:szCs w:val="24"/>
        </w:rPr>
        <w:t>the prosecutor's allies</w:t>
      </w:r>
      <w:r w:rsidR="00ED57BB" w:rsidRPr="00772CFF">
        <w:rPr>
          <w:rFonts w:ascii="Times New Roman" w:hAnsi="Times New Roman"/>
          <w:szCs w:val="24"/>
        </w:rPr>
        <w:t>.</w:t>
      </w:r>
    </w:p>
    <w:p w14:paraId="60DA541F" w14:textId="1DBB2AF3" w:rsidR="006C59E3" w:rsidRDefault="00634BA6" w:rsidP="000E360E">
      <w:pPr>
        <w:spacing w:line="480" w:lineRule="auto"/>
        <w:jc w:val="both"/>
        <w:rPr>
          <w:rFonts w:ascii="Times New Roman" w:hAnsi="Times New Roman"/>
          <w:szCs w:val="24"/>
        </w:rPr>
      </w:pPr>
      <w:r>
        <w:rPr>
          <w:rFonts w:ascii="Times New Roman" w:hAnsi="Times New Roman"/>
          <w:szCs w:val="24"/>
        </w:rPr>
        <w:t>Nevertheless, i</w:t>
      </w:r>
      <w:r w:rsidR="00ED57BB" w:rsidRPr="00772CFF">
        <w:rPr>
          <w:rFonts w:ascii="Times New Roman" w:hAnsi="Times New Roman"/>
          <w:szCs w:val="24"/>
        </w:rPr>
        <w:t xml:space="preserve">t seems that this decision fails to </w:t>
      </w:r>
      <w:r w:rsidR="00F55F69">
        <w:rPr>
          <w:rFonts w:ascii="Times New Roman" w:hAnsi="Times New Roman"/>
          <w:szCs w:val="24"/>
        </w:rPr>
        <w:t>consider that there is an overlap between the personal interests of the prosecutors' victims and interests</w:t>
      </w:r>
      <w:r w:rsidR="00ED57BB" w:rsidRPr="00772CFF">
        <w:rPr>
          <w:rFonts w:ascii="Times New Roman" w:hAnsi="Times New Roman"/>
          <w:szCs w:val="24"/>
        </w:rPr>
        <w:t>.</w:t>
      </w:r>
      <w:r w:rsidR="00D06E98">
        <w:rPr>
          <w:rFonts w:ascii="Times New Roman" w:hAnsi="Times New Roman"/>
          <w:szCs w:val="24"/>
        </w:rPr>
        <w:t xml:space="preserve"> </w:t>
      </w:r>
      <w:r w:rsidR="00ED57BB" w:rsidRPr="00772CFF">
        <w:rPr>
          <w:rFonts w:ascii="Times New Roman" w:hAnsi="Times New Roman"/>
          <w:szCs w:val="24"/>
        </w:rPr>
        <w:t xml:space="preserve">One may argue that securing </w:t>
      </w:r>
      <w:r w:rsidR="00D06E98">
        <w:rPr>
          <w:rFonts w:ascii="Times New Roman" w:hAnsi="Times New Roman"/>
          <w:szCs w:val="24"/>
        </w:rPr>
        <w:t xml:space="preserve">the </w:t>
      </w:r>
      <w:r w:rsidR="00ED57BB" w:rsidRPr="00772CFF">
        <w:rPr>
          <w:rFonts w:ascii="Times New Roman" w:hAnsi="Times New Roman"/>
          <w:szCs w:val="24"/>
        </w:rPr>
        <w:t>conviction of the perpetrator falls within this category.</w:t>
      </w:r>
      <w:r w:rsidR="00D06E98">
        <w:rPr>
          <w:rFonts w:ascii="Times New Roman" w:hAnsi="Times New Roman"/>
          <w:szCs w:val="24"/>
        </w:rPr>
        <w:t xml:space="preserve"> </w:t>
      </w:r>
      <w:r w:rsidR="00ED57BB" w:rsidRPr="00772CFF">
        <w:rPr>
          <w:rFonts w:ascii="Times New Roman" w:hAnsi="Times New Roman"/>
          <w:szCs w:val="24"/>
        </w:rPr>
        <w:t xml:space="preserve">Victims are interested in </w:t>
      </w:r>
      <w:r w:rsidR="003A1A69">
        <w:rPr>
          <w:rFonts w:ascii="Times New Roman" w:hAnsi="Times New Roman"/>
          <w:szCs w:val="24"/>
        </w:rPr>
        <w:t>obtain</w:t>
      </w:r>
      <w:r w:rsidR="00ED57BB" w:rsidRPr="00772CFF">
        <w:rPr>
          <w:rFonts w:ascii="Times New Roman" w:hAnsi="Times New Roman"/>
          <w:szCs w:val="24"/>
        </w:rPr>
        <w:t xml:space="preserve">ing punishment or </w:t>
      </w:r>
      <w:r w:rsidR="003A1A69">
        <w:rPr>
          <w:rFonts w:ascii="Times New Roman" w:hAnsi="Times New Roman"/>
          <w:szCs w:val="24"/>
        </w:rPr>
        <w:t>sentence</w:t>
      </w:r>
      <w:r w:rsidR="00ED57BB" w:rsidRPr="00772CFF">
        <w:rPr>
          <w:rFonts w:ascii="Times New Roman" w:hAnsi="Times New Roman"/>
          <w:szCs w:val="24"/>
        </w:rPr>
        <w:t xml:space="preserve"> of the perpetrator</w:t>
      </w:r>
      <w:r w:rsidR="00DA3B4E">
        <w:rPr>
          <w:rFonts w:ascii="Times New Roman" w:hAnsi="Times New Roman"/>
          <w:szCs w:val="24"/>
        </w:rPr>
        <w:t>,</w:t>
      </w:r>
      <w:r w:rsidR="00D06E98">
        <w:rPr>
          <w:rFonts w:ascii="Times New Roman" w:hAnsi="Times New Roman"/>
          <w:szCs w:val="24"/>
        </w:rPr>
        <w:t xml:space="preserve"> </w:t>
      </w:r>
      <w:r w:rsidR="00F55F69">
        <w:rPr>
          <w:rFonts w:ascii="Times New Roman" w:hAnsi="Times New Roman"/>
          <w:szCs w:val="24"/>
        </w:rPr>
        <w:t>which</w:t>
      </w:r>
      <w:r w:rsidR="00DA3B4E">
        <w:rPr>
          <w:rFonts w:ascii="Times New Roman" w:hAnsi="Times New Roman"/>
          <w:szCs w:val="24"/>
        </w:rPr>
        <w:t xml:space="preserve"> may be considered</w:t>
      </w:r>
      <w:r w:rsidR="00ED57BB" w:rsidRPr="00772CFF">
        <w:rPr>
          <w:rFonts w:ascii="Times New Roman" w:hAnsi="Times New Roman"/>
          <w:szCs w:val="24"/>
        </w:rPr>
        <w:t xml:space="preserve"> justice for the harm they have caused them.</w:t>
      </w:r>
      <w:r w:rsidR="00D06E98">
        <w:rPr>
          <w:rFonts w:ascii="Times New Roman" w:hAnsi="Times New Roman"/>
          <w:szCs w:val="24"/>
        </w:rPr>
        <w:t xml:space="preserve"> </w:t>
      </w:r>
      <w:r>
        <w:rPr>
          <w:rFonts w:ascii="Times New Roman" w:hAnsi="Times New Roman"/>
          <w:szCs w:val="24"/>
        </w:rPr>
        <w:t xml:space="preserve">Most times, the roles of  Prosecutor and victims </w:t>
      </w:r>
      <w:r w:rsidR="001A3A12">
        <w:rPr>
          <w:rFonts w:ascii="Times New Roman" w:hAnsi="Times New Roman"/>
          <w:szCs w:val="24"/>
        </w:rPr>
        <w:t>are usually in line with their interests.</w:t>
      </w:r>
      <w:r w:rsidR="00D06E98">
        <w:rPr>
          <w:rFonts w:ascii="Times New Roman" w:hAnsi="Times New Roman"/>
          <w:szCs w:val="24"/>
        </w:rPr>
        <w:t xml:space="preserve"> </w:t>
      </w:r>
      <w:r w:rsidR="00712AFA">
        <w:rPr>
          <w:rFonts w:ascii="Times New Roman" w:hAnsi="Times New Roman"/>
          <w:szCs w:val="24"/>
        </w:rPr>
        <w:t>These interests may intersect, as opposed to the contrasting interests between the Prosecutor and the defendant.</w:t>
      </w:r>
    </w:p>
    <w:p w14:paraId="15E96BB9" w14:textId="56781E9F" w:rsidR="009C51CF" w:rsidRPr="00772CFF" w:rsidRDefault="009C51CF" w:rsidP="000E360E">
      <w:pPr>
        <w:spacing w:line="480" w:lineRule="auto"/>
        <w:jc w:val="both"/>
        <w:rPr>
          <w:rFonts w:ascii="Times New Roman" w:hAnsi="Times New Roman"/>
          <w:szCs w:val="24"/>
        </w:rPr>
      </w:pPr>
      <w:r w:rsidRPr="003A18EA">
        <w:rPr>
          <w:rFonts w:ascii="Times New Roman" w:eastAsia="Cambria" w:hAnsi="Times New Roman"/>
          <w:szCs w:val="24"/>
        </w:rPr>
        <w:t>For instance, the PTC ruled inter-alia that article 68(3) allows victims to participate in proceedings(situation) based on their personal interests.</w:t>
      </w:r>
      <w:r w:rsidRPr="003A18EA">
        <w:rPr>
          <w:rFonts w:ascii="Times New Roman" w:eastAsia="Cambria" w:hAnsi="Times New Roman"/>
          <w:szCs w:val="24"/>
          <w:vertAlign w:val="superscript"/>
        </w:rPr>
        <w:footnoteReference w:id="278"/>
      </w:r>
      <w:r w:rsidRPr="003A18EA">
        <w:rPr>
          <w:rFonts w:ascii="Times New Roman" w:eastAsia="Cambria" w:hAnsi="Times New Roman"/>
          <w:szCs w:val="24"/>
        </w:rPr>
        <w:t xml:space="preserve"> The Pre-Trial Chamber II found that ‘privacy and protection of victims themselves and possibly the preservation of evidence’,</w:t>
      </w:r>
      <w:r w:rsidRPr="003A18EA">
        <w:rPr>
          <w:rFonts w:ascii="Times New Roman" w:eastAsia="Cambria" w:hAnsi="Times New Roman"/>
          <w:szCs w:val="24"/>
          <w:vertAlign w:val="superscript"/>
        </w:rPr>
        <w:footnoteReference w:id="279"/>
      </w:r>
      <w:r w:rsidRPr="003A18EA">
        <w:rPr>
          <w:rFonts w:ascii="Times New Roman" w:eastAsia="Cambria" w:hAnsi="Times New Roman"/>
          <w:szCs w:val="24"/>
        </w:rPr>
        <w:t xml:space="preserve"> qualify as personal interests. This ruling sheds more light on protective measures, as a personal interest of victims</w:t>
      </w:r>
      <w:r w:rsidR="00F55F69">
        <w:rPr>
          <w:rFonts w:ascii="Times New Roman" w:eastAsia="Cambria" w:hAnsi="Times New Roman"/>
          <w:szCs w:val="24"/>
        </w:rPr>
        <w:t>, enabling</w:t>
      </w:r>
      <w:r w:rsidRPr="003A18EA">
        <w:rPr>
          <w:rFonts w:ascii="Times New Roman" w:eastAsia="Cambria" w:hAnsi="Times New Roman"/>
          <w:szCs w:val="24"/>
        </w:rPr>
        <w:t xml:space="preserve"> them to present their views and concerns. The victims were permitted to </w:t>
      </w:r>
      <w:r w:rsidR="00F55F69">
        <w:rPr>
          <w:rFonts w:ascii="Times New Roman" w:eastAsia="Cambria" w:hAnsi="Times New Roman"/>
          <w:szCs w:val="24"/>
        </w:rPr>
        <w:t>submi</w:t>
      </w:r>
      <w:r w:rsidRPr="003A18EA">
        <w:rPr>
          <w:rFonts w:ascii="Times New Roman" w:eastAsia="Cambria" w:hAnsi="Times New Roman"/>
          <w:szCs w:val="24"/>
        </w:rPr>
        <w:t xml:space="preserve">t their </w:t>
      </w:r>
      <w:r w:rsidR="00F55F69">
        <w:rPr>
          <w:rFonts w:ascii="Times New Roman" w:eastAsia="Cambria" w:hAnsi="Times New Roman"/>
          <w:szCs w:val="24"/>
        </w:rPr>
        <w:t>opinion</w:t>
      </w:r>
      <w:r w:rsidRPr="003A18EA">
        <w:rPr>
          <w:rFonts w:ascii="Times New Roman" w:eastAsia="Cambria" w:hAnsi="Times New Roman"/>
          <w:szCs w:val="24"/>
        </w:rPr>
        <w:t xml:space="preserve">s and concerns based on </w:t>
      </w:r>
      <w:r w:rsidRPr="003A18EA">
        <w:rPr>
          <w:rFonts w:ascii="Times New Roman" w:eastAsia="Cambria" w:hAnsi="Times New Roman"/>
          <w:szCs w:val="24"/>
        </w:rPr>
        <w:lastRenderedPageBreak/>
        <w:t xml:space="preserve">the </w:t>
      </w:r>
      <w:r w:rsidR="00F55F69">
        <w:rPr>
          <w:rFonts w:ascii="Times New Roman" w:eastAsia="Cambria" w:hAnsi="Times New Roman"/>
          <w:szCs w:val="24"/>
        </w:rPr>
        <w:t>Court's protective measures</w:t>
      </w:r>
      <w:r w:rsidRPr="003A18EA">
        <w:rPr>
          <w:rFonts w:ascii="Times New Roman" w:eastAsia="Cambria" w:hAnsi="Times New Roman"/>
          <w:szCs w:val="24"/>
        </w:rPr>
        <w:t xml:space="preserve"> before the Chamber considers the merits of the application.</w:t>
      </w:r>
      <w:r w:rsidRPr="003A18EA">
        <w:rPr>
          <w:rFonts w:ascii="Times New Roman" w:eastAsia="Cambria" w:hAnsi="Times New Roman"/>
          <w:szCs w:val="24"/>
          <w:vertAlign w:val="superscript"/>
        </w:rPr>
        <w:footnoteReference w:id="280"/>
      </w:r>
    </w:p>
    <w:p w14:paraId="5029ADD9" w14:textId="4AF1A4D3" w:rsidR="004C5C83" w:rsidRPr="005B796F" w:rsidRDefault="004C5C83" w:rsidP="005B796F">
      <w:pPr>
        <w:spacing w:line="480" w:lineRule="auto"/>
        <w:jc w:val="both"/>
        <w:rPr>
          <w:rFonts w:ascii="Times New Roman" w:hAnsi="Times New Roman"/>
          <w:szCs w:val="24"/>
        </w:rPr>
      </w:pPr>
      <w:r w:rsidRPr="005B796F">
        <w:rPr>
          <w:rFonts w:ascii="Times New Roman" w:hAnsi="Times New Roman"/>
          <w:szCs w:val="24"/>
        </w:rPr>
        <w:t xml:space="preserve">From the previous discussion, </w:t>
      </w:r>
      <w:r w:rsidR="003A1A69">
        <w:rPr>
          <w:rFonts w:ascii="Times New Roman" w:hAnsi="Times New Roman"/>
          <w:szCs w:val="24"/>
        </w:rPr>
        <w:t xml:space="preserve">one </w:t>
      </w:r>
      <w:r w:rsidR="00FD39B2" w:rsidRPr="005B796F">
        <w:rPr>
          <w:rFonts w:ascii="Times New Roman" w:hAnsi="Times New Roman"/>
          <w:szCs w:val="24"/>
        </w:rPr>
        <w:t>can se</w:t>
      </w:r>
      <w:r w:rsidR="003A1A69">
        <w:rPr>
          <w:rFonts w:ascii="Times New Roman" w:hAnsi="Times New Roman"/>
          <w:szCs w:val="24"/>
        </w:rPr>
        <w:t>e</w:t>
      </w:r>
      <w:r w:rsidR="00FD39B2" w:rsidRPr="005B796F">
        <w:rPr>
          <w:rFonts w:ascii="Times New Roman" w:hAnsi="Times New Roman"/>
          <w:szCs w:val="24"/>
        </w:rPr>
        <w:t xml:space="preserve"> that some of the Prosecutor and victims’ interests overlap while some are watertight. The following section will explore </w:t>
      </w:r>
      <w:r w:rsidR="00D06E98">
        <w:rPr>
          <w:rFonts w:ascii="Times New Roman" w:hAnsi="Times New Roman"/>
          <w:szCs w:val="24"/>
        </w:rPr>
        <w:t xml:space="preserve">the </w:t>
      </w:r>
      <w:r w:rsidR="00FD39B2" w:rsidRPr="005B796F">
        <w:rPr>
          <w:rFonts w:ascii="Times New Roman" w:hAnsi="Times New Roman"/>
          <w:szCs w:val="24"/>
        </w:rPr>
        <w:t>victims’ needs.</w:t>
      </w:r>
    </w:p>
    <w:p w14:paraId="0553955F" w14:textId="77777777" w:rsidR="00772CFF" w:rsidRPr="00772CFF" w:rsidRDefault="004E5339" w:rsidP="009838F0">
      <w:pPr>
        <w:spacing w:line="480" w:lineRule="auto"/>
        <w:jc w:val="both"/>
        <w:rPr>
          <w:rFonts w:ascii="Times New Roman" w:hAnsi="Times New Roman"/>
          <w:szCs w:val="24"/>
        </w:rPr>
      </w:pPr>
      <w:r>
        <w:rPr>
          <w:rFonts w:ascii="Times New Roman" w:hAnsi="Times New Roman"/>
          <w:szCs w:val="24"/>
        </w:rPr>
        <w:t>The next</w:t>
      </w:r>
      <w:r w:rsidR="00772CFF" w:rsidRPr="00772CFF">
        <w:rPr>
          <w:rFonts w:ascii="Times New Roman" w:hAnsi="Times New Roman"/>
          <w:szCs w:val="24"/>
        </w:rPr>
        <w:t xml:space="preserve"> section will examine the charging documents for both Katanga and Lubanga cases.</w:t>
      </w:r>
      <w:r>
        <w:rPr>
          <w:rFonts w:ascii="Times New Roman" w:hAnsi="Times New Roman"/>
          <w:szCs w:val="24"/>
        </w:rPr>
        <w:t xml:space="preserve"> </w:t>
      </w:r>
      <w:r w:rsidR="00772CFF" w:rsidRPr="00772CFF">
        <w:rPr>
          <w:rFonts w:ascii="Times New Roman" w:hAnsi="Times New Roman"/>
          <w:szCs w:val="24"/>
        </w:rPr>
        <w:t xml:space="preserve">It is necessary to explore the content of the charges </w:t>
      </w:r>
      <w:r w:rsidR="00D06E98">
        <w:rPr>
          <w:rFonts w:ascii="Times New Roman" w:hAnsi="Times New Roman"/>
          <w:szCs w:val="24"/>
        </w:rPr>
        <w:t xml:space="preserve">to </w:t>
      </w:r>
      <w:r w:rsidR="00772CFF" w:rsidRPr="00772CFF">
        <w:rPr>
          <w:rFonts w:ascii="Times New Roman" w:hAnsi="Times New Roman"/>
          <w:szCs w:val="24"/>
        </w:rPr>
        <w:t>assess the role of the Prosecutor in dra</w:t>
      </w:r>
      <w:r w:rsidR="005A7A37">
        <w:rPr>
          <w:rFonts w:ascii="Times New Roman" w:hAnsi="Times New Roman"/>
          <w:szCs w:val="24"/>
        </w:rPr>
        <w:t>fting the charges  and  to what extent prosecutorial discretion affects victims’</w:t>
      </w:r>
      <w:r w:rsidR="00772CFF" w:rsidRPr="00772CFF">
        <w:rPr>
          <w:rFonts w:ascii="Times New Roman" w:hAnsi="Times New Roman"/>
          <w:szCs w:val="24"/>
        </w:rPr>
        <w:t xml:space="preserve"> rights</w:t>
      </w:r>
      <w:r w:rsidR="005A7A37">
        <w:rPr>
          <w:rFonts w:ascii="Times New Roman" w:hAnsi="Times New Roman"/>
          <w:szCs w:val="24"/>
        </w:rPr>
        <w:t xml:space="preserve"> and interests </w:t>
      </w:r>
      <w:r w:rsidR="00772CFF" w:rsidRPr="00772CFF">
        <w:rPr>
          <w:rFonts w:ascii="Times New Roman" w:hAnsi="Times New Roman"/>
          <w:szCs w:val="24"/>
        </w:rPr>
        <w:t xml:space="preserve"> in the proceedings</w:t>
      </w:r>
    </w:p>
    <w:p w14:paraId="72961E06" w14:textId="77777777" w:rsidR="00772CFF" w:rsidRPr="00772CFF" w:rsidRDefault="00772CFF" w:rsidP="00772CFF">
      <w:pPr>
        <w:jc w:val="both"/>
        <w:rPr>
          <w:rFonts w:ascii="Times New Roman" w:hAnsi="Times New Roman"/>
          <w:szCs w:val="24"/>
        </w:rPr>
      </w:pPr>
    </w:p>
    <w:p w14:paraId="040AB515" w14:textId="77777777" w:rsidR="00772CFF" w:rsidRPr="00772CFF" w:rsidRDefault="00A549E5" w:rsidP="00DF5C01">
      <w:pPr>
        <w:pStyle w:val="Heading2"/>
      </w:pPr>
      <w:bookmarkStart w:id="20" w:name="_Toc60235798"/>
      <w:r>
        <w:t>2.5</w:t>
      </w:r>
      <w:r w:rsidR="004C6085">
        <w:t xml:space="preserve"> </w:t>
      </w:r>
      <w:r w:rsidR="00DE3B34">
        <w:t>The Charging Document:</w:t>
      </w:r>
      <w:r w:rsidR="00772CFF" w:rsidRPr="00772CFF">
        <w:t xml:space="preserve"> Double-edged sword</w:t>
      </w:r>
      <w:bookmarkEnd w:id="20"/>
    </w:p>
    <w:p w14:paraId="29D1A57F" w14:textId="4D5E7AE6" w:rsidR="00772CFF" w:rsidRDefault="004C6085" w:rsidP="009838F0">
      <w:pPr>
        <w:spacing w:line="480" w:lineRule="auto"/>
        <w:jc w:val="both"/>
        <w:rPr>
          <w:rFonts w:ascii="Times New Roman" w:hAnsi="Times New Roman"/>
          <w:szCs w:val="24"/>
          <w:lang w:val="en-US"/>
        </w:rPr>
      </w:pPr>
      <w:r>
        <w:rPr>
          <w:rFonts w:ascii="Times New Roman" w:hAnsi="Times New Roman"/>
          <w:szCs w:val="24"/>
          <w:lang w:val="en-US"/>
        </w:rPr>
        <w:t>Of equal importance is the role of the prosecutor in framing the charging document. This section seeks to critically</w:t>
      </w:r>
      <w:r w:rsidR="00ED3789">
        <w:rPr>
          <w:rFonts w:ascii="Times New Roman" w:hAnsi="Times New Roman"/>
          <w:szCs w:val="24"/>
          <w:lang w:val="en-US"/>
        </w:rPr>
        <w:t xml:space="preserve"> </w:t>
      </w:r>
      <w:r w:rsidR="00772CFF" w:rsidRPr="00772CFF">
        <w:rPr>
          <w:rFonts w:ascii="Times New Roman" w:hAnsi="Times New Roman"/>
          <w:szCs w:val="24"/>
          <w:lang w:val="en-US"/>
        </w:rPr>
        <w:t>examine the charging document and its attendant implications for victims.</w:t>
      </w:r>
    </w:p>
    <w:p w14:paraId="1EDACADE" w14:textId="77777777" w:rsidR="00F55F69" w:rsidRDefault="00B734C2" w:rsidP="00101793">
      <w:pPr>
        <w:spacing w:line="480" w:lineRule="auto"/>
        <w:jc w:val="both"/>
        <w:rPr>
          <w:rFonts w:ascii="Times New Roman" w:hAnsi="Times New Roman"/>
          <w:szCs w:val="24"/>
          <w:lang w:val="en-US"/>
        </w:rPr>
      </w:pPr>
      <w:r>
        <w:rPr>
          <w:rFonts w:ascii="Times New Roman" w:hAnsi="Times New Roman"/>
          <w:szCs w:val="24"/>
          <w:lang w:val="en-US"/>
        </w:rPr>
        <w:t xml:space="preserve">After the prosecutor decides on whether to investigate or not, the next phase is the charging documents. The prosecutor must determine what charges to include, which also raises the question of victims’ interests in charges and charges reduction. The Chamber addressed the question. </w:t>
      </w:r>
      <w:r w:rsidR="00EC1B66">
        <w:rPr>
          <w:rFonts w:ascii="Times New Roman" w:hAnsi="Times New Roman"/>
          <w:szCs w:val="24"/>
          <w:lang w:val="en-US"/>
        </w:rPr>
        <w:t>In the AC’s findings, for</w:t>
      </w:r>
      <w:r w:rsidR="004C6085">
        <w:rPr>
          <w:rFonts w:ascii="Times New Roman" w:hAnsi="Times New Roman"/>
          <w:szCs w:val="24"/>
          <w:lang w:val="en-US"/>
        </w:rPr>
        <w:t xml:space="preserve"> trial proceedings:</w:t>
      </w:r>
      <w:r w:rsidR="00772CFF" w:rsidRPr="00772CFF">
        <w:rPr>
          <w:rFonts w:ascii="Times New Roman" w:hAnsi="Times New Roman"/>
          <w:szCs w:val="24"/>
          <w:lang w:val="en-US"/>
        </w:rPr>
        <w:t xml:space="preserve"> “</w:t>
      </w:r>
      <w:r w:rsidR="00772CFF" w:rsidRPr="005439EC">
        <w:rPr>
          <w:rFonts w:ascii="Times New Roman" w:hAnsi="Times New Roman"/>
          <w:szCs w:val="24"/>
          <w:lang w:val="en-US"/>
        </w:rPr>
        <w:t xml:space="preserve">the harm alleged by victims and the concept of personal interests under article 68(3) of the Statute </w:t>
      </w:r>
      <w:r w:rsidR="00772CFF" w:rsidRPr="005439EC">
        <w:rPr>
          <w:rFonts w:ascii="Times New Roman" w:hAnsi="Times New Roman"/>
          <w:szCs w:val="24"/>
          <w:lang w:val="en-US"/>
        </w:rPr>
        <w:lastRenderedPageBreak/>
        <w:t>must be linked with the charges confirmed against the accused”</w:t>
      </w:r>
      <w:r w:rsidR="00772CFF" w:rsidRPr="00772CFF">
        <w:rPr>
          <w:rFonts w:ascii="Times New Roman" w:hAnsi="Times New Roman"/>
          <w:szCs w:val="24"/>
          <w:lang w:val="en-US"/>
        </w:rPr>
        <w:t>.</w:t>
      </w:r>
      <w:r w:rsidR="00772CFF" w:rsidRPr="00772CFF">
        <w:rPr>
          <w:rFonts w:ascii="Times New Roman" w:hAnsi="Times New Roman"/>
          <w:szCs w:val="24"/>
          <w:vertAlign w:val="superscript"/>
          <w:lang w:val="en-US"/>
        </w:rPr>
        <w:footnoteReference w:id="281"/>
      </w:r>
      <w:r w:rsidR="00772CFF" w:rsidRPr="00772CFF">
        <w:rPr>
          <w:rFonts w:ascii="Times New Roman" w:hAnsi="Times New Roman"/>
          <w:szCs w:val="24"/>
          <w:lang w:val="en-US"/>
        </w:rPr>
        <w:t xml:space="preserve"> T</w:t>
      </w:r>
      <w:r w:rsidR="009C63A6">
        <w:rPr>
          <w:rFonts w:ascii="Times New Roman" w:hAnsi="Times New Roman"/>
          <w:szCs w:val="24"/>
          <w:lang w:val="en-US"/>
        </w:rPr>
        <w:t xml:space="preserve">his ruling </w:t>
      </w:r>
      <w:r w:rsidR="00D514D6">
        <w:rPr>
          <w:rFonts w:ascii="Times New Roman" w:hAnsi="Times New Roman"/>
          <w:szCs w:val="24"/>
          <w:lang w:val="en-US"/>
        </w:rPr>
        <w:t>established a connection between</w:t>
      </w:r>
      <w:r w:rsidR="009C63A6">
        <w:rPr>
          <w:rFonts w:ascii="Times New Roman" w:hAnsi="Times New Roman"/>
          <w:szCs w:val="24"/>
          <w:lang w:val="en-US"/>
        </w:rPr>
        <w:t xml:space="preserve"> the personal interests of victims</w:t>
      </w:r>
      <w:r w:rsidR="00D514D6">
        <w:rPr>
          <w:rFonts w:ascii="Times New Roman" w:hAnsi="Times New Roman"/>
          <w:szCs w:val="24"/>
          <w:lang w:val="en-US"/>
        </w:rPr>
        <w:t>, the damage</w:t>
      </w:r>
      <w:r w:rsidR="009C63A6">
        <w:rPr>
          <w:rFonts w:ascii="Times New Roman" w:hAnsi="Times New Roman"/>
          <w:szCs w:val="24"/>
          <w:lang w:val="en-US"/>
        </w:rPr>
        <w:t xml:space="preserve"> </w:t>
      </w:r>
      <w:r w:rsidR="00D514D6">
        <w:rPr>
          <w:rFonts w:ascii="Times New Roman" w:hAnsi="Times New Roman"/>
          <w:szCs w:val="24"/>
          <w:lang w:val="en-US"/>
        </w:rPr>
        <w:t>and</w:t>
      </w:r>
      <w:r w:rsidR="009C63A6">
        <w:rPr>
          <w:rFonts w:ascii="Times New Roman" w:hAnsi="Times New Roman"/>
          <w:szCs w:val="24"/>
          <w:lang w:val="en-US"/>
        </w:rPr>
        <w:t xml:space="preserve"> the charges</w:t>
      </w:r>
      <w:r w:rsidR="00D514D6">
        <w:rPr>
          <w:rFonts w:ascii="Times New Roman" w:hAnsi="Times New Roman"/>
          <w:szCs w:val="24"/>
          <w:lang w:val="en-US"/>
        </w:rPr>
        <w:t xml:space="preserve">. </w:t>
      </w:r>
      <w:r w:rsidR="00772CFF" w:rsidRPr="00772CFF">
        <w:rPr>
          <w:rFonts w:ascii="Times New Roman" w:hAnsi="Times New Roman"/>
          <w:szCs w:val="24"/>
          <w:lang w:val="en-US"/>
        </w:rPr>
        <w:t xml:space="preserve">The charges set </w:t>
      </w:r>
      <w:r w:rsidR="00D06E98">
        <w:rPr>
          <w:rFonts w:ascii="Times New Roman" w:hAnsi="Times New Roman"/>
          <w:szCs w:val="24"/>
          <w:lang w:val="en-US"/>
        </w:rPr>
        <w:t xml:space="preserve">a </w:t>
      </w:r>
      <w:r w:rsidR="00772CFF" w:rsidRPr="00772CFF">
        <w:rPr>
          <w:rFonts w:ascii="Times New Roman" w:hAnsi="Times New Roman"/>
          <w:szCs w:val="24"/>
          <w:lang w:val="en-US"/>
        </w:rPr>
        <w:t>foundation for the victims and their interests.</w:t>
      </w:r>
    </w:p>
    <w:p w14:paraId="6AC6BBD2" w14:textId="483F641A" w:rsidR="00101793" w:rsidRPr="00772CFF" w:rsidRDefault="00772CFF" w:rsidP="00101793">
      <w:pPr>
        <w:spacing w:line="480" w:lineRule="auto"/>
        <w:jc w:val="both"/>
        <w:rPr>
          <w:rFonts w:ascii="Times New Roman" w:hAnsi="Times New Roman"/>
          <w:szCs w:val="24"/>
          <w:lang w:val="en-US"/>
        </w:rPr>
      </w:pPr>
      <w:r w:rsidRPr="00772CFF">
        <w:rPr>
          <w:rFonts w:ascii="Times New Roman" w:hAnsi="Times New Roman"/>
          <w:szCs w:val="24"/>
          <w:lang w:val="en-US"/>
        </w:rPr>
        <w:t>Given that the Prosecutor is respons</w:t>
      </w:r>
      <w:r w:rsidR="009C63A6">
        <w:rPr>
          <w:rFonts w:ascii="Times New Roman" w:hAnsi="Times New Roman"/>
          <w:szCs w:val="24"/>
          <w:lang w:val="en-US"/>
        </w:rPr>
        <w:t>ible for drafting the charg</w:t>
      </w:r>
      <w:r w:rsidR="002A6EBF">
        <w:rPr>
          <w:rFonts w:ascii="Times New Roman" w:hAnsi="Times New Roman"/>
          <w:szCs w:val="24"/>
          <w:lang w:val="en-US"/>
        </w:rPr>
        <w:t>ing document</w:t>
      </w:r>
      <w:r w:rsidR="009C63A6">
        <w:rPr>
          <w:rFonts w:ascii="Times New Roman" w:hAnsi="Times New Roman"/>
          <w:szCs w:val="24"/>
          <w:lang w:val="en-US"/>
        </w:rPr>
        <w:t xml:space="preserve">, </w:t>
      </w:r>
      <w:r w:rsidRPr="00772CFF">
        <w:rPr>
          <w:rFonts w:ascii="Times New Roman" w:hAnsi="Times New Roman"/>
          <w:szCs w:val="24"/>
          <w:lang w:val="en-US"/>
        </w:rPr>
        <w:t>where the Prosecutor by intention or omission fails to include one or two alleged crimes in the</w:t>
      </w:r>
      <w:r w:rsidR="00D514D6">
        <w:rPr>
          <w:rFonts w:ascii="Times New Roman" w:hAnsi="Times New Roman"/>
          <w:szCs w:val="24"/>
          <w:lang w:val="en-US"/>
        </w:rPr>
        <w:t xml:space="preserve"> charging </w:t>
      </w:r>
      <w:r w:rsidR="002A6EBF">
        <w:rPr>
          <w:rFonts w:ascii="Times New Roman" w:hAnsi="Times New Roman"/>
          <w:szCs w:val="24"/>
          <w:lang w:val="en-US"/>
        </w:rPr>
        <w:t>docum</w:t>
      </w:r>
      <w:r w:rsidRPr="00772CFF">
        <w:rPr>
          <w:rFonts w:ascii="Times New Roman" w:hAnsi="Times New Roman"/>
          <w:szCs w:val="24"/>
          <w:lang w:val="en-US"/>
        </w:rPr>
        <w:t>e</w:t>
      </w:r>
      <w:r w:rsidR="002A6EBF">
        <w:rPr>
          <w:rFonts w:ascii="Times New Roman" w:hAnsi="Times New Roman"/>
          <w:szCs w:val="24"/>
          <w:lang w:val="en-US"/>
        </w:rPr>
        <w:t>nt</w:t>
      </w:r>
      <w:r w:rsidRPr="00772CFF">
        <w:rPr>
          <w:rFonts w:ascii="Times New Roman" w:hAnsi="Times New Roman"/>
          <w:szCs w:val="24"/>
          <w:lang w:val="en-US"/>
        </w:rPr>
        <w:t>,</w:t>
      </w:r>
      <w:r w:rsidR="00BE69BC">
        <w:rPr>
          <w:rFonts w:ascii="Times New Roman" w:hAnsi="Times New Roman"/>
          <w:szCs w:val="24"/>
          <w:lang w:val="en-US"/>
        </w:rPr>
        <w:t xml:space="preserve"> it may potentially create an impunity gap</w:t>
      </w:r>
      <w:r w:rsidRPr="00772CFF">
        <w:rPr>
          <w:rFonts w:ascii="Times New Roman" w:hAnsi="Times New Roman"/>
          <w:szCs w:val="24"/>
          <w:lang w:val="en-US"/>
        </w:rPr>
        <w:t xml:space="preserve">. </w:t>
      </w:r>
      <w:r w:rsidR="002A6EBF">
        <w:rPr>
          <w:rFonts w:ascii="Times New Roman" w:hAnsi="Times New Roman"/>
          <w:szCs w:val="24"/>
          <w:lang w:val="en-US"/>
        </w:rPr>
        <w:t>The AC ruled</w:t>
      </w:r>
      <w:r w:rsidR="00101793" w:rsidRPr="00701786">
        <w:rPr>
          <w:rFonts w:ascii="Times New Roman" w:hAnsi="Times New Roman"/>
          <w:szCs w:val="24"/>
          <w:lang w:val="en-US"/>
        </w:rPr>
        <w:t xml:space="preserve"> that a person is considered a</w:t>
      </w:r>
      <w:r w:rsidR="00F55F69">
        <w:rPr>
          <w:rFonts w:ascii="Times New Roman" w:hAnsi="Times New Roman"/>
          <w:szCs w:val="24"/>
          <w:lang w:val="en-US"/>
        </w:rPr>
        <w:t xml:space="preserve"> victim if they can prove they suffered harm due to the crime</w:t>
      </w:r>
      <w:r w:rsidR="00101793" w:rsidRPr="00701786">
        <w:rPr>
          <w:rFonts w:ascii="Times New Roman" w:hAnsi="Times New Roman"/>
          <w:szCs w:val="24"/>
          <w:lang w:val="en-US"/>
        </w:rPr>
        <w:t xml:space="preserve"> included in the charges relevant to the case.</w:t>
      </w:r>
      <w:r w:rsidR="00101793" w:rsidRPr="00701786">
        <w:rPr>
          <w:rFonts w:ascii="Times New Roman" w:hAnsi="Times New Roman"/>
          <w:szCs w:val="24"/>
          <w:vertAlign w:val="superscript"/>
          <w:lang w:val="en-US"/>
        </w:rPr>
        <w:footnoteReference w:id="282"/>
      </w:r>
      <w:r w:rsidR="00101793" w:rsidRPr="00701786">
        <w:rPr>
          <w:rFonts w:ascii="Times New Roman" w:hAnsi="Times New Roman"/>
          <w:szCs w:val="24"/>
          <w:lang w:val="en-US"/>
        </w:rPr>
        <w:t xml:space="preserve"> </w:t>
      </w:r>
      <w:r w:rsidR="002A6EBF">
        <w:rPr>
          <w:rFonts w:ascii="Times New Roman" w:hAnsi="Times New Roman"/>
          <w:szCs w:val="24"/>
          <w:lang w:val="en-US"/>
        </w:rPr>
        <w:t>T</w:t>
      </w:r>
      <w:r w:rsidR="00101793" w:rsidRPr="00701786">
        <w:rPr>
          <w:rFonts w:ascii="Times New Roman" w:hAnsi="Times New Roman"/>
          <w:szCs w:val="24"/>
          <w:lang w:val="en-US"/>
        </w:rPr>
        <w:t>he definition of victim finds its roots in the charging document. A person is not qualified to be a victim if the harm he</w:t>
      </w:r>
      <w:r w:rsidR="00101793" w:rsidRPr="00772CFF">
        <w:rPr>
          <w:rFonts w:ascii="Times New Roman" w:hAnsi="Times New Roman"/>
          <w:szCs w:val="24"/>
          <w:lang w:val="en-US"/>
        </w:rPr>
        <w:t xml:space="preserve"> suffered from is </w:t>
      </w:r>
      <w:r w:rsidR="002A6EBF">
        <w:rPr>
          <w:rFonts w:ascii="Times New Roman" w:hAnsi="Times New Roman"/>
          <w:szCs w:val="24"/>
          <w:lang w:val="en-US"/>
        </w:rPr>
        <w:t xml:space="preserve">excluded from </w:t>
      </w:r>
      <w:r w:rsidR="00101793" w:rsidRPr="00772CFF">
        <w:rPr>
          <w:rFonts w:ascii="Times New Roman" w:hAnsi="Times New Roman"/>
          <w:szCs w:val="24"/>
          <w:lang w:val="en-US"/>
        </w:rPr>
        <w:t xml:space="preserve">the charges. Hence, this highlights the significance of charges and </w:t>
      </w:r>
      <w:r w:rsidR="00101793">
        <w:rPr>
          <w:rFonts w:ascii="Times New Roman" w:hAnsi="Times New Roman"/>
          <w:szCs w:val="24"/>
          <w:lang w:val="en-US"/>
        </w:rPr>
        <w:t>their</w:t>
      </w:r>
      <w:r w:rsidR="00101793" w:rsidRPr="00772CFF">
        <w:rPr>
          <w:rFonts w:ascii="Times New Roman" w:hAnsi="Times New Roman"/>
          <w:szCs w:val="24"/>
          <w:lang w:val="en-US"/>
        </w:rPr>
        <w:t xml:space="preserve"> connection to victims.</w:t>
      </w:r>
    </w:p>
    <w:p w14:paraId="58D81654" w14:textId="0FC1A1F4" w:rsidR="00FD3033" w:rsidRDefault="00772CFF" w:rsidP="00D220CF">
      <w:pPr>
        <w:spacing w:line="480" w:lineRule="auto"/>
        <w:jc w:val="both"/>
        <w:rPr>
          <w:rFonts w:ascii="Times New Roman" w:hAnsi="Times New Roman"/>
          <w:szCs w:val="24"/>
        </w:rPr>
      </w:pPr>
      <w:r w:rsidRPr="00772CFF">
        <w:rPr>
          <w:rFonts w:ascii="Times New Roman" w:hAnsi="Times New Roman"/>
          <w:szCs w:val="24"/>
        </w:rPr>
        <w:t xml:space="preserve">Prosecutor has a general interest in </w:t>
      </w:r>
      <w:r w:rsidR="00F55F69">
        <w:rPr>
          <w:rFonts w:ascii="Times New Roman" w:hAnsi="Times New Roman"/>
          <w:szCs w:val="24"/>
        </w:rPr>
        <w:t>determining</w:t>
      </w:r>
      <w:r w:rsidRPr="00772CFF">
        <w:rPr>
          <w:rFonts w:ascii="Times New Roman" w:hAnsi="Times New Roman"/>
          <w:szCs w:val="24"/>
        </w:rPr>
        <w:t xml:space="preserve"> truth</w:t>
      </w:r>
      <w:r w:rsidR="00D06E98">
        <w:rPr>
          <w:rFonts w:ascii="Times New Roman" w:hAnsi="Times New Roman"/>
          <w:szCs w:val="24"/>
        </w:rPr>
        <w:t>;</w:t>
      </w:r>
      <w:r w:rsidR="009C63A6">
        <w:rPr>
          <w:rStyle w:val="FootnoteReference"/>
          <w:rFonts w:ascii="Times New Roman" w:hAnsi="Times New Roman"/>
          <w:szCs w:val="24"/>
        </w:rPr>
        <w:footnoteReference w:id="283"/>
      </w:r>
      <w:r w:rsidR="009C63A6">
        <w:rPr>
          <w:rFonts w:ascii="Times New Roman" w:hAnsi="Times New Roman"/>
          <w:szCs w:val="24"/>
        </w:rPr>
        <w:t xml:space="preserve"> </w:t>
      </w:r>
      <w:r w:rsidRPr="00772CFF">
        <w:rPr>
          <w:rFonts w:ascii="Times New Roman" w:hAnsi="Times New Roman"/>
          <w:szCs w:val="24"/>
        </w:rPr>
        <w:t>This transgresses through the investigation stage to the pre-trial, the main trial and sentencing.</w:t>
      </w:r>
      <w:r w:rsidR="009C63A6">
        <w:rPr>
          <w:rFonts w:ascii="Times New Roman" w:hAnsi="Times New Roman"/>
          <w:szCs w:val="24"/>
        </w:rPr>
        <w:t xml:space="preserve"> </w:t>
      </w:r>
      <w:r w:rsidRPr="00772CFF">
        <w:rPr>
          <w:rFonts w:ascii="Times New Roman" w:hAnsi="Times New Roman"/>
          <w:szCs w:val="24"/>
        </w:rPr>
        <w:t xml:space="preserve">The determination of this truth starts from investigations to </w:t>
      </w:r>
      <w:r w:rsidR="00D06E98">
        <w:rPr>
          <w:rFonts w:ascii="Times New Roman" w:hAnsi="Times New Roman"/>
          <w:szCs w:val="24"/>
        </w:rPr>
        <w:t xml:space="preserve">the </w:t>
      </w:r>
      <w:r w:rsidRPr="00772CFF">
        <w:rPr>
          <w:rFonts w:ascii="Times New Roman" w:hAnsi="Times New Roman"/>
          <w:szCs w:val="24"/>
        </w:rPr>
        <w:t>drafting of the charges.</w:t>
      </w:r>
      <w:r w:rsidR="00D06E98">
        <w:rPr>
          <w:rFonts w:ascii="Times New Roman" w:hAnsi="Times New Roman"/>
          <w:szCs w:val="24"/>
        </w:rPr>
        <w:t xml:space="preserve"> </w:t>
      </w:r>
      <w:r w:rsidRPr="00772CFF">
        <w:rPr>
          <w:rFonts w:ascii="Times New Roman" w:hAnsi="Times New Roman"/>
          <w:szCs w:val="24"/>
        </w:rPr>
        <w:t>It is within the Prosecutor’s powers to draft the charges.</w:t>
      </w:r>
      <w:r w:rsidR="009C63A6">
        <w:rPr>
          <w:rFonts w:ascii="Times New Roman" w:hAnsi="Times New Roman"/>
          <w:szCs w:val="24"/>
        </w:rPr>
        <w:t xml:space="preserve"> </w:t>
      </w:r>
      <w:r w:rsidR="00CC613A">
        <w:rPr>
          <w:rFonts w:ascii="Times New Roman" w:hAnsi="Times New Roman"/>
          <w:szCs w:val="24"/>
        </w:rPr>
        <w:t xml:space="preserve">Plausibly, </w:t>
      </w:r>
      <w:r w:rsidRPr="00772CFF">
        <w:rPr>
          <w:rFonts w:ascii="Times New Roman" w:hAnsi="Times New Roman"/>
          <w:szCs w:val="24"/>
        </w:rPr>
        <w:t>the selectiv</w:t>
      </w:r>
      <w:r w:rsidR="009C63A6">
        <w:rPr>
          <w:rFonts w:ascii="Times New Roman" w:hAnsi="Times New Roman"/>
          <w:szCs w:val="24"/>
        </w:rPr>
        <w:t>i</w:t>
      </w:r>
      <w:r w:rsidRPr="00772CFF">
        <w:rPr>
          <w:rFonts w:ascii="Times New Roman" w:hAnsi="Times New Roman"/>
          <w:szCs w:val="24"/>
        </w:rPr>
        <w:t xml:space="preserve">ty of offences </w:t>
      </w:r>
      <w:r w:rsidR="00CC613A">
        <w:rPr>
          <w:rFonts w:ascii="Times New Roman" w:hAnsi="Times New Roman"/>
          <w:szCs w:val="24"/>
        </w:rPr>
        <w:t>is</w:t>
      </w:r>
      <w:r w:rsidRPr="00772CFF">
        <w:rPr>
          <w:rFonts w:ascii="Times New Roman" w:hAnsi="Times New Roman"/>
          <w:szCs w:val="24"/>
        </w:rPr>
        <w:t xml:space="preserve"> reflected in the charges.</w:t>
      </w:r>
      <w:r w:rsidR="009C63A6">
        <w:rPr>
          <w:rFonts w:ascii="Times New Roman" w:hAnsi="Times New Roman"/>
          <w:szCs w:val="24"/>
        </w:rPr>
        <w:t xml:space="preserve"> </w:t>
      </w:r>
      <w:r w:rsidRPr="00772CFF">
        <w:rPr>
          <w:rFonts w:ascii="Times New Roman" w:hAnsi="Times New Roman"/>
          <w:szCs w:val="24"/>
        </w:rPr>
        <w:t xml:space="preserve">In this process, </w:t>
      </w:r>
      <w:r w:rsidR="00CC613A">
        <w:rPr>
          <w:rFonts w:ascii="Times New Roman" w:hAnsi="Times New Roman"/>
          <w:szCs w:val="24"/>
        </w:rPr>
        <w:t xml:space="preserve"> the charging document may reveal the </w:t>
      </w:r>
      <w:r w:rsidRPr="00772CFF">
        <w:rPr>
          <w:rFonts w:ascii="Times New Roman" w:hAnsi="Times New Roman"/>
          <w:szCs w:val="24"/>
        </w:rPr>
        <w:t>partial truth.</w:t>
      </w:r>
      <w:r w:rsidR="00D06E98">
        <w:rPr>
          <w:rFonts w:ascii="Times New Roman" w:hAnsi="Times New Roman"/>
          <w:szCs w:val="24"/>
        </w:rPr>
        <w:t xml:space="preserve"> </w:t>
      </w:r>
      <w:r w:rsidRPr="00772CFF">
        <w:rPr>
          <w:rFonts w:ascii="Times New Roman" w:hAnsi="Times New Roman"/>
          <w:szCs w:val="24"/>
        </w:rPr>
        <w:t xml:space="preserve">If this </w:t>
      </w:r>
      <w:r w:rsidR="00CC613A">
        <w:rPr>
          <w:rFonts w:ascii="Times New Roman" w:hAnsi="Times New Roman"/>
          <w:szCs w:val="24"/>
        </w:rPr>
        <w:t>is left unchallenged,</w:t>
      </w:r>
      <w:r w:rsidRPr="00772CFF">
        <w:rPr>
          <w:rFonts w:ascii="Times New Roman" w:hAnsi="Times New Roman"/>
          <w:szCs w:val="24"/>
        </w:rPr>
        <w:t xml:space="preserve"> </w:t>
      </w:r>
      <w:r w:rsidR="00721AE7">
        <w:rPr>
          <w:rFonts w:ascii="Times New Roman" w:hAnsi="Times New Roman"/>
          <w:szCs w:val="24"/>
        </w:rPr>
        <w:t>presumably,</w:t>
      </w:r>
      <w:r w:rsidR="00D06E98">
        <w:rPr>
          <w:rFonts w:ascii="Times New Roman" w:hAnsi="Times New Roman"/>
          <w:szCs w:val="24"/>
        </w:rPr>
        <w:t xml:space="preserve"> the </w:t>
      </w:r>
      <w:r w:rsidRPr="00772CFF">
        <w:rPr>
          <w:rFonts w:ascii="Times New Roman" w:hAnsi="Times New Roman"/>
          <w:szCs w:val="24"/>
        </w:rPr>
        <w:t>whole truth may become lost in the process.</w:t>
      </w:r>
    </w:p>
    <w:p w14:paraId="65205A74" w14:textId="2E831D17" w:rsidR="00772CFF" w:rsidRPr="00772CFF" w:rsidRDefault="00CC613A" w:rsidP="00D220CF">
      <w:pPr>
        <w:spacing w:line="480" w:lineRule="auto"/>
        <w:jc w:val="both"/>
        <w:rPr>
          <w:rFonts w:ascii="Times New Roman" w:hAnsi="Times New Roman"/>
          <w:szCs w:val="24"/>
        </w:rPr>
      </w:pPr>
      <w:r>
        <w:rPr>
          <w:rFonts w:ascii="Times New Roman" w:hAnsi="Times New Roman"/>
          <w:szCs w:val="24"/>
        </w:rPr>
        <w:lastRenderedPageBreak/>
        <w:t>D</w:t>
      </w:r>
      <w:r w:rsidR="00772CFF" w:rsidRPr="00772CFF">
        <w:rPr>
          <w:rFonts w:ascii="Times New Roman" w:hAnsi="Times New Roman"/>
          <w:szCs w:val="24"/>
        </w:rPr>
        <w:t xml:space="preserve">ue to the </w:t>
      </w:r>
      <w:r w:rsidR="00F55F69">
        <w:rPr>
          <w:rFonts w:ascii="Times New Roman" w:hAnsi="Times New Roman"/>
          <w:szCs w:val="24"/>
        </w:rPr>
        <w:t>ICC's mostly adversarial system</w:t>
      </w:r>
      <w:r w:rsidR="00D220CF">
        <w:rPr>
          <w:rFonts w:ascii="Times New Roman" w:hAnsi="Times New Roman"/>
          <w:szCs w:val="24"/>
        </w:rPr>
        <w:t>, it appears</w:t>
      </w:r>
      <w:r w:rsidR="00772CFF" w:rsidRPr="00772CFF">
        <w:rPr>
          <w:rFonts w:ascii="Times New Roman" w:hAnsi="Times New Roman"/>
          <w:szCs w:val="24"/>
        </w:rPr>
        <w:t xml:space="preserve"> </w:t>
      </w:r>
      <w:r w:rsidR="00F25F21">
        <w:rPr>
          <w:rFonts w:ascii="Times New Roman" w:hAnsi="Times New Roman"/>
          <w:szCs w:val="24"/>
        </w:rPr>
        <w:t xml:space="preserve">that </w:t>
      </w:r>
      <w:r w:rsidR="00772CFF" w:rsidRPr="00772CFF">
        <w:rPr>
          <w:rFonts w:ascii="Times New Roman" w:hAnsi="Times New Roman"/>
          <w:szCs w:val="24"/>
        </w:rPr>
        <w:t xml:space="preserve">the determination of truth suffers from a </w:t>
      </w:r>
      <w:r>
        <w:rPr>
          <w:rFonts w:ascii="Times New Roman" w:hAnsi="Times New Roman"/>
          <w:szCs w:val="24"/>
        </w:rPr>
        <w:t>considerabl</w:t>
      </w:r>
      <w:r w:rsidR="00772CFF" w:rsidRPr="00772CFF">
        <w:rPr>
          <w:rFonts w:ascii="Times New Roman" w:hAnsi="Times New Roman"/>
          <w:szCs w:val="24"/>
        </w:rPr>
        <w:t>e drawback. Previous studies have demonstrated that the adversarial system does not promote</w:t>
      </w:r>
      <w:r>
        <w:rPr>
          <w:rFonts w:ascii="Times New Roman" w:hAnsi="Times New Roman"/>
          <w:szCs w:val="24"/>
        </w:rPr>
        <w:t xml:space="preserve"> truth-finding</w:t>
      </w:r>
      <w:r w:rsidR="00772CFF" w:rsidRPr="00772CFF">
        <w:rPr>
          <w:rFonts w:ascii="Times New Roman" w:hAnsi="Times New Roman"/>
          <w:szCs w:val="24"/>
        </w:rPr>
        <w:t xml:space="preserve"> because of the </w:t>
      </w:r>
      <w:r w:rsidR="00F55F69">
        <w:rPr>
          <w:rFonts w:ascii="Times New Roman" w:hAnsi="Times New Roman"/>
          <w:szCs w:val="24"/>
        </w:rPr>
        <w:t>two parties' polarisation. The p</w:t>
      </w:r>
      <w:r w:rsidR="00772CFF" w:rsidRPr="00772CFF">
        <w:rPr>
          <w:rFonts w:ascii="Times New Roman" w:hAnsi="Times New Roman"/>
          <w:szCs w:val="24"/>
        </w:rPr>
        <w:t>rosecutor and the defence are pitched agains</w:t>
      </w:r>
      <w:r w:rsidR="00D220CF">
        <w:rPr>
          <w:rFonts w:ascii="Times New Roman" w:hAnsi="Times New Roman"/>
          <w:szCs w:val="24"/>
        </w:rPr>
        <w:t>t each other to persuade the judge in their favour.</w:t>
      </w:r>
      <w:r w:rsidR="00772CFF" w:rsidRPr="00772CFF">
        <w:rPr>
          <w:rFonts w:ascii="Times New Roman" w:hAnsi="Times New Roman"/>
          <w:szCs w:val="24"/>
          <w:vertAlign w:val="superscript"/>
        </w:rPr>
        <w:footnoteReference w:id="284"/>
      </w:r>
      <w:r w:rsidR="00772CFF" w:rsidRPr="00772CFF">
        <w:rPr>
          <w:rFonts w:ascii="Times New Roman" w:hAnsi="Times New Roman"/>
          <w:szCs w:val="24"/>
        </w:rPr>
        <w:t>It has been reported that the inquisitorial system of procedure promotes truth-finding than the adversarial system where the judge is passive.</w:t>
      </w:r>
    </w:p>
    <w:p w14:paraId="05EB97AD" w14:textId="4BA70169" w:rsidR="00772CFF" w:rsidRPr="00772CFF" w:rsidRDefault="0009677F" w:rsidP="00BE39C0">
      <w:pPr>
        <w:spacing w:line="480" w:lineRule="auto"/>
        <w:jc w:val="both"/>
        <w:rPr>
          <w:rFonts w:ascii="Times New Roman" w:hAnsi="Times New Roman"/>
          <w:szCs w:val="24"/>
        </w:rPr>
      </w:pPr>
      <w:r>
        <w:rPr>
          <w:rFonts w:ascii="Times New Roman" w:hAnsi="Times New Roman"/>
          <w:szCs w:val="24"/>
        </w:rPr>
        <w:t xml:space="preserve">The Prosecutor’s </w:t>
      </w:r>
      <w:r w:rsidR="00FD3033">
        <w:rPr>
          <w:rFonts w:ascii="Times New Roman" w:hAnsi="Times New Roman"/>
          <w:szCs w:val="24"/>
        </w:rPr>
        <w:t>broad</w:t>
      </w:r>
      <w:r>
        <w:rPr>
          <w:rFonts w:ascii="Times New Roman" w:hAnsi="Times New Roman"/>
          <w:szCs w:val="24"/>
        </w:rPr>
        <w:t xml:space="preserve"> discretionary powers</w:t>
      </w:r>
      <w:r w:rsidR="00772CFF" w:rsidRPr="00772CFF">
        <w:rPr>
          <w:rFonts w:ascii="Times New Roman" w:hAnsi="Times New Roman"/>
          <w:szCs w:val="24"/>
        </w:rPr>
        <w:t xml:space="preserve"> </w:t>
      </w:r>
      <w:r w:rsidR="00D06E98">
        <w:rPr>
          <w:rFonts w:ascii="Times New Roman" w:hAnsi="Times New Roman"/>
          <w:szCs w:val="24"/>
        </w:rPr>
        <w:t>are</w:t>
      </w:r>
      <w:r w:rsidR="00772CFF" w:rsidRPr="00772CFF">
        <w:rPr>
          <w:rFonts w:ascii="Times New Roman" w:hAnsi="Times New Roman"/>
          <w:szCs w:val="24"/>
        </w:rPr>
        <w:t xml:space="preserve"> not regulated provi</w:t>
      </w:r>
      <w:r w:rsidR="00506114">
        <w:rPr>
          <w:rFonts w:ascii="Times New Roman" w:hAnsi="Times New Roman"/>
          <w:szCs w:val="24"/>
        </w:rPr>
        <w:t>ded he acts within his mandates.</w:t>
      </w:r>
      <w:r w:rsidR="006757BD">
        <w:rPr>
          <w:rFonts w:ascii="Times New Roman" w:hAnsi="Times New Roman"/>
          <w:szCs w:val="24"/>
        </w:rPr>
        <w:t xml:space="preserve"> P</w:t>
      </w:r>
      <w:r w:rsidR="00772CFF" w:rsidRPr="00772CFF">
        <w:rPr>
          <w:rFonts w:ascii="Times New Roman" w:hAnsi="Times New Roman"/>
          <w:szCs w:val="24"/>
        </w:rPr>
        <w:t xml:space="preserve">articularly </w:t>
      </w:r>
      <w:r w:rsidR="00FD3033">
        <w:rPr>
          <w:rFonts w:ascii="Times New Roman" w:hAnsi="Times New Roman"/>
          <w:szCs w:val="24"/>
        </w:rPr>
        <w:t>concerning</w:t>
      </w:r>
      <w:r w:rsidR="00772CFF" w:rsidRPr="00772CFF">
        <w:rPr>
          <w:rFonts w:ascii="Times New Roman" w:hAnsi="Times New Roman"/>
          <w:szCs w:val="24"/>
        </w:rPr>
        <w:t xml:space="preserve"> temporal, jurisdictional material and personal competence.</w:t>
      </w:r>
      <w:r w:rsidR="00772CFF" w:rsidRPr="00772CFF">
        <w:rPr>
          <w:rFonts w:ascii="Times New Roman" w:hAnsi="Times New Roman"/>
          <w:szCs w:val="24"/>
          <w:vertAlign w:val="superscript"/>
        </w:rPr>
        <w:footnoteReference w:id="285"/>
      </w:r>
      <w:r w:rsidR="00772CFF" w:rsidRPr="00772CFF">
        <w:rPr>
          <w:rFonts w:ascii="Times New Roman" w:hAnsi="Times New Roman"/>
          <w:szCs w:val="24"/>
        </w:rPr>
        <w:t xml:space="preserve"> </w:t>
      </w:r>
      <w:r w:rsidR="00760BCB">
        <w:rPr>
          <w:rFonts w:ascii="Times New Roman" w:hAnsi="Times New Roman"/>
          <w:szCs w:val="24"/>
        </w:rPr>
        <w:t>He decides</w:t>
      </w:r>
      <w:r w:rsidR="00506114">
        <w:rPr>
          <w:rFonts w:ascii="Times New Roman" w:hAnsi="Times New Roman"/>
          <w:szCs w:val="24"/>
        </w:rPr>
        <w:t xml:space="preserve"> whether to press charges or to initiate prosecution.</w:t>
      </w:r>
      <w:r w:rsidR="00D06E98">
        <w:rPr>
          <w:rFonts w:ascii="Times New Roman" w:hAnsi="Times New Roman"/>
          <w:szCs w:val="24"/>
        </w:rPr>
        <w:t xml:space="preserve"> </w:t>
      </w:r>
      <w:r w:rsidR="00772CFF" w:rsidRPr="00772CFF">
        <w:rPr>
          <w:rFonts w:ascii="Times New Roman" w:hAnsi="Times New Roman"/>
          <w:szCs w:val="24"/>
        </w:rPr>
        <w:t xml:space="preserve">Cecile asserts that in </w:t>
      </w:r>
      <w:r w:rsidR="00F55F69">
        <w:rPr>
          <w:rFonts w:ascii="Times New Roman" w:hAnsi="Times New Roman"/>
          <w:szCs w:val="24"/>
        </w:rPr>
        <w:t>selecting situations</w:t>
      </w:r>
      <w:r w:rsidR="00772CFF" w:rsidRPr="00772CFF">
        <w:rPr>
          <w:rFonts w:ascii="Times New Roman" w:hAnsi="Times New Roman"/>
          <w:szCs w:val="24"/>
        </w:rPr>
        <w:t xml:space="preserve"> and cases, the Prosecutor does not consider credible evidence</w:t>
      </w:r>
      <w:r w:rsidR="00D06E98">
        <w:rPr>
          <w:rFonts w:ascii="Times New Roman" w:hAnsi="Times New Roman"/>
          <w:szCs w:val="24"/>
        </w:rPr>
        <w:t>;</w:t>
      </w:r>
      <w:r w:rsidR="00772CFF" w:rsidRPr="00772CFF">
        <w:rPr>
          <w:rFonts w:ascii="Times New Roman" w:hAnsi="Times New Roman"/>
          <w:szCs w:val="24"/>
        </w:rPr>
        <w:t xml:space="preserve"> </w:t>
      </w:r>
      <w:r w:rsidR="00FD3033">
        <w:rPr>
          <w:rFonts w:ascii="Times New Roman" w:hAnsi="Times New Roman"/>
          <w:szCs w:val="24"/>
        </w:rPr>
        <w:t>instead,</w:t>
      </w:r>
      <w:r w:rsidR="00772CFF" w:rsidRPr="00772CFF">
        <w:rPr>
          <w:rFonts w:ascii="Times New Roman" w:hAnsi="Times New Roman"/>
          <w:szCs w:val="24"/>
        </w:rPr>
        <w:t xml:space="preserve"> he considers the gravity and interests of justice.</w:t>
      </w:r>
      <w:r w:rsidR="00772CFF" w:rsidRPr="00772CFF">
        <w:rPr>
          <w:rFonts w:ascii="Times New Roman" w:hAnsi="Times New Roman"/>
          <w:szCs w:val="24"/>
          <w:vertAlign w:val="superscript"/>
        </w:rPr>
        <w:footnoteReference w:id="286"/>
      </w:r>
      <w:r w:rsidR="00FD3033">
        <w:rPr>
          <w:rFonts w:ascii="Times New Roman" w:hAnsi="Times New Roman"/>
          <w:szCs w:val="24"/>
        </w:rPr>
        <w:t>Recourse to ‘gravity’ and ‘interests of justice’</w:t>
      </w:r>
      <w:r w:rsidR="00772CFF" w:rsidRPr="00772CFF">
        <w:rPr>
          <w:rFonts w:ascii="Times New Roman" w:hAnsi="Times New Roman"/>
          <w:szCs w:val="24"/>
        </w:rPr>
        <w:t xml:space="preserve"> further enhances the p</w:t>
      </w:r>
      <w:r w:rsidR="00F55F69">
        <w:rPr>
          <w:rFonts w:ascii="Times New Roman" w:hAnsi="Times New Roman"/>
          <w:szCs w:val="24"/>
        </w:rPr>
        <w:t>rosecutor's powers</w:t>
      </w:r>
      <w:r w:rsidR="00772CFF" w:rsidRPr="00772CFF">
        <w:rPr>
          <w:rFonts w:ascii="Times New Roman" w:hAnsi="Times New Roman"/>
          <w:szCs w:val="24"/>
        </w:rPr>
        <w:t xml:space="preserve"> because these concepts are not well defined in the Statute.</w:t>
      </w:r>
      <w:r w:rsidR="00772CFF" w:rsidRPr="00772CFF">
        <w:rPr>
          <w:rFonts w:ascii="Times New Roman" w:hAnsi="Times New Roman"/>
          <w:szCs w:val="24"/>
          <w:vertAlign w:val="superscript"/>
        </w:rPr>
        <w:footnoteReference w:id="287"/>
      </w:r>
    </w:p>
    <w:p w14:paraId="3A266C90" w14:textId="755F8F04" w:rsidR="00772CFF" w:rsidRPr="00772CFF" w:rsidRDefault="00772CFF" w:rsidP="00BE39C0">
      <w:pPr>
        <w:spacing w:line="480" w:lineRule="auto"/>
        <w:jc w:val="both"/>
        <w:rPr>
          <w:rFonts w:ascii="Times New Roman" w:hAnsi="Times New Roman"/>
          <w:szCs w:val="24"/>
        </w:rPr>
      </w:pPr>
      <w:r w:rsidRPr="00772CFF">
        <w:rPr>
          <w:rFonts w:ascii="Times New Roman" w:hAnsi="Times New Roman"/>
          <w:szCs w:val="24"/>
        </w:rPr>
        <w:lastRenderedPageBreak/>
        <w:t xml:space="preserve">According to </w:t>
      </w:r>
      <w:proofErr w:type="spellStart"/>
      <w:r w:rsidRPr="00772CFF">
        <w:rPr>
          <w:rFonts w:ascii="Times New Roman" w:hAnsi="Times New Roman"/>
          <w:szCs w:val="24"/>
        </w:rPr>
        <w:t>Aptel</w:t>
      </w:r>
      <w:proofErr w:type="spellEnd"/>
      <w:r w:rsidRPr="00772CFF">
        <w:rPr>
          <w:rFonts w:ascii="Times New Roman" w:hAnsi="Times New Roman"/>
          <w:szCs w:val="24"/>
        </w:rPr>
        <w:t>, there are</w:t>
      </w:r>
      <w:r w:rsidR="003F3033">
        <w:rPr>
          <w:rFonts w:ascii="Times New Roman" w:hAnsi="Times New Roman"/>
          <w:szCs w:val="24"/>
        </w:rPr>
        <w:t xml:space="preserve"> five determinative factors which</w:t>
      </w:r>
      <w:r w:rsidRPr="00772CFF">
        <w:rPr>
          <w:rFonts w:ascii="Times New Roman" w:hAnsi="Times New Roman"/>
          <w:szCs w:val="24"/>
        </w:rPr>
        <w:t xml:space="preserve"> restrict the scope of international criminal prosecutions.</w:t>
      </w:r>
      <w:r w:rsidRPr="00772CFF">
        <w:rPr>
          <w:rFonts w:ascii="Times New Roman" w:hAnsi="Times New Roman"/>
          <w:szCs w:val="24"/>
          <w:vertAlign w:val="superscript"/>
        </w:rPr>
        <w:footnoteReference w:id="288"/>
      </w:r>
      <w:r w:rsidR="003F3033">
        <w:rPr>
          <w:rFonts w:ascii="Times New Roman" w:hAnsi="Times New Roman"/>
          <w:szCs w:val="24"/>
        </w:rPr>
        <w:t xml:space="preserve"> The first factor is </w:t>
      </w:r>
      <w:r w:rsidR="00D06E98">
        <w:rPr>
          <w:rFonts w:ascii="Times New Roman" w:hAnsi="Times New Roman"/>
          <w:szCs w:val="24"/>
        </w:rPr>
        <w:t xml:space="preserve">the </w:t>
      </w:r>
      <w:r w:rsidRPr="00772CFF">
        <w:rPr>
          <w:rFonts w:ascii="Times New Roman" w:hAnsi="Times New Roman"/>
          <w:szCs w:val="24"/>
        </w:rPr>
        <w:t>determination of specific entities which falls within the applicable jurisdictional scope.</w:t>
      </w:r>
      <w:r w:rsidR="0060138A">
        <w:rPr>
          <w:rStyle w:val="FootnoteReference"/>
          <w:rFonts w:ascii="Times New Roman" w:hAnsi="Times New Roman"/>
          <w:szCs w:val="24"/>
        </w:rPr>
        <w:footnoteReference w:id="289"/>
      </w:r>
      <w:r w:rsidRPr="00772CFF">
        <w:rPr>
          <w:rFonts w:ascii="Times New Roman" w:hAnsi="Times New Roman"/>
          <w:szCs w:val="24"/>
        </w:rPr>
        <w:t xml:space="preserve"> This component tends to restrict the scope of investigation by focusing on a specific entity.</w:t>
      </w:r>
      <w:r w:rsidR="00D06E98">
        <w:rPr>
          <w:rFonts w:ascii="Times New Roman" w:hAnsi="Times New Roman"/>
          <w:szCs w:val="24"/>
        </w:rPr>
        <w:t xml:space="preserve"> </w:t>
      </w:r>
      <w:r w:rsidR="0060138A">
        <w:rPr>
          <w:rFonts w:ascii="Times New Roman" w:hAnsi="Times New Roman"/>
          <w:szCs w:val="24"/>
        </w:rPr>
        <w:t>Th</w:t>
      </w:r>
      <w:r w:rsidR="00FD3033">
        <w:rPr>
          <w:rFonts w:ascii="Times New Roman" w:hAnsi="Times New Roman"/>
          <w:szCs w:val="24"/>
        </w:rPr>
        <w:t>e</w:t>
      </w:r>
      <w:r w:rsidR="0060138A">
        <w:rPr>
          <w:rFonts w:ascii="Times New Roman" w:hAnsi="Times New Roman"/>
          <w:szCs w:val="24"/>
        </w:rPr>
        <w:t xml:space="preserve"> entity could be a State or geographic area.</w:t>
      </w:r>
    </w:p>
    <w:p w14:paraId="6F1FAA4D" w14:textId="2BD6B202" w:rsidR="00772CFF" w:rsidRPr="00ED52C5" w:rsidRDefault="00772CFF" w:rsidP="00F913F4">
      <w:pPr>
        <w:spacing w:line="480" w:lineRule="auto"/>
        <w:jc w:val="both"/>
        <w:rPr>
          <w:rFonts w:ascii="Times New Roman" w:hAnsi="Times New Roman"/>
          <w:szCs w:val="24"/>
        </w:rPr>
      </w:pPr>
      <w:r w:rsidRPr="00ED52C5">
        <w:rPr>
          <w:rFonts w:ascii="Times New Roman" w:hAnsi="Times New Roman"/>
          <w:szCs w:val="24"/>
        </w:rPr>
        <w:t>The second component is the individual targets to be investigated and prosecuted.</w:t>
      </w:r>
      <w:r w:rsidRPr="00ED52C5">
        <w:rPr>
          <w:rFonts w:ascii="Times New Roman" w:hAnsi="Times New Roman"/>
          <w:szCs w:val="24"/>
          <w:vertAlign w:val="superscript"/>
        </w:rPr>
        <w:footnoteReference w:id="290"/>
      </w:r>
      <w:r w:rsidRPr="00ED52C5">
        <w:rPr>
          <w:rFonts w:ascii="Times New Roman" w:hAnsi="Times New Roman"/>
          <w:szCs w:val="24"/>
        </w:rPr>
        <w:t xml:space="preserve"> It is believed that in hostilities/armed conflict, a lot of perpetrators are involved in the commission of crimes,</w:t>
      </w:r>
      <w:r w:rsidR="00D06E98" w:rsidRPr="00ED52C5">
        <w:rPr>
          <w:rFonts w:ascii="Times New Roman" w:hAnsi="Times New Roman"/>
          <w:szCs w:val="24"/>
        </w:rPr>
        <w:t xml:space="preserve"> </w:t>
      </w:r>
      <w:r w:rsidRPr="00ED52C5">
        <w:rPr>
          <w:rFonts w:ascii="Times New Roman" w:hAnsi="Times New Roman"/>
          <w:szCs w:val="24"/>
        </w:rPr>
        <w:t xml:space="preserve">but the mandate of the ICC is to try the most responsible. It follows that the ICC is under an obligation to filter through </w:t>
      </w:r>
      <w:r w:rsidR="00D06E98" w:rsidRPr="00ED52C5">
        <w:rPr>
          <w:rFonts w:ascii="Times New Roman" w:hAnsi="Times New Roman"/>
          <w:szCs w:val="24"/>
        </w:rPr>
        <w:t>a</w:t>
      </w:r>
      <w:r w:rsidR="0060138A" w:rsidRPr="00ED52C5">
        <w:rPr>
          <w:rFonts w:ascii="Times New Roman" w:hAnsi="Times New Roman"/>
          <w:szCs w:val="24"/>
        </w:rPr>
        <w:t xml:space="preserve"> large </w:t>
      </w:r>
      <w:r w:rsidR="00D06E98" w:rsidRPr="00ED52C5">
        <w:rPr>
          <w:rFonts w:ascii="Times New Roman" w:hAnsi="Times New Roman"/>
          <w:szCs w:val="24"/>
        </w:rPr>
        <w:t>number</w:t>
      </w:r>
      <w:r w:rsidR="0060138A" w:rsidRPr="00ED52C5">
        <w:rPr>
          <w:rFonts w:ascii="Times New Roman" w:hAnsi="Times New Roman"/>
          <w:szCs w:val="24"/>
        </w:rPr>
        <w:t xml:space="preserve"> of perpetrators </w:t>
      </w:r>
      <w:r w:rsidR="00EA1531">
        <w:rPr>
          <w:rFonts w:ascii="Times New Roman" w:hAnsi="Times New Roman"/>
          <w:szCs w:val="24"/>
        </w:rPr>
        <w:t>to capture</w:t>
      </w:r>
      <w:r w:rsidRPr="00ED52C5">
        <w:rPr>
          <w:rFonts w:ascii="Times New Roman" w:hAnsi="Times New Roman"/>
          <w:szCs w:val="24"/>
        </w:rPr>
        <w:t xml:space="preserve"> the masterminds or most responsible perpet</w:t>
      </w:r>
      <w:r w:rsidR="006C3A52">
        <w:rPr>
          <w:rFonts w:ascii="Times New Roman" w:hAnsi="Times New Roman"/>
          <w:szCs w:val="24"/>
        </w:rPr>
        <w:t>rators. Consequently, this</w:t>
      </w:r>
      <w:r w:rsidRPr="00ED52C5">
        <w:rPr>
          <w:rFonts w:ascii="Times New Roman" w:hAnsi="Times New Roman"/>
          <w:szCs w:val="24"/>
        </w:rPr>
        <w:t xml:space="preserve"> reduces the </w:t>
      </w:r>
      <w:r w:rsidR="00FD3033">
        <w:rPr>
          <w:rFonts w:ascii="Times New Roman" w:hAnsi="Times New Roman"/>
          <w:szCs w:val="24"/>
        </w:rPr>
        <w:t>amount</w:t>
      </w:r>
      <w:r w:rsidRPr="00ED52C5">
        <w:rPr>
          <w:rFonts w:ascii="Times New Roman" w:hAnsi="Times New Roman"/>
          <w:szCs w:val="24"/>
        </w:rPr>
        <w:t xml:space="preserve"> of suspects/culpable persons for trial. </w:t>
      </w:r>
      <w:r w:rsidR="006C3A52">
        <w:rPr>
          <w:rFonts w:ascii="Times New Roman" w:hAnsi="Times New Roman"/>
          <w:szCs w:val="24"/>
        </w:rPr>
        <w:t>A possible implication of the selection is the limitation of the number of potentially affected victims.</w:t>
      </w:r>
      <w:r w:rsidR="00EA1531">
        <w:rPr>
          <w:rFonts w:ascii="Times New Roman" w:hAnsi="Times New Roman"/>
          <w:szCs w:val="24"/>
        </w:rPr>
        <w:t xml:space="preserve"> The exclusion of </w:t>
      </w:r>
      <w:r w:rsidR="00F55F69">
        <w:rPr>
          <w:rFonts w:ascii="Times New Roman" w:hAnsi="Times New Roman"/>
          <w:szCs w:val="24"/>
        </w:rPr>
        <w:t>lower-ranked officers may marginalise some victims unless they</w:t>
      </w:r>
      <w:r w:rsidR="00EA1531">
        <w:rPr>
          <w:rFonts w:ascii="Times New Roman" w:hAnsi="Times New Roman"/>
          <w:szCs w:val="24"/>
        </w:rPr>
        <w:t xml:space="preserve"> are prosecuted in the national jurisdiction.</w:t>
      </w:r>
      <w:r w:rsidR="009E7098" w:rsidRPr="00ED52C5">
        <w:rPr>
          <w:rFonts w:ascii="Times New Roman" w:hAnsi="Times New Roman"/>
          <w:szCs w:val="24"/>
        </w:rPr>
        <w:t xml:space="preserve"> </w:t>
      </w:r>
      <w:r w:rsidRPr="00ED52C5">
        <w:rPr>
          <w:rFonts w:ascii="Times New Roman" w:hAnsi="Times New Roman"/>
          <w:szCs w:val="24"/>
        </w:rPr>
        <w:t>For instance, the ICC Prosecutor felt Lubanga was the most responsible for crimes committed in the Democratic Republic of Congo.</w:t>
      </w:r>
      <w:r w:rsidR="006C3A52">
        <w:rPr>
          <w:rFonts w:ascii="Times New Roman" w:hAnsi="Times New Roman"/>
          <w:szCs w:val="24"/>
        </w:rPr>
        <w:t xml:space="preserve"> Hence, the main reason</w:t>
      </w:r>
      <w:r w:rsidR="00EA1531">
        <w:rPr>
          <w:rFonts w:ascii="Times New Roman" w:hAnsi="Times New Roman"/>
          <w:szCs w:val="24"/>
        </w:rPr>
        <w:t xml:space="preserve"> for his arrest and arraignment</w:t>
      </w:r>
      <w:r w:rsidR="00F55F69">
        <w:rPr>
          <w:rFonts w:ascii="Times New Roman" w:hAnsi="Times New Roman"/>
          <w:szCs w:val="24"/>
        </w:rPr>
        <w:t xml:space="preserve"> i</w:t>
      </w:r>
      <w:r w:rsidR="006D03FF">
        <w:rPr>
          <w:rFonts w:ascii="Times New Roman" w:hAnsi="Times New Roman"/>
          <w:szCs w:val="24"/>
        </w:rPr>
        <w:t>s that there</w:t>
      </w:r>
      <w:r w:rsidRPr="00ED52C5">
        <w:rPr>
          <w:rFonts w:ascii="Times New Roman" w:hAnsi="Times New Roman"/>
          <w:szCs w:val="24"/>
        </w:rPr>
        <w:t xml:space="preserve"> were other masterminds. Ka</w:t>
      </w:r>
      <w:r w:rsidR="00FD3033">
        <w:rPr>
          <w:rFonts w:ascii="Times New Roman" w:hAnsi="Times New Roman"/>
          <w:szCs w:val="24"/>
        </w:rPr>
        <w:t>mbale</w:t>
      </w:r>
      <w:r w:rsidR="006C3A52">
        <w:rPr>
          <w:rFonts w:ascii="Times New Roman" w:hAnsi="Times New Roman"/>
          <w:szCs w:val="24"/>
        </w:rPr>
        <w:t xml:space="preserve"> conclude</w:t>
      </w:r>
      <w:r w:rsidR="00EA1531">
        <w:rPr>
          <w:rFonts w:ascii="Times New Roman" w:hAnsi="Times New Roman"/>
          <w:szCs w:val="24"/>
        </w:rPr>
        <w:t>d</w:t>
      </w:r>
      <w:r w:rsidRPr="00ED52C5">
        <w:rPr>
          <w:rFonts w:ascii="Times New Roman" w:hAnsi="Times New Roman"/>
          <w:szCs w:val="24"/>
        </w:rPr>
        <w:t xml:space="preserve"> that </w:t>
      </w:r>
      <w:r w:rsidR="00EA1531">
        <w:rPr>
          <w:rFonts w:ascii="Times New Roman" w:hAnsi="Times New Roman"/>
          <w:szCs w:val="24"/>
        </w:rPr>
        <w:t>some other high ranking instigators escaped indictment</w:t>
      </w:r>
      <w:r w:rsidRPr="00ED52C5">
        <w:rPr>
          <w:rFonts w:ascii="Times New Roman" w:hAnsi="Times New Roman"/>
          <w:szCs w:val="24"/>
        </w:rPr>
        <w:t>.</w:t>
      </w:r>
      <w:r w:rsidRPr="00ED52C5">
        <w:rPr>
          <w:rFonts w:ascii="Times New Roman" w:hAnsi="Times New Roman"/>
          <w:szCs w:val="24"/>
          <w:vertAlign w:val="superscript"/>
        </w:rPr>
        <w:footnoteReference w:id="291"/>
      </w:r>
      <w:r w:rsidRPr="00ED52C5">
        <w:rPr>
          <w:rFonts w:ascii="Times New Roman" w:hAnsi="Times New Roman"/>
          <w:szCs w:val="24"/>
        </w:rPr>
        <w:t>These high</w:t>
      </w:r>
      <w:r w:rsidR="009E7098" w:rsidRPr="00ED52C5">
        <w:rPr>
          <w:rFonts w:ascii="Times New Roman" w:hAnsi="Times New Roman"/>
          <w:szCs w:val="24"/>
        </w:rPr>
        <w:t>-</w:t>
      </w:r>
      <w:r w:rsidRPr="00ED52C5">
        <w:rPr>
          <w:rFonts w:ascii="Times New Roman" w:hAnsi="Times New Roman"/>
          <w:szCs w:val="24"/>
        </w:rPr>
        <w:t>rank instigators were identified but not indicted.</w:t>
      </w:r>
      <w:r w:rsidRPr="00ED52C5">
        <w:rPr>
          <w:rFonts w:ascii="Times New Roman" w:hAnsi="Times New Roman"/>
          <w:szCs w:val="24"/>
          <w:vertAlign w:val="superscript"/>
        </w:rPr>
        <w:footnoteReference w:id="292"/>
      </w:r>
      <w:r w:rsidRPr="00ED52C5">
        <w:rPr>
          <w:rFonts w:ascii="Times New Roman" w:hAnsi="Times New Roman"/>
          <w:szCs w:val="24"/>
        </w:rPr>
        <w:t xml:space="preserve"> He also </w:t>
      </w:r>
      <w:r w:rsidRPr="00ED52C5">
        <w:rPr>
          <w:rFonts w:ascii="Times New Roman" w:hAnsi="Times New Roman"/>
          <w:szCs w:val="24"/>
        </w:rPr>
        <w:lastRenderedPageBreak/>
        <w:t>contended that the most se</w:t>
      </w:r>
      <w:r w:rsidR="00EA1531">
        <w:rPr>
          <w:rFonts w:ascii="Times New Roman" w:hAnsi="Times New Roman"/>
          <w:szCs w:val="24"/>
        </w:rPr>
        <w:t>vere</w:t>
      </w:r>
      <w:r w:rsidRPr="00ED52C5">
        <w:rPr>
          <w:rFonts w:ascii="Times New Roman" w:hAnsi="Times New Roman"/>
          <w:szCs w:val="24"/>
        </w:rPr>
        <w:t xml:space="preserve"> crimes in </w:t>
      </w:r>
      <w:proofErr w:type="spellStart"/>
      <w:r w:rsidRPr="00ED52C5">
        <w:rPr>
          <w:rFonts w:ascii="Times New Roman" w:hAnsi="Times New Roman"/>
          <w:szCs w:val="24"/>
        </w:rPr>
        <w:t>Ituri</w:t>
      </w:r>
      <w:proofErr w:type="spellEnd"/>
      <w:r w:rsidRPr="00ED52C5">
        <w:rPr>
          <w:rFonts w:ascii="Times New Roman" w:hAnsi="Times New Roman"/>
          <w:szCs w:val="24"/>
        </w:rPr>
        <w:t xml:space="preserve"> w</w:t>
      </w:r>
      <w:r w:rsidR="009E7098" w:rsidRPr="00ED52C5">
        <w:rPr>
          <w:rFonts w:ascii="Times New Roman" w:hAnsi="Times New Roman"/>
          <w:szCs w:val="24"/>
        </w:rPr>
        <w:t>ere</w:t>
      </w:r>
      <w:r w:rsidRPr="00ED52C5">
        <w:rPr>
          <w:rFonts w:ascii="Times New Roman" w:hAnsi="Times New Roman"/>
          <w:szCs w:val="24"/>
        </w:rPr>
        <w:t xml:space="preserve"> committed by the RCD-ML(</w:t>
      </w:r>
      <w:proofErr w:type="spellStart"/>
      <w:r w:rsidRPr="00ED52C5">
        <w:rPr>
          <w:rFonts w:ascii="Times New Roman" w:hAnsi="Times New Roman"/>
          <w:i/>
          <w:iCs/>
          <w:szCs w:val="24"/>
        </w:rPr>
        <w:t>Rassemblement</w:t>
      </w:r>
      <w:proofErr w:type="spellEnd"/>
      <w:r w:rsidRPr="00ED52C5">
        <w:rPr>
          <w:rFonts w:ascii="Times New Roman" w:hAnsi="Times New Roman"/>
          <w:i/>
          <w:iCs/>
          <w:szCs w:val="24"/>
        </w:rPr>
        <w:t xml:space="preserve"> </w:t>
      </w:r>
      <w:proofErr w:type="spellStart"/>
      <w:r w:rsidRPr="00ED52C5">
        <w:rPr>
          <w:rFonts w:ascii="Times New Roman" w:hAnsi="Times New Roman"/>
          <w:i/>
          <w:iCs/>
          <w:szCs w:val="24"/>
        </w:rPr>
        <w:t>Congolais</w:t>
      </w:r>
      <w:proofErr w:type="spellEnd"/>
      <w:r w:rsidRPr="00ED52C5">
        <w:rPr>
          <w:rFonts w:ascii="Times New Roman" w:hAnsi="Times New Roman"/>
          <w:i/>
          <w:iCs/>
          <w:szCs w:val="24"/>
        </w:rPr>
        <w:t xml:space="preserve"> pour la </w:t>
      </w:r>
      <w:proofErr w:type="spellStart"/>
      <w:r w:rsidRPr="00ED52C5">
        <w:rPr>
          <w:rFonts w:ascii="Times New Roman" w:hAnsi="Times New Roman"/>
          <w:i/>
          <w:iCs/>
          <w:szCs w:val="24"/>
        </w:rPr>
        <w:t>Démocratie</w:t>
      </w:r>
      <w:proofErr w:type="spellEnd"/>
      <w:r w:rsidRPr="00ED52C5">
        <w:rPr>
          <w:rFonts w:ascii="Times New Roman" w:hAnsi="Times New Roman"/>
          <w:i/>
          <w:iCs/>
          <w:szCs w:val="24"/>
        </w:rPr>
        <w:t>—</w:t>
      </w:r>
      <w:proofErr w:type="spellStart"/>
      <w:r w:rsidRPr="00ED52C5">
        <w:rPr>
          <w:rFonts w:ascii="Times New Roman" w:hAnsi="Times New Roman"/>
          <w:i/>
          <w:iCs/>
          <w:szCs w:val="24"/>
        </w:rPr>
        <w:t>Mouvement</w:t>
      </w:r>
      <w:proofErr w:type="spellEnd"/>
      <w:r w:rsidRPr="00ED52C5">
        <w:rPr>
          <w:rFonts w:ascii="Times New Roman" w:hAnsi="Times New Roman"/>
          <w:i/>
          <w:iCs/>
          <w:szCs w:val="24"/>
        </w:rPr>
        <w:t xml:space="preserve"> de </w:t>
      </w:r>
      <w:proofErr w:type="spellStart"/>
      <w:r w:rsidRPr="00ED52C5">
        <w:rPr>
          <w:rFonts w:ascii="Times New Roman" w:hAnsi="Times New Roman"/>
          <w:i/>
          <w:iCs/>
          <w:szCs w:val="24"/>
        </w:rPr>
        <w:t>Libération</w:t>
      </w:r>
      <w:proofErr w:type="spellEnd"/>
      <w:r w:rsidRPr="00ED52C5">
        <w:rPr>
          <w:rFonts w:ascii="Times New Roman" w:hAnsi="Times New Roman"/>
          <w:szCs w:val="24"/>
        </w:rPr>
        <w:t>), of which Lubanga was just a minister.</w:t>
      </w:r>
    </w:p>
    <w:p w14:paraId="2CD52B95" w14:textId="3DA3694A" w:rsidR="00772CFF" w:rsidRPr="00ED52C5" w:rsidRDefault="00772CFF" w:rsidP="00F913F4">
      <w:pPr>
        <w:spacing w:line="480" w:lineRule="auto"/>
        <w:jc w:val="both"/>
        <w:rPr>
          <w:rFonts w:ascii="Times New Roman" w:hAnsi="Times New Roman"/>
          <w:szCs w:val="24"/>
        </w:rPr>
      </w:pPr>
      <w:r w:rsidRPr="00ED52C5">
        <w:rPr>
          <w:rFonts w:ascii="Times New Roman" w:hAnsi="Times New Roman"/>
          <w:szCs w:val="24"/>
        </w:rPr>
        <w:t>Furthermore, the third component is the selection of specific factual allegations to be listed in the charges.</w:t>
      </w:r>
      <w:r w:rsidRPr="00ED52C5">
        <w:rPr>
          <w:rFonts w:ascii="Times New Roman" w:hAnsi="Times New Roman"/>
          <w:szCs w:val="24"/>
          <w:vertAlign w:val="superscript"/>
        </w:rPr>
        <w:footnoteReference w:id="293"/>
      </w:r>
      <w:r w:rsidRPr="00ED52C5">
        <w:rPr>
          <w:rFonts w:ascii="Times New Roman" w:hAnsi="Times New Roman"/>
          <w:szCs w:val="24"/>
        </w:rPr>
        <w:t xml:space="preserve"> </w:t>
      </w:r>
      <w:r w:rsidR="00EA1531">
        <w:rPr>
          <w:rFonts w:ascii="Times New Roman" w:hAnsi="Times New Roman"/>
          <w:szCs w:val="24"/>
        </w:rPr>
        <w:t xml:space="preserve">Limitation of factual allegations is usually </w:t>
      </w:r>
      <w:r w:rsidRPr="00ED52C5">
        <w:rPr>
          <w:rFonts w:ascii="Times New Roman" w:hAnsi="Times New Roman"/>
          <w:szCs w:val="24"/>
        </w:rPr>
        <w:t>done to limit the number of situations or cases to be tried to a few ‘illustrative events’. A</w:t>
      </w:r>
      <w:r w:rsidR="00EA1531">
        <w:rPr>
          <w:rFonts w:ascii="Times New Roman" w:hAnsi="Times New Roman"/>
          <w:szCs w:val="24"/>
        </w:rPr>
        <w:t>n illustration is seen</w:t>
      </w:r>
      <w:r w:rsidRPr="00ED52C5">
        <w:rPr>
          <w:rFonts w:ascii="Times New Roman" w:hAnsi="Times New Roman"/>
          <w:szCs w:val="24"/>
        </w:rPr>
        <w:t xml:space="preserve"> in the Prosecutor v. Katanga, where the</w:t>
      </w:r>
      <w:r w:rsidR="00EA1531">
        <w:rPr>
          <w:rFonts w:ascii="Times New Roman" w:hAnsi="Times New Roman"/>
          <w:szCs w:val="24"/>
        </w:rPr>
        <w:t xml:space="preserve"> Prosecutor limited the charges to</w:t>
      </w:r>
      <w:r w:rsidRPr="00ED52C5">
        <w:rPr>
          <w:rFonts w:ascii="Times New Roman" w:hAnsi="Times New Roman"/>
          <w:szCs w:val="24"/>
        </w:rPr>
        <w:t xml:space="preserve"> crimes committed on 24</w:t>
      </w:r>
      <w:r w:rsidRPr="00772CFF">
        <w:rPr>
          <w:rFonts w:ascii="Times New Roman" w:hAnsi="Times New Roman"/>
          <w:szCs w:val="24"/>
        </w:rPr>
        <w:t xml:space="preserve"> </w:t>
      </w:r>
      <w:r w:rsidRPr="00ED52C5">
        <w:rPr>
          <w:rFonts w:ascii="Times New Roman" w:hAnsi="Times New Roman"/>
          <w:szCs w:val="24"/>
        </w:rPr>
        <w:t xml:space="preserve">February 2003 during the attack on the village of   </w:t>
      </w:r>
      <w:proofErr w:type="spellStart"/>
      <w:r w:rsidRPr="00ED52C5">
        <w:rPr>
          <w:rFonts w:ascii="Times New Roman" w:hAnsi="Times New Roman"/>
          <w:szCs w:val="24"/>
        </w:rPr>
        <w:t>Bogoro</w:t>
      </w:r>
      <w:proofErr w:type="spellEnd"/>
      <w:r w:rsidRPr="00ED52C5">
        <w:rPr>
          <w:rFonts w:ascii="Times New Roman" w:hAnsi="Times New Roman"/>
          <w:szCs w:val="24"/>
        </w:rPr>
        <w:t>(DRC).</w:t>
      </w:r>
      <w:r w:rsidRPr="00ED52C5">
        <w:rPr>
          <w:rFonts w:ascii="Times New Roman" w:hAnsi="Times New Roman"/>
          <w:szCs w:val="24"/>
          <w:vertAlign w:val="superscript"/>
        </w:rPr>
        <w:footnoteReference w:id="294"/>
      </w:r>
      <w:r w:rsidR="00EA1531">
        <w:rPr>
          <w:rFonts w:ascii="Times New Roman" w:hAnsi="Times New Roman"/>
          <w:szCs w:val="24"/>
        </w:rPr>
        <w:t xml:space="preserve"> M</w:t>
      </w:r>
      <w:r w:rsidRPr="00ED52C5">
        <w:rPr>
          <w:rFonts w:ascii="Times New Roman" w:hAnsi="Times New Roman"/>
          <w:szCs w:val="24"/>
        </w:rPr>
        <w:t>ultiple attacks occurred in other districts within that period. Similarly, in the Lubanga case,  at the commencement of the investigation, the Prosecutor</w:t>
      </w:r>
      <w:r w:rsidR="006C3A52">
        <w:rPr>
          <w:rFonts w:ascii="Times New Roman" w:hAnsi="Times New Roman"/>
          <w:szCs w:val="24"/>
        </w:rPr>
        <w:t>’s declared</w:t>
      </w:r>
      <w:r w:rsidRPr="00ED52C5">
        <w:rPr>
          <w:rFonts w:ascii="Times New Roman" w:hAnsi="Times New Roman"/>
          <w:szCs w:val="24"/>
        </w:rPr>
        <w:t xml:space="preserve"> he would  ‘investigate grave crimes allegedly committed on the territory of the DRC since 1</w:t>
      </w:r>
      <w:r w:rsidR="00CF1FA8" w:rsidRPr="00ED52C5">
        <w:rPr>
          <w:rFonts w:ascii="Times New Roman" w:hAnsi="Times New Roman"/>
          <w:szCs w:val="24"/>
        </w:rPr>
        <w:t xml:space="preserve"> </w:t>
      </w:r>
      <w:r w:rsidRPr="00ED52C5">
        <w:rPr>
          <w:rFonts w:ascii="Times New Roman" w:hAnsi="Times New Roman"/>
          <w:szCs w:val="24"/>
        </w:rPr>
        <w:t>July 2002’.</w:t>
      </w:r>
      <w:r w:rsidR="006C3A52">
        <w:rPr>
          <w:rStyle w:val="FootnoteReference"/>
          <w:rFonts w:ascii="Times New Roman" w:hAnsi="Times New Roman"/>
          <w:szCs w:val="24"/>
        </w:rPr>
        <w:footnoteReference w:id="295"/>
      </w:r>
      <w:r w:rsidRPr="00ED52C5">
        <w:rPr>
          <w:rFonts w:ascii="Times New Roman" w:hAnsi="Times New Roman"/>
          <w:szCs w:val="24"/>
        </w:rPr>
        <w:t>He mentioned reports from States, international organisations and n</w:t>
      </w:r>
      <w:r w:rsidR="006C3A52">
        <w:rPr>
          <w:rFonts w:ascii="Times New Roman" w:hAnsi="Times New Roman"/>
          <w:szCs w:val="24"/>
        </w:rPr>
        <w:t>on-governmental organisations on</w:t>
      </w:r>
      <w:r w:rsidRPr="00ED52C5">
        <w:rPr>
          <w:rFonts w:ascii="Times New Roman" w:hAnsi="Times New Roman"/>
          <w:szCs w:val="24"/>
        </w:rPr>
        <w:t xml:space="preserve"> ‘thousands of death by mass murder and summary execution in the DRC since 2002’.</w:t>
      </w:r>
      <w:r w:rsidR="00F55F69">
        <w:rPr>
          <w:rFonts w:ascii="Times New Roman" w:hAnsi="Times New Roman"/>
          <w:szCs w:val="24"/>
        </w:rPr>
        <w:t>The Prosecutor observed ‘a pattern of rape, torture, forced displacement and illegal use of soldiers’ from the information</w:t>
      </w:r>
      <w:r w:rsidRPr="00ED52C5">
        <w:rPr>
          <w:rFonts w:ascii="Times New Roman" w:hAnsi="Times New Roman"/>
          <w:szCs w:val="24"/>
        </w:rPr>
        <w:t>.</w:t>
      </w:r>
      <w:r w:rsidRPr="00ED52C5">
        <w:rPr>
          <w:rFonts w:ascii="Times New Roman" w:hAnsi="Times New Roman"/>
          <w:szCs w:val="24"/>
          <w:vertAlign w:val="superscript"/>
        </w:rPr>
        <w:footnoteReference w:id="296"/>
      </w:r>
      <w:r w:rsidRPr="00ED52C5">
        <w:rPr>
          <w:rFonts w:ascii="Times New Roman" w:hAnsi="Times New Roman"/>
          <w:szCs w:val="24"/>
        </w:rPr>
        <w:t xml:space="preserve"> Unfortunately, the</w:t>
      </w:r>
      <w:r w:rsidR="00EA1531">
        <w:rPr>
          <w:rFonts w:ascii="Times New Roman" w:hAnsi="Times New Roman"/>
          <w:szCs w:val="24"/>
        </w:rPr>
        <w:t xml:space="preserve"> Prosecutor failed to investigate these allegations. </w:t>
      </w:r>
      <w:r w:rsidRPr="00ED52C5">
        <w:rPr>
          <w:rFonts w:ascii="Times New Roman" w:hAnsi="Times New Roman"/>
          <w:szCs w:val="24"/>
        </w:rPr>
        <w:t xml:space="preserve"> The charges w</w:t>
      </w:r>
      <w:r w:rsidR="00CF1FA8" w:rsidRPr="00ED52C5">
        <w:rPr>
          <w:rFonts w:ascii="Times New Roman" w:hAnsi="Times New Roman"/>
          <w:szCs w:val="24"/>
        </w:rPr>
        <w:t>ere</w:t>
      </w:r>
      <w:r w:rsidRPr="00ED52C5">
        <w:rPr>
          <w:rFonts w:ascii="Times New Roman" w:hAnsi="Times New Roman"/>
          <w:szCs w:val="24"/>
        </w:rPr>
        <w:t xml:space="preserve"> very narrow that it overlooked the </w:t>
      </w:r>
      <w:r w:rsidR="00EA1531">
        <w:rPr>
          <w:rFonts w:ascii="Times New Roman" w:hAnsi="Times New Roman"/>
          <w:szCs w:val="24"/>
        </w:rPr>
        <w:t>massiv</w:t>
      </w:r>
      <w:r w:rsidRPr="00ED52C5">
        <w:rPr>
          <w:rFonts w:ascii="Times New Roman" w:hAnsi="Times New Roman"/>
          <w:szCs w:val="24"/>
        </w:rPr>
        <w:t>e s</w:t>
      </w:r>
      <w:r w:rsidR="00CF1FA8" w:rsidRPr="00ED52C5">
        <w:rPr>
          <w:rFonts w:ascii="Times New Roman" w:hAnsi="Times New Roman"/>
          <w:szCs w:val="24"/>
        </w:rPr>
        <w:t>ca</w:t>
      </w:r>
      <w:r w:rsidRPr="00ED52C5">
        <w:rPr>
          <w:rFonts w:ascii="Times New Roman" w:hAnsi="Times New Roman"/>
          <w:szCs w:val="24"/>
        </w:rPr>
        <w:t>le of armed conflict and some of its consequences.</w:t>
      </w:r>
      <w:r w:rsidR="00CF1FA8" w:rsidRPr="00ED52C5">
        <w:rPr>
          <w:rFonts w:ascii="Times New Roman" w:hAnsi="Times New Roman"/>
          <w:szCs w:val="24"/>
        </w:rPr>
        <w:t xml:space="preserve"> </w:t>
      </w:r>
      <w:r w:rsidR="00F55F69">
        <w:rPr>
          <w:rFonts w:ascii="Times New Roman" w:hAnsi="Times New Roman"/>
          <w:szCs w:val="24"/>
        </w:rPr>
        <w:t xml:space="preserve">The limitations </w:t>
      </w:r>
      <w:r w:rsidR="00482DAC">
        <w:rPr>
          <w:rFonts w:ascii="Times New Roman" w:hAnsi="Times New Roman"/>
          <w:szCs w:val="24"/>
        </w:rPr>
        <w:t>of</w:t>
      </w:r>
      <w:r w:rsidR="00F55F69">
        <w:rPr>
          <w:rFonts w:ascii="Times New Roman" w:hAnsi="Times New Roman"/>
          <w:szCs w:val="24"/>
        </w:rPr>
        <w:t xml:space="preserve"> these illustrative events are often</w:t>
      </w:r>
      <w:r w:rsidRPr="00ED52C5">
        <w:rPr>
          <w:rFonts w:ascii="Times New Roman" w:hAnsi="Times New Roman"/>
          <w:szCs w:val="24"/>
        </w:rPr>
        <w:t xml:space="preserve"> not unconnected to the challenges </w:t>
      </w:r>
      <w:r w:rsidRPr="00ED52C5">
        <w:rPr>
          <w:rFonts w:ascii="Times New Roman" w:hAnsi="Times New Roman"/>
          <w:szCs w:val="24"/>
        </w:rPr>
        <w:lastRenderedPageBreak/>
        <w:t>inherent in evidence gathering.</w:t>
      </w:r>
      <w:r w:rsidR="00CF1FA8" w:rsidRPr="00ED52C5">
        <w:rPr>
          <w:rFonts w:ascii="Times New Roman" w:hAnsi="Times New Roman"/>
          <w:szCs w:val="24"/>
        </w:rPr>
        <w:t xml:space="preserve"> </w:t>
      </w:r>
      <w:r w:rsidRPr="00ED52C5">
        <w:rPr>
          <w:rFonts w:ascii="Times New Roman" w:hAnsi="Times New Roman"/>
          <w:szCs w:val="24"/>
        </w:rPr>
        <w:t>Combs and Del Ponte points our attention to the problems encountered in collecting evidence for a large scale crime.</w:t>
      </w:r>
      <w:r w:rsidRPr="00ED52C5">
        <w:rPr>
          <w:rFonts w:ascii="Times New Roman" w:hAnsi="Times New Roman"/>
          <w:szCs w:val="24"/>
          <w:vertAlign w:val="superscript"/>
        </w:rPr>
        <w:footnoteReference w:id="297"/>
      </w:r>
      <w:r w:rsidR="006C3A52">
        <w:rPr>
          <w:rFonts w:ascii="Times New Roman" w:hAnsi="Times New Roman"/>
          <w:szCs w:val="24"/>
        </w:rPr>
        <w:t>Challenges of this nature may constrain the powers of the Prosecutor to expand the content or events in the charges</w:t>
      </w:r>
    </w:p>
    <w:p w14:paraId="08F5C448" w14:textId="32580DC2" w:rsidR="00772CFF" w:rsidRPr="00ED52C5" w:rsidRDefault="006C3A52" w:rsidP="00BE1DC4">
      <w:pPr>
        <w:spacing w:line="480" w:lineRule="auto"/>
        <w:jc w:val="both"/>
        <w:rPr>
          <w:rFonts w:ascii="Times New Roman" w:hAnsi="Times New Roman"/>
          <w:szCs w:val="24"/>
        </w:rPr>
      </w:pPr>
      <w:r>
        <w:rPr>
          <w:rFonts w:ascii="Times New Roman" w:hAnsi="Times New Roman"/>
          <w:szCs w:val="24"/>
        </w:rPr>
        <w:t>In addition, t</w:t>
      </w:r>
      <w:r w:rsidR="00772CFF" w:rsidRPr="00ED52C5">
        <w:rPr>
          <w:rFonts w:ascii="Times New Roman" w:hAnsi="Times New Roman"/>
          <w:szCs w:val="24"/>
        </w:rPr>
        <w:t xml:space="preserve">he fourth component is the decision to restrict </w:t>
      </w:r>
      <w:r w:rsidR="00ED52C5" w:rsidRPr="00ED52C5">
        <w:rPr>
          <w:rFonts w:ascii="Times New Roman" w:hAnsi="Times New Roman"/>
          <w:szCs w:val="24"/>
        </w:rPr>
        <w:t xml:space="preserve">the </w:t>
      </w:r>
      <w:r w:rsidR="00772CFF" w:rsidRPr="00ED52C5">
        <w:rPr>
          <w:rFonts w:ascii="Times New Roman" w:hAnsi="Times New Roman"/>
          <w:szCs w:val="24"/>
        </w:rPr>
        <w:t>legal characterisation of the offence.</w:t>
      </w:r>
      <w:r w:rsidR="002A34DB">
        <w:rPr>
          <w:rFonts w:ascii="Times New Roman" w:hAnsi="Times New Roman"/>
          <w:szCs w:val="24"/>
        </w:rPr>
        <w:t xml:space="preserve"> A constrained legal characterisation may inadvertently result in narrow charges. Such may restrict the charges to a one-count or two-count charges, </w:t>
      </w:r>
      <w:r w:rsidR="00772CFF" w:rsidRPr="00ED52C5">
        <w:rPr>
          <w:rFonts w:ascii="Times New Roman" w:hAnsi="Times New Roman"/>
          <w:szCs w:val="24"/>
        </w:rPr>
        <w:t>thereby disregarding the other alleged crimes.</w:t>
      </w:r>
      <w:r w:rsidR="002A34DB">
        <w:rPr>
          <w:rFonts w:ascii="Times New Roman" w:hAnsi="Times New Roman"/>
          <w:szCs w:val="24"/>
        </w:rPr>
        <w:t xml:space="preserve"> For example, in the Lubanga case, the Prosecutor framed a </w:t>
      </w:r>
      <w:r w:rsidR="00772CFF" w:rsidRPr="00ED52C5">
        <w:rPr>
          <w:rFonts w:ascii="Times New Roman" w:hAnsi="Times New Roman"/>
          <w:szCs w:val="24"/>
        </w:rPr>
        <w:t xml:space="preserve"> two-count charge of recruitment of children under the age of 15 years and</w:t>
      </w:r>
      <w:r w:rsidR="002A34DB">
        <w:rPr>
          <w:rFonts w:ascii="Times New Roman" w:hAnsi="Times New Roman"/>
          <w:szCs w:val="24"/>
        </w:rPr>
        <w:t xml:space="preserve"> using children under the ages of 15</w:t>
      </w:r>
      <w:r w:rsidR="00772CFF" w:rsidRPr="00ED52C5">
        <w:rPr>
          <w:rFonts w:ascii="Times New Roman" w:hAnsi="Times New Roman"/>
          <w:szCs w:val="24"/>
        </w:rPr>
        <w:t xml:space="preserve"> to participate actively in hostilities.</w:t>
      </w:r>
      <w:r w:rsidR="002A34DB">
        <w:rPr>
          <w:rStyle w:val="FootnoteReference"/>
          <w:rFonts w:ascii="Times New Roman" w:hAnsi="Times New Roman"/>
          <w:szCs w:val="24"/>
        </w:rPr>
        <w:footnoteReference w:id="298"/>
      </w:r>
      <w:r w:rsidR="00ED52C5" w:rsidRPr="00ED52C5">
        <w:rPr>
          <w:rFonts w:ascii="Times New Roman" w:hAnsi="Times New Roman"/>
          <w:szCs w:val="24"/>
        </w:rPr>
        <w:t xml:space="preserve"> </w:t>
      </w:r>
      <w:r w:rsidR="002A34DB">
        <w:rPr>
          <w:rFonts w:ascii="Times New Roman" w:hAnsi="Times New Roman"/>
          <w:szCs w:val="24"/>
        </w:rPr>
        <w:t>By implication, t</w:t>
      </w:r>
      <w:r w:rsidR="00772CFF" w:rsidRPr="00ED52C5">
        <w:rPr>
          <w:rFonts w:ascii="Times New Roman" w:hAnsi="Times New Roman"/>
          <w:szCs w:val="24"/>
        </w:rPr>
        <w:t>his two</w:t>
      </w:r>
      <w:r w:rsidR="00ED52C5" w:rsidRPr="00ED52C5">
        <w:rPr>
          <w:rFonts w:ascii="Times New Roman" w:hAnsi="Times New Roman"/>
          <w:szCs w:val="24"/>
        </w:rPr>
        <w:t>-</w:t>
      </w:r>
      <w:r w:rsidR="00772CFF" w:rsidRPr="00ED52C5">
        <w:rPr>
          <w:rFonts w:ascii="Times New Roman" w:hAnsi="Times New Roman"/>
          <w:szCs w:val="24"/>
        </w:rPr>
        <w:t xml:space="preserve">count charge in the Lubanga case marginalised other crimes like SGBV and cruel and inhumane treatment. Kambale observed that after two years of investigation, it was disappointing that the OTP </w:t>
      </w:r>
      <w:r w:rsidR="00F55F69">
        <w:rPr>
          <w:rFonts w:ascii="Times New Roman" w:hAnsi="Times New Roman"/>
          <w:szCs w:val="24"/>
        </w:rPr>
        <w:t>could only</w:t>
      </w:r>
      <w:r w:rsidR="00772CFF" w:rsidRPr="00ED52C5">
        <w:rPr>
          <w:rFonts w:ascii="Times New Roman" w:hAnsi="Times New Roman"/>
          <w:szCs w:val="24"/>
        </w:rPr>
        <w:t xml:space="preserve"> come up with one count of charge-conscription and enlistment of child soldiers- amongst other serious crimes committed in </w:t>
      </w:r>
      <w:proofErr w:type="spellStart"/>
      <w:r w:rsidR="00772CFF" w:rsidRPr="00ED52C5">
        <w:rPr>
          <w:rFonts w:ascii="Times New Roman" w:hAnsi="Times New Roman"/>
          <w:szCs w:val="24"/>
        </w:rPr>
        <w:t>Ituri</w:t>
      </w:r>
      <w:proofErr w:type="spellEnd"/>
      <w:r w:rsidR="00772CFF" w:rsidRPr="00ED52C5">
        <w:rPr>
          <w:rFonts w:ascii="Times New Roman" w:hAnsi="Times New Roman"/>
          <w:szCs w:val="24"/>
        </w:rPr>
        <w:t>.</w:t>
      </w:r>
      <w:r w:rsidR="00772CFF" w:rsidRPr="00ED52C5">
        <w:rPr>
          <w:rFonts w:ascii="Times New Roman" w:hAnsi="Times New Roman"/>
          <w:szCs w:val="24"/>
          <w:vertAlign w:val="superscript"/>
        </w:rPr>
        <w:footnoteReference w:id="299"/>
      </w:r>
      <w:r w:rsidR="00772CFF" w:rsidRPr="00ED52C5">
        <w:rPr>
          <w:rFonts w:ascii="Times New Roman" w:hAnsi="Times New Roman"/>
          <w:szCs w:val="24"/>
        </w:rPr>
        <w:t xml:space="preserve"> </w:t>
      </w:r>
    </w:p>
    <w:p w14:paraId="5777A6C4" w14:textId="6A960E72" w:rsidR="00772CFF" w:rsidRPr="00ED52C5" w:rsidRDefault="00ED52C5" w:rsidP="00BE1DC4">
      <w:pPr>
        <w:spacing w:line="480" w:lineRule="auto"/>
        <w:jc w:val="both"/>
        <w:rPr>
          <w:rFonts w:ascii="Times New Roman" w:hAnsi="Times New Roman"/>
          <w:szCs w:val="24"/>
        </w:rPr>
      </w:pPr>
      <w:r>
        <w:rPr>
          <w:rFonts w:ascii="Times New Roman" w:hAnsi="Times New Roman"/>
          <w:szCs w:val="24"/>
        </w:rPr>
        <w:t>Besides</w:t>
      </w:r>
      <w:r w:rsidR="00772CFF" w:rsidRPr="00ED52C5">
        <w:rPr>
          <w:rFonts w:ascii="Times New Roman" w:hAnsi="Times New Roman"/>
          <w:szCs w:val="24"/>
        </w:rPr>
        <w:t xml:space="preserve">, some human right organisations, NGOs and victims’ association across the country questioned the Prosecutor’s motives for not taking into account other serious </w:t>
      </w:r>
      <w:r w:rsidR="00772CFF" w:rsidRPr="00ED52C5">
        <w:rPr>
          <w:rFonts w:ascii="Times New Roman" w:hAnsi="Times New Roman"/>
          <w:szCs w:val="24"/>
        </w:rPr>
        <w:lastRenderedPageBreak/>
        <w:t xml:space="preserve">crimes committed in </w:t>
      </w:r>
      <w:proofErr w:type="spellStart"/>
      <w:r w:rsidR="00772CFF" w:rsidRPr="00ED52C5">
        <w:rPr>
          <w:rFonts w:ascii="Times New Roman" w:hAnsi="Times New Roman"/>
          <w:szCs w:val="24"/>
        </w:rPr>
        <w:t>Ituri</w:t>
      </w:r>
      <w:proofErr w:type="spellEnd"/>
      <w:r w:rsidR="00772CFF" w:rsidRPr="00ED52C5">
        <w:rPr>
          <w:rFonts w:ascii="Times New Roman" w:hAnsi="Times New Roman"/>
          <w:szCs w:val="24"/>
        </w:rPr>
        <w:t>, which falls within the jurisdiction of the Court.</w:t>
      </w:r>
      <w:r w:rsidRPr="00ED52C5">
        <w:rPr>
          <w:rFonts w:ascii="Times New Roman" w:hAnsi="Times New Roman"/>
          <w:szCs w:val="24"/>
        </w:rPr>
        <w:t xml:space="preserve"> </w:t>
      </w:r>
      <w:r w:rsidR="00772CFF" w:rsidRPr="00ED52C5">
        <w:rPr>
          <w:rFonts w:ascii="Times New Roman" w:hAnsi="Times New Roman"/>
          <w:szCs w:val="24"/>
        </w:rPr>
        <w:t>They opined that the Prosecutor’s failure in this aspect m</w:t>
      </w:r>
      <w:r w:rsidR="00BE1DC4">
        <w:rPr>
          <w:rFonts w:ascii="Times New Roman" w:hAnsi="Times New Roman"/>
          <w:szCs w:val="24"/>
        </w:rPr>
        <w:t>ight</w:t>
      </w:r>
      <w:r w:rsidR="00772CFF" w:rsidRPr="00ED52C5">
        <w:rPr>
          <w:rFonts w:ascii="Times New Roman" w:hAnsi="Times New Roman"/>
          <w:szCs w:val="24"/>
        </w:rPr>
        <w:t xml:space="preserve"> affect the ICC’s credibility.</w:t>
      </w:r>
      <w:r w:rsidR="00772CFF" w:rsidRPr="00ED52C5">
        <w:rPr>
          <w:rFonts w:ascii="Times New Roman" w:hAnsi="Times New Roman"/>
          <w:szCs w:val="24"/>
          <w:vertAlign w:val="superscript"/>
        </w:rPr>
        <w:footnoteReference w:id="300"/>
      </w:r>
      <w:r w:rsidR="00772CFF" w:rsidRPr="00ED52C5">
        <w:rPr>
          <w:rFonts w:ascii="Times New Roman" w:hAnsi="Times New Roman"/>
          <w:szCs w:val="24"/>
        </w:rPr>
        <w:t>It may be inferred that the pub</w:t>
      </w:r>
      <w:r w:rsidR="002A34DB">
        <w:rPr>
          <w:rFonts w:ascii="Times New Roman" w:hAnsi="Times New Roman"/>
          <w:szCs w:val="24"/>
        </w:rPr>
        <w:t>lic trust in the ICC’s prosecution of crimes increases</w:t>
      </w:r>
      <w:r w:rsidR="00772CFF" w:rsidRPr="00ED52C5">
        <w:rPr>
          <w:rFonts w:ascii="Times New Roman" w:hAnsi="Times New Roman"/>
          <w:szCs w:val="24"/>
        </w:rPr>
        <w:t xml:space="preserve"> it</w:t>
      </w:r>
      <w:r w:rsidR="002A34DB">
        <w:rPr>
          <w:rFonts w:ascii="Times New Roman" w:hAnsi="Times New Roman"/>
          <w:szCs w:val="24"/>
        </w:rPr>
        <w:t>s</w:t>
      </w:r>
      <w:r w:rsidR="00772CFF" w:rsidRPr="00ED52C5">
        <w:rPr>
          <w:rFonts w:ascii="Times New Roman" w:hAnsi="Times New Roman"/>
          <w:szCs w:val="24"/>
        </w:rPr>
        <w:t xml:space="preserve"> legitimacy.</w:t>
      </w:r>
      <w:r w:rsidRPr="00ED52C5">
        <w:rPr>
          <w:rFonts w:ascii="Times New Roman" w:hAnsi="Times New Roman"/>
          <w:szCs w:val="24"/>
        </w:rPr>
        <w:t xml:space="preserve"> </w:t>
      </w:r>
      <w:r w:rsidR="00772CFF" w:rsidRPr="00ED52C5">
        <w:rPr>
          <w:rFonts w:ascii="Times New Roman" w:hAnsi="Times New Roman"/>
          <w:szCs w:val="24"/>
        </w:rPr>
        <w:t xml:space="preserve">It has commonly been assumed that the </w:t>
      </w:r>
      <w:r w:rsidR="00F55F69">
        <w:rPr>
          <w:rFonts w:ascii="Times New Roman" w:hAnsi="Times New Roman"/>
          <w:szCs w:val="24"/>
        </w:rPr>
        <w:t>ICC's legitimacy</w:t>
      </w:r>
      <w:r w:rsidR="00772CFF" w:rsidRPr="00ED52C5">
        <w:rPr>
          <w:rFonts w:ascii="Times New Roman" w:hAnsi="Times New Roman"/>
          <w:szCs w:val="24"/>
        </w:rPr>
        <w:t xml:space="preserve"> springs from its mandate</w:t>
      </w:r>
      <w:r w:rsidR="00037714">
        <w:rPr>
          <w:rFonts w:ascii="Times New Roman" w:hAnsi="Times New Roman"/>
          <w:szCs w:val="24"/>
        </w:rPr>
        <w:t xml:space="preserve">; </w:t>
      </w:r>
      <w:r w:rsidR="00772CFF" w:rsidRPr="00ED52C5">
        <w:rPr>
          <w:rFonts w:ascii="Times New Roman" w:hAnsi="Times New Roman"/>
          <w:szCs w:val="24"/>
        </w:rPr>
        <w:t>to prosecute persons responsible for the gross violations of human rights</w:t>
      </w:r>
      <w:r w:rsidR="00037714">
        <w:rPr>
          <w:rFonts w:ascii="Times New Roman" w:hAnsi="Times New Roman"/>
          <w:szCs w:val="24"/>
        </w:rPr>
        <w:t>. A derogation from the mandate may question the court’s legitimacy.</w:t>
      </w:r>
      <w:r w:rsidR="00772CFF" w:rsidRPr="00ED52C5">
        <w:rPr>
          <w:rFonts w:ascii="Times New Roman" w:hAnsi="Times New Roman"/>
          <w:szCs w:val="24"/>
        </w:rPr>
        <w:t xml:space="preserve"> </w:t>
      </w:r>
    </w:p>
    <w:p w14:paraId="24459847" w14:textId="5382BEA9" w:rsidR="00772CFF" w:rsidRPr="00037714" w:rsidRDefault="00772CFF" w:rsidP="00BE1DC4">
      <w:pPr>
        <w:spacing w:line="480" w:lineRule="auto"/>
        <w:jc w:val="both"/>
        <w:rPr>
          <w:rFonts w:ascii="Times New Roman" w:hAnsi="Times New Roman"/>
          <w:iCs/>
          <w:szCs w:val="24"/>
        </w:rPr>
      </w:pPr>
      <w:proofErr w:type="spellStart"/>
      <w:r w:rsidRPr="00ED52C5">
        <w:rPr>
          <w:rFonts w:ascii="Times New Roman" w:hAnsi="Times New Roman"/>
          <w:szCs w:val="24"/>
        </w:rPr>
        <w:t>Aptel</w:t>
      </w:r>
      <w:proofErr w:type="spellEnd"/>
      <w:r w:rsidRPr="00ED52C5">
        <w:rPr>
          <w:rFonts w:ascii="Times New Roman" w:hAnsi="Times New Roman"/>
          <w:szCs w:val="24"/>
        </w:rPr>
        <w:t xml:space="preserve"> describes the fifth component as selections made by the Prosecutor</w:t>
      </w:r>
      <w:r w:rsidR="00ED52C5" w:rsidRPr="00ED52C5">
        <w:rPr>
          <w:rFonts w:ascii="Times New Roman" w:hAnsi="Times New Roman"/>
          <w:szCs w:val="24"/>
        </w:rPr>
        <w:t>,</w:t>
      </w:r>
      <w:r w:rsidRPr="00ED52C5">
        <w:rPr>
          <w:rFonts w:ascii="Times New Roman" w:hAnsi="Times New Roman"/>
          <w:szCs w:val="24"/>
        </w:rPr>
        <w:t xml:space="preserve"> which affects the scope of accountability as a result of their  </w:t>
      </w:r>
      <w:r w:rsidRPr="00ED52C5">
        <w:rPr>
          <w:rFonts w:ascii="Times New Roman" w:hAnsi="Times New Roman"/>
          <w:i/>
          <w:szCs w:val="24"/>
        </w:rPr>
        <w:t>‘</w:t>
      </w:r>
      <w:r w:rsidRPr="006D03FF">
        <w:rPr>
          <w:rFonts w:ascii="Times New Roman" w:hAnsi="Times New Roman"/>
          <w:szCs w:val="24"/>
        </w:rPr>
        <w:t>discretionary choice of witnesses and victims-witnesses.</w:t>
      </w:r>
      <w:r w:rsidRPr="00ED52C5">
        <w:rPr>
          <w:rFonts w:ascii="Times New Roman" w:hAnsi="Times New Roman"/>
          <w:szCs w:val="24"/>
        </w:rPr>
        <w:t>’</w:t>
      </w:r>
      <w:r w:rsidRPr="00ED52C5">
        <w:rPr>
          <w:rFonts w:ascii="Times New Roman" w:hAnsi="Times New Roman"/>
          <w:szCs w:val="24"/>
          <w:vertAlign w:val="superscript"/>
        </w:rPr>
        <w:footnoteReference w:id="301"/>
      </w:r>
      <w:r w:rsidRPr="00ED52C5">
        <w:rPr>
          <w:rFonts w:ascii="Times New Roman" w:hAnsi="Times New Roman"/>
          <w:szCs w:val="24"/>
        </w:rPr>
        <w:t xml:space="preserve">’ As such, </w:t>
      </w:r>
      <w:proofErr w:type="spellStart"/>
      <w:r w:rsidRPr="00ED52C5">
        <w:rPr>
          <w:rFonts w:ascii="Times New Roman" w:hAnsi="Times New Roman"/>
          <w:szCs w:val="24"/>
        </w:rPr>
        <w:t>Aptel</w:t>
      </w:r>
      <w:proofErr w:type="spellEnd"/>
      <w:r w:rsidRPr="00ED52C5">
        <w:rPr>
          <w:rFonts w:ascii="Times New Roman" w:hAnsi="Times New Roman"/>
          <w:szCs w:val="24"/>
        </w:rPr>
        <w:t xml:space="preserve"> submits that the </w:t>
      </w:r>
      <w:r w:rsidR="00D16B78">
        <w:rPr>
          <w:rFonts w:ascii="Times New Roman" w:hAnsi="Times New Roman"/>
          <w:szCs w:val="24"/>
        </w:rPr>
        <w:t xml:space="preserve">Prosecutor makes decisions </w:t>
      </w:r>
      <w:r w:rsidRPr="00ED52C5">
        <w:rPr>
          <w:rFonts w:ascii="Times New Roman" w:hAnsi="Times New Roman"/>
          <w:szCs w:val="24"/>
        </w:rPr>
        <w:t>which decides the victims to appear before the Court and tell their stories, while other victims are deprived of telling their stories or participating.</w:t>
      </w:r>
      <w:r w:rsidR="00BE1DC4">
        <w:rPr>
          <w:rFonts w:ascii="Times New Roman" w:hAnsi="Times New Roman"/>
          <w:szCs w:val="24"/>
        </w:rPr>
        <w:t xml:space="preserve"> </w:t>
      </w:r>
      <w:r w:rsidRPr="00ED52C5">
        <w:rPr>
          <w:rFonts w:ascii="Times New Roman" w:hAnsi="Times New Roman"/>
          <w:szCs w:val="24"/>
        </w:rPr>
        <w:t xml:space="preserve">The  Lubanga case confirms </w:t>
      </w:r>
      <w:proofErr w:type="spellStart"/>
      <w:r w:rsidRPr="00ED52C5">
        <w:rPr>
          <w:rFonts w:ascii="Times New Roman" w:hAnsi="Times New Roman"/>
          <w:szCs w:val="24"/>
        </w:rPr>
        <w:t>Aptel’s</w:t>
      </w:r>
      <w:proofErr w:type="spellEnd"/>
      <w:r w:rsidRPr="00ED52C5">
        <w:rPr>
          <w:rFonts w:ascii="Times New Roman" w:hAnsi="Times New Roman"/>
          <w:szCs w:val="24"/>
        </w:rPr>
        <w:t xml:space="preserve"> submissions. The selection of witnesses and victim-witnesses who appeared before the court to testify, but the court dismissed them and, declared their testimonies unreliable and non</w:t>
      </w:r>
      <w:r w:rsidR="00BE1DC4">
        <w:rPr>
          <w:rFonts w:ascii="Times New Roman" w:hAnsi="Times New Roman"/>
          <w:szCs w:val="24"/>
        </w:rPr>
        <w:t>-</w:t>
      </w:r>
      <w:r w:rsidRPr="00ED52C5">
        <w:rPr>
          <w:rFonts w:ascii="Times New Roman" w:hAnsi="Times New Roman"/>
          <w:szCs w:val="24"/>
        </w:rPr>
        <w:t>credible.</w:t>
      </w:r>
      <w:r w:rsidR="00BE1DC4">
        <w:rPr>
          <w:rFonts w:ascii="Times New Roman" w:hAnsi="Times New Roman"/>
          <w:szCs w:val="24"/>
        </w:rPr>
        <w:t xml:space="preserve"> </w:t>
      </w:r>
      <w:proofErr w:type="spellStart"/>
      <w:r w:rsidRPr="006D03FF">
        <w:rPr>
          <w:rFonts w:ascii="Times New Roman" w:hAnsi="Times New Roman"/>
          <w:szCs w:val="24"/>
        </w:rPr>
        <w:t>Aptel</w:t>
      </w:r>
      <w:proofErr w:type="spellEnd"/>
      <w:r w:rsidRPr="006D03FF">
        <w:rPr>
          <w:rFonts w:ascii="Times New Roman" w:hAnsi="Times New Roman"/>
          <w:szCs w:val="24"/>
        </w:rPr>
        <w:t xml:space="preserve"> also notes that </w:t>
      </w:r>
      <w:r w:rsidR="00F55F69">
        <w:rPr>
          <w:rFonts w:ascii="Times New Roman" w:hAnsi="Times New Roman"/>
          <w:szCs w:val="24"/>
        </w:rPr>
        <w:t>the prosecutor's discretionary powe</w:t>
      </w:r>
      <w:r w:rsidRPr="006D03FF">
        <w:rPr>
          <w:rFonts w:ascii="Times New Roman" w:hAnsi="Times New Roman"/>
          <w:szCs w:val="24"/>
        </w:rPr>
        <w:t>rs to se</w:t>
      </w:r>
      <w:r w:rsidR="006D03FF">
        <w:rPr>
          <w:rFonts w:ascii="Times New Roman" w:hAnsi="Times New Roman"/>
          <w:szCs w:val="24"/>
        </w:rPr>
        <w:t>lect situations and cases have “</w:t>
      </w:r>
      <w:r w:rsidRPr="006D03FF">
        <w:rPr>
          <w:rFonts w:ascii="Times New Roman" w:hAnsi="Times New Roman"/>
          <w:szCs w:val="24"/>
        </w:rPr>
        <w:t>fundamental ethical, political and historical consequences</w:t>
      </w:r>
      <w:r w:rsidR="00BE1DC4">
        <w:rPr>
          <w:rFonts w:ascii="Times New Roman" w:hAnsi="Times New Roman"/>
          <w:i/>
          <w:szCs w:val="24"/>
        </w:rPr>
        <w:t>.</w:t>
      </w:r>
      <w:r w:rsidR="006D03FF">
        <w:rPr>
          <w:rFonts w:ascii="Times New Roman" w:hAnsi="Times New Roman"/>
          <w:i/>
          <w:szCs w:val="24"/>
        </w:rPr>
        <w:t>”</w:t>
      </w:r>
      <w:r w:rsidRPr="00ED52C5">
        <w:rPr>
          <w:rFonts w:ascii="Times New Roman" w:hAnsi="Times New Roman"/>
          <w:i/>
          <w:szCs w:val="24"/>
          <w:vertAlign w:val="superscript"/>
        </w:rPr>
        <w:footnoteReference w:id="302"/>
      </w:r>
      <w:r w:rsidR="00037714">
        <w:rPr>
          <w:rFonts w:ascii="Times New Roman" w:hAnsi="Times New Roman"/>
          <w:iCs/>
          <w:szCs w:val="24"/>
        </w:rPr>
        <w:t xml:space="preserve"> An honest mistake in the prosecutor’s selection might emanate from personal conviction or other indispensable irregularities.</w:t>
      </w:r>
    </w:p>
    <w:p w14:paraId="1CEFA4ED" w14:textId="061AB4A4" w:rsidR="008C334F" w:rsidRPr="00ED52C5" w:rsidRDefault="00772CFF" w:rsidP="00BE1DC4">
      <w:pPr>
        <w:spacing w:line="480" w:lineRule="auto"/>
        <w:jc w:val="both"/>
        <w:rPr>
          <w:rFonts w:ascii="Times New Roman" w:hAnsi="Times New Roman"/>
          <w:szCs w:val="24"/>
        </w:rPr>
      </w:pPr>
      <w:r w:rsidRPr="00ED52C5">
        <w:rPr>
          <w:rFonts w:ascii="Times New Roman" w:hAnsi="Times New Roman"/>
          <w:szCs w:val="24"/>
        </w:rPr>
        <w:t xml:space="preserve">These taken together suggest </w:t>
      </w:r>
      <w:r w:rsidR="00F55F69">
        <w:rPr>
          <w:rFonts w:ascii="Times New Roman" w:hAnsi="Times New Roman"/>
          <w:szCs w:val="24"/>
        </w:rPr>
        <w:t>restrictive access to justice for victims due to the Prosecutor's sweeping discretionary powers</w:t>
      </w:r>
      <w:r w:rsidRPr="00ED52C5">
        <w:rPr>
          <w:rFonts w:ascii="Times New Roman" w:hAnsi="Times New Roman"/>
          <w:szCs w:val="24"/>
        </w:rPr>
        <w:t>.</w:t>
      </w:r>
      <w:r w:rsidR="008C334F" w:rsidRPr="00ED52C5">
        <w:rPr>
          <w:rFonts w:ascii="Times New Roman" w:hAnsi="Times New Roman"/>
          <w:szCs w:val="24"/>
        </w:rPr>
        <w:t xml:space="preserve"> </w:t>
      </w:r>
      <w:r w:rsidRPr="00ED52C5">
        <w:rPr>
          <w:rFonts w:ascii="Times New Roman" w:hAnsi="Times New Roman"/>
          <w:szCs w:val="24"/>
        </w:rPr>
        <w:t xml:space="preserve">Unfortunately, the ICC cannot try all the </w:t>
      </w:r>
      <w:r w:rsidRPr="00ED52C5">
        <w:rPr>
          <w:rFonts w:ascii="Times New Roman" w:hAnsi="Times New Roman"/>
          <w:szCs w:val="24"/>
        </w:rPr>
        <w:lastRenderedPageBreak/>
        <w:t xml:space="preserve">perpetrators because it will slow down the </w:t>
      </w:r>
      <w:r w:rsidR="00F55F69">
        <w:rPr>
          <w:rFonts w:ascii="Times New Roman" w:hAnsi="Times New Roman"/>
          <w:szCs w:val="24"/>
        </w:rPr>
        <w:t>Court's efficiency</w:t>
      </w:r>
      <w:r w:rsidRPr="00ED52C5">
        <w:rPr>
          <w:rFonts w:ascii="Times New Roman" w:hAnsi="Times New Roman"/>
          <w:szCs w:val="24"/>
        </w:rPr>
        <w:t>.</w:t>
      </w:r>
      <w:r w:rsidR="00BE1DC4">
        <w:rPr>
          <w:rFonts w:ascii="Times New Roman" w:hAnsi="Times New Roman"/>
          <w:szCs w:val="24"/>
        </w:rPr>
        <w:t xml:space="preserve"> </w:t>
      </w:r>
      <w:r w:rsidRPr="00ED52C5">
        <w:rPr>
          <w:rFonts w:ascii="Times New Roman" w:hAnsi="Times New Roman"/>
          <w:szCs w:val="24"/>
        </w:rPr>
        <w:t>However,</w:t>
      </w:r>
      <w:r w:rsidR="00BE1DC4">
        <w:rPr>
          <w:rFonts w:ascii="Times New Roman" w:hAnsi="Times New Roman"/>
          <w:szCs w:val="24"/>
        </w:rPr>
        <w:t xml:space="preserve"> </w:t>
      </w:r>
      <w:r w:rsidRPr="00ED52C5">
        <w:rPr>
          <w:rFonts w:ascii="Times New Roman" w:hAnsi="Times New Roman"/>
          <w:szCs w:val="24"/>
        </w:rPr>
        <w:t xml:space="preserve">it is inferred </w:t>
      </w:r>
      <w:r w:rsidR="00F25F21">
        <w:rPr>
          <w:rFonts w:ascii="Times New Roman" w:hAnsi="Times New Roman"/>
          <w:szCs w:val="24"/>
        </w:rPr>
        <w:t xml:space="preserve">that </w:t>
      </w:r>
      <w:r w:rsidRPr="00ED52C5">
        <w:rPr>
          <w:rFonts w:ascii="Times New Roman" w:hAnsi="Times New Roman"/>
          <w:szCs w:val="24"/>
        </w:rPr>
        <w:t>these determinant components provide access to justice for the selected few(victims).</w:t>
      </w:r>
    </w:p>
    <w:p w14:paraId="3096D65D" w14:textId="77777777" w:rsidR="00772CFF" w:rsidRPr="00D16B78" w:rsidRDefault="008C334F" w:rsidP="00BE1DC4">
      <w:pPr>
        <w:spacing w:line="480" w:lineRule="auto"/>
        <w:jc w:val="both"/>
        <w:rPr>
          <w:rFonts w:ascii="Times New Roman" w:hAnsi="Times New Roman"/>
          <w:b/>
          <w:szCs w:val="24"/>
        </w:rPr>
      </w:pPr>
      <w:r w:rsidRPr="00ED52C5">
        <w:rPr>
          <w:rFonts w:ascii="Times New Roman" w:hAnsi="Times New Roman"/>
          <w:szCs w:val="24"/>
        </w:rPr>
        <w:t>To further our understanding o</w:t>
      </w:r>
      <w:r w:rsidR="00BE1DC4">
        <w:rPr>
          <w:rFonts w:ascii="Times New Roman" w:hAnsi="Times New Roman"/>
          <w:szCs w:val="24"/>
        </w:rPr>
        <w:t>f</w:t>
      </w:r>
      <w:r w:rsidRPr="00ED52C5">
        <w:rPr>
          <w:rFonts w:ascii="Times New Roman" w:hAnsi="Times New Roman"/>
          <w:szCs w:val="24"/>
        </w:rPr>
        <w:t xml:space="preserve"> the impact of Prosecutorial discretion on victims’ rights and interests, the next section explores the charging document in Lubanga and Katanga cases.</w:t>
      </w:r>
    </w:p>
    <w:p w14:paraId="19CE7A8D" w14:textId="77777777" w:rsidR="00772CFF" w:rsidRPr="00DF5C01" w:rsidRDefault="008C334F" w:rsidP="00DF5C01">
      <w:pPr>
        <w:pStyle w:val="Heading3"/>
      </w:pPr>
      <w:bookmarkStart w:id="21" w:name="_Toc60235799"/>
      <w:r w:rsidRPr="00DF5C01">
        <w:t>2.5</w:t>
      </w:r>
      <w:r w:rsidR="00A549E5" w:rsidRPr="00DF5C01">
        <w:t>.1</w:t>
      </w:r>
      <w:r w:rsidR="00772CFF" w:rsidRPr="00DF5C01">
        <w:t>Charging Document:</w:t>
      </w:r>
      <w:r w:rsidR="00BE1DC4" w:rsidRPr="00DF5C01">
        <w:t xml:space="preserve"> </w:t>
      </w:r>
      <w:r w:rsidR="00772CFF" w:rsidRPr="00DF5C01">
        <w:t>Lubanga</w:t>
      </w:r>
      <w:r w:rsidRPr="00DF5C01">
        <w:t xml:space="preserve"> case</w:t>
      </w:r>
      <w:bookmarkEnd w:id="21"/>
    </w:p>
    <w:p w14:paraId="21402AAC" w14:textId="4C080064" w:rsidR="0002656A" w:rsidRPr="00FF3B43" w:rsidRDefault="0002656A" w:rsidP="00FF3B43">
      <w:pPr>
        <w:spacing w:line="480" w:lineRule="auto"/>
        <w:jc w:val="both"/>
        <w:rPr>
          <w:rFonts w:ascii="Times New Roman" w:hAnsi="Times New Roman"/>
          <w:lang w:val="en-US"/>
        </w:rPr>
      </w:pPr>
      <w:r w:rsidRPr="00FF3B43">
        <w:rPr>
          <w:rFonts w:ascii="Times New Roman" w:hAnsi="Times New Roman"/>
          <w:lang w:val="en-US"/>
        </w:rPr>
        <w:t>Before discuss</w:t>
      </w:r>
      <w:r w:rsidR="006D03FF">
        <w:rPr>
          <w:rFonts w:ascii="Times New Roman" w:hAnsi="Times New Roman"/>
          <w:lang w:val="en-US"/>
        </w:rPr>
        <w:t>ing</w:t>
      </w:r>
      <w:r w:rsidRPr="00FF3B43">
        <w:rPr>
          <w:rFonts w:ascii="Times New Roman" w:hAnsi="Times New Roman"/>
          <w:lang w:val="en-US"/>
        </w:rPr>
        <w:t xml:space="preserve"> the </w:t>
      </w:r>
      <w:r w:rsidR="00F55F69">
        <w:rPr>
          <w:rFonts w:ascii="Times New Roman" w:hAnsi="Times New Roman"/>
          <w:lang w:val="en-US"/>
        </w:rPr>
        <w:t>prosecutor's charges</w:t>
      </w:r>
      <w:r w:rsidRPr="00FF3B43">
        <w:rPr>
          <w:rFonts w:ascii="Times New Roman" w:hAnsi="Times New Roman"/>
          <w:lang w:val="en-US"/>
        </w:rPr>
        <w:t xml:space="preserve"> against Lubanga, it is necessary to </w:t>
      </w:r>
      <w:proofErr w:type="spellStart"/>
      <w:r w:rsidRPr="00FF3B43">
        <w:rPr>
          <w:rFonts w:ascii="Times New Roman" w:hAnsi="Times New Roman"/>
          <w:lang w:val="en-US"/>
        </w:rPr>
        <w:t>anal</w:t>
      </w:r>
      <w:r w:rsidR="00281F11">
        <w:rPr>
          <w:rFonts w:ascii="Times New Roman" w:hAnsi="Times New Roman"/>
          <w:lang w:val="en-US"/>
        </w:rPr>
        <w:t>y</w:t>
      </w:r>
      <w:r w:rsidRPr="00FF3B43">
        <w:rPr>
          <w:rFonts w:ascii="Times New Roman" w:hAnsi="Times New Roman"/>
          <w:lang w:val="en-US"/>
        </w:rPr>
        <w:t>se</w:t>
      </w:r>
      <w:proofErr w:type="spellEnd"/>
      <w:r w:rsidRPr="00FF3B43">
        <w:rPr>
          <w:rFonts w:ascii="Times New Roman" w:hAnsi="Times New Roman"/>
          <w:lang w:val="en-US"/>
        </w:rPr>
        <w:t xml:space="preserve"> the background to the charges</w:t>
      </w:r>
      <w:r w:rsidR="00FD3033">
        <w:rPr>
          <w:rFonts w:ascii="Times New Roman" w:hAnsi="Times New Roman"/>
          <w:lang w:val="en-US"/>
        </w:rPr>
        <w:t xml:space="preserve">. This section will also explore </w:t>
      </w:r>
      <w:r w:rsidRPr="00FF3B43">
        <w:rPr>
          <w:rFonts w:ascii="Times New Roman" w:hAnsi="Times New Roman"/>
          <w:lang w:val="en-US"/>
        </w:rPr>
        <w:t>sign</w:t>
      </w:r>
      <w:r w:rsidR="00FD3033">
        <w:rPr>
          <w:rFonts w:ascii="Times New Roman" w:hAnsi="Times New Roman"/>
          <w:lang w:val="en-US"/>
        </w:rPr>
        <w:t>if</w:t>
      </w:r>
      <w:r w:rsidRPr="00FF3B43">
        <w:rPr>
          <w:rFonts w:ascii="Times New Roman" w:hAnsi="Times New Roman"/>
          <w:lang w:val="en-US"/>
        </w:rPr>
        <w:t xml:space="preserve">icant issues which came up </w:t>
      </w:r>
      <w:r w:rsidR="00FD3033">
        <w:rPr>
          <w:rFonts w:ascii="Times New Roman" w:hAnsi="Times New Roman"/>
          <w:lang w:val="en-US"/>
        </w:rPr>
        <w:t>before</w:t>
      </w:r>
      <w:r w:rsidRPr="00FF3B43">
        <w:rPr>
          <w:rFonts w:ascii="Times New Roman" w:hAnsi="Times New Roman"/>
          <w:lang w:val="en-US"/>
        </w:rPr>
        <w:t xml:space="preserve"> the initiation of prosecution of the suspect.</w:t>
      </w:r>
    </w:p>
    <w:p w14:paraId="35B1CBD9" w14:textId="77777777" w:rsidR="00772CFF" w:rsidRPr="00ED52C5" w:rsidRDefault="00A549E5" w:rsidP="00DF5C01">
      <w:pPr>
        <w:pStyle w:val="Heading3"/>
      </w:pPr>
      <w:bookmarkStart w:id="22" w:name="_Toc60235800"/>
      <w:r>
        <w:t xml:space="preserve">2.5.2 </w:t>
      </w:r>
      <w:r w:rsidR="00772CFF" w:rsidRPr="00ED52C5">
        <w:t>Background to the Charges</w:t>
      </w:r>
      <w:bookmarkEnd w:id="22"/>
    </w:p>
    <w:p w14:paraId="00E602A0" w14:textId="6A03CDFF" w:rsidR="00772CFF" w:rsidRPr="00FF3B43" w:rsidRDefault="00772CFF" w:rsidP="00FF3B43">
      <w:pPr>
        <w:spacing w:line="480" w:lineRule="auto"/>
        <w:jc w:val="both"/>
        <w:rPr>
          <w:rFonts w:ascii="Times New Roman" w:hAnsi="Times New Roman"/>
          <w:szCs w:val="24"/>
        </w:rPr>
      </w:pPr>
      <w:r w:rsidRPr="00ED52C5">
        <w:rPr>
          <w:rFonts w:ascii="Times New Roman" w:hAnsi="Times New Roman"/>
          <w:szCs w:val="24"/>
        </w:rPr>
        <w:t>Thomas Lubanga was a suspect awaiting trial in a national court in Congo on charges of genocide, war crimes and crimes against humanity based on the DRC’s</w:t>
      </w:r>
      <w:r w:rsidRPr="00772CFF">
        <w:rPr>
          <w:rFonts w:ascii="Times New Roman" w:hAnsi="Times New Roman"/>
          <w:szCs w:val="24"/>
        </w:rPr>
        <w:t xml:space="preserve"> military criminal code.</w:t>
      </w:r>
      <w:r w:rsidRPr="00772CFF">
        <w:rPr>
          <w:rFonts w:ascii="Times New Roman" w:hAnsi="Times New Roman"/>
          <w:szCs w:val="24"/>
          <w:vertAlign w:val="superscript"/>
        </w:rPr>
        <w:footnoteReference w:id="303"/>
      </w:r>
      <w:r w:rsidRPr="00772CFF">
        <w:rPr>
          <w:rFonts w:ascii="Times New Roman" w:hAnsi="Times New Roman"/>
          <w:szCs w:val="24"/>
        </w:rPr>
        <w:t xml:space="preserve"> </w:t>
      </w:r>
      <w:r w:rsidR="00BE1DC4">
        <w:rPr>
          <w:rFonts w:ascii="Times New Roman" w:hAnsi="Times New Roman"/>
          <w:szCs w:val="24"/>
        </w:rPr>
        <w:t>According</w:t>
      </w:r>
      <w:r w:rsidRPr="00772CFF">
        <w:rPr>
          <w:rFonts w:ascii="Times New Roman" w:hAnsi="Times New Roman"/>
          <w:szCs w:val="24"/>
        </w:rPr>
        <w:t xml:space="preserve"> to his </w:t>
      </w:r>
      <w:r w:rsidRPr="00772CFF">
        <w:rPr>
          <w:rFonts w:ascii="Times New Roman" w:hAnsi="Times New Roman"/>
          <w:i/>
          <w:szCs w:val="24"/>
        </w:rPr>
        <w:t>proprio motu</w:t>
      </w:r>
      <w:r w:rsidRPr="00772CFF">
        <w:rPr>
          <w:rFonts w:ascii="Times New Roman" w:hAnsi="Times New Roman"/>
          <w:szCs w:val="24"/>
        </w:rPr>
        <w:t xml:space="preserve"> powers to obtain a State referral in the situation of the Democratic Republic of Congo,</w:t>
      </w:r>
      <w:r w:rsidRPr="00772CFF">
        <w:rPr>
          <w:rFonts w:ascii="Times New Roman" w:hAnsi="Times New Roman"/>
          <w:szCs w:val="24"/>
          <w:vertAlign w:val="superscript"/>
        </w:rPr>
        <w:footnoteReference w:id="304"/>
      </w:r>
      <w:r w:rsidRPr="00772CFF">
        <w:rPr>
          <w:rFonts w:ascii="Times New Roman" w:hAnsi="Times New Roman"/>
          <w:szCs w:val="24"/>
        </w:rPr>
        <w:t xml:space="preserve"> the DRC referred the situation to the Court after Prosecutor specified that he would use his p</w:t>
      </w:r>
      <w:r w:rsidRPr="00772CFF">
        <w:rPr>
          <w:rFonts w:ascii="Times New Roman" w:hAnsi="Times New Roman"/>
          <w:i/>
          <w:szCs w:val="24"/>
        </w:rPr>
        <w:t>roprio motu</w:t>
      </w:r>
      <w:r w:rsidRPr="00772CFF">
        <w:rPr>
          <w:rFonts w:ascii="Times New Roman" w:hAnsi="Times New Roman"/>
          <w:szCs w:val="24"/>
        </w:rPr>
        <w:t xml:space="preserve"> powers to commence investigations in the DRC.</w:t>
      </w:r>
      <w:r w:rsidRPr="00772CFF">
        <w:rPr>
          <w:rFonts w:ascii="Times New Roman" w:hAnsi="Times New Roman"/>
          <w:szCs w:val="24"/>
          <w:vertAlign w:val="superscript"/>
        </w:rPr>
        <w:footnoteReference w:id="305"/>
      </w:r>
      <w:r w:rsidRPr="00772CFF">
        <w:rPr>
          <w:rFonts w:ascii="Times New Roman" w:hAnsi="Times New Roman"/>
          <w:szCs w:val="24"/>
        </w:rPr>
        <w:t>The President of the DRC referred</w:t>
      </w:r>
      <w:r w:rsidR="00BE1DC4">
        <w:rPr>
          <w:rFonts w:ascii="Times New Roman" w:hAnsi="Times New Roman"/>
          <w:szCs w:val="24"/>
        </w:rPr>
        <w:t xml:space="preserve"> to</w:t>
      </w:r>
      <w:r w:rsidRPr="00772CFF">
        <w:rPr>
          <w:rFonts w:ascii="Times New Roman" w:hAnsi="Times New Roman"/>
          <w:szCs w:val="24"/>
        </w:rPr>
        <w:t xml:space="preserve"> the </w:t>
      </w:r>
      <w:r w:rsidRPr="00772CFF">
        <w:rPr>
          <w:rFonts w:ascii="Times New Roman" w:hAnsi="Times New Roman"/>
          <w:szCs w:val="24"/>
        </w:rPr>
        <w:lastRenderedPageBreak/>
        <w:t>situation of crimes within the jurisdiction of the Court.</w:t>
      </w:r>
      <w:r w:rsidR="00BE1DC4">
        <w:rPr>
          <w:rFonts w:ascii="Times New Roman" w:hAnsi="Times New Roman"/>
          <w:szCs w:val="24"/>
        </w:rPr>
        <w:t xml:space="preserve"> </w:t>
      </w:r>
      <w:r w:rsidRPr="00772CFF">
        <w:rPr>
          <w:rFonts w:ascii="Times New Roman" w:hAnsi="Times New Roman"/>
          <w:szCs w:val="24"/>
        </w:rPr>
        <w:t>Th</w:t>
      </w:r>
      <w:r w:rsidR="00FD3033">
        <w:rPr>
          <w:rFonts w:ascii="Times New Roman" w:hAnsi="Times New Roman"/>
          <w:szCs w:val="24"/>
        </w:rPr>
        <w:t xml:space="preserve">e President wrote, addressed and signed </w:t>
      </w:r>
      <w:r w:rsidRPr="00772CFF">
        <w:rPr>
          <w:rFonts w:ascii="Times New Roman" w:hAnsi="Times New Roman"/>
          <w:szCs w:val="24"/>
        </w:rPr>
        <w:t xml:space="preserve">to the Prosecutor. </w:t>
      </w:r>
      <w:r w:rsidR="00FF3B43">
        <w:rPr>
          <w:rFonts w:ascii="Times New Roman" w:hAnsi="Times New Roman"/>
          <w:szCs w:val="24"/>
        </w:rPr>
        <w:t>Subsequently,</w:t>
      </w:r>
      <w:r w:rsidR="00FD3033">
        <w:rPr>
          <w:rFonts w:ascii="Times New Roman" w:hAnsi="Times New Roman"/>
          <w:szCs w:val="24"/>
        </w:rPr>
        <w:t xml:space="preserve"> </w:t>
      </w:r>
      <w:r w:rsidR="00FF3B43">
        <w:rPr>
          <w:rFonts w:ascii="Times New Roman" w:hAnsi="Times New Roman"/>
          <w:szCs w:val="24"/>
        </w:rPr>
        <w:t>t</w:t>
      </w:r>
      <w:r w:rsidRPr="00772CFF">
        <w:rPr>
          <w:rFonts w:ascii="Times New Roman" w:hAnsi="Times New Roman"/>
          <w:szCs w:val="24"/>
        </w:rPr>
        <w:t xml:space="preserve">he DRC requested the </w:t>
      </w:r>
      <w:r w:rsidRPr="00FF3B43">
        <w:rPr>
          <w:rFonts w:ascii="Times New Roman" w:hAnsi="Times New Roman"/>
          <w:szCs w:val="24"/>
        </w:rPr>
        <w:t xml:space="preserve">Prosecutor to conduct investigations to ascertain if </w:t>
      </w:r>
      <w:r w:rsidR="00037714">
        <w:rPr>
          <w:rFonts w:ascii="Times New Roman" w:hAnsi="Times New Roman"/>
          <w:szCs w:val="24"/>
        </w:rPr>
        <w:t xml:space="preserve">they could </w:t>
      </w:r>
      <w:r w:rsidR="00B57CA5">
        <w:rPr>
          <w:rFonts w:ascii="Times New Roman" w:hAnsi="Times New Roman"/>
          <w:szCs w:val="24"/>
        </w:rPr>
        <w:t>prosecute</w:t>
      </w:r>
      <w:r w:rsidR="00037714">
        <w:rPr>
          <w:rFonts w:ascii="Times New Roman" w:hAnsi="Times New Roman"/>
          <w:szCs w:val="24"/>
        </w:rPr>
        <w:t xml:space="preserve"> </w:t>
      </w:r>
      <w:r w:rsidRPr="00FF3B43">
        <w:rPr>
          <w:rFonts w:ascii="Times New Roman" w:hAnsi="Times New Roman"/>
          <w:szCs w:val="24"/>
        </w:rPr>
        <w:t>one or two individuals</w:t>
      </w:r>
      <w:r w:rsidR="00FF3B43" w:rsidRPr="00FF3B43">
        <w:rPr>
          <w:rFonts w:ascii="Times New Roman" w:hAnsi="Times New Roman"/>
          <w:szCs w:val="24"/>
        </w:rPr>
        <w:t>.</w:t>
      </w:r>
      <w:r w:rsidR="00FD3033">
        <w:rPr>
          <w:rFonts w:ascii="Times New Roman" w:hAnsi="Times New Roman"/>
          <w:szCs w:val="24"/>
        </w:rPr>
        <w:t xml:space="preserve"> </w:t>
      </w:r>
      <w:r w:rsidR="00FF3B43" w:rsidRPr="00FF3B43">
        <w:rPr>
          <w:rFonts w:ascii="Times New Roman" w:hAnsi="Times New Roman"/>
          <w:szCs w:val="24"/>
        </w:rPr>
        <w:t>The main request was to investigate and prosecute crimes that happened within its jurisdiction since July 2002.</w:t>
      </w:r>
      <w:r w:rsidR="00037714">
        <w:rPr>
          <w:rFonts w:ascii="Times New Roman" w:hAnsi="Times New Roman"/>
          <w:szCs w:val="24"/>
        </w:rPr>
        <w:t xml:space="preserve"> Therefore, </w:t>
      </w:r>
      <w:r w:rsidR="00FD3033">
        <w:rPr>
          <w:rFonts w:ascii="Times New Roman" w:hAnsi="Times New Roman"/>
          <w:szCs w:val="24"/>
        </w:rPr>
        <w:t xml:space="preserve"> </w:t>
      </w:r>
      <w:r w:rsidR="00037714">
        <w:rPr>
          <w:rFonts w:ascii="Times New Roman" w:hAnsi="Times New Roman"/>
          <w:szCs w:val="24"/>
        </w:rPr>
        <w:t>t</w:t>
      </w:r>
      <w:r w:rsidR="00FF3B43" w:rsidRPr="00FF3B43">
        <w:rPr>
          <w:rFonts w:ascii="Times New Roman" w:hAnsi="Times New Roman"/>
          <w:szCs w:val="24"/>
        </w:rPr>
        <w:t>o foster the investigations,</w:t>
      </w:r>
      <w:r w:rsidR="00BE1DC4" w:rsidRPr="00FF3B43">
        <w:rPr>
          <w:rFonts w:ascii="Times New Roman" w:hAnsi="Times New Roman"/>
          <w:szCs w:val="24"/>
        </w:rPr>
        <w:t xml:space="preserve"> </w:t>
      </w:r>
      <w:r w:rsidRPr="00FF3B43">
        <w:rPr>
          <w:rFonts w:ascii="Times New Roman" w:hAnsi="Times New Roman"/>
          <w:szCs w:val="24"/>
        </w:rPr>
        <w:t>the National authorities committed to work</w:t>
      </w:r>
      <w:r w:rsidR="00BE1DC4" w:rsidRPr="00FF3B43">
        <w:rPr>
          <w:rFonts w:ascii="Times New Roman" w:hAnsi="Times New Roman"/>
          <w:szCs w:val="24"/>
        </w:rPr>
        <w:t>ing</w:t>
      </w:r>
      <w:r w:rsidRPr="00FF3B43">
        <w:rPr>
          <w:rFonts w:ascii="Times New Roman" w:hAnsi="Times New Roman"/>
          <w:szCs w:val="24"/>
        </w:rPr>
        <w:t xml:space="preserve"> together with the ICC</w:t>
      </w:r>
      <w:r w:rsidR="00FF3B43" w:rsidRPr="00FF3B43">
        <w:rPr>
          <w:rFonts w:ascii="Times New Roman" w:hAnsi="Times New Roman"/>
          <w:szCs w:val="24"/>
        </w:rPr>
        <w:t>.</w:t>
      </w:r>
    </w:p>
    <w:p w14:paraId="6C728264" w14:textId="2F02AF64" w:rsidR="00772CFF" w:rsidRPr="00FF3B43" w:rsidRDefault="002F2C2C" w:rsidP="00FF3B43">
      <w:pPr>
        <w:spacing w:line="480" w:lineRule="auto"/>
        <w:jc w:val="both"/>
        <w:rPr>
          <w:rFonts w:ascii="Times New Roman" w:hAnsi="Times New Roman"/>
          <w:szCs w:val="24"/>
        </w:rPr>
      </w:pPr>
      <w:r>
        <w:rPr>
          <w:rFonts w:ascii="Times New Roman" w:hAnsi="Times New Roman"/>
          <w:szCs w:val="24"/>
        </w:rPr>
        <w:t xml:space="preserve">Following several communications and correspondences </w:t>
      </w:r>
      <w:r w:rsidRPr="00FF3B43">
        <w:rPr>
          <w:rFonts w:ascii="Times New Roman" w:hAnsi="Times New Roman"/>
          <w:szCs w:val="24"/>
        </w:rPr>
        <w:t>from individuals and non-governmental organisations</w:t>
      </w:r>
      <w:r>
        <w:rPr>
          <w:rFonts w:ascii="Times New Roman" w:hAnsi="Times New Roman"/>
          <w:szCs w:val="24"/>
        </w:rPr>
        <w:t xml:space="preserve"> to the Prosecutor, </w:t>
      </w:r>
      <w:r w:rsidR="00AF742F">
        <w:rPr>
          <w:rFonts w:ascii="Times New Roman" w:hAnsi="Times New Roman"/>
          <w:szCs w:val="24"/>
        </w:rPr>
        <w:t>On July 2003,</w:t>
      </w:r>
      <w:r w:rsidR="00772CFF" w:rsidRPr="00FF3B43">
        <w:rPr>
          <w:rFonts w:ascii="Times New Roman" w:hAnsi="Times New Roman"/>
          <w:szCs w:val="24"/>
        </w:rPr>
        <w:t xml:space="preserve"> the Pr</w:t>
      </w:r>
      <w:r>
        <w:rPr>
          <w:rFonts w:ascii="Times New Roman" w:hAnsi="Times New Roman"/>
          <w:szCs w:val="24"/>
        </w:rPr>
        <w:t xml:space="preserve">osecutor announced </w:t>
      </w:r>
      <w:r w:rsidR="00772CFF" w:rsidRPr="00FF3B43">
        <w:rPr>
          <w:rFonts w:ascii="Times New Roman" w:hAnsi="Times New Roman"/>
          <w:szCs w:val="24"/>
        </w:rPr>
        <w:t>that he would examine and follow the situation in the DRC. He specified that the situation w</w:t>
      </w:r>
      <w:r w:rsidR="00BE1DC4" w:rsidRPr="00FF3B43">
        <w:rPr>
          <w:rFonts w:ascii="Times New Roman" w:hAnsi="Times New Roman"/>
          <w:szCs w:val="24"/>
        </w:rPr>
        <w:t>ould</w:t>
      </w:r>
      <w:r w:rsidR="00AF742F">
        <w:rPr>
          <w:rFonts w:ascii="Times New Roman" w:hAnsi="Times New Roman"/>
          <w:szCs w:val="24"/>
        </w:rPr>
        <w:t xml:space="preserve"> be</w:t>
      </w:r>
      <w:r w:rsidR="00772CFF" w:rsidRPr="00FF3B43">
        <w:rPr>
          <w:rFonts w:ascii="Times New Roman" w:hAnsi="Times New Roman"/>
          <w:szCs w:val="24"/>
        </w:rPr>
        <w:t xml:space="preserve"> a matter of </w:t>
      </w:r>
      <w:r w:rsidR="00F55F69">
        <w:rPr>
          <w:rFonts w:ascii="Times New Roman" w:hAnsi="Times New Roman"/>
          <w:szCs w:val="24"/>
        </w:rPr>
        <w:t xml:space="preserve">the </w:t>
      </w:r>
      <w:r w:rsidR="00B57CA5">
        <w:rPr>
          <w:rFonts w:ascii="Times New Roman" w:hAnsi="Times New Roman"/>
          <w:szCs w:val="24"/>
        </w:rPr>
        <w:t>most significan</w:t>
      </w:r>
      <w:r w:rsidR="00772CFF" w:rsidRPr="00FF3B43">
        <w:rPr>
          <w:rFonts w:ascii="Times New Roman" w:hAnsi="Times New Roman"/>
          <w:szCs w:val="24"/>
        </w:rPr>
        <w:t>t concern for the office.</w:t>
      </w:r>
      <w:r w:rsidR="00772CFF" w:rsidRPr="00FF3B43">
        <w:rPr>
          <w:rFonts w:ascii="Times New Roman" w:hAnsi="Times New Roman"/>
          <w:szCs w:val="24"/>
          <w:vertAlign w:val="superscript"/>
        </w:rPr>
        <w:footnoteReference w:id="306"/>
      </w:r>
      <w:r w:rsidR="00772CFF" w:rsidRPr="00FF3B43">
        <w:rPr>
          <w:rFonts w:ascii="Times New Roman" w:hAnsi="Times New Roman"/>
          <w:szCs w:val="24"/>
        </w:rPr>
        <w:t xml:space="preserve"> Subsequently, the OTP continued its working in making enquiries into the situation in the region of </w:t>
      </w:r>
      <w:proofErr w:type="spellStart"/>
      <w:r w:rsidR="00772CFF" w:rsidRPr="00FF3B43">
        <w:rPr>
          <w:rFonts w:ascii="Times New Roman" w:hAnsi="Times New Roman"/>
          <w:szCs w:val="24"/>
        </w:rPr>
        <w:t>Ituri</w:t>
      </w:r>
      <w:proofErr w:type="spellEnd"/>
      <w:r w:rsidR="00772CFF" w:rsidRPr="00FF3B43">
        <w:rPr>
          <w:rFonts w:ascii="Times New Roman" w:hAnsi="Times New Roman"/>
          <w:szCs w:val="24"/>
        </w:rPr>
        <w:t xml:space="preserve">, in  DRC. In September 2003, the Prosecutor notified the Assembly of States  Parties that he was prepared to </w:t>
      </w:r>
      <w:r>
        <w:rPr>
          <w:rFonts w:ascii="Times New Roman" w:hAnsi="Times New Roman"/>
          <w:szCs w:val="24"/>
        </w:rPr>
        <w:t xml:space="preserve">receive </w:t>
      </w:r>
      <w:r w:rsidR="00772CFF" w:rsidRPr="00FF3B43">
        <w:rPr>
          <w:rFonts w:ascii="Times New Roman" w:hAnsi="Times New Roman"/>
          <w:szCs w:val="24"/>
        </w:rPr>
        <w:t>permission from the  PTC to commence an investigation on his motion., nevertheless, referral and support from the DRC will expedite the functions of the OTP.</w:t>
      </w:r>
      <w:r w:rsidR="00037714">
        <w:rPr>
          <w:rFonts w:ascii="Times New Roman" w:hAnsi="Times New Roman"/>
          <w:szCs w:val="24"/>
        </w:rPr>
        <w:t xml:space="preserve"> </w:t>
      </w:r>
      <w:r w:rsidR="00772CFF" w:rsidRPr="00FF3B43">
        <w:rPr>
          <w:rFonts w:ascii="Times New Roman" w:hAnsi="Times New Roman"/>
          <w:szCs w:val="24"/>
        </w:rPr>
        <w:t>Pursuant to the Decision on the Prosecutor’s application for an international warrant of arrest</w:t>
      </w:r>
      <w:r w:rsidR="00AF742F">
        <w:rPr>
          <w:rFonts w:ascii="Times New Roman" w:hAnsi="Times New Roman"/>
          <w:szCs w:val="24"/>
        </w:rPr>
        <w:t xml:space="preserve"> of </w:t>
      </w:r>
      <w:r w:rsidR="00772CFF" w:rsidRPr="00FF3B43">
        <w:rPr>
          <w:rFonts w:ascii="Times New Roman" w:hAnsi="Times New Roman"/>
          <w:szCs w:val="24"/>
        </w:rPr>
        <w:t xml:space="preserve"> Lubanga,</w:t>
      </w:r>
      <w:r w:rsidR="00BE1DC4" w:rsidRPr="00FF3B43">
        <w:rPr>
          <w:rFonts w:ascii="Times New Roman" w:hAnsi="Times New Roman"/>
          <w:szCs w:val="24"/>
        </w:rPr>
        <w:t xml:space="preserve"> </w:t>
      </w:r>
      <w:r w:rsidR="00772CFF" w:rsidRPr="00FF3B43">
        <w:rPr>
          <w:rFonts w:ascii="Times New Roman" w:hAnsi="Times New Roman"/>
          <w:szCs w:val="24"/>
        </w:rPr>
        <w:t xml:space="preserve">as </w:t>
      </w:r>
      <w:r w:rsidR="00BE1DC4" w:rsidRPr="00FF3B43">
        <w:rPr>
          <w:rFonts w:ascii="Times New Roman" w:hAnsi="Times New Roman"/>
          <w:szCs w:val="24"/>
        </w:rPr>
        <w:t xml:space="preserve">a </w:t>
      </w:r>
      <w:r w:rsidR="00772CFF" w:rsidRPr="00FF3B43">
        <w:rPr>
          <w:rFonts w:ascii="Times New Roman" w:hAnsi="Times New Roman"/>
          <w:szCs w:val="24"/>
        </w:rPr>
        <w:t>warlord.</w:t>
      </w:r>
      <w:r w:rsidR="00772CFF" w:rsidRPr="00FF3B43">
        <w:rPr>
          <w:rFonts w:ascii="Times New Roman" w:hAnsi="Times New Roman"/>
          <w:szCs w:val="24"/>
          <w:vertAlign w:val="superscript"/>
        </w:rPr>
        <w:footnoteReference w:id="307"/>
      </w:r>
      <w:r w:rsidR="00772CFF" w:rsidRPr="00FF3B43">
        <w:rPr>
          <w:rFonts w:ascii="Times New Roman" w:hAnsi="Times New Roman"/>
          <w:szCs w:val="24"/>
        </w:rPr>
        <w:t xml:space="preserve"> </w:t>
      </w:r>
      <w:r>
        <w:rPr>
          <w:rFonts w:ascii="Times New Roman" w:hAnsi="Times New Roman"/>
          <w:szCs w:val="24"/>
        </w:rPr>
        <w:t>The suspect</w:t>
      </w:r>
      <w:r w:rsidR="00AF742F">
        <w:rPr>
          <w:rFonts w:ascii="Times New Roman" w:hAnsi="Times New Roman"/>
          <w:szCs w:val="24"/>
        </w:rPr>
        <w:t>, Luban</w:t>
      </w:r>
      <w:r w:rsidR="006D03FF">
        <w:rPr>
          <w:rFonts w:ascii="Times New Roman" w:hAnsi="Times New Roman"/>
          <w:szCs w:val="24"/>
        </w:rPr>
        <w:t>ga</w:t>
      </w:r>
      <w:r w:rsidR="00FD3033">
        <w:rPr>
          <w:rFonts w:ascii="Times New Roman" w:hAnsi="Times New Roman"/>
          <w:szCs w:val="24"/>
        </w:rPr>
        <w:t>,</w:t>
      </w:r>
      <w:r w:rsidR="006D03FF">
        <w:rPr>
          <w:rFonts w:ascii="Times New Roman" w:hAnsi="Times New Roman"/>
          <w:szCs w:val="24"/>
        </w:rPr>
        <w:t xml:space="preserve"> was arrested and</w:t>
      </w:r>
      <w:r w:rsidR="00772CFF" w:rsidRPr="00FF3B43">
        <w:rPr>
          <w:rFonts w:ascii="Times New Roman" w:hAnsi="Times New Roman"/>
          <w:szCs w:val="24"/>
        </w:rPr>
        <w:t xml:space="preserve"> transferred to </w:t>
      </w:r>
      <w:r w:rsidR="00BE1DC4" w:rsidRPr="00FF3B43">
        <w:rPr>
          <w:rFonts w:ascii="Times New Roman" w:hAnsi="Times New Roman"/>
          <w:szCs w:val="24"/>
        </w:rPr>
        <w:t>T</w:t>
      </w:r>
      <w:r w:rsidR="00772CFF" w:rsidRPr="00FF3B43">
        <w:rPr>
          <w:rFonts w:ascii="Times New Roman" w:hAnsi="Times New Roman"/>
          <w:szCs w:val="24"/>
        </w:rPr>
        <w:t xml:space="preserve">he Hague. </w:t>
      </w:r>
    </w:p>
    <w:p w14:paraId="00012244" w14:textId="7CE05202" w:rsidR="00772CFF" w:rsidRPr="00772CFF" w:rsidRDefault="00772CFF" w:rsidP="0096023C">
      <w:pPr>
        <w:spacing w:line="480" w:lineRule="auto"/>
        <w:jc w:val="both"/>
        <w:rPr>
          <w:rFonts w:ascii="Times New Roman" w:hAnsi="Times New Roman"/>
          <w:szCs w:val="24"/>
        </w:rPr>
      </w:pPr>
      <w:r w:rsidRPr="00FF3B43">
        <w:rPr>
          <w:rFonts w:ascii="Times New Roman" w:hAnsi="Times New Roman"/>
          <w:szCs w:val="24"/>
        </w:rPr>
        <w:t>In a press statement addressing Lubanga</w:t>
      </w:r>
      <w:r w:rsidR="00AF742F">
        <w:rPr>
          <w:rFonts w:ascii="Times New Roman" w:hAnsi="Times New Roman"/>
          <w:szCs w:val="24"/>
        </w:rPr>
        <w:t>’s</w:t>
      </w:r>
      <w:r w:rsidRPr="00FF3B43">
        <w:rPr>
          <w:rFonts w:ascii="Times New Roman" w:hAnsi="Times New Roman"/>
          <w:szCs w:val="24"/>
        </w:rPr>
        <w:t xml:space="preserve"> arrest warrant, the Prosecutor said “[</w:t>
      </w:r>
      <w:r w:rsidRPr="00AF742F">
        <w:rPr>
          <w:rFonts w:ascii="Times New Roman" w:hAnsi="Times New Roman"/>
          <w:szCs w:val="24"/>
        </w:rPr>
        <w:t>f]</w:t>
      </w:r>
      <w:proofErr w:type="spellStart"/>
      <w:r w:rsidRPr="00AF742F">
        <w:rPr>
          <w:rFonts w:ascii="Times New Roman" w:hAnsi="Times New Roman"/>
          <w:szCs w:val="24"/>
        </w:rPr>
        <w:t>orcing</w:t>
      </w:r>
      <w:proofErr w:type="spellEnd"/>
      <w:r w:rsidRPr="00AF742F">
        <w:rPr>
          <w:rFonts w:ascii="Times New Roman" w:hAnsi="Times New Roman"/>
          <w:szCs w:val="24"/>
        </w:rPr>
        <w:t xml:space="preserve"> children to be killers jeopardises the future of mankind</w:t>
      </w:r>
      <w:r w:rsidRPr="00FF3B43">
        <w:rPr>
          <w:rFonts w:ascii="Times New Roman" w:hAnsi="Times New Roman"/>
          <w:szCs w:val="24"/>
        </w:rPr>
        <w:t>”</w:t>
      </w:r>
      <w:r w:rsidRPr="00FF3B43">
        <w:rPr>
          <w:rFonts w:ascii="Times New Roman" w:hAnsi="Times New Roman"/>
          <w:szCs w:val="24"/>
          <w:vertAlign w:val="superscript"/>
        </w:rPr>
        <w:footnoteReference w:id="308"/>
      </w:r>
      <w:r w:rsidRPr="00FF3B43">
        <w:rPr>
          <w:rFonts w:ascii="Times New Roman" w:hAnsi="Times New Roman"/>
          <w:szCs w:val="24"/>
        </w:rPr>
        <w:t xml:space="preserve"> This sentence highlights the </w:t>
      </w:r>
      <w:r w:rsidRPr="00FF3B43">
        <w:rPr>
          <w:rFonts w:ascii="Times New Roman" w:hAnsi="Times New Roman"/>
          <w:szCs w:val="24"/>
        </w:rPr>
        <w:lastRenderedPageBreak/>
        <w:t xml:space="preserve">severity of the crime allegedly committed by Lubanga. However, </w:t>
      </w:r>
      <w:r w:rsidR="00037714">
        <w:rPr>
          <w:rFonts w:ascii="Times New Roman" w:hAnsi="Times New Roman"/>
          <w:szCs w:val="24"/>
        </w:rPr>
        <w:t>one</w:t>
      </w:r>
      <w:r w:rsidRPr="00FF3B43">
        <w:rPr>
          <w:rFonts w:ascii="Times New Roman" w:hAnsi="Times New Roman"/>
          <w:szCs w:val="24"/>
        </w:rPr>
        <w:t xml:space="preserve"> should note that</w:t>
      </w:r>
      <w:r w:rsidRPr="00772CFF">
        <w:rPr>
          <w:rFonts w:ascii="Times New Roman" w:hAnsi="Times New Roman"/>
          <w:szCs w:val="24"/>
        </w:rPr>
        <w:t xml:space="preserve"> Lubanga was </w:t>
      </w:r>
      <w:r w:rsidR="00AF742F">
        <w:rPr>
          <w:rFonts w:ascii="Times New Roman" w:hAnsi="Times New Roman"/>
          <w:szCs w:val="24"/>
        </w:rPr>
        <w:t>a</w:t>
      </w:r>
      <w:r w:rsidRPr="00772CFF">
        <w:rPr>
          <w:rFonts w:ascii="Times New Roman" w:hAnsi="Times New Roman"/>
          <w:szCs w:val="24"/>
        </w:rPr>
        <w:t>waiting prosecution for the alleged commission of war crimes, crimes against humanity and genocide in one of Congo</w:t>
      </w:r>
      <w:r w:rsidR="00AF742F">
        <w:rPr>
          <w:rFonts w:ascii="Times New Roman" w:hAnsi="Times New Roman"/>
          <w:szCs w:val="24"/>
        </w:rPr>
        <w:t>’s</w:t>
      </w:r>
      <w:r w:rsidRPr="00772CFF">
        <w:rPr>
          <w:rFonts w:ascii="Times New Roman" w:hAnsi="Times New Roman"/>
          <w:szCs w:val="24"/>
        </w:rPr>
        <w:t xml:space="preserve"> military tribunal before the intervention of the Prosecutor.</w:t>
      </w:r>
      <w:r w:rsidR="00BE1DC4">
        <w:rPr>
          <w:rFonts w:ascii="Times New Roman" w:hAnsi="Times New Roman"/>
          <w:szCs w:val="24"/>
        </w:rPr>
        <w:t xml:space="preserve"> </w:t>
      </w:r>
      <w:r w:rsidRPr="00772CFF">
        <w:rPr>
          <w:rFonts w:ascii="Times New Roman" w:hAnsi="Times New Roman"/>
          <w:szCs w:val="24"/>
        </w:rPr>
        <w:t xml:space="preserve">It is somewhat surprising that the Prosecution charged Lubanga on a single count of </w:t>
      </w:r>
      <w:r w:rsidR="00F55F69">
        <w:rPr>
          <w:rFonts w:ascii="Times New Roman" w:hAnsi="Times New Roman"/>
          <w:szCs w:val="24"/>
        </w:rPr>
        <w:t>child soldiers' recruitment</w:t>
      </w:r>
      <w:r w:rsidRPr="00772CFF">
        <w:rPr>
          <w:rFonts w:ascii="Times New Roman" w:hAnsi="Times New Roman"/>
          <w:szCs w:val="24"/>
        </w:rPr>
        <w:t xml:space="preserve"> and, using them to participate actively in hostilities.</w:t>
      </w:r>
      <w:r w:rsidR="00BE1DC4">
        <w:rPr>
          <w:rFonts w:ascii="Times New Roman" w:hAnsi="Times New Roman"/>
          <w:szCs w:val="24"/>
        </w:rPr>
        <w:t xml:space="preserve"> </w:t>
      </w:r>
      <w:r w:rsidRPr="00772CFF">
        <w:rPr>
          <w:rFonts w:ascii="Times New Roman" w:hAnsi="Times New Roman"/>
          <w:szCs w:val="24"/>
        </w:rPr>
        <w:t>At first, one may think that he was charged for</w:t>
      </w:r>
      <w:r w:rsidR="00FD3033">
        <w:rPr>
          <w:rFonts w:ascii="Times New Roman" w:hAnsi="Times New Roman"/>
          <w:szCs w:val="24"/>
        </w:rPr>
        <w:t xml:space="preserve"> </w:t>
      </w:r>
      <w:r w:rsidR="00F55F69">
        <w:rPr>
          <w:rFonts w:ascii="Times New Roman" w:hAnsi="Times New Roman"/>
          <w:szCs w:val="24"/>
        </w:rPr>
        <w:t>using</w:t>
      </w:r>
      <w:r w:rsidRPr="00772CFF">
        <w:rPr>
          <w:rFonts w:ascii="Times New Roman" w:hAnsi="Times New Roman"/>
          <w:szCs w:val="24"/>
        </w:rPr>
        <w:t xml:space="preserve"> child soldiers to preclude the rule against double jeopardy</w:t>
      </w:r>
      <w:r w:rsidR="00AF742F">
        <w:rPr>
          <w:rFonts w:ascii="Times New Roman" w:hAnsi="Times New Roman"/>
          <w:szCs w:val="24"/>
        </w:rPr>
        <w:t xml:space="preserve"> since there were other charges against him at Congo military tribunal</w:t>
      </w:r>
      <w:r w:rsidRPr="00772CFF">
        <w:rPr>
          <w:rFonts w:ascii="Times New Roman" w:hAnsi="Times New Roman"/>
          <w:szCs w:val="24"/>
        </w:rPr>
        <w:t>. Nonetheless, the crimes Luban</w:t>
      </w:r>
      <w:r w:rsidR="00F618BC">
        <w:rPr>
          <w:rFonts w:ascii="Times New Roman" w:hAnsi="Times New Roman"/>
          <w:szCs w:val="24"/>
        </w:rPr>
        <w:t>ga was awaiting trial in DRC were</w:t>
      </w:r>
      <w:r w:rsidRPr="00772CFF">
        <w:rPr>
          <w:rFonts w:ascii="Times New Roman" w:hAnsi="Times New Roman"/>
          <w:szCs w:val="24"/>
        </w:rPr>
        <w:t xml:space="preserve"> umbrella crimes with no elements of crimes. It </w:t>
      </w:r>
      <w:r w:rsidR="00AF742F">
        <w:rPr>
          <w:rFonts w:ascii="Times New Roman" w:hAnsi="Times New Roman"/>
          <w:szCs w:val="24"/>
        </w:rPr>
        <w:t xml:space="preserve">is </w:t>
      </w:r>
      <w:r w:rsidRPr="00772CFF">
        <w:rPr>
          <w:rFonts w:ascii="Times New Roman" w:hAnsi="Times New Roman"/>
          <w:szCs w:val="24"/>
        </w:rPr>
        <w:t xml:space="preserve">inconceivable why the Prosecutor decided to focus on </w:t>
      </w:r>
      <w:r w:rsidR="00AF742F">
        <w:rPr>
          <w:rFonts w:ascii="Times New Roman" w:hAnsi="Times New Roman"/>
          <w:szCs w:val="24"/>
        </w:rPr>
        <w:t>a</w:t>
      </w:r>
      <w:r w:rsidR="00BE1DC4">
        <w:rPr>
          <w:rFonts w:ascii="Times New Roman" w:hAnsi="Times New Roman"/>
          <w:szCs w:val="24"/>
        </w:rPr>
        <w:t xml:space="preserve"> </w:t>
      </w:r>
      <w:r w:rsidRPr="00772CFF">
        <w:rPr>
          <w:rFonts w:ascii="Times New Roman" w:hAnsi="Times New Roman"/>
          <w:szCs w:val="24"/>
        </w:rPr>
        <w:t>one</w:t>
      </w:r>
      <w:r w:rsidR="00BE1DC4">
        <w:rPr>
          <w:rFonts w:ascii="Times New Roman" w:hAnsi="Times New Roman"/>
          <w:szCs w:val="24"/>
        </w:rPr>
        <w:t>-</w:t>
      </w:r>
      <w:r w:rsidRPr="00772CFF">
        <w:rPr>
          <w:rFonts w:ascii="Times New Roman" w:hAnsi="Times New Roman"/>
          <w:szCs w:val="24"/>
        </w:rPr>
        <w:t>count charge.</w:t>
      </w:r>
    </w:p>
    <w:p w14:paraId="468C442C" w14:textId="6456F23B" w:rsidR="004A1E64" w:rsidRDefault="00772CFF" w:rsidP="0096023C">
      <w:pPr>
        <w:spacing w:line="480" w:lineRule="auto"/>
        <w:jc w:val="both"/>
        <w:rPr>
          <w:rFonts w:ascii="Times New Roman" w:hAnsi="Times New Roman"/>
          <w:szCs w:val="24"/>
        </w:rPr>
      </w:pPr>
      <w:r w:rsidRPr="00772CFF">
        <w:rPr>
          <w:rFonts w:ascii="Times New Roman" w:hAnsi="Times New Roman"/>
          <w:szCs w:val="24"/>
        </w:rPr>
        <w:t>Schabas criticised the Prosecutor for this single charge.</w:t>
      </w:r>
      <w:r w:rsidR="00BE1DC4">
        <w:rPr>
          <w:rFonts w:ascii="Times New Roman" w:hAnsi="Times New Roman"/>
          <w:szCs w:val="24"/>
        </w:rPr>
        <w:t xml:space="preserve"> </w:t>
      </w:r>
      <w:r w:rsidRPr="00772CFF">
        <w:rPr>
          <w:rFonts w:ascii="Times New Roman" w:hAnsi="Times New Roman"/>
          <w:szCs w:val="24"/>
        </w:rPr>
        <w:t>In his words:</w:t>
      </w:r>
      <w:r w:rsidR="00BE1DC4">
        <w:rPr>
          <w:rFonts w:ascii="Times New Roman" w:hAnsi="Times New Roman"/>
          <w:szCs w:val="24"/>
        </w:rPr>
        <w:t xml:space="preserve"> </w:t>
      </w:r>
      <w:r w:rsidR="00FD3033">
        <w:rPr>
          <w:rFonts w:ascii="Times New Roman" w:hAnsi="Times New Roman"/>
          <w:szCs w:val="24"/>
        </w:rPr>
        <w:t>“</w:t>
      </w:r>
      <w:r w:rsidRPr="00772CFF">
        <w:rPr>
          <w:rFonts w:ascii="Times New Roman" w:hAnsi="Times New Roman"/>
          <w:i/>
          <w:szCs w:val="24"/>
        </w:rPr>
        <w:t>the justice system of the DRC was doing a better job than the Court itself because it was addressing crimes of greater gravity</w:t>
      </w:r>
      <w:r w:rsidRPr="00772CFF">
        <w:rPr>
          <w:rFonts w:ascii="Times New Roman" w:hAnsi="Times New Roman"/>
          <w:szCs w:val="24"/>
        </w:rPr>
        <w:t>”.</w:t>
      </w:r>
      <w:r w:rsidRPr="00772CFF">
        <w:rPr>
          <w:rFonts w:ascii="Times New Roman" w:hAnsi="Times New Roman"/>
          <w:szCs w:val="24"/>
          <w:vertAlign w:val="superscript"/>
        </w:rPr>
        <w:footnoteReference w:id="309"/>
      </w:r>
      <w:r w:rsidRPr="00772CFF">
        <w:rPr>
          <w:rFonts w:ascii="Times New Roman" w:hAnsi="Times New Roman"/>
          <w:szCs w:val="24"/>
        </w:rPr>
        <w:t xml:space="preserve">  From Schabas’s assertions, it seems that the single charge made by the Prosecutor did not meet the expectation of the community, given that national jurisdiction had charged him with three crimes.</w:t>
      </w:r>
      <w:r w:rsidR="00BE1DC4">
        <w:rPr>
          <w:rFonts w:ascii="Times New Roman" w:hAnsi="Times New Roman"/>
          <w:szCs w:val="24"/>
        </w:rPr>
        <w:t xml:space="preserve"> </w:t>
      </w:r>
      <w:r w:rsidRPr="00772CFF">
        <w:rPr>
          <w:rFonts w:ascii="Times New Roman" w:hAnsi="Times New Roman"/>
          <w:szCs w:val="24"/>
        </w:rPr>
        <w:t>Thus, it is thought that the Prosecutor dropped the threshold drastically. Arguably, if the victims within the domestic jurisdictions had hope</w:t>
      </w:r>
      <w:r w:rsidR="00BE1DC4">
        <w:rPr>
          <w:rFonts w:ascii="Times New Roman" w:hAnsi="Times New Roman"/>
          <w:szCs w:val="24"/>
        </w:rPr>
        <w:t>d</w:t>
      </w:r>
      <w:r w:rsidR="00F618BC">
        <w:rPr>
          <w:rFonts w:ascii="Times New Roman" w:hAnsi="Times New Roman"/>
          <w:szCs w:val="24"/>
        </w:rPr>
        <w:t xml:space="preserve"> for severe punishment given the gravity</w:t>
      </w:r>
      <w:r w:rsidRPr="00772CFF">
        <w:rPr>
          <w:rFonts w:ascii="Times New Roman" w:hAnsi="Times New Roman"/>
          <w:szCs w:val="24"/>
        </w:rPr>
        <w:t xml:space="preserve"> of the</w:t>
      </w:r>
      <w:r w:rsidR="00F618BC">
        <w:rPr>
          <w:rFonts w:ascii="Times New Roman" w:hAnsi="Times New Roman"/>
          <w:szCs w:val="24"/>
        </w:rPr>
        <w:t>se</w:t>
      </w:r>
      <w:r w:rsidRPr="00772CFF">
        <w:rPr>
          <w:rFonts w:ascii="Times New Roman" w:hAnsi="Times New Roman"/>
          <w:szCs w:val="24"/>
        </w:rPr>
        <w:t xml:space="preserve"> three crimes</w:t>
      </w:r>
      <w:r w:rsidR="00037714">
        <w:rPr>
          <w:rFonts w:ascii="Times New Roman" w:hAnsi="Times New Roman"/>
          <w:szCs w:val="24"/>
        </w:rPr>
        <w:t xml:space="preserve"> against Lubanga, a</w:t>
      </w:r>
      <w:r w:rsidR="00F618BC">
        <w:rPr>
          <w:rFonts w:ascii="Times New Roman" w:hAnsi="Times New Roman"/>
          <w:szCs w:val="24"/>
        </w:rPr>
        <w:t xml:space="preserve"> probable implication of the Prosecution’</w:t>
      </w:r>
      <w:r w:rsidRPr="00772CFF">
        <w:rPr>
          <w:rFonts w:ascii="Times New Roman" w:hAnsi="Times New Roman"/>
          <w:szCs w:val="24"/>
        </w:rPr>
        <w:t>s</w:t>
      </w:r>
      <w:r w:rsidR="00F618BC">
        <w:rPr>
          <w:rFonts w:ascii="Times New Roman" w:hAnsi="Times New Roman"/>
          <w:szCs w:val="24"/>
        </w:rPr>
        <w:t xml:space="preserve"> actions would be a reduction in the number of victims of crimes, and sabotage of their right to remedy.</w:t>
      </w:r>
      <w:r w:rsidR="00FD3033">
        <w:rPr>
          <w:rFonts w:ascii="Times New Roman" w:hAnsi="Times New Roman"/>
          <w:szCs w:val="24"/>
        </w:rPr>
        <w:t xml:space="preserve"> </w:t>
      </w:r>
      <w:r w:rsidR="00037714">
        <w:rPr>
          <w:rFonts w:ascii="Times New Roman" w:hAnsi="Times New Roman"/>
          <w:szCs w:val="24"/>
        </w:rPr>
        <w:t>Possibly,</w:t>
      </w:r>
      <w:r w:rsidR="004A1E64">
        <w:rPr>
          <w:rFonts w:ascii="Times New Roman" w:hAnsi="Times New Roman"/>
          <w:szCs w:val="24"/>
        </w:rPr>
        <w:t xml:space="preserve"> the one</w:t>
      </w:r>
      <w:r w:rsidR="00FD3033">
        <w:rPr>
          <w:rFonts w:ascii="Times New Roman" w:hAnsi="Times New Roman"/>
          <w:szCs w:val="24"/>
        </w:rPr>
        <w:t>-</w:t>
      </w:r>
      <w:r w:rsidR="004A1E64">
        <w:rPr>
          <w:rFonts w:ascii="Times New Roman" w:hAnsi="Times New Roman"/>
          <w:szCs w:val="24"/>
        </w:rPr>
        <w:t>count charge might not have met their expectations.</w:t>
      </w:r>
    </w:p>
    <w:p w14:paraId="0E20320B" w14:textId="7CFF3438" w:rsidR="00772CFF" w:rsidRPr="00772CFF" w:rsidRDefault="00BE1DC4" w:rsidP="00AF742F">
      <w:pPr>
        <w:spacing w:line="480" w:lineRule="auto"/>
        <w:jc w:val="both"/>
        <w:rPr>
          <w:rFonts w:ascii="Times New Roman" w:hAnsi="Times New Roman"/>
          <w:szCs w:val="24"/>
        </w:rPr>
      </w:pPr>
      <w:r>
        <w:rPr>
          <w:rFonts w:ascii="Times New Roman" w:hAnsi="Times New Roman"/>
          <w:szCs w:val="24"/>
        </w:rPr>
        <w:lastRenderedPageBreak/>
        <w:t xml:space="preserve"> </w:t>
      </w:r>
      <w:r w:rsidR="00772CFF" w:rsidRPr="00772CFF">
        <w:rPr>
          <w:rFonts w:ascii="Times New Roman" w:hAnsi="Times New Roman"/>
          <w:szCs w:val="24"/>
        </w:rPr>
        <w:t xml:space="preserve">Schabas </w:t>
      </w:r>
      <w:r w:rsidR="004A1E64">
        <w:rPr>
          <w:rFonts w:ascii="Times New Roman" w:hAnsi="Times New Roman"/>
          <w:szCs w:val="24"/>
        </w:rPr>
        <w:t>points to the pos</w:t>
      </w:r>
      <w:r w:rsidR="00C7489C">
        <w:rPr>
          <w:rFonts w:ascii="Times New Roman" w:hAnsi="Times New Roman"/>
          <w:szCs w:val="24"/>
        </w:rPr>
        <w:t xml:space="preserve">sibility of </w:t>
      </w:r>
      <w:r w:rsidR="00FD3033">
        <w:rPr>
          <w:rFonts w:ascii="Times New Roman" w:hAnsi="Times New Roman"/>
          <w:szCs w:val="24"/>
        </w:rPr>
        <w:t xml:space="preserve">the </w:t>
      </w:r>
      <w:r w:rsidR="00C7489C">
        <w:rPr>
          <w:rFonts w:ascii="Times New Roman" w:hAnsi="Times New Roman"/>
          <w:szCs w:val="24"/>
        </w:rPr>
        <w:t>hierarchy of crimes;</w:t>
      </w:r>
      <w:r w:rsidR="00772CFF" w:rsidRPr="00772CFF">
        <w:rPr>
          <w:rFonts w:ascii="Times New Roman" w:hAnsi="Times New Roman"/>
          <w:szCs w:val="24"/>
        </w:rPr>
        <w:t xml:space="preserve"> genoc</w:t>
      </w:r>
      <w:r w:rsidR="00C7489C">
        <w:rPr>
          <w:rFonts w:ascii="Times New Roman" w:hAnsi="Times New Roman"/>
          <w:szCs w:val="24"/>
        </w:rPr>
        <w:t>ide and crimes against humanity</w:t>
      </w:r>
      <w:r w:rsidR="00772CFF" w:rsidRPr="00772CFF">
        <w:rPr>
          <w:rFonts w:ascii="Times New Roman" w:hAnsi="Times New Roman"/>
          <w:szCs w:val="24"/>
        </w:rPr>
        <w:t xml:space="preserve"> are considered higher crimes than war crimes.</w:t>
      </w:r>
      <w:r w:rsidR="00772CFF" w:rsidRPr="00772CFF">
        <w:rPr>
          <w:rFonts w:ascii="Times New Roman" w:hAnsi="Times New Roman"/>
          <w:szCs w:val="24"/>
          <w:vertAlign w:val="superscript"/>
        </w:rPr>
        <w:footnoteReference w:id="310"/>
      </w:r>
      <w:r w:rsidR="00C7489C">
        <w:rPr>
          <w:rFonts w:ascii="Times New Roman" w:hAnsi="Times New Roman"/>
          <w:szCs w:val="24"/>
        </w:rPr>
        <w:t>It is believed that b</w:t>
      </w:r>
      <w:r w:rsidR="00772CFF" w:rsidRPr="00772CFF">
        <w:rPr>
          <w:rFonts w:ascii="Times New Roman" w:hAnsi="Times New Roman"/>
          <w:szCs w:val="24"/>
        </w:rPr>
        <w:t xml:space="preserve">ased on this argument, the Prosecutor decided to investigate and prosecute the use of child soldiers. </w:t>
      </w:r>
      <w:r w:rsidR="00C7489C">
        <w:rPr>
          <w:rFonts w:ascii="Times New Roman" w:hAnsi="Times New Roman"/>
          <w:szCs w:val="24"/>
        </w:rPr>
        <w:t>However, where genocide and crimes against humanity are considered of more gravity than war crimes, it is only reasonable that the Prosecutor initiates the prosecution of hig</w:t>
      </w:r>
      <w:r w:rsidR="00FD3033">
        <w:rPr>
          <w:rFonts w:ascii="Times New Roman" w:hAnsi="Times New Roman"/>
          <w:szCs w:val="24"/>
        </w:rPr>
        <w:t>h</w:t>
      </w:r>
      <w:r w:rsidR="00C7489C">
        <w:rPr>
          <w:rFonts w:ascii="Times New Roman" w:hAnsi="Times New Roman"/>
          <w:szCs w:val="24"/>
        </w:rPr>
        <w:t>er crimes than war crimes.</w:t>
      </w:r>
      <w:r w:rsidR="00FD3033">
        <w:rPr>
          <w:rFonts w:ascii="Times New Roman" w:hAnsi="Times New Roman"/>
          <w:szCs w:val="24"/>
        </w:rPr>
        <w:t xml:space="preserve"> </w:t>
      </w:r>
      <w:r w:rsidR="00C7489C">
        <w:rPr>
          <w:rFonts w:ascii="Times New Roman" w:hAnsi="Times New Roman"/>
          <w:szCs w:val="24"/>
        </w:rPr>
        <w:t>As previously stated, it could be that the Prosecutor wanted to commence investigations on the crime which the suspect was not being charged at that time to prevent disrupting the local investigations or trial.</w:t>
      </w:r>
    </w:p>
    <w:p w14:paraId="042C7A1C" w14:textId="77777777" w:rsidR="00772CFF" w:rsidRPr="00772CFF" w:rsidRDefault="00772CFF" w:rsidP="00BE1DC4">
      <w:pPr>
        <w:spacing w:line="480" w:lineRule="auto"/>
        <w:jc w:val="both"/>
        <w:rPr>
          <w:rFonts w:ascii="Times New Roman" w:hAnsi="Times New Roman"/>
          <w:szCs w:val="24"/>
        </w:rPr>
      </w:pPr>
      <w:r w:rsidRPr="00772CFF">
        <w:rPr>
          <w:rFonts w:ascii="Times New Roman" w:hAnsi="Times New Roman"/>
          <w:szCs w:val="24"/>
        </w:rPr>
        <w:t xml:space="preserve"> Fu</w:t>
      </w:r>
      <w:r w:rsidR="00BE1DC4">
        <w:rPr>
          <w:rFonts w:ascii="Times New Roman" w:hAnsi="Times New Roman"/>
          <w:szCs w:val="24"/>
        </w:rPr>
        <w:t>r</w:t>
      </w:r>
      <w:r w:rsidRPr="00772CFF">
        <w:rPr>
          <w:rFonts w:ascii="Times New Roman" w:hAnsi="Times New Roman"/>
          <w:szCs w:val="24"/>
        </w:rPr>
        <w:t>thermore,</w:t>
      </w:r>
      <w:r w:rsidR="00C7489C">
        <w:rPr>
          <w:rFonts w:ascii="Times New Roman" w:hAnsi="Times New Roman"/>
          <w:szCs w:val="24"/>
        </w:rPr>
        <w:t xml:space="preserve"> a reassurance of the Prosecutor’s promise to further investigations is shown </w:t>
      </w:r>
      <w:r w:rsidRPr="00772CFF">
        <w:rPr>
          <w:rFonts w:ascii="Times New Roman" w:hAnsi="Times New Roman"/>
          <w:szCs w:val="24"/>
        </w:rPr>
        <w:t>in the same statement:</w:t>
      </w:r>
    </w:p>
    <w:p w14:paraId="39553ACC" w14:textId="77777777" w:rsidR="00772CFF" w:rsidRPr="00772CFF" w:rsidRDefault="00772CFF" w:rsidP="00BE1DC4">
      <w:pPr>
        <w:spacing w:line="480" w:lineRule="auto"/>
        <w:jc w:val="both"/>
        <w:rPr>
          <w:rFonts w:ascii="Times New Roman" w:hAnsi="Times New Roman"/>
          <w:szCs w:val="24"/>
        </w:rPr>
      </w:pPr>
      <w:r w:rsidRPr="00772CFF">
        <w:rPr>
          <w:rFonts w:ascii="Times New Roman" w:hAnsi="Times New Roman"/>
          <w:szCs w:val="24"/>
        </w:rPr>
        <w:t xml:space="preserve"> “[</w:t>
      </w:r>
      <w:r w:rsidRPr="00772CFF">
        <w:rPr>
          <w:rFonts w:ascii="Times New Roman" w:hAnsi="Times New Roman"/>
          <w:i/>
          <w:szCs w:val="24"/>
        </w:rPr>
        <w:t>T]</w:t>
      </w:r>
      <w:r w:rsidRPr="00857B5B">
        <w:rPr>
          <w:rFonts w:ascii="Times New Roman" w:hAnsi="Times New Roman"/>
          <w:szCs w:val="24"/>
        </w:rPr>
        <w:t xml:space="preserve">he investigation is ongoing, we will continue to </w:t>
      </w:r>
      <w:r w:rsidRPr="00857B5B">
        <w:rPr>
          <w:rFonts w:ascii="Times New Roman" w:hAnsi="Times New Roman"/>
          <w:b/>
          <w:szCs w:val="24"/>
        </w:rPr>
        <w:t xml:space="preserve">investigate more crimes committed by Thomas Lubanga </w:t>
      </w:r>
      <w:proofErr w:type="spellStart"/>
      <w:r w:rsidRPr="00857B5B">
        <w:rPr>
          <w:rFonts w:ascii="Times New Roman" w:hAnsi="Times New Roman"/>
          <w:b/>
          <w:szCs w:val="24"/>
        </w:rPr>
        <w:t>Dyilo</w:t>
      </w:r>
      <w:proofErr w:type="spellEnd"/>
      <w:r w:rsidRPr="00857B5B">
        <w:rPr>
          <w:rFonts w:ascii="Times New Roman" w:hAnsi="Times New Roman"/>
          <w:b/>
          <w:szCs w:val="24"/>
        </w:rPr>
        <w:t xml:space="preserve"> </w:t>
      </w:r>
      <w:r w:rsidRPr="00857B5B">
        <w:rPr>
          <w:rFonts w:ascii="Times New Roman" w:hAnsi="Times New Roman"/>
          <w:szCs w:val="24"/>
        </w:rPr>
        <w:t xml:space="preserve">and </w:t>
      </w:r>
      <w:r w:rsidR="00BE1DC4" w:rsidRPr="00857B5B">
        <w:rPr>
          <w:rFonts w:ascii="Times New Roman" w:hAnsi="Times New Roman"/>
          <w:szCs w:val="24"/>
        </w:rPr>
        <w:t>us</w:t>
      </w:r>
      <w:r w:rsidRPr="00772CFF">
        <w:rPr>
          <w:rFonts w:ascii="Times New Roman" w:hAnsi="Times New Roman"/>
          <w:szCs w:val="24"/>
        </w:rPr>
        <w:t>……[].”</w:t>
      </w:r>
      <w:r w:rsidRPr="00772CFF">
        <w:rPr>
          <w:rFonts w:ascii="Times New Roman" w:hAnsi="Times New Roman"/>
          <w:szCs w:val="24"/>
          <w:vertAlign w:val="superscript"/>
        </w:rPr>
        <w:footnoteReference w:id="311"/>
      </w:r>
    </w:p>
    <w:p w14:paraId="15BD678C" w14:textId="46D4D59E" w:rsidR="00772CFF" w:rsidRPr="00772CFF" w:rsidRDefault="00772CFF" w:rsidP="00B46D35">
      <w:pPr>
        <w:spacing w:line="480" w:lineRule="auto"/>
        <w:jc w:val="both"/>
        <w:rPr>
          <w:rFonts w:ascii="Times New Roman" w:hAnsi="Times New Roman"/>
          <w:szCs w:val="24"/>
        </w:rPr>
      </w:pPr>
      <w:r w:rsidRPr="00772CFF">
        <w:rPr>
          <w:rFonts w:ascii="Times New Roman" w:hAnsi="Times New Roman"/>
          <w:szCs w:val="24"/>
        </w:rPr>
        <w:t>Th</w:t>
      </w:r>
      <w:r w:rsidR="00B57CA5">
        <w:rPr>
          <w:rFonts w:ascii="Times New Roman" w:hAnsi="Times New Roman"/>
          <w:szCs w:val="24"/>
        </w:rPr>
        <w:t>e above extract</w:t>
      </w:r>
      <w:r w:rsidRPr="00772CFF">
        <w:rPr>
          <w:rFonts w:ascii="Times New Roman" w:hAnsi="Times New Roman"/>
          <w:szCs w:val="24"/>
        </w:rPr>
        <w:t xml:space="preserve">(without mincing words) seems to pass across the message that the prosecutor will continue to investigate </w:t>
      </w:r>
      <w:r w:rsidR="00A557A6">
        <w:rPr>
          <w:rFonts w:ascii="Times New Roman" w:hAnsi="Times New Roman"/>
          <w:szCs w:val="24"/>
        </w:rPr>
        <w:t xml:space="preserve">more </w:t>
      </w:r>
      <w:r w:rsidRPr="00772CFF">
        <w:rPr>
          <w:rFonts w:ascii="Times New Roman" w:hAnsi="Times New Roman"/>
          <w:szCs w:val="24"/>
        </w:rPr>
        <w:t>crimes committed by Thomas Lubanga. It is</w:t>
      </w:r>
      <w:r w:rsidR="00A557A6">
        <w:rPr>
          <w:rFonts w:ascii="Times New Roman" w:hAnsi="Times New Roman"/>
          <w:szCs w:val="24"/>
        </w:rPr>
        <w:t xml:space="preserve"> believed that this statement implied further investigations into other alleged crimes committed by the suspect, Lubanga</w:t>
      </w:r>
      <w:r w:rsidRPr="00772CFF">
        <w:rPr>
          <w:rFonts w:ascii="Times New Roman" w:hAnsi="Times New Roman"/>
          <w:szCs w:val="24"/>
        </w:rPr>
        <w:t>.</w:t>
      </w:r>
      <w:r w:rsidR="00A557A6">
        <w:rPr>
          <w:rFonts w:ascii="Times New Roman" w:hAnsi="Times New Roman"/>
          <w:szCs w:val="24"/>
        </w:rPr>
        <w:t xml:space="preserve"> It is not certain if </w:t>
      </w:r>
      <w:r w:rsidR="00FD3033">
        <w:rPr>
          <w:rFonts w:ascii="Times New Roman" w:hAnsi="Times New Roman"/>
          <w:szCs w:val="24"/>
        </w:rPr>
        <w:t>the prosecutor conducted more investigations</w:t>
      </w:r>
      <w:r w:rsidR="00A557A6">
        <w:rPr>
          <w:rFonts w:ascii="Times New Roman" w:hAnsi="Times New Roman"/>
          <w:szCs w:val="24"/>
        </w:rPr>
        <w:t xml:space="preserve">, given the absence of </w:t>
      </w:r>
      <w:r w:rsidRPr="00772CFF">
        <w:rPr>
          <w:rFonts w:ascii="Times New Roman" w:hAnsi="Times New Roman"/>
          <w:szCs w:val="24"/>
        </w:rPr>
        <w:t xml:space="preserve">new or additional charges </w:t>
      </w:r>
      <w:r w:rsidR="00A557A6">
        <w:rPr>
          <w:rFonts w:ascii="Times New Roman" w:hAnsi="Times New Roman"/>
          <w:szCs w:val="24"/>
        </w:rPr>
        <w:t>ag</w:t>
      </w:r>
      <w:r w:rsidR="00FD3033">
        <w:rPr>
          <w:rFonts w:ascii="Times New Roman" w:hAnsi="Times New Roman"/>
          <w:szCs w:val="24"/>
        </w:rPr>
        <w:t>a</w:t>
      </w:r>
      <w:r w:rsidR="00A557A6">
        <w:rPr>
          <w:rFonts w:ascii="Times New Roman" w:hAnsi="Times New Roman"/>
          <w:szCs w:val="24"/>
        </w:rPr>
        <w:t xml:space="preserve">inst the </w:t>
      </w:r>
      <w:r w:rsidR="00A557A6">
        <w:rPr>
          <w:rFonts w:ascii="Times New Roman" w:hAnsi="Times New Roman"/>
          <w:szCs w:val="24"/>
        </w:rPr>
        <w:lastRenderedPageBreak/>
        <w:t>suspect/accused</w:t>
      </w:r>
      <w:r w:rsidRPr="00772CFF">
        <w:rPr>
          <w:rFonts w:ascii="Times New Roman" w:hAnsi="Times New Roman"/>
          <w:szCs w:val="24"/>
        </w:rPr>
        <w:t>.</w:t>
      </w:r>
      <w:r w:rsidR="00BE1DC4">
        <w:rPr>
          <w:rFonts w:ascii="Times New Roman" w:hAnsi="Times New Roman"/>
          <w:szCs w:val="24"/>
        </w:rPr>
        <w:t xml:space="preserve"> </w:t>
      </w:r>
      <w:r w:rsidR="00B57CA5">
        <w:rPr>
          <w:rFonts w:ascii="Times New Roman" w:hAnsi="Times New Roman"/>
          <w:szCs w:val="24"/>
        </w:rPr>
        <w:t xml:space="preserve">The Prosecutor did not subsequently investigate </w:t>
      </w:r>
      <w:r w:rsidRPr="00772CFF">
        <w:rPr>
          <w:rFonts w:ascii="Times New Roman" w:hAnsi="Times New Roman"/>
          <w:szCs w:val="24"/>
        </w:rPr>
        <w:t>allegations of sexual and gender-based violence and cruelty</w:t>
      </w:r>
      <w:r w:rsidR="00B06404">
        <w:rPr>
          <w:rFonts w:ascii="Times New Roman" w:hAnsi="Times New Roman"/>
          <w:szCs w:val="24"/>
        </w:rPr>
        <w:t>.</w:t>
      </w:r>
    </w:p>
    <w:p w14:paraId="1E3A2B9F" w14:textId="3E2B6351" w:rsidR="00772CFF" w:rsidRPr="00772CFF" w:rsidRDefault="00772CFF" w:rsidP="00B46D35">
      <w:pPr>
        <w:spacing w:line="480" w:lineRule="auto"/>
        <w:jc w:val="both"/>
        <w:rPr>
          <w:rFonts w:ascii="Times New Roman" w:hAnsi="Times New Roman"/>
          <w:szCs w:val="24"/>
        </w:rPr>
      </w:pPr>
      <w:r w:rsidRPr="00772CFF">
        <w:rPr>
          <w:rFonts w:ascii="Times New Roman" w:hAnsi="Times New Roman"/>
          <w:szCs w:val="24"/>
        </w:rPr>
        <w:t xml:space="preserve">The trial of Lubanga commenced on </w:t>
      </w:r>
      <w:r w:rsidR="00BE1DC4">
        <w:rPr>
          <w:rFonts w:ascii="Times New Roman" w:hAnsi="Times New Roman"/>
          <w:szCs w:val="24"/>
        </w:rPr>
        <w:t>26 January</w:t>
      </w:r>
      <w:r w:rsidRPr="00772CFF">
        <w:rPr>
          <w:rFonts w:ascii="Times New Roman" w:hAnsi="Times New Roman"/>
          <w:szCs w:val="24"/>
        </w:rPr>
        <w:t xml:space="preserve"> 2008,</w:t>
      </w:r>
      <w:r w:rsidR="00BE1DC4">
        <w:rPr>
          <w:rFonts w:ascii="Times New Roman" w:hAnsi="Times New Roman"/>
          <w:szCs w:val="24"/>
        </w:rPr>
        <w:t xml:space="preserve"> </w:t>
      </w:r>
      <w:r w:rsidR="00F55F69">
        <w:rPr>
          <w:rFonts w:ascii="Times New Roman" w:hAnsi="Times New Roman"/>
          <w:szCs w:val="24"/>
        </w:rPr>
        <w:t>according</w:t>
      </w:r>
      <w:r w:rsidRPr="00772CFF">
        <w:rPr>
          <w:rFonts w:ascii="Times New Roman" w:hAnsi="Times New Roman"/>
          <w:szCs w:val="24"/>
        </w:rPr>
        <w:t xml:space="preserve"> to ICC’s jurisdiction on gross violations of human rights.</w:t>
      </w:r>
      <w:r w:rsidRPr="00772CFF">
        <w:rPr>
          <w:rFonts w:ascii="Times New Roman" w:hAnsi="Times New Roman"/>
          <w:szCs w:val="24"/>
          <w:vertAlign w:val="superscript"/>
        </w:rPr>
        <w:footnoteReference w:id="312"/>
      </w:r>
      <w:r w:rsidRPr="00772CFF">
        <w:rPr>
          <w:rFonts w:ascii="Times New Roman" w:hAnsi="Times New Roman"/>
          <w:szCs w:val="24"/>
        </w:rPr>
        <w:t>The Prosecutor charged Lubanga for the alleged enlistment and conscription of children under 15 years and using them to participate actively in hostilities.</w:t>
      </w:r>
      <w:r w:rsidRPr="00772CFF">
        <w:rPr>
          <w:rFonts w:ascii="Times New Roman" w:hAnsi="Times New Roman"/>
          <w:szCs w:val="24"/>
          <w:vertAlign w:val="superscript"/>
        </w:rPr>
        <w:footnoteReference w:id="313"/>
      </w:r>
      <w:r w:rsidRPr="00772CFF">
        <w:rPr>
          <w:rFonts w:ascii="Times New Roman" w:hAnsi="Times New Roman"/>
          <w:szCs w:val="24"/>
        </w:rPr>
        <w:t xml:space="preserve"> It appears there was a discrepancy between charges contained in the arrest warrant obtained by the Prosecutor and the charges against the Lubanga at the national court</w:t>
      </w:r>
      <w:r w:rsidR="00B46D35">
        <w:rPr>
          <w:rFonts w:ascii="Times New Roman" w:hAnsi="Times New Roman"/>
          <w:szCs w:val="24"/>
        </w:rPr>
        <w:t>(Congo)</w:t>
      </w:r>
      <w:r w:rsidRPr="00772CFF">
        <w:rPr>
          <w:rFonts w:ascii="Times New Roman" w:hAnsi="Times New Roman"/>
          <w:szCs w:val="24"/>
        </w:rPr>
        <w:t>.</w:t>
      </w:r>
      <w:r w:rsidRPr="00772CFF">
        <w:rPr>
          <w:rFonts w:ascii="Times New Roman" w:hAnsi="Times New Roman"/>
          <w:szCs w:val="24"/>
          <w:vertAlign w:val="superscript"/>
        </w:rPr>
        <w:footnoteReference w:id="314"/>
      </w:r>
      <w:r w:rsidRPr="00772CFF">
        <w:rPr>
          <w:rFonts w:ascii="Times New Roman" w:hAnsi="Times New Roman"/>
          <w:szCs w:val="24"/>
        </w:rPr>
        <w:t>While Lubanga was awaiting prosecution for genocide and crimes against humanity at a national court in DRC,</w:t>
      </w:r>
      <w:r w:rsidR="00BE1DC4">
        <w:rPr>
          <w:rFonts w:ascii="Times New Roman" w:hAnsi="Times New Roman"/>
          <w:szCs w:val="24"/>
        </w:rPr>
        <w:t xml:space="preserve"> </w:t>
      </w:r>
      <w:r w:rsidRPr="00772CFF">
        <w:rPr>
          <w:rFonts w:ascii="Times New Roman" w:hAnsi="Times New Roman"/>
          <w:szCs w:val="24"/>
        </w:rPr>
        <w:t>the Prosecutor brought a one</w:t>
      </w:r>
      <w:r w:rsidR="00BE1DC4">
        <w:rPr>
          <w:rFonts w:ascii="Times New Roman" w:hAnsi="Times New Roman"/>
          <w:szCs w:val="24"/>
        </w:rPr>
        <w:t>-</w:t>
      </w:r>
      <w:r w:rsidRPr="00772CFF">
        <w:rPr>
          <w:rFonts w:ascii="Times New Roman" w:hAnsi="Times New Roman"/>
          <w:szCs w:val="24"/>
        </w:rPr>
        <w:t>count charge of the enlistment and conscription of the use of child soldiers to participate actively in hostilities.</w:t>
      </w:r>
      <w:r w:rsidRPr="00772CFF">
        <w:rPr>
          <w:rFonts w:ascii="Times New Roman" w:hAnsi="Times New Roman"/>
          <w:szCs w:val="24"/>
          <w:vertAlign w:val="superscript"/>
        </w:rPr>
        <w:footnoteReference w:id="315"/>
      </w:r>
      <w:r w:rsidR="00B57CA5">
        <w:rPr>
          <w:rFonts w:ascii="Times New Roman" w:hAnsi="Times New Roman"/>
          <w:szCs w:val="24"/>
        </w:rPr>
        <w:t>According</w:t>
      </w:r>
      <w:r w:rsidRPr="00772CFF">
        <w:rPr>
          <w:rFonts w:ascii="Times New Roman" w:hAnsi="Times New Roman"/>
          <w:szCs w:val="24"/>
        </w:rPr>
        <w:t xml:space="preserve"> to his arrest warrant, the suspect, </w:t>
      </w:r>
      <w:r w:rsidR="00B57CA5">
        <w:rPr>
          <w:rFonts w:ascii="Times New Roman" w:hAnsi="Times New Roman"/>
          <w:szCs w:val="24"/>
        </w:rPr>
        <w:t xml:space="preserve">the Prosecutor arraigned </w:t>
      </w:r>
      <w:r w:rsidRPr="00772CFF">
        <w:rPr>
          <w:rFonts w:ascii="Times New Roman" w:hAnsi="Times New Roman"/>
          <w:szCs w:val="24"/>
        </w:rPr>
        <w:t xml:space="preserve">Lubanga </w:t>
      </w:r>
      <w:r w:rsidR="00B57CA5">
        <w:rPr>
          <w:rFonts w:ascii="Times New Roman" w:hAnsi="Times New Roman"/>
          <w:szCs w:val="24"/>
        </w:rPr>
        <w:t xml:space="preserve">at the </w:t>
      </w:r>
      <w:r w:rsidRPr="00772CFF">
        <w:rPr>
          <w:rFonts w:ascii="Times New Roman" w:hAnsi="Times New Roman"/>
          <w:szCs w:val="24"/>
        </w:rPr>
        <w:t>ICC.</w:t>
      </w:r>
    </w:p>
    <w:p w14:paraId="38A82A5C" w14:textId="2BEA0B07" w:rsidR="00E717D6" w:rsidRDefault="00772CFF" w:rsidP="00D92389">
      <w:pPr>
        <w:spacing w:line="480" w:lineRule="auto"/>
        <w:jc w:val="both"/>
        <w:rPr>
          <w:rFonts w:ascii="Times New Roman" w:hAnsi="Times New Roman"/>
          <w:szCs w:val="24"/>
        </w:rPr>
      </w:pPr>
      <w:r w:rsidRPr="00772CFF">
        <w:rPr>
          <w:rFonts w:ascii="Times New Roman" w:hAnsi="Times New Roman"/>
          <w:szCs w:val="24"/>
        </w:rPr>
        <w:t>Schabas notes t</w:t>
      </w:r>
      <w:r w:rsidR="00B46D35">
        <w:rPr>
          <w:rFonts w:ascii="Times New Roman" w:hAnsi="Times New Roman"/>
          <w:szCs w:val="24"/>
        </w:rPr>
        <w:t>he inconsistencies</w:t>
      </w:r>
      <w:r w:rsidRPr="00772CFF">
        <w:rPr>
          <w:rFonts w:ascii="Times New Roman" w:hAnsi="Times New Roman"/>
          <w:szCs w:val="24"/>
        </w:rPr>
        <w:t xml:space="preserve"> surrounding the commencement of the prosecution of Lubanga.</w:t>
      </w:r>
      <w:r w:rsidRPr="00772CFF">
        <w:rPr>
          <w:rFonts w:ascii="Times New Roman" w:hAnsi="Times New Roman"/>
          <w:szCs w:val="24"/>
          <w:vertAlign w:val="superscript"/>
        </w:rPr>
        <w:footnoteReference w:id="316"/>
      </w:r>
      <w:r w:rsidR="00997D02">
        <w:rPr>
          <w:rFonts w:ascii="Times New Roman" w:hAnsi="Times New Roman"/>
          <w:szCs w:val="24"/>
        </w:rPr>
        <w:t>In the Prosecutor</w:t>
      </w:r>
      <w:r w:rsidR="00B46D35">
        <w:rPr>
          <w:rFonts w:ascii="Times New Roman" w:hAnsi="Times New Roman"/>
          <w:szCs w:val="24"/>
        </w:rPr>
        <w:t xml:space="preserve">’s statements, one could infer that he had to choose </w:t>
      </w:r>
      <w:r w:rsidR="00FD3033">
        <w:rPr>
          <w:rFonts w:ascii="Times New Roman" w:hAnsi="Times New Roman"/>
          <w:szCs w:val="24"/>
        </w:rPr>
        <w:t>to initiate</w:t>
      </w:r>
      <w:r w:rsidR="00B46D35">
        <w:rPr>
          <w:rFonts w:ascii="Times New Roman" w:hAnsi="Times New Roman"/>
          <w:szCs w:val="24"/>
        </w:rPr>
        <w:t xml:space="preserve"> </w:t>
      </w:r>
      <w:r w:rsidR="00F55F69">
        <w:rPr>
          <w:rFonts w:ascii="Times New Roman" w:hAnsi="Times New Roman"/>
          <w:szCs w:val="24"/>
        </w:rPr>
        <w:t>Lubanga's prosecution or address</w:t>
      </w:r>
      <w:r w:rsidR="00B46D35">
        <w:rPr>
          <w:rFonts w:ascii="Times New Roman" w:hAnsi="Times New Roman"/>
          <w:szCs w:val="24"/>
        </w:rPr>
        <w:t xml:space="preserve"> </w:t>
      </w:r>
      <w:r w:rsidR="001A7806">
        <w:rPr>
          <w:rFonts w:ascii="Times New Roman" w:hAnsi="Times New Roman"/>
          <w:szCs w:val="24"/>
        </w:rPr>
        <w:t>civilians' wilful killing</w:t>
      </w:r>
      <w:r w:rsidRPr="00772CFF">
        <w:rPr>
          <w:rFonts w:ascii="Times New Roman" w:hAnsi="Times New Roman"/>
          <w:szCs w:val="24"/>
        </w:rPr>
        <w:t xml:space="preserve"> by British troops in Iraq</w:t>
      </w:r>
      <w:r w:rsidR="00B46D35">
        <w:rPr>
          <w:rFonts w:ascii="Times New Roman" w:hAnsi="Times New Roman"/>
          <w:szCs w:val="24"/>
        </w:rPr>
        <w:t>.</w:t>
      </w:r>
      <w:r w:rsidR="00FD3033">
        <w:rPr>
          <w:rFonts w:ascii="Times New Roman" w:hAnsi="Times New Roman"/>
          <w:szCs w:val="24"/>
        </w:rPr>
        <w:t xml:space="preserve"> </w:t>
      </w:r>
      <w:r w:rsidR="00B46D35">
        <w:rPr>
          <w:rFonts w:ascii="Times New Roman" w:hAnsi="Times New Roman"/>
          <w:szCs w:val="24"/>
        </w:rPr>
        <w:t>In addressing th</w:t>
      </w:r>
      <w:r w:rsidR="00FD3033">
        <w:rPr>
          <w:rFonts w:ascii="Times New Roman" w:hAnsi="Times New Roman"/>
          <w:szCs w:val="24"/>
        </w:rPr>
        <w:t>ese</w:t>
      </w:r>
      <w:r w:rsidR="00B46D35">
        <w:rPr>
          <w:rFonts w:ascii="Times New Roman" w:hAnsi="Times New Roman"/>
          <w:szCs w:val="24"/>
        </w:rPr>
        <w:t xml:space="preserve"> issues, the</w:t>
      </w:r>
      <w:r w:rsidRPr="00772CFF">
        <w:rPr>
          <w:rFonts w:ascii="Times New Roman" w:hAnsi="Times New Roman"/>
          <w:szCs w:val="24"/>
        </w:rPr>
        <w:t xml:space="preserve"> Prosecutor submitted that this wilful killing was </w:t>
      </w:r>
      <w:r w:rsidRPr="00772CFF">
        <w:rPr>
          <w:rFonts w:ascii="Times New Roman" w:hAnsi="Times New Roman"/>
          <w:szCs w:val="24"/>
        </w:rPr>
        <w:lastRenderedPageBreak/>
        <w:t xml:space="preserve">insufficient to require further investigation. </w:t>
      </w:r>
      <w:r w:rsidRPr="00772CFF">
        <w:rPr>
          <w:rFonts w:ascii="Times New Roman" w:hAnsi="Times New Roman"/>
          <w:szCs w:val="24"/>
          <w:vertAlign w:val="superscript"/>
        </w:rPr>
        <w:footnoteReference w:id="317"/>
      </w:r>
      <w:r w:rsidR="00522CC0">
        <w:rPr>
          <w:rFonts w:ascii="Times New Roman" w:hAnsi="Times New Roman"/>
          <w:szCs w:val="24"/>
        </w:rPr>
        <w:t xml:space="preserve"> </w:t>
      </w:r>
      <w:r w:rsidRPr="00772CFF">
        <w:rPr>
          <w:rFonts w:ascii="Times New Roman" w:hAnsi="Times New Roman"/>
          <w:szCs w:val="24"/>
        </w:rPr>
        <w:t>The arrest of Lubanga was effected within days</w:t>
      </w:r>
      <w:r w:rsidR="00BE1DC4">
        <w:rPr>
          <w:rFonts w:ascii="Times New Roman" w:hAnsi="Times New Roman"/>
          <w:szCs w:val="24"/>
        </w:rPr>
        <w:t>;</w:t>
      </w:r>
      <w:r w:rsidRPr="00772CFF">
        <w:rPr>
          <w:rFonts w:ascii="Times New Roman" w:hAnsi="Times New Roman"/>
          <w:szCs w:val="24"/>
        </w:rPr>
        <w:t xml:space="preserve"> th</w:t>
      </w:r>
      <w:r w:rsidR="00B57CA5">
        <w:rPr>
          <w:rFonts w:ascii="Times New Roman" w:hAnsi="Times New Roman"/>
          <w:szCs w:val="24"/>
        </w:rPr>
        <w:t>e Prosecutor made this statement</w:t>
      </w:r>
      <w:r w:rsidRPr="00772CFF">
        <w:rPr>
          <w:rFonts w:ascii="Times New Roman" w:hAnsi="Times New Roman"/>
          <w:szCs w:val="24"/>
        </w:rPr>
        <w:t>.</w:t>
      </w:r>
      <w:r w:rsidRPr="00772CFF">
        <w:rPr>
          <w:rFonts w:ascii="Times New Roman" w:hAnsi="Times New Roman"/>
          <w:szCs w:val="24"/>
          <w:vertAlign w:val="superscript"/>
        </w:rPr>
        <w:footnoteReference w:id="318"/>
      </w:r>
      <w:r w:rsidRPr="00772CFF">
        <w:rPr>
          <w:rFonts w:ascii="Times New Roman" w:hAnsi="Times New Roman"/>
          <w:szCs w:val="24"/>
        </w:rPr>
        <w:t>The Prosecutor made a distinction between his initial statements and ‘thousands’ of deaths in the DRC.</w:t>
      </w:r>
      <w:r w:rsidR="00BE1DC4">
        <w:rPr>
          <w:rFonts w:ascii="Times New Roman" w:hAnsi="Times New Roman"/>
          <w:szCs w:val="24"/>
        </w:rPr>
        <w:t xml:space="preserve"> </w:t>
      </w:r>
      <w:r w:rsidRPr="00772CFF">
        <w:rPr>
          <w:rFonts w:ascii="Times New Roman" w:hAnsi="Times New Roman"/>
          <w:szCs w:val="24"/>
        </w:rPr>
        <w:t xml:space="preserve">Subsequently, the Prosecutor initiated </w:t>
      </w:r>
      <w:r w:rsidR="00BE1DC4">
        <w:rPr>
          <w:rFonts w:ascii="Times New Roman" w:hAnsi="Times New Roman"/>
          <w:szCs w:val="24"/>
        </w:rPr>
        <w:t xml:space="preserve">the </w:t>
      </w:r>
      <w:r w:rsidRPr="00772CFF">
        <w:rPr>
          <w:rFonts w:ascii="Times New Roman" w:hAnsi="Times New Roman"/>
          <w:szCs w:val="24"/>
        </w:rPr>
        <w:t>arrest of Lubanga on the allegations of enlistment and conscription of child soldiers.</w:t>
      </w:r>
      <w:r w:rsidR="00BE1DC4">
        <w:rPr>
          <w:rFonts w:ascii="Times New Roman" w:hAnsi="Times New Roman"/>
          <w:szCs w:val="24"/>
        </w:rPr>
        <w:t xml:space="preserve"> </w:t>
      </w:r>
      <w:r w:rsidRPr="00772CFF">
        <w:rPr>
          <w:rFonts w:ascii="Times New Roman" w:hAnsi="Times New Roman"/>
          <w:szCs w:val="24"/>
        </w:rPr>
        <w:t xml:space="preserve">The </w:t>
      </w:r>
      <w:r w:rsidR="00FD3033">
        <w:rPr>
          <w:rFonts w:ascii="Times New Roman" w:hAnsi="Times New Roman"/>
          <w:szCs w:val="24"/>
        </w:rPr>
        <w:t>claim</w:t>
      </w:r>
      <w:r w:rsidRPr="00772CFF">
        <w:rPr>
          <w:rFonts w:ascii="Times New Roman" w:hAnsi="Times New Roman"/>
          <w:szCs w:val="24"/>
        </w:rPr>
        <w:t xml:space="preserve">s of </w:t>
      </w:r>
      <w:r w:rsidR="00FD3033">
        <w:rPr>
          <w:rFonts w:ascii="Times New Roman" w:hAnsi="Times New Roman"/>
          <w:szCs w:val="24"/>
        </w:rPr>
        <w:t xml:space="preserve">the </w:t>
      </w:r>
      <w:r w:rsidRPr="00772CFF">
        <w:rPr>
          <w:rFonts w:ascii="Times New Roman" w:hAnsi="Times New Roman"/>
          <w:szCs w:val="24"/>
        </w:rPr>
        <w:t xml:space="preserve">recruitment of child soldiers </w:t>
      </w:r>
      <w:r w:rsidR="00BE1DC4">
        <w:rPr>
          <w:rFonts w:ascii="Times New Roman" w:hAnsi="Times New Roman"/>
          <w:szCs w:val="24"/>
        </w:rPr>
        <w:t>are</w:t>
      </w:r>
      <w:r w:rsidRPr="00772CFF">
        <w:rPr>
          <w:rFonts w:ascii="Times New Roman" w:hAnsi="Times New Roman"/>
          <w:szCs w:val="24"/>
        </w:rPr>
        <w:t xml:space="preserve"> devoid of a</w:t>
      </w:r>
      <w:r w:rsidR="00B57CA5">
        <w:rPr>
          <w:rFonts w:ascii="Times New Roman" w:hAnsi="Times New Roman"/>
          <w:szCs w:val="24"/>
        </w:rPr>
        <w:t>ccus</w:t>
      </w:r>
      <w:r w:rsidRPr="00772CFF">
        <w:rPr>
          <w:rFonts w:ascii="Times New Roman" w:hAnsi="Times New Roman"/>
          <w:szCs w:val="24"/>
        </w:rPr>
        <w:t>ations of homicide.</w:t>
      </w:r>
      <w:r w:rsidR="00BE1DC4">
        <w:rPr>
          <w:rFonts w:ascii="Times New Roman" w:hAnsi="Times New Roman"/>
          <w:szCs w:val="24"/>
        </w:rPr>
        <w:t xml:space="preserve"> </w:t>
      </w:r>
      <w:r w:rsidRPr="00772CFF">
        <w:rPr>
          <w:rFonts w:ascii="Times New Roman" w:hAnsi="Times New Roman"/>
          <w:szCs w:val="24"/>
        </w:rPr>
        <w:t>In Schabas’ words, ‘</w:t>
      </w:r>
      <w:r w:rsidRPr="00772CFF">
        <w:rPr>
          <w:rFonts w:ascii="Times New Roman" w:hAnsi="Times New Roman"/>
          <w:i/>
          <w:szCs w:val="24"/>
        </w:rPr>
        <w:t>the Prosecutor was comparing apples to oranges</w:t>
      </w:r>
      <w:r w:rsidR="00B46D35">
        <w:rPr>
          <w:rFonts w:ascii="Times New Roman" w:hAnsi="Times New Roman"/>
          <w:i/>
          <w:szCs w:val="24"/>
        </w:rPr>
        <w:t>.</w:t>
      </w:r>
      <w:r w:rsidRPr="00772CFF">
        <w:rPr>
          <w:rFonts w:ascii="Times New Roman" w:hAnsi="Times New Roman"/>
          <w:i/>
          <w:szCs w:val="24"/>
        </w:rPr>
        <w:t xml:space="preserve"> </w:t>
      </w:r>
      <w:r w:rsidRPr="00772CFF">
        <w:rPr>
          <w:rFonts w:ascii="Times New Roman" w:hAnsi="Times New Roman"/>
          <w:i/>
          <w:szCs w:val="24"/>
          <w:vertAlign w:val="superscript"/>
        </w:rPr>
        <w:footnoteReference w:id="319"/>
      </w:r>
      <w:r w:rsidR="00B46D35">
        <w:rPr>
          <w:rFonts w:ascii="Times New Roman" w:hAnsi="Times New Roman"/>
          <w:szCs w:val="24"/>
        </w:rPr>
        <w:t xml:space="preserve"> He saw no reason why the Prosecutor had to choose between initiating investigations in Iraq or commencing investigations on Lubanga(Congo).</w:t>
      </w:r>
      <w:r w:rsidR="00BC3F5D" w:rsidRPr="00BC3F5D">
        <w:rPr>
          <w:rFonts w:ascii="Times New Roman" w:hAnsi="Times New Roman"/>
          <w:szCs w:val="24"/>
        </w:rPr>
        <w:t xml:space="preserve"> </w:t>
      </w:r>
      <w:r w:rsidR="00BC3F5D" w:rsidRPr="00772CFF">
        <w:rPr>
          <w:rFonts w:ascii="Times New Roman" w:hAnsi="Times New Roman"/>
          <w:szCs w:val="24"/>
        </w:rPr>
        <w:t xml:space="preserve">Schabas </w:t>
      </w:r>
      <w:r w:rsidR="00B57CA5">
        <w:rPr>
          <w:rFonts w:ascii="Times New Roman" w:hAnsi="Times New Roman"/>
          <w:szCs w:val="24"/>
        </w:rPr>
        <w:t xml:space="preserve">criticised the </w:t>
      </w:r>
      <w:r w:rsidR="00F55F69">
        <w:rPr>
          <w:rFonts w:ascii="Times New Roman" w:hAnsi="Times New Roman"/>
          <w:szCs w:val="24"/>
        </w:rPr>
        <w:t>Prosecutor’s exercis</w:t>
      </w:r>
      <w:r w:rsidR="00B57CA5">
        <w:rPr>
          <w:rFonts w:ascii="Times New Roman" w:hAnsi="Times New Roman"/>
          <w:szCs w:val="24"/>
        </w:rPr>
        <w:t xml:space="preserve">e to prioritise </w:t>
      </w:r>
      <w:r w:rsidR="00BC3F5D" w:rsidRPr="00772CFF">
        <w:rPr>
          <w:rFonts w:ascii="Times New Roman" w:hAnsi="Times New Roman"/>
          <w:szCs w:val="24"/>
        </w:rPr>
        <w:t>the enlistment and conscription of child</w:t>
      </w:r>
      <w:r w:rsidR="00B57CA5">
        <w:rPr>
          <w:rFonts w:ascii="Times New Roman" w:hAnsi="Times New Roman"/>
          <w:szCs w:val="24"/>
        </w:rPr>
        <w:t xml:space="preserve">ren in DRC over the </w:t>
      </w:r>
      <w:r w:rsidR="00BC3F5D" w:rsidRPr="00772CFF">
        <w:rPr>
          <w:rFonts w:ascii="Times New Roman" w:hAnsi="Times New Roman"/>
          <w:szCs w:val="24"/>
        </w:rPr>
        <w:t>wilful killing of civilians</w:t>
      </w:r>
      <w:r w:rsidR="00B57CA5">
        <w:rPr>
          <w:rFonts w:ascii="Times New Roman" w:hAnsi="Times New Roman"/>
          <w:szCs w:val="24"/>
        </w:rPr>
        <w:t xml:space="preserve"> in Iraq</w:t>
      </w:r>
      <w:r w:rsidR="00BC3F5D" w:rsidRPr="00772CFF">
        <w:rPr>
          <w:rFonts w:ascii="Times New Roman" w:hAnsi="Times New Roman"/>
          <w:szCs w:val="24"/>
        </w:rPr>
        <w:t>.</w:t>
      </w:r>
      <w:r w:rsidR="00BC3F5D" w:rsidRPr="00772CFF">
        <w:rPr>
          <w:rFonts w:ascii="Times New Roman" w:hAnsi="Times New Roman"/>
          <w:szCs w:val="24"/>
          <w:vertAlign w:val="superscript"/>
        </w:rPr>
        <w:footnoteReference w:id="320"/>
      </w:r>
      <w:r w:rsidR="00BC3F5D" w:rsidRPr="00772CFF">
        <w:rPr>
          <w:rFonts w:ascii="Times New Roman" w:hAnsi="Times New Roman"/>
          <w:szCs w:val="24"/>
        </w:rPr>
        <w:t xml:space="preserve"> </w:t>
      </w:r>
      <w:r w:rsidR="00BC3F5D">
        <w:rPr>
          <w:rFonts w:ascii="Times New Roman" w:hAnsi="Times New Roman"/>
          <w:szCs w:val="24"/>
        </w:rPr>
        <w:t>From his perspective,</w:t>
      </w:r>
      <w:r w:rsidR="00BC3F5D" w:rsidRPr="00772CFF">
        <w:rPr>
          <w:rFonts w:ascii="Times New Roman" w:hAnsi="Times New Roman"/>
          <w:szCs w:val="24"/>
        </w:rPr>
        <w:t xml:space="preserve"> the PTC determined the gravity of the one</w:t>
      </w:r>
      <w:r w:rsidR="00BC3F5D">
        <w:rPr>
          <w:rFonts w:ascii="Times New Roman" w:hAnsi="Times New Roman"/>
          <w:szCs w:val="24"/>
        </w:rPr>
        <w:t>-</w:t>
      </w:r>
      <w:r w:rsidR="00BC3F5D" w:rsidRPr="00772CFF">
        <w:rPr>
          <w:rFonts w:ascii="Times New Roman" w:hAnsi="Times New Roman"/>
          <w:szCs w:val="24"/>
        </w:rPr>
        <w:t>count charge against Lubanga on zero threshold</w:t>
      </w:r>
      <w:r w:rsidR="00BC3F5D">
        <w:rPr>
          <w:rFonts w:ascii="Times New Roman" w:hAnsi="Times New Roman"/>
          <w:szCs w:val="24"/>
        </w:rPr>
        <w:t>s</w:t>
      </w:r>
      <w:r w:rsidR="00B57CA5">
        <w:rPr>
          <w:rFonts w:ascii="Times New Roman" w:hAnsi="Times New Roman"/>
          <w:szCs w:val="24"/>
        </w:rPr>
        <w:t>, w</w:t>
      </w:r>
      <w:r w:rsidR="00FD3033">
        <w:rPr>
          <w:rFonts w:ascii="Times New Roman" w:hAnsi="Times New Roman"/>
          <w:szCs w:val="24"/>
        </w:rPr>
        <w:t>hich</w:t>
      </w:r>
      <w:r w:rsidR="00BC3F5D">
        <w:rPr>
          <w:rFonts w:ascii="Times New Roman" w:hAnsi="Times New Roman"/>
          <w:szCs w:val="24"/>
        </w:rPr>
        <w:t xml:space="preserve"> explain the fault in the</w:t>
      </w:r>
      <w:r w:rsidR="00B46D35">
        <w:rPr>
          <w:rFonts w:ascii="Times New Roman" w:hAnsi="Times New Roman"/>
          <w:szCs w:val="24"/>
        </w:rPr>
        <w:t xml:space="preserve"> </w:t>
      </w:r>
      <w:r w:rsidR="00BC3F5D">
        <w:rPr>
          <w:rFonts w:ascii="Times New Roman" w:hAnsi="Times New Roman"/>
          <w:szCs w:val="24"/>
        </w:rPr>
        <w:t>prosecutor’s exercise of discretion in selecting situations and subsequent framing of charges.</w:t>
      </w:r>
    </w:p>
    <w:p w14:paraId="266DDCB9" w14:textId="64BBB3FD" w:rsidR="00E717D6" w:rsidRPr="00772CFF" w:rsidRDefault="00B57CA5" w:rsidP="00E717D6">
      <w:pPr>
        <w:spacing w:line="480" w:lineRule="auto"/>
        <w:jc w:val="both"/>
        <w:rPr>
          <w:rFonts w:ascii="Times New Roman" w:hAnsi="Times New Roman"/>
          <w:szCs w:val="24"/>
        </w:rPr>
      </w:pPr>
      <w:r>
        <w:rPr>
          <w:rFonts w:ascii="Times New Roman" w:hAnsi="Times New Roman"/>
          <w:szCs w:val="24"/>
        </w:rPr>
        <w:t>T</w:t>
      </w:r>
      <w:r w:rsidR="00E717D6" w:rsidRPr="00772CFF">
        <w:rPr>
          <w:rFonts w:ascii="Times New Roman" w:hAnsi="Times New Roman"/>
          <w:szCs w:val="24"/>
        </w:rPr>
        <w:t>he Prosecutor identified</w:t>
      </w:r>
      <w:r>
        <w:rPr>
          <w:rFonts w:ascii="Times New Roman" w:hAnsi="Times New Roman"/>
          <w:szCs w:val="24"/>
        </w:rPr>
        <w:t xml:space="preserve"> gravity of crime</w:t>
      </w:r>
      <w:r w:rsidR="00E717D6" w:rsidRPr="00772CFF">
        <w:rPr>
          <w:rFonts w:ascii="Times New Roman" w:hAnsi="Times New Roman"/>
          <w:szCs w:val="24"/>
        </w:rPr>
        <w:t xml:space="preserve"> under the </w:t>
      </w:r>
      <w:r w:rsidR="00F55F69">
        <w:rPr>
          <w:rFonts w:ascii="Times New Roman" w:hAnsi="Times New Roman"/>
          <w:szCs w:val="24"/>
        </w:rPr>
        <w:t>Court's jurisdiction</w:t>
      </w:r>
      <w:r w:rsidR="00E717D6">
        <w:rPr>
          <w:rFonts w:ascii="Times New Roman" w:hAnsi="Times New Roman"/>
          <w:szCs w:val="24"/>
        </w:rPr>
        <w:t>;</w:t>
      </w:r>
      <w:r w:rsidR="00E717D6" w:rsidRPr="00772CFF">
        <w:rPr>
          <w:rFonts w:ascii="Times New Roman" w:hAnsi="Times New Roman"/>
          <w:szCs w:val="24"/>
        </w:rPr>
        <w:t xml:space="preserve"> he proceeded to investigate </w:t>
      </w:r>
      <w:r w:rsidR="001A7806">
        <w:rPr>
          <w:rFonts w:ascii="Times New Roman" w:hAnsi="Times New Roman"/>
          <w:szCs w:val="24"/>
        </w:rPr>
        <w:t>the court's authorisation</w:t>
      </w:r>
      <w:r w:rsidR="00E717D6" w:rsidRPr="00772CFF">
        <w:rPr>
          <w:rFonts w:ascii="Times New Roman" w:hAnsi="Times New Roman"/>
          <w:szCs w:val="24"/>
        </w:rPr>
        <w:t>.</w:t>
      </w:r>
      <w:r w:rsidR="00E717D6">
        <w:rPr>
          <w:rFonts w:ascii="Times New Roman" w:hAnsi="Times New Roman"/>
          <w:szCs w:val="24"/>
        </w:rPr>
        <w:t xml:space="preserve"> </w:t>
      </w:r>
      <w:r w:rsidR="00E717D6" w:rsidRPr="00772CFF">
        <w:rPr>
          <w:rFonts w:ascii="Times New Roman" w:hAnsi="Times New Roman"/>
          <w:szCs w:val="24"/>
        </w:rPr>
        <w:t>This</w:t>
      </w:r>
      <w:r w:rsidR="00775E0B">
        <w:rPr>
          <w:rFonts w:ascii="Times New Roman" w:hAnsi="Times New Roman"/>
          <w:szCs w:val="24"/>
        </w:rPr>
        <w:t xml:space="preserve"> point</w:t>
      </w:r>
      <w:r w:rsidR="00E717D6" w:rsidRPr="00772CFF">
        <w:rPr>
          <w:rFonts w:ascii="Times New Roman" w:hAnsi="Times New Roman"/>
          <w:szCs w:val="24"/>
        </w:rPr>
        <w:t xml:space="preserve"> underscores the prosecutorial discretion in the selection of cases.</w:t>
      </w:r>
      <w:r w:rsidR="00E717D6" w:rsidRPr="00772CFF">
        <w:rPr>
          <w:rFonts w:ascii="Times New Roman" w:hAnsi="Times New Roman"/>
          <w:szCs w:val="24"/>
          <w:vertAlign w:val="superscript"/>
        </w:rPr>
        <w:footnoteReference w:id="321"/>
      </w:r>
      <w:r w:rsidR="00E717D6" w:rsidRPr="00772CFF">
        <w:rPr>
          <w:rFonts w:ascii="Times New Roman" w:hAnsi="Times New Roman"/>
          <w:szCs w:val="24"/>
        </w:rPr>
        <w:t xml:space="preserve">As mentioned earlier, The Prosecutor chose the </w:t>
      </w:r>
      <w:r w:rsidR="00F55F69">
        <w:rPr>
          <w:rFonts w:ascii="Times New Roman" w:hAnsi="Times New Roman"/>
          <w:szCs w:val="24"/>
        </w:rPr>
        <w:t>DRC situation</w:t>
      </w:r>
      <w:r w:rsidR="00E717D6" w:rsidRPr="00772CFF">
        <w:rPr>
          <w:rFonts w:ascii="Times New Roman" w:hAnsi="Times New Roman"/>
          <w:szCs w:val="24"/>
        </w:rPr>
        <w:t xml:space="preserve"> over the ‘</w:t>
      </w:r>
      <w:r w:rsidR="00E717D6" w:rsidRPr="0042660C">
        <w:rPr>
          <w:rFonts w:ascii="Times New Roman" w:hAnsi="Times New Roman"/>
          <w:i/>
          <w:szCs w:val="24"/>
        </w:rPr>
        <w:t>thousands of death in Iraq’</w:t>
      </w:r>
      <w:r w:rsidR="00E717D6">
        <w:rPr>
          <w:rFonts w:ascii="Times New Roman" w:hAnsi="Times New Roman"/>
          <w:szCs w:val="24"/>
        </w:rPr>
        <w:t>.</w:t>
      </w:r>
      <w:r w:rsidR="00CE6884">
        <w:rPr>
          <w:rFonts w:ascii="Times New Roman" w:hAnsi="Times New Roman"/>
          <w:szCs w:val="24"/>
        </w:rPr>
        <w:t xml:space="preserve"> </w:t>
      </w:r>
      <w:r w:rsidR="00E717D6">
        <w:rPr>
          <w:rFonts w:ascii="Times New Roman" w:hAnsi="Times New Roman"/>
          <w:szCs w:val="24"/>
        </w:rPr>
        <w:t>However, there was no</w:t>
      </w:r>
      <w:r w:rsidR="00E717D6" w:rsidRPr="00772CFF">
        <w:rPr>
          <w:rFonts w:ascii="Times New Roman" w:hAnsi="Times New Roman"/>
          <w:szCs w:val="24"/>
        </w:rPr>
        <w:t xml:space="preserve"> information on gravity in his statement.</w:t>
      </w:r>
      <w:r w:rsidR="00FD3033">
        <w:rPr>
          <w:rFonts w:ascii="Times New Roman" w:hAnsi="Times New Roman"/>
          <w:szCs w:val="24"/>
        </w:rPr>
        <w:t xml:space="preserve"> </w:t>
      </w:r>
      <w:r w:rsidR="00F55F69">
        <w:rPr>
          <w:rFonts w:ascii="Times New Roman" w:hAnsi="Times New Roman"/>
          <w:szCs w:val="24"/>
        </w:rPr>
        <w:t xml:space="preserve">He said the </w:t>
      </w:r>
      <w:proofErr w:type="spellStart"/>
      <w:r w:rsidR="00F55F69">
        <w:rPr>
          <w:rFonts w:ascii="Times New Roman" w:hAnsi="Times New Roman"/>
          <w:szCs w:val="24"/>
        </w:rPr>
        <w:t>Ituri</w:t>
      </w:r>
      <w:proofErr w:type="spellEnd"/>
      <w:r w:rsidR="00F55F69">
        <w:rPr>
          <w:rFonts w:ascii="Times New Roman" w:hAnsi="Times New Roman"/>
          <w:szCs w:val="24"/>
        </w:rPr>
        <w:t xml:space="preserve"> situation is ‘the most urgent situation to be </w:t>
      </w:r>
      <w:r w:rsidR="00F55F69">
        <w:rPr>
          <w:rFonts w:ascii="Times New Roman" w:hAnsi="Times New Roman"/>
          <w:szCs w:val="24"/>
        </w:rPr>
        <w:lastRenderedPageBreak/>
        <w:t>followed’ in his communications</w:t>
      </w:r>
      <w:r w:rsidR="00E717D6" w:rsidRPr="00772CFF">
        <w:rPr>
          <w:rFonts w:ascii="Times New Roman" w:hAnsi="Times New Roman"/>
          <w:szCs w:val="24"/>
        </w:rPr>
        <w:t>.</w:t>
      </w:r>
      <w:r w:rsidR="00E717D6" w:rsidRPr="00772CFF">
        <w:rPr>
          <w:rFonts w:ascii="Times New Roman" w:hAnsi="Times New Roman"/>
          <w:szCs w:val="24"/>
          <w:vertAlign w:val="superscript"/>
        </w:rPr>
        <w:footnoteReference w:id="322"/>
      </w:r>
      <w:r w:rsidR="00E717D6" w:rsidRPr="00772CFF">
        <w:rPr>
          <w:rFonts w:ascii="Times New Roman" w:hAnsi="Times New Roman"/>
          <w:szCs w:val="24"/>
        </w:rPr>
        <w:t>In this communication, the Prosecutor did not specify if the situation was of ‘sufficient gravity’.</w:t>
      </w:r>
      <w:r w:rsidR="00E717D6" w:rsidRPr="00772CFF">
        <w:rPr>
          <w:rFonts w:ascii="Times New Roman" w:hAnsi="Times New Roman"/>
          <w:szCs w:val="24"/>
          <w:vertAlign w:val="superscript"/>
        </w:rPr>
        <w:footnoteReference w:id="323"/>
      </w:r>
      <w:r w:rsidR="00E717D6" w:rsidRPr="00772CFF">
        <w:rPr>
          <w:rFonts w:ascii="Times New Roman" w:hAnsi="Times New Roman"/>
          <w:szCs w:val="24"/>
        </w:rPr>
        <w:t xml:space="preserve"> </w:t>
      </w:r>
      <w:r>
        <w:rPr>
          <w:rFonts w:ascii="Times New Roman" w:hAnsi="Times New Roman"/>
          <w:szCs w:val="24"/>
        </w:rPr>
        <w:t xml:space="preserve">In line with the OTP’s policy paper, the specification for determination of </w:t>
      </w:r>
      <w:r w:rsidR="00E717D6" w:rsidRPr="00772CFF">
        <w:rPr>
          <w:rFonts w:ascii="Times New Roman" w:hAnsi="Times New Roman"/>
          <w:szCs w:val="24"/>
        </w:rPr>
        <w:t>‘gravity of a case’</w:t>
      </w:r>
      <w:r>
        <w:rPr>
          <w:rFonts w:ascii="Times New Roman" w:hAnsi="Times New Roman"/>
          <w:szCs w:val="24"/>
        </w:rPr>
        <w:t xml:space="preserve"> is</w:t>
      </w:r>
      <w:r w:rsidR="00E717D6" w:rsidRPr="00772CFF">
        <w:rPr>
          <w:rFonts w:ascii="Times New Roman" w:hAnsi="Times New Roman"/>
          <w:szCs w:val="24"/>
        </w:rPr>
        <w:t xml:space="preserve"> the act that constituted the crime, </w:t>
      </w:r>
      <w:r>
        <w:rPr>
          <w:rFonts w:ascii="Times New Roman" w:hAnsi="Times New Roman"/>
          <w:szCs w:val="24"/>
        </w:rPr>
        <w:t>and</w:t>
      </w:r>
      <w:r w:rsidR="00E717D6" w:rsidRPr="00772CFF">
        <w:rPr>
          <w:rFonts w:ascii="Times New Roman" w:hAnsi="Times New Roman"/>
          <w:szCs w:val="24"/>
        </w:rPr>
        <w:t xml:space="preserve"> the degree of participation in its commission.</w:t>
      </w:r>
      <w:r w:rsidR="00E717D6" w:rsidRPr="00772CFF">
        <w:rPr>
          <w:rFonts w:ascii="Times New Roman" w:hAnsi="Times New Roman"/>
          <w:szCs w:val="24"/>
          <w:vertAlign w:val="superscript"/>
        </w:rPr>
        <w:footnoteReference w:id="324"/>
      </w:r>
      <w:r w:rsidR="00E717D6" w:rsidRPr="00772CFF">
        <w:rPr>
          <w:rFonts w:ascii="Times New Roman" w:hAnsi="Times New Roman"/>
          <w:szCs w:val="24"/>
        </w:rPr>
        <w:t xml:space="preserve"> Th</w:t>
      </w:r>
      <w:r>
        <w:rPr>
          <w:rFonts w:ascii="Times New Roman" w:hAnsi="Times New Roman"/>
          <w:szCs w:val="24"/>
        </w:rPr>
        <w:t>e criteria</w:t>
      </w:r>
      <w:r w:rsidR="00E717D6" w:rsidRPr="00772CFF">
        <w:rPr>
          <w:rFonts w:ascii="Times New Roman" w:hAnsi="Times New Roman"/>
          <w:szCs w:val="24"/>
        </w:rPr>
        <w:t xml:space="preserve"> clarif</w:t>
      </w:r>
      <w:r>
        <w:rPr>
          <w:rFonts w:ascii="Times New Roman" w:hAnsi="Times New Roman"/>
          <w:szCs w:val="24"/>
        </w:rPr>
        <w:t>y</w:t>
      </w:r>
      <w:r w:rsidR="00E717D6" w:rsidRPr="00772CFF">
        <w:rPr>
          <w:rFonts w:ascii="Times New Roman" w:hAnsi="Times New Roman"/>
          <w:szCs w:val="24"/>
        </w:rPr>
        <w:t xml:space="preserve"> the fact that gravity of a case is not exclusively attached to the act that constituted the crime.</w:t>
      </w:r>
      <w:r w:rsidR="00E717D6">
        <w:rPr>
          <w:rFonts w:ascii="Times New Roman" w:hAnsi="Times New Roman"/>
          <w:szCs w:val="24"/>
        </w:rPr>
        <w:t xml:space="preserve"> </w:t>
      </w:r>
      <w:r w:rsidR="00E717D6" w:rsidRPr="00772CFF">
        <w:rPr>
          <w:rFonts w:ascii="Times New Roman" w:hAnsi="Times New Roman"/>
          <w:szCs w:val="24"/>
        </w:rPr>
        <w:t>The degree of participation in its commission connotes the perpetrators who “bear the greatest responsibility” In 2005, the Prosecutor, in his statement</w:t>
      </w:r>
      <w:r w:rsidR="00E717D6">
        <w:rPr>
          <w:rFonts w:ascii="Times New Roman" w:hAnsi="Times New Roman"/>
          <w:szCs w:val="24"/>
        </w:rPr>
        <w:t xml:space="preserve">, </w:t>
      </w:r>
      <w:r w:rsidR="00E717D6" w:rsidRPr="00772CFF">
        <w:rPr>
          <w:rFonts w:ascii="Times New Roman" w:hAnsi="Times New Roman"/>
          <w:szCs w:val="24"/>
        </w:rPr>
        <w:t>came up with two factors to be taken into account in determining the gravity of the crimes</w:t>
      </w:r>
      <w:r>
        <w:rPr>
          <w:rFonts w:ascii="Times New Roman" w:hAnsi="Times New Roman"/>
          <w:szCs w:val="24"/>
        </w:rPr>
        <w:t>. T</w:t>
      </w:r>
      <w:r w:rsidR="00E717D6" w:rsidRPr="00772CFF">
        <w:rPr>
          <w:rFonts w:ascii="Times New Roman" w:hAnsi="Times New Roman"/>
          <w:szCs w:val="24"/>
        </w:rPr>
        <w:t xml:space="preserve">he total number of </w:t>
      </w:r>
      <w:r>
        <w:rPr>
          <w:rFonts w:ascii="Times New Roman" w:hAnsi="Times New Roman"/>
          <w:szCs w:val="24"/>
        </w:rPr>
        <w:t xml:space="preserve">deceased </w:t>
      </w:r>
      <w:r w:rsidR="00E717D6" w:rsidRPr="00772CFF">
        <w:rPr>
          <w:rFonts w:ascii="Times New Roman" w:hAnsi="Times New Roman"/>
          <w:szCs w:val="24"/>
        </w:rPr>
        <w:t>people,</w:t>
      </w:r>
      <w:r>
        <w:rPr>
          <w:rFonts w:ascii="Times New Roman" w:hAnsi="Times New Roman"/>
          <w:szCs w:val="24"/>
        </w:rPr>
        <w:t xml:space="preserve"> victims</w:t>
      </w:r>
      <w:r w:rsidR="00E717D6" w:rsidRPr="00772CFF">
        <w:rPr>
          <w:rFonts w:ascii="Times New Roman" w:hAnsi="Times New Roman"/>
          <w:szCs w:val="24"/>
        </w:rPr>
        <w:t xml:space="preserve"> and the impact of the crimes.</w:t>
      </w:r>
      <w:r w:rsidR="00E717D6" w:rsidRPr="00772CFF">
        <w:rPr>
          <w:rFonts w:ascii="Times New Roman" w:hAnsi="Times New Roman"/>
          <w:szCs w:val="24"/>
          <w:vertAlign w:val="superscript"/>
        </w:rPr>
        <w:footnoteReference w:id="325"/>
      </w:r>
      <w:r w:rsidR="00E717D6" w:rsidRPr="00772CFF">
        <w:rPr>
          <w:rFonts w:ascii="Times New Roman" w:hAnsi="Times New Roman"/>
          <w:szCs w:val="24"/>
        </w:rPr>
        <w:t xml:space="preserve"> </w:t>
      </w:r>
      <w:r w:rsidR="00E717D6">
        <w:rPr>
          <w:rFonts w:ascii="Times New Roman" w:hAnsi="Times New Roman"/>
          <w:szCs w:val="24"/>
        </w:rPr>
        <w:t>The</w:t>
      </w:r>
      <w:r>
        <w:rPr>
          <w:rFonts w:ascii="Times New Roman" w:hAnsi="Times New Roman"/>
          <w:szCs w:val="24"/>
        </w:rPr>
        <w:t xml:space="preserve"> prosecutor’s conception of justice might influence his choices.</w:t>
      </w:r>
    </w:p>
    <w:p w14:paraId="5FB95BC1" w14:textId="05363B62" w:rsidR="00772CFF" w:rsidRDefault="00B46D35" w:rsidP="00EC532A">
      <w:pPr>
        <w:spacing w:line="480" w:lineRule="auto"/>
        <w:jc w:val="both"/>
        <w:rPr>
          <w:rFonts w:ascii="Times New Roman" w:hAnsi="Times New Roman"/>
          <w:szCs w:val="24"/>
        </w:rPr>
      </w:pPr>
      <w:r>
        <w:rPr>
          <w:rFonts w:ascii="Times New Roman" w:hAnsi="Times New Roman"/>
          <w:szCs w:val="24"/>
        </w:rPr>
        <w:t xml:space="preserve"> </w:t>
      </w:r>
      <w:r w:rsidR="00772CFF" w:rsidRPr="00772CFF">
        <w:rPr>
          <w:rFonts w:ascii="Times New Roman" w:hAnsi="Times New Roman"/>
          <w:szCs w:val="24"/>
        </w:rPr>
        <w:t xml:space="preserve">It has commonly been assumed that an independent Prosecutor without limitations or accountability to anybody/institution could be a threat to </w:t>
      </w:r>
      <w:r w:rsidR="00F55F69">
        <w:rPr>
          <w:rFonts w:ascii="Times New Roman" w:hAnsi="Times New Roman"/>
          <w:szCs w:val="24"/>
        </w:rPr>
        <w:t>protecting</w:t>
      </w:r>
      <w:r w:rsidR="00772CFF" w:rsidRPr="00772CFF">
        <w:rPr>
          <w:rFonts w:ascii="Times New Roman" w:hAnsi="Times New Roman"/>
          <w:szCs w:val="24"/>
        </w:rPr>
        <w:t xml:space="preserve"> international peace, security and the Court itself</w:t>
      </w:r>
      <w:r w:rsidR="00331AAD">
        <w:rPr>
          <w:rFonts w:ascii="Times New Roman" w:hAnsi="Times New Roman"/>
          <w:szCs w:val="24"/>
        </w:rPr>
        <w:t xml:space="preserve">. </w:t>
      </w:r>
      <w:r w:rsidR="00496B19">
        <w:rPr>
          <w:rFonts w:ascii="Times New Roman" w:hAnsi="Times New Roman"/>
          <w:szCs w:val="24"/>
        </w:rPr>
        <w:t>T</w:t>
      </w:r>
      <w:r w:rsidR="00331AAD">
        <w:rPr>
          <w:rFonts w:ascii="Times New Roman" w:hAnsi="Times New Roman"/>
          <w:szCs w:val="24"/>
        </w:rPr>
        <w:t xml:space="preserve">he Prosecutor determines which situation warrants investigations and prosecution. At this phase, it is believed that the </w:t>
      </w:r>
      <w:r w:rsidR="00F55F69">
        <w:rPr>
          <w:rFonts w:ascii="Times New Roman" w:hAnsi="Times New Roman"/>
          <w:szCs w:val="24"/>
        </w:rPr>
        <w:t>prosecutor's actions and inactions</w:t>
      </w:r>
      <w:r w:rsidR="00331AAD">
        <w:rPr>
          <w:rFonts w:ascii="Times New Roman" w:hAnsi="Times New Roman"/>
          <w:szCs w:val="24"/>
        </w:rPr>
        <w:t xml:space="preserve"> have consequences for the victims. </w:t>
      </w:r>
      <w:r w:rsidR="00772CFF" w:rsidRPr="00772CFF">
        <w:rPr>
          <w:rFonts w:ascii="Times New Roman" w:hAnsi="Times New Roman"/>
          <w:szCs w:val="24"/>
        </w:rPr>
        <w:t>Danner opines that if the public discerns that the Court is politically biased, it is likely that the Court would lose its moral authority.</w:t>
      </w:r>
      <w:r w:rsidR="00772CFF" w:rsidRPr="00772CFF">
        <w:rPr>
          <w:rFonts w:ascii="Times New Roman" w:hAnsi="Times New Roman"/>
          <w:szCs w:val="24"/>
          <w:vertAlign w:val="superscript"/>
        </w:rPr>
        <w:footnoteReference w:id="326"/>
      </w:r>
      <w:r w:rsidR="00D92389">
        <w:rPr>
          <w:rFonts w:ascii="Times New Roman" w:hAnsi="Times New Roman"/>
          <w:szCs w:val="24"/>
        </w:rPr>
        <w:t xml:space="preserve"> This argument </w:t>
      </w:r>
      <w:r w:rsidR="00772CFF" w:rsidRPr="00772CFF">
        <w:rPr>
          <w:rFonts w:ascii="Times New Roman" w:hAnsi="Times New Roman"/>
          <w:szCs w:val="24"/>
        </w:rPr>
        <w:t>is notable because</w:t>
      </w:r>
      <w:r w:rsidR="001A7806">
        <w:rPr>
          <w:rFonts w:ascii="Times New Roman" w:hAnsi="Times New Roman"/>
          <w:szCs w:val="24"/>
        </w:rPr>
        <w:t xml:space="preserve"> it might affect its effectiveness </w:t>
      </w:r>
      <w:r w:rsidR="001A7806">
        <w:rPr>
          <w:rFonts w:ascii="Times New Roman" w:hAnsi="Times New Roman"/>
          <w:szCs w:val="24"/>
        </w:rPr>
        <w:lastRenderedPageBreak/>
        <w:t>and legitimacy if the Court is perceived to be politically biased</w:t>
      </w:r>
      <w:r w:rsidR="00772CFF" w:rsidRPr="00772CFF">
        <w:rPr>
          <w:rFonts w:ascii="Times New Roman" w:hAnsi="Times New Roman"/>
          <w:szCs w:val="24"/>
        </w:rPr>
        <w:t>.</w:t>
      </w:r>
      <w:r w:rsidR="007B7D5D">
        <w:rPr>
          <w:rFonts w:ascii="Times New Roman" w:hAnsi="Times New Roman"/>
          <w:szCs w:val="24"/>
        </w:rPr>
        <w:t xml:space="preserve"> </w:t>
      </w:r>
      <w:r w:rsidR="00E52B18">
        <w:rPr>
          <w:rFonts w:ascii="Times New Roman" w:hAnsi="Times New Roman"/>
          <w:szCs w:val="24"/>
        </w:rPr>
        <w:t>Buchanan</w:t>
      </w:r>
      <w:r w:rsidR="007A5105">
        <w:rPr>
          <w:rFonts w:ascii="Times New Roman" w:hAnsi="Times New Roman"/>
          <w:szCs w:val="24"/>
        </w:rPr>
        <w:t xml:space="preserve"> </w:t>
      </w:r>
      <w:r w:rsidR="00B57CA5">
        <w:rPr>
          <w:rFonts w:ascii="Times New Roman" w:hAnsi="Times New Roman"/>
          <w:szCs w:val="24"/>
        </w:rPr>
        <w:t>believes</w:t>
      </w:r>
      <w:r w:rsidR="007A5105">
        <w:rPr>
          <w:rFonts w:ascii="Times New Roman" w:hAnsi="Times New Roman"/>
          <w:szCs w:val="24"/>
        </w:rPr>
        <w:t xml:space="preserve"> that the ICC </w:t>
      </w:r>
      <w:r w:rsidR="001A0AB5">
        <w:rPr>
          <w:rFonts w:ascii="Times New Roman" w:hAnsi="Times New Roman"/>
          <w:szCs w:val="24"/>
        </w:rPr>
        <w:t>suffers from “legitimacy deficit” on the grounds of prolonged inconsistency between its performance and its justifying functions.</w:t>
      </w:r>
      <w:r w:rsidR="001A0AB5">
        <w:rPr>
          <w:rStyle w:val="FootnoteReference"/>
          <w:rFonts w:ascii="Times New Roman" w:hAnsi="Times New Roman"/>
          <w:szCs w:val="24"/>
        </w:rPr>
        <w:footnoteReference w:id="327"/>
      </w:r>
      <w:r w:rsidR="001F7C7C">
        <w:rPr>
          <w:rFonts w:ascii="Times New Roman" w:hAnsi="Times New Roman"/>
          <w:szCs w:val="24"/>
        </w:rPr>
        <w:t>The supposed deficit could be a consequence of institutional barrier</w:t>
      </w:r>
      <w:r w:rsidR="00F55F69">
        <w:rPr>
          <w:rFonts w:ascii="Times New Roman" w:hAnsi="Times New Roman"/>
          <w:szCs w:val="24"/>
        </w:rPr>
        <w:t>s or boundarie</w:t>
      </w:r>
      <w:r w:rsidR="001F7C7C">
        <w:rPr>
          <w:rFonts w:ascii="Times New Roman" w:hAnsi="Times New Roman"/>
          <w:szCs w:val="24"/>
        </w:rPr>
        <w:t>s beyond the powers of the ICC.</w:t>
      </w:r>
      <w:r w:rsidR="00EF7B91">
        <w:rPr>
          <w:rFonts w:ascii="Times New Roman" w:hAnsi="Times New Roman"/>
          <w:szCs w:val="24"/>
        </w:rPr>
        <w:t xml:space="preserve"> </w:t>
      </w:r>
      <w:r w:rsidR="001F7C7C">
        <w:rPr>
          <w:rFonts w:ascii="Times New Roman" w:hAnsi="Times New Roman"/>
          <w:szCs w:val="24"/>
        </w:rPr>
        <w:t>The jurisdiction of the ICC is subject to the state party consent.</w:t>
      </w:r>
      <w:r w:rsidR="001F7C7C">
        <w:rPr>
          <w:rStyle w:val="FootnoteReference"/>
          <w:rFonts w:ascii="Times New Roman" w:hAnsi="Times New Roman"/>
          <w:szCs w:val="24"/>
        </w:rPr>
        <w:footnoteReference w:id="328"/>
      </w:r>
      <w:r w:rsidR="001F7C7C">
        <w:rPr>
          <w:rFonts w:ascii="Times New Roman" w:hAnsi="Times New Roman"/>
          <w:szCs w:val="24"/>
        </w:rPr>
        <w:t xml:space="preserve">The ICC </w:t>
      </w:r>
      <w:r w:rsidR="00EF7B91">
        <w:rPr>
          <w:rFonts w:ascii="Times New Roman" w:hAnsi="Times New Roman"/>
          <w:szCs w:val="24"/>
        </w:rPr>
        <w:t>may not have</w:t>
      </w:r>
      <w:r w:rsidR="001F7C7C">
        <w:rPr>
          <w:rFonts w:ascii="Times New Roman" w:hAnsi="Times New Roman"/>
          <w:szCs w:val="24"/>
        </w:rPr>
        <w:t xml:space="preserve"> the authority to initiate </w:t>
      </w:r>
      <w:r w:rsidR="001A7806">
        <w:rPr>
          <w:rFonts w:ascii="Times New Roman" w:hAnsi="Times New Roman"/>
          <w:szCs w:val="24"/>
        </w:rPr>
        <w:t>State investigations</w:t>
      </w:r>
      <w:r w:rsidR="001F7C7C">
        <w:rPr>
          <w:rFonts w:ascii="Times New Roman" w:hAnsi="Times New Roman"/>
          <w:szCs w:val="24"/>
        </w:rPr>
        <w:t xml:space="preserve"> that have not ratified the Rome Statute.</w:t>
      </w:r>
      <w:r w:rsidR="00EF7B91">
        <w:rPr>
          <w:rStyle w:val="FootnoteReference"/>
          <w:rFonts w:ascii="Times New Roman" w:hAnsi="Times New Roman"/>
          <w:szCs w:val="24"/>
        </w:rPr>
        <w:footnoteReference w:id="329"/>
      </w:r>
      <w:r w:rsidR="00472E5E">
        <w:rPr>
          <w:rFonts w:ascii="Times New Roman" w:hAnsi="Times New Roman"/>
          <w:szCs w:val="24"/>
        </w:rPr>
        <w:t>It is found that the ICC’s</w:t>
      </w:r>
      <w:r w:rsidR="00EC532A" w:rsidRPr="00EC532A">
        <w:rPr>
          <w:rFonts w:ascii="Times New Roman" w:hAnsi="Times New Roman"/>
          <w:szCs w:val="24"/>
        </w:rPr>
        <w:t xml:space="preserve"> </w:t>
      </w:r>
      <w:r w:rsidR="00EC532A">
        <w:rPr>
          <w:rFonts w:ascii="Times New Roman" w:hAnsi="Times New Roman"/>
          <w:szCs w:val="24"/>
        </w:rPr>
        <w:t xml:space="preserve">legitimacy deficits </w:t>
      </w:r>
      <w:r w:rsidR="00B57CA5">
        <w:rPr>
          <w:rFonts w:ascii="Times New Roman" w:hAnsi="Times New Roman"/>
          <w:szCs w:val="24"/>
        </w:rPr>
        <w:t>boil</w:t>
      </w:r>
      <w:r w:rsidR="00EC532A">
        <w:rPr>
          <w:rFonts w:ascii="Times New Roman" w:hAnsi="Times New Roman"/>
          <w:szCs w:val="24"/>
        </w:rPr>
        <w:t xml:space="preserve"> down to selective prosecution and “arbitrarily circumscribed jurisdiction”.</w:t>
      </w:r>
      <w:r w:rsidR="00B57CA5">
        <w:rPr>
          <w:rStyle w:val="FootnoteReference"/>
          <w:rFonts w:ascii="Times New Roman" w:hAnsi="Times New Roman"/>
          <w:szCs w:val="24"/>
        </w:rPr>
        <w:footnoteReference w:id="330"/>
      </w:r>
      <w:r w:rsidR="007B7D5D">
        <w:rPr>
          <w:rFonts w:ascii="Times New Roman" w:hAnsi="Times New Roman"/>
          <w:szCs w:val="24"/>
        </w:rPr>
        <w:t xml:space="preserve"> </w:t>
      </w:r>
      <w:r w:rsidR="00EC532A">
        <w:rPr>
          <w:rFonts w:ascii="Times New Roman" w:hAnsi="Times New Roman"/>
          <w:szCs w:val="24"/>
        </w:rPr>
        <w:t>This chapter is concerned with the former. Where the Prosecutor fails to initiate investigations and prosecute a case, ascribing such failure of role to the ICC as the umbrella institution is acceptable because it underscores the significance and sensitivity of the</w:t>
      </w:r>
      <w:r w:rsidR="002419FB">
        <w:rPr>
          <w:rFonts w:ascii="Times New Roman" w:hAnsi="Times New Roman"/>
          <w:szCs w:val="24"/>
        </w:rPr>
        <w:t xml:space="preserve"> </w:t>
      </w:r>
      <w:r w:rsidR="001A7806">
        <w:rPr>
          <w:rFonts w:ascii="Times New Roman" w:hAnsi="Times New Roman"/>
          <w:szCs w:val="24"/>
        </w:rPr>
        <w:t>OTP</w:t>
      </w:r>
      <w:r w:rsidR="002419FB">
        <w:rPr>
          <w:rFonts w:ascii="Times New Roman" w:hAnsi="Times New Roman"/>
          <w:szCs w:val="24"/>
        </w:rPr>
        <w:t>’s</w:t>
      </w:r>
      <w:r w:rsidR="001A7806">
        <w:rPr>
          <w:rFonts w:ascii="Times New Roman" w:hAnsi="Times New Roman"/>
          <w:szCs w:val="24"/>
        </w:rPr>
        <w:t xml:space="preserve"> office</w:t>
      </w:r>
      <w:r w:rsidR="00B57CA5">
        <w:rPr>
          <w:rFonts w:ascii="Times New Roman" w:hAnsi="Times New Roman"/>
          <w:szCs w:val="24"/>
        </w:rPr>
        <w:t>, one cannot separate t</w:t>
      </w:r>
      <w:r w:rsidR="00EC532A">
        <w:rPr>
          <w:rFonts w:ascii="Times New Roman" w:hAnsi="Times New Roman"/>
          <w:szCs w:val="24"/>
        </w:rPr>
        <w:t>he function of the OTP  from the ICC.</w:t>
      </w:r>
      <w:r w:rsidR="007B7D5D">
        <w:rPr>
          <w:rFonts w:ascii="Times New Roman" w:hAnsi="Times New Roman"/>
          <w:szCs w:val="24"/>
        </w:rPr>
        <w:t xml:space="preserve"> The gap in the </w:t>
      </w:r>
      <w:r w:rsidR="00B57CA5">
        <w:rPr>
          <w:rFonts w:ascii="Times New Roman" w:hAnsi="Times New Roman"/>
          <w:szCs w:val="24"/>
        </w:rPr>
        <w:t>role</w:t>
      </w:r>
      <w:r w:rsidR="007B7D5D">
        <w:rPr>
          <w:rFonts w:ascii="Times New Roman" w:hAnsi="Times New Roman"/>
          <w:szCs w:val="24"/>
        </w:rPr>
        <w:t xml:space="preserve"> of the OTP may inadvertently call into question the </w:t>
      </w:r>
      <w:r w:rsidR="00EC532A">
        <w:rPr>
          <w:rFonts w:ascii="Times New Roman" w:hAnsi="Times New Roman"/>
          <w:szCs w:val="24"/>
        </w:rPr>
        <w:t>legitimacy</w:t>
      </w:r>
      <w:r w:rsidR="007B7D5D">
        <w:rPr>
          <w:rFonts w:ascii="Times New Roman" w:hAnsi="Times New Roman"/>
          <w:szCs w:val="24"/>
        </w:rPr>
        <w:t xml:space="preserve"> of the ICC.</w:t>
      </w:r>
      <w:r w:rsidR="0091663B">
        <w:rPr>
          <w:rFonts w:ascii="Times New Roman" w:hAnsi="Times New Roman"/>
          <w:szCs w:val="24"/>
        </w:rPr>
        <w:t xml:space="preserve"> </w:t>
      </w:r>
      <w:r w:rsidR="007B7D5D">
        <w:rPr>
          <w:rFonts w:ascii="Times New Roman" w:hAnsi="Times New Roman"/>
          <w:szCs w:val="24"/>
        </w:rPr>
        <w:t>While it is observed that there is an academic debate on the leg</w:t>
      </w:r>
      <w:r w:rsidR="001A7806">
        <w:rPr>
          <w:rFonts w:ascii="Times New Roman" w:hAnsi="Times New Roman"/>
          <w:szCs w:val="24"/>
        </w:rPr>
        <w:t>alit</w:t>
      </w:r>
      <w:r w:rsidR="007B7D5D">
        <w:rPr>
          <w:rFonts w:ascii="Times New Roman" w:hAnsi="Times New Roman"/>
          <w:szCs w:val="24"/>
        </w:rPr>
        <w:t>y of the ICC,</w:t>
      </w:r>
      <w:r w:rsidR="008606F1">
        <w:rPr>
          <w:rFonts w:ascii="Times New Roman" w:hAnsi="Times New Roman"/>
          <w:szCs w:val="24"/>
        </w:rPr>
        <w:t xml:space="preserve"> </w:t>
      </w:r>
      <w:r w:rsidR="007B7D5D">
        <w:rPr>
          <w:rFonts w:ascii="Times New Roman" w:hAnsi="Times New Roman"/>
          <w:szCs w:val="24"/>
        </w:rPr>
        <w:t xml:space="preserve">the </w:t>
      </w:r>
      <w:r w:rsidR="00B57CA5">
        <w:rPr>
          <w:rFonts w:ascii="Times New Roman" w:hAnsi="Times New Roman"/>
          <w:szCs w:val="24"/>
        </w:rPr>
        <w:t>controversy</w:t>
      </w:r>
      <w:r w:rsidR="007B7D5D">
        <w:rPr>
          <w:rFonts w:ascii="Times New Roman" w:hAnsi="Times New Roman"/>
          <w:szCs w:val="24"/>
        </w:rPr>
        <w:t xml:space="preserve"> on legitimacy should not be a criteri</w:t>
      </w:r>
      <w:r w:rsidR="00B57CA5">
        <w:rPr>
          <w:rFonts w:ascii="Times New Roman" w:hAnsi="Times New Roman"/>
          <w:szCs w:val="24"/>
        </w:rPr>
        <w:t>on</w:t>
      </w:r>
      <w:r w:rsidR="007B7D5D">
        <w:rPr>
          <w:rFonts w:ascii="Times New Roman" w:hAnsi="Times New Roman"/>
          <w:szCs w:val="24"/>
        </w:rPr>
        <w:t xml:space="preserve"> to withdraw support </w:t>
      </w:r>
      <w:r w:rsidR="0091663B">
        <w:rPr>
          <w:rFonts w:ascii="Times New Roman" w:hAnsi="Times New Roman"/>
          <w:szCs w:val="24"/>
        </w:rPr>
        <w:t xml:space="preserve">for the </w:t>
      </w:r>
      <w:r w:rsidR="001A7806">
        <w:rPr>
          <w:rFonts w:ascii="Times New Roman" w:hAnsi="Times New Roman"/>
          <w:szCs w:val="24"/>
        </w:rPr>
        <w:t>ICC's role</w:t>
      </w:r>
      <w:r w:rsidR="0091663B">
        <w:rPr>
          <w:rFonts w:ascii="Times New Roman" w:hAnsi="Times New Roman"/>
          <w:szCs w:val="24"/>
        </w:rPr>
        <w:t xml:space="preserve"> within the international community.</w:t>
      </w:r>
      <w:r w:rsidR="0091663B">
        <w:rPr>
          <w:rStyle w:val="FootnoteReference"/>
          <w:rFonts w:ascii="Times New Roman" w:hAnsi="Times New Roman"/>
          <w:szCs w:val="24"/>
        </w:rPr>
        <w:footnoteReference w:id="331"/>
      </w:r>
      <w:r w:rsidR="007B7D5D">
        <w:rPr>
          <w:rFonts w:ascii="Times New Roman" w:hAnsi="Times New Roman"/>
          <w:szCs w:val="24"/>
        </w:rPr>
        <w:t xml:space="preserve"> Nevertheless, </w:t>
      </w:r>
      <w:r w:rsidR="00B57CA5">
        <w:rPr>
          <w:rFonts w:ascii="Times New Roman" w:hAnsi="Times New Roman"/>
          <w:szCs w:val="24"/>
        </w:rPr>
        <w:t>debate</w:t>
      </w:r>
      <w:r w:rsidR="007B7D5D">
        <w:rPr>
          <w:rFonts w:ascii="Times New Roman" w:hAnsi="Times New Roman"/>
          <w:szCs w:val="24"/>
        </w:rPr>
        <w:t xml:space="preserve"> on the </w:t>
      </w:r>
      <w:r w:rsidR="001A7806">
        <w:rPr>
          <w:rFonts w:ascii="Times New Roman" w:hAnsi="Times New Roman"/>
          <w:szCs w:val="24"/>
        </w:rPr>
        <w:t>ICC's validity</w:t>
      </w:r>
      <w:r w:rsidR="007B7D5D">
        <w:rPr>
          <w:rFonts w:ascii="Times New Roman" w:hAnsi="Times New Roman"/>
          <w:szCs w:val="24"/>
        </w:rPr>
        <w:t xml:space="preserve"> should not override the </w:t>
      </w:r>
      <w:r w:rsidR="0026727E">
        <w:rPr>
          <w:rFonts w:ascii="Times New Roman" w:hAnsi="Times New Roman"/>
          <w:szCs w:val="24"/>
        </w:rPr>
        <w:t>ICC mandate</w:t>
      </w:r>
      <w:r w:rsidR="007B7D5D">
        <w:rPr>
          <w:rFonts w:ascii="Times New Roman" w:hAnsi="Times New Roman"/>
          <w:szCs w:val="24"/>
        </w:rPr>
        <w:t>; it may serve as checks and balances from the public.</w:t>
      </w:r>
      <w:r w:rsidR="00472E5E">
        <w:rPr>
          <w:rFonts w:ascii="Times New Roman" w:hAnsi="Times New Roman"/>
          <w:szCs w:val="24"/>
        </w:rPr>
        <w:t xml:space="preserve"> </w:t>
      </w:r>
    </w:p>
    <w:p w14:paraId="6501DDF1" w14:textId="50A768DF" w:rsidR="0096023C" w:rsidRPr="00772CFF" w:rsidRDefault="0047210F" w:rsidP="00D92389">
      <w:pPr>
        <w:spacing w:line="480" w:lineRule="auto"/>
        <w:jc w:val="both"/>
        <w:rPr>
          <w:rFonts w:ascii="Times New Roman" w:hAnsi="Times New Roman"/>
          <w:szCs w:val="24"/>
        </w:rPr>
      </w:pPr>
      <w:r>
        <w:rPr>
          <w:rFonts w:ascii="Times New Roman" w:hAnsi="Times New Roman"/>
          <w:szCs w:val="24"/>
        </w:rPr>
        <w:lastRenderedPageBreak/>
        <w:t xml:space="preserve">Therefore, gaps in </w:t>
      </w:r>
      <w:r w:rsidR="0026727E">
        <w:rPr>
          <w:rFonts w:ascii="Times New Roman" w:hAnsi="Times New Roman"/>
          <w:szCs w:val="24"/>
        </w:rPr>
        <w:t>selecting</w:t>
      </w:r>
      <w:r>
        <w:rPr>
          <w:rFonts w:ascii="Times New Roman" w:hAnsi="Times New Roman"/>
          <w:szCs w:val="24"/>
        </w:rPr>
        <w:t xml:space="preserve"> situations</w:t>
      </w:r>
      <w:r w:rsidR="001A7806">
        <w:rPr>
          <w:rFonts w:ascii="Times New Roman" w:hAnsi="Times New Roman"/>
          <w:szCs w:val="24"/>
        </w:rPr>
        <w:t xml:space="preserve"> and conduct in investigations could</w:t>
      </w:r>
      <w:r>
        <w:rPr>
          <w:rFonts w:ascii="Times New Roman" w:hAnsi="Times New Roman"/>
          <w:szCs w:val="24"/>
        </w:rPr>
        <w:t xml:space="preserve"> have a snowball effect on both victims and the trial process.</w:t>
      </w:r>
    </w:p>
    <w:p w14:paraId="13AC56CC" w14:textId="78E02022" w:rsidR="00054132" w:rsidRDefault="00054132" w:rsidP="00BE1DC4">
      <w:pPr>
        <w:spacing w:line="480" w:lineRule="auto"/>
        <w:jc w:val="both"/>
        <w:rPr>
          <w:rFonts w:ascii="Times New Roman" w:hAnsi="Times New Roman"/>
          <w:szCs w:val="24"/>
        </w:rPr>
      </w:pPr>
      <w:r>
        <w:rPr>
          <w:rFonts w:ascii="Times New Roman" w:hAnsi="Times New Roman"/>
          <w:szCs w:val="24"/>
        </w:rPr>
        <w:t>After this, the next section will explore the c</w:t>
      </w:r>
      <w:r w:rsidR="0026727E">
        <w:rPr>
          <w:rFonts w:ascii="Times New Roman" w:hAnsi="Times New Roman"/>
          <w:szCs w:val="24"/>
        </w:rPr>
        <w:t>harging document's cont</w:t>
      </w:r>
      <w:r>
        <w:rPr>
          <w:rFonts w:ascii="Times New Roman" w:hAnsi="Times New Roman"/>
          <w:szCs w:val="24"/>
        </w:rPr>
        <w:t>ent and the relationship with the</w:t>
      </w:r>
      <w:r w:rsidR="004A79EE">
        <w:rPr>
          <w:rFonts w:ascii="Times New Roman" w:hAnsi="Times New Roman"/>
          <w:szCs w:val="24"/>
        </w:rPr>
        <w:t xml:space="preserve"> </w:t>
      </w:r>
      <w:r w:rsidR="001A7806">
        <w:rPr>
          <w:rFonts w:ascii="Times New Roman" w:hAnsi="Times New Roman"/>
          <w:szCs w:val="24"/>
        </w:rPr>
        <w:t>prosecutor's role</w:t>
      </w:r>
      <w:r>
        <w:rPr>
          <w:rFonts w:ascii="Times New Roman" w:hAnsi="Times New Roman"/>
          <w:szCs w:val="24"/>
        </w:rPr>
        <w:t>.</w:t>
      </w:r>
    </w:p>
    <w:p w14:paraId="3E769CB3" w14:textId="77777777" w:rsidR="00772CFF" w:rsidRPr="00772CFF" w:rsidRDefault="00054132" w:rsidP="00DF5C01">
      <w:pPr>
        <w:pStyle w:val="Heading3"/>
      </w:pPr>
      <w:r>
        <w:t xml:space="preserve"> </w:t>
      </w:r>
      <w:bookmarkStart w:id="23" w:name="_Toc60235801"/>
      <w:r w:rsidR="00A549E5">
        <w:t xml:space="preserve">2.5.3 </w:t>
      </w:r>
      <w:r>
        <w:t>T</w:t>
      </w:r>
      <w:r w:rsidR="00916B02">
        <w:t>he charging document</w:t>
      </w:r>
      <w:bookmarkEnd w:id="23"/>
    </w:p>
    <w:p w14:paraId="67664A2E" w14:textId="6E62CEA4" w:rsidR="00BE1DC4" w:rsidRDefault="00B57CA5" w:rsidP="002840D5">
      <w:pPr>
        <w:spacing w:line="480" w:lineRule="auto"/>
        <w:jc w:val="both"/>
        <w:rPr>
          <w:rFonts w:ascii="Times New Roman" w:hAnsi="Times New Roman"/>
          <w:szCs w:val="24"/>
        </w:rPr>
      </w:pPr>
      <w:r>
        <w:rPr>
          <w:rFonts w:ascii="Times New Roman" w:hAnsi="Times New Roman"/>
          <w:szCs w:val="24"/>
        </w:rPr>
        <w:t xml:space="preserve">On 28 August 2006, the Prosecutor filed the first charging document </w:t>
      </w:r>
      <w:r w:rsidR="00772CFF" w:rsidRPr="00772CFF">
        <w:rPr>
          <w:rFonts w:ascii="Times New Roman" w:hAnsi="Times New Roman"/>
          <w:szCs w:val="24"/>
        </w:rPr>
        <w:t>before the PTC.</w:t>
      </w:r>
      <w:r w:rsidR="00BE1DC4">
        <w:rPr>
          <w:rFonts w:ascii="Times New Roman" w:hAnsi="Times New Roman"/>
          <w:szCs w:val="24"/>
        </w:rPr>
        <w:t xml:space="preserve"> </w:t>
      </w:r>
      <w:r w:rsidR="002840D5">
        <w:rPr>
          <w:rFonts w:ascii="Times New Roman" w:hAnsi="Times New Roman"/>
          <w:szCs w:val="24"/>
        </w:rPr>
        <w:t xml:space="preserve">The </w:t>
      </w:r>
      <w:r>
        <w:rPr>
          <w:rFonts w:ascii="Times New Roman" w:hAnsi="Times New Roman"/>
          <w:szCs w:val="24"/>
        </w:rPr>
        <w:t>document is structured</w:t>
      </w:r>
      <w:r w:rsidR="00772CFF" w:rsidRPr="00772CFF">
        <w:rPr>
          <w:rFonts w:ascii="Times New Roman" w:hAnsi="Times New Roman"/>
          <w:szCs w:val="24"/>
        </w:rPr>
        <w:t xml:space="preserve"> into two sections. The </w:t>
      </w:r>
      <w:r w:rsidR="00F5271A">
        <w:rPr>
          <w:rFonts w:ascii="Times New Roman" w:hAnsi="Times New Roman"/>
          <w:szCs w:val="24"/>
        </w:rPr>
        <w:t>charging document's main content was the crimes of enlisting and conscripting children under the age of fifteen and</w:t>
      </w:r>
      <w:r w:rsidR="00772CFF" w:rsidRPr="00772CFF">
        <w:rPr>
          <w:rFonts w:ascii="Times New Roman" w:hAnsi="Times New Roman"/>
          <w:szCs w:val="24"/>
        </w:rPr>
        <w:t xml:space="preserve"> using them to participate actively in hostil</w:t>
      </w:r>
      <w:r w:rsidR="00054132">
        <w:rPr>
          <w:rFonts w:ascii="Times New Roman" w:hAnsi="Times New Roman"/>
          <w:szCs w:val="24"/>
        </w:rPr>
        <w:t>ities.</w:t>
      </w:r>
      <w:r w:rsidR="00BE1DC4">
        <w:rPr>
          <w:rFonts w:ascii="Times New Roman" w:hAnsi="Times New Roman"/>
          <w:szCs w:val="24"/>
        </w:rPr>
        <w:t xml:space="preserve"> </w:t>
      </w:r>
      <w:r w:rsidR="004A79EE">
        <w:rPr>
          <w:rFonts w:ascii="Times New Roman" w:hAnsi="Times New Roman"/>
          <w:szCs w:val="24"/>
        </w:rPr>
        <w:t>It</w:t>
      </w:r>
      <w:r w:rsidR="00772CFF" w:rsidRPr="00772CFF">
        <w:rPr>
          <w:rFonts w:ascii="Times New Roman" w:hAnsi="Times New Roman"/>
          <w:szCs w:val="24"/>
        </w:rPr>
        <w:t xml:space="preserve"> was divided into two sub-headings.</w:t>
      </w:r>
      <w:r w:rsidR="00772CFF" w:rsidRPr="00772CFF">
        <w:rPr>
          <w:rFonts w:ascii="Times New Roman" w:hAnsi="Times New Roman"/>
          <w:szCs w:val="24"/>
          <w:vertAlign w:val="superscript"/>
        </w:rPr>
        <w:footnoteReference w:id="332"/>
      </w:r>
      <w:r w:rsidR="00772CFF" w:rsidRPr="00772CFF">
        <w:rPr>
          <w:rFonts w:ascii="Times New Roman" w:hAnsi="Times New Roman"/>
          <w:szCs w:val="24"/>
        </w:rPr>
        <w:t xml:space="preserve"> The first was a series of general allegations called “Pattern of the FLPC in enlisting and conscripting children under the age of fifteen years and using them to participate actively in hostilities</w:t>
      </w:r>
      <w:r>
        <w:rPr>
          <w:rFonts w:ascii="Times New Roman" w:hAnsi="Times New Roman"/>
          <w:szCs w:val="24"/>
        </w:rPr>
        <w:t>.</w:t>
      </w:r>
      <w:r w:rsidR="00772CFF" w:rsidRPr="00772CFF">
        <w:rPr>
          <w:rFonts w:ascii="Times New Roman" w:hAnsi="Times New Roman"/>
          <w:szCs w:val="24"/>
        </w:rPr>
        <w:t>”</w:t>
      </w:r>
      <w:r w:rsidR="00772CFF" w:rsidRPr="00772CFF">
        <w:rPr>
          <w:rFonts w:ascii="Times New Roman" w:hAnsi="Times New Roman"/>
          <w:szCs w:val="24"/>
          <w:vertAlign w:val="superscript"/>
        </w:rPr>
        <w:footnoteReference w:id="333"/>
      </w:r>
      <w:r w:rsidR="00054132">
        <w:rPr>
          <w:rFonts w:ascii="Times New Roman" w:hAnsi="Times New Roman"/>
          <w:szCs w:val="24"/>
        </w:rPr>
        <w:t xml:space="preserve"> The second subheading </w:t>
      </w:r>
      <w:r w:rsidR="00772CFF" w:rsidRPr="00772CFF">
        <w:rPr>
          <w:rFonts w:ascii="Times New Roman" w:hAnsi="Times New Roman"/>
          <w:szCs w:val="24"/>
        </w:rPr>
        <w:t xml:space="preserve">described a series of more specific allegations </w:t>
      </w:r>
      <w:r>
        <w:rPr>
          <w:rFonts w:ascii="Times New Roman" w:hAnsi="Times New Roman"/>
          <w:szCs w:val="24"/>
        </w:rPr>
        <w:t>concerning</w:t>
      </w:r>
      <w:r w:rsidR="00772CFF" w:rsidRPr="00772CFF">
        <w:rPr>
          <w:rFonts w:ascii="Times New Roman" w:hAnsi="Times New Roman"/>
          <w:szCs w:val="24"/>
        </w:rPr>
        <w:t xml:space="preserve"> six identified former child soldiers entitled “</w:t>
      </w:r>
      <w:r w:rsidR="00772CFF" w:rsidRPr="004A79EE">
        <w:rPr>
          <w:rFonts w:ascii="Times New Roman" w:hAnsi="Times New Roman"/>
          <w:i/>
          <w:szCs w:val="24"/>
        </w:rPr>
        <w:t>individual cases</w:t>
      </w:r>
      <w:r>
        <w:rPr>
          <w:rFonts w:ascii="Times New Roman" w:hAnsi="Times New Roman"/>
          <w:i/>
          <w:szCs w:val="24"/>
        </w:rPr>
        <w:t>.</w:t>
      </w:r>
      <w:r w:rsidR="00772CFF" w:rsidRPr="004A79EE">
        <w:rPr>
          <w:rFonts w:ascii="Times New Roman" w:hAnsi="Times New Roman"/>
          <w:i/>
          <w:szCs w:val="24"/>
        </w:rPr>
        <w:t>”</w:t>
      </w:r>
      <w:r w:rsidR="00772CFF" w:rsidRPr="00772CFF">
        <w:rPr>
          <w:rFonts w:ascii="Times New Roman" w:hAnsi="Times New Roman"/>
          <w:szCs w:val="24"/>
          <w:vertAlign w:val="superscript"/>
        </w:rPr>
        <w:footnoteReference w:id="334"/>
      </w:r>
      <w:r w:rsidR="00772CFF" w:rsidRPr="00772CFF">
        <w:rPr>
          <w:rFonts w:ascii="Times New Roman" w:hAnsi="Times New Roman"/>
          <w:szCs w:val="24"/>
        </w:rPr>
        <w:t xml:space="preserve">  </w:t>
      </w:r>
      <w:r w:rsidR="002840D5">
        <w:rPr>
          <w:rFonts w:ascii="Times New Roman" w:hAnsi="Times New Roman"/>
          <w:szCs w:val="24"/>
        </w:rPr>
        <w:t>It is noteworthy that t</w:t>
      </w:r>
      <w:r w:rsidR="00772CFF" w:rsidRPr="00772CFF">
        <w:rPr>
          <w:rFonts w:ascii="Times New Roman" w:hAnsi="Times New Roman"/>
          <w:szCs w:val="24"/>
        </w:rPr>
        <w:t xml:space="preserve">he first section </w:t>
      </w:r>
      <w:r>
        <w:rPr>
          <w:rFonts w:ascii="Times New Roman" w:hAnsi="Times New Roman"/>
          <w:szCs w:val="24"/>
        </w:rPr>
        <w:t xml:space="preserve">had equivocal </w:t>
      </w:r>
      <w:r w:rsidR="00772CFF" w:rsidRPr="00772CFF">
        <w:rPr>
          <w:rFonts w:ascii="Times New Roman" w:hAnsi="Times New Roman"/>
          <w:szCs w:val="24"/>
        </w:rPr>
        <w:t>formulat</w:t>
      </w:r>
      <w:r>
        <w:rPr>
          <w:rFonts w:ascii="Times New Roman" w:hAnsi="Times New Roman"/>
          <w:szCs w:val="24"/>
        </w:rPr>
        <w:t>ion</w:t>
      </w:r>
      <w:r w:rsidR="00772CFF" w:rsidRPr="00772CFF">
        <w:rPr>
          <w:rFonts w:ascii="Times New Roman" w:hAnsi="Times New Roman"/>
          <w:szCs w:val="24"/>
        </w:rPr>
        <w:t xml:space="preserve"> with no specific reference to dates,</w:t>
      </w:r>
      <w:r w:rsidR="00BE1DC4">
        <w:rPr>
          <w:rFonts w:ascii="Times New Roman" w:hAnsi="Times New Roman"/>
          <w:szCs w:val="24"/>
        </w:rPr>
        <w:t xml:space="preserve"> </w:t>
      </w:r>
      <w:r w:rsidR="00772CFF" w:rsidRPr="00772CFF">
        <w:rPr>
          <w:rFonts w:ascii="Times New Roman" w:hAnsi="Times New Roman"/>
          <w:szCs w:val="24"/>
        </w:rPr>
        <w:t>location or identities of victims.</w:t>
      </w:r>
    </w:p>
    <w:p w14:paraId="5A38A7AB" w14:textId="2A6C0E96" w:rsidR="00772CFF" w:rsidRPr="00772CFF" w:rsidRDefault="00772CFF" w:rsidP="00E24D5A">
      <w:pPr>
        <w:spacing w:line="480" w:lineRule="auto"/>
        <w:jc w:val="both"/>
        <w:rPr>
          <w:rFonts w:ascii="Times New Roman" w:hAnsi="Times New Roman"/>
          <w:szCs w:val="24"/>
        </w:rPr>
      </w:pPr>
      <w:r w:rsidRPr="00772CFF">
        <w:rPr>
          <w:rFonts w:ascii="Times New Roman" w:hAnsi="Times New Roman"/>
          <w:szCs w:val="24"/>
        </w:rPr>
        <w:t xml:space="preserve">On the other hand, the second section gave comprehensive details of the </w:t>
      </w:r>
      <w:r w:rsidR="00F5271A">
        <w:rPr>
          <w:rFonts w:ascii="Times New Roman" w:hAnsi="Times New Roman"/>
          <w:szCs w:val="24"/>
        </w:rPr>
        <w:t>six alleged former child soldiers' individual storie</w:t>
      </w:r>
      <w:r w:rsidR="004A79EE">
        <w:rPr>
          <w:rFonts w:ascii="Times New Roman" w:hAnsi="Times New Roman"/>
          <w:szCs w:val="24"/>
        </w:rPr>
        <w:t>s. This</w:t>
      </w:r>
      <w:r w:rsidR="00B57CA5">
        <w:rPr>
          <w:rFonts w:ascii="Times New Roman" w:hAnsi="Times New Roman"/>
          <w:szCs w:val="24"/>
        </w:rPr>
        <w:t xml:space="preserve"> section</w:t>
      </w:r>
      <w:r w:rsidR="004A79EE">
        <w:rPr>
          <w:rFonts w:ascii="Times New Roman" w:hAnsi="Times New Roman"/>
          <w:szCs w:val="24"/>
        </w:rPr>
        <w:t xml:space="preserve"> set out</w:t>
      </w:r>
      <w:r w:rsidRPr="00772CFF">
        <w:rPr>
          <w:rFonts w:ascii="Times New Roman" w:hAnsi="Times New Roman"/>
          <w:szCs w:val="24"/>
        </w:rPr>
        <w:t xml:space="preserve"> the accurate mention of the locations of their alleged conscription or enlistment, approximate dates, as well as their alleged participation in hostilities</w:t>
      </w:r>
      <w:r w:rsidR="004A79EE">
        <w:rPr>
          <w:rFonts w:ascii="Times New Roman" w:hAnsi="Times New Roman"/>
          <w:szCs w:val="24"/>
        </w:rPr>
        <w:t xml:space="preserve"> and the training/activities</w:t>
      </w:r>
      <w:r w:rsidRPr="00772CFF">
        <w:rPr>
          <w:rFonts w:ascii="Times New Roman" w:hAnsi="Times New Roman"/>
          <w:szCs w:val="24"/>
        </w:rPr>
        <w:t xml:space="preserve"> during their time in the </w:t>
      </w:r>
      <w:r w:rsidRPr="00772CFF">
        <w:rPr>
          <w:rFonts w:ascii="Times New Roman" w:hAnsi="Times New Roman"/>
          <w:szCs w:val="24"/>
        </w:rPr>
        <w:lastRenderedPageBreak/>
        <w:t>UPC/FLPC.</w:t>
      </w:r>
      <w:r w:rsidRPr="00772CFF">
        <w:rPr>
          <w:rFonts w:ascii="Times New Roman" w:hAnsi="Times New Roman"/>
          <w:szCs w:val="24"/>
          <w:vertAlign w:val="superscript"/>
        </w:rPr>
        <w:footnoteReference w:id="335"/>
      </w:r>
      <w:r w:rsidRPr="00772CFF">
        <w:rPr>
          <w:rFonts w:ascii="Times New Roman" w:hAnsi="Times New Roman"/>
          <w:szCs w:val="24"/>
        </w:rPr>
        <w:t xml:space="preserve"> Lubanga objected to the charging document, particularly the first section which was very vague. He argued that the factual allegations </w:t>
      </w:r>
      <w:r w:rsidR="00E24D5A">
        <w:rPr>
          <w:rFonts w:ascii="Times New Roman" w:hAnsi="Times New Roman"/>
          <w:szCs w:val="24"/>
        </w:rPr>
        <w:t>were</w:t>
      </w:r>
      <w:r w:rsidRPr="00772CFF">
        <w:rPr>
          <w:rFonts w:ascii="Times New Roman" w:hAnsi="Times New Roman"/>
          <w:szCs w:val="24"/>
        </w:rPr>
        <w:t xml:space="preserve"> ambiguous</w:t>
      </w:r>
      <w:r w:rsidR="0026727E">
        <w:rPr>
          <w:rFonts w:ascii="Times New Roman" w:hAnsi="Times New Roman"/>
          <w:szCs w:val="24"/>
        </w:rPr>
        <w:t xml:space="preserve"> and violated the defen</w:t>
      </w:r>
      <w:r w:rsidR="003E0DD9">
        <w:rPr>
          <w:rFonts w:ascii="Times New Roman" w:hAnsi="Times New Roman"/>
          <w:szCs w:val="24"/>
        </w:rPr>
        <w:t>dant</w:t>
      </w:r>
      <w:r w:rsidR="0026727E">
        <w:rPr>
          <w:rFonts w:ascii="Times New Roman" w:hAnsi="Times New Roman"/>
          <w:szCs w:val="24"/>
        </w:rPr>
        <w:t>'s right to be informed of the charges' nature and detail</w:t>
      </w:r>
      <w:r w:rsidRPr="00772CFF">
        <w:rPr>
          <w:rFonts w:ascii="Times New Roman" w:hAnsi="Times New Roman"/>
          <w:szCs w:val="24"/>
        </w:rPr>
        <w:t xml:space="preserve">s. </w:t>
      </w:r>
      <w:r w:rsidR="00F5271A">
        <w:rPr>
          <w:rFonts w:ascii="Times New Roman" w:hAnsi="Times New Roman"/>
          <w:szCs w:val="24"/>
        </w:rPr>
        <w:t>In his written submission, the Prosecutor argued that the ‘pattern’ portion was different from the ‘individual cases’;</w:t>
      </w:r>
      <w:r w:rsidR="004A79EE">
        <w:rPr>
          <w:rFonts w:ascii="Times New Roman" w:hAnsi="Times New Roman"/>
          <w:szCs w:val="24"/>
        </w:rPr>
        <w:t xml:space="preserve"> as such, it was not </w:t>
      </w:r>
      <w:r w:rsidRPr="00772CFF">
        <w:rPr>
          <w:rFonts w:ascii="Times New Roman" w:hAnsi="Times New Roman"/>
          <w:szCs w:val="24"/>
        </w:rPr>
        <w:t xml:space="preserve">specific like the latter. He pointed out that the </w:t>
      </w:r>
      <w:r w:rsidRPr="004A79EE">
        <w:rPr>
          <w:rFonts w:ascii="Times New Roman" w:hAnsi="Times New Roman"/>
          <w:i/>
          <w:szCs w:val="24"/>
        </w:rPr>
        <w:t>‘individual cases section’</w:t>
      </w:r>
      <w:r w:rsidRPr="00772CFF">
        <w:rPr>
          <w:rFonts w:ascii="Times New Roman" w:hAnsi="Times New Roman"/>
          <w:szCs w:val="24"/>
        </w:rPr>
        <w:t xml:space="preserve"> contained </w:t>
      </w:r>
      <w:r w:rsidR="0087464D">
        <w:rPr>
          <w:rFonts w:ascii="Times New Roman" w:hAnsi="Times New Roman"/>
          <w:szCs w:val="24"/>
        </w:rPr>
        <w:t>p</w:t>
      </w:r>
      <w:r w:rsidR="003E0DD9">
        <w:rPr>
          <w:rFonts w:ascii="Times New Roman" w:hAnsi="Times New Roman"/>
          <w:szCs w:val="24"/>
        </w:rPr>
        <w:t>recise</w:t>
      </w:r>
      <w:r w:rsidRPr="00772CFF">
        <w:rPr>
          <w:rFonts w:ascii="Times New Roman" w:hAnsi="Times New Roman"/>
          <w:szCs w:val="24"/>
        </w:rPr>
        <w:t xml:space="preserve"> details on </w:t>
      </w:r>
      <w:r w:rsidR="00F5271A">
        <w:rPr>
          <w:rFonts w:ascii="Times New Roman" w:hAnsi="Times New Roman"/>
          <w:szCs w:val="24"/>
        </w:rPr>
        <w:t>victims' identities, dates,</w:t>
      </w:r>
      <w:r w:rsidRPr="00772CFF">
        <w:rPr>
          <w:rFonts w:ascii="Times New Roman" w:hAnsi="Times New Roman"/>
          <w:szCs w:val="24"/>
        </w:rPr>
        <w:t xml:space="preserve"> and locations of the crimes.</w:t>
      </w:r>
    </w:p>
    <w:p w14:paraId="4A85269C" w14:textId="6F814B70" w:rsidR="00772CFF" w:rsidRDefault="00772CFF" w:rsidP="00E24D5A">
      <w:pPr>
        <w:spacing w:line="480" w:lineRule="auto"/>
        <w:jc w:val="both"/>
        <w:rPr>
          <w:rFonts w:ascii="Times New Roman" w:hAnsi="Times New Roman"/>
          <w:szCs w:val="24"/>
        </w:rPr>
      </w:pPr>
      <w:r w:rsidRPr="00772CFF">
        <w:rPr>
          <w:rFonts w:ascii="Times New Roman" w:hAnsi="Times New Roman"/>
          <w:szCs w:val="24"/>
        </w:rPr>
        <w:t xml:space="preserve">Judge </w:t>
      </w:r>
      <w:proofErr w:type="spellStart"/>
      <w:r w:rsidRPr="00772CFF">
        <w:rPr>
          <w:rFonts w:ascii="Times New Roman" w:hAnsi="Times New Roman"/>
          <w:szCs w:val="24"/>
        </w:rPr>
        <w:t>Usacka</w:t>
      </w:r>
      <w:proofErr w:type="spellEnd"/>
      <w:r w:rsidRPr="00772CFF">
        <w:rPr>
          <w:rFonts w:ascii="Times New Roman" w:hAnsi="Times New Roman"/>
          <w:szCs w:val="24"/>
        </w:rPr>
        <w:t xml:space="preserve"> described the content of the cha</w:t>
      </w:r>
      <w:r w:rsidR="00D8582A">
        <w:rPr>
          <w:rFonts w:ascii="Times New Roman" w:hAnsi="Times New Roman"/>
          <w:szCs w:val="24"/>
        </w:rPr>
        <w:t>rging document as ‘vague’,</w:t>
      </w:r>
      <w:r w:rsidR="00496B19">
        <w:rPr>
          <w:rFonts w:ascii="Times New Roman" w:hAnsi="Times New Roman"/>
          <w:szCs w:val="24"/>
        </w:rPr>
        <w:t xml:space="preserve"> </w:t>
      </w:r>
      <w:r w:rsidRPr="00772CFF">
        <w:rPr>
          <w:rFonts w:ascii="Times New Roman" w:hAnsi="Times New Roman"/>
          <w:szCs w:val="24"/>
        </w:rPr>
        <w:t xml:space="preserve">especially the first part which </w:t>
      </w:r>
      <w:r w:rsidR="0087464D">
        <w:rPr>
          <w:rFonts w:ascii="Times New Roman" w:hAnsi="Times New Roman"/>
          <w:szCs w:val="24"/>
        </w:rPr>
        <w:t>was</w:t>
      </w:r>
      <w:r w:rsidRPr="00772CFF">
        <w:rPr>
          <w:rFonts w:ascii="Times New Roman" w:hAnsi="Times New Roman"/>
          <w:szCs w:val="24"/>
        </w:rPr>
        <w:t xml:space="preserve"> referred to as ‘pattern</w:t>
      </w:r>
      <w:r w:rsidR="0087464D">
        <w:rPr>
          <w:rFonts w:ascii="Times New Roman" w:hAnsi="Times New Roman"/>
          <w:szCs w:val="24"/>
        </w:rPr>
        <w:t>.</w:t>
      </w:r>
      <w:r w:rsidRPr="00772CFF">
        <w:rPr>
          <w:rFonts w:ascii="Times New Roman" w:hAnsi="Times New Roman"/>
          <w:szCs w:val="24"/>
        </w:rPr>
        <w:t>’</w:t>
      </w:r>
      <w:r w:rsidR="0087464D">
        <w:rPr>
          <w:rFonts w:ascii="Times New Roman" w:hAnsi="Times New Roman"/>
          <w:szCs w:val="24"/>
        </w:rPr>
        <w:t xml:space="preserve"> Such part represented a  </w:t>
      </w:r>
      <w:r w:rsidRPr="00772CFF">
        <w:rPr>
          <w:rFonts w:ascii="Times New Roman" w:hAnsi="Times New Roman"/>
          <w:szCs w:val="24"/>
        </w:rPr>
        <w:t>‘</w:t>
      </w:r>
      <w:r w:rsidRPr="00565688">
        <w:rPr>
          <w:rFonts w:ascii="Times New Roman" w:hAnsi="Times New Roman"/>
          <w:i/>
          <w:szCs w:val="24"/>
        </w:rPr>
        <w:t>contextual or background information’</w:t>
      </w:r>
      <w:r w:rsidRPr="00772CFF">
        <w:rPr>
          <w:rFonts w:ascii="Times New Roman" w:hAnsi="Times New Roman"/>
          <w:szCs w:val="24"/>
          <w:vertAlign w:val="superscript"/>
        </w:rPr>
        <w:footnoteReference w:id="336"/>
      </w:r>
      <w:r w:rsidRPr="00772CFF">
        <w:rPr>
          <w:rFonts w:ascii="Times New Roman" w:hAnsi="Times New Roman"/>
          <w:szCs w:val="24"/>
        </w:rPr>
        <w:t xml:space="preserve">  Judge </w:t>
      </w:r>
      <w:proofErr w:type="spellStart"/>
      <w:r w:rsidRPr="00772CFF">
        <w:rPr>
          <w:rFonts w:ascii="Times New Roman" w:hAnsi="Times New Roman"/>
          <w:szCs w:val="24"/>
        </w:rPr>
        <w:t>Usacka</w:t>
      </w:r>
      <w:proofErr w:type="spellEnd"/>
      <w:r w:rsidRPr="00772CFF">
        <w:rPr>
          <w:rFonts w:ascii="Times New Roman" w:hAnsi="Times New Roman"/>
          <w:szCs w:val="24"/>
        </w:rPr>
        <w:t xml:space="preserve"> opined that the two counts-</w:t>
      </w:r>
      <w:r w:rsidRPr="00565688">
        <w:rPr>
          <w:rFonts w:ascii="Times New Roman" w:hAnsi="Times New Roman"/>
          <w:i/>
          <w:szCs w:val="24"/>
        </w:rPr>
        <w:t>‘pattern’</w:t>
      </w:r>
      <w:r w:rsidRPr="00772CFF">
        <w:rPr>
          <w:rFonts w:ascii="Times New Roman" w:hAnsi="Times New Roman"/>
          <w:szCs w:val="24"/>
        </w:rPr>
        <w:t xml:space="preserve"> and ‘</w:t>
      </w:r>
      <w:r w:rsidRPr="00565688">
        <w:rPr>
          <w:rFonts w:ascii="Times New Roman" w:hAnsi="Times New Roman"/>
          <w:i/>
          <w:szCs w:val="24"/>
        </w:rPr>
        <w:t>individual cases’</w:t>
      </w:r>
      <w:r w:rsidRPr="00772CFF">
        <w:rPr>
          <w:rFonts w:ascii="Times New Roman" w:hAnsi="Times New Roman"/>
          <w:szCs w:val="24"/>
        </w:rPr>
        <w:t xml:space="preserve"> </w:t>
      </w:r>
      <w:r w:rsidR="0087464D">
        <w:rPr>
          <w:rFonts w:ascii="Times New Roman" w:hAnsi="Times New Roman"/>
          <w:szCs w:val="24"/>
        </w:rPr>
        <w:t>we</w:t>
      </w:r>
      <w:r w:rsidRPr="00772CFF">
        <w:rPr>
          <w:rFonts w:ascii="Times New Roman" w:hAnsi="Times New Roman"/>
          <w:szCs w:val="24"/>
        </w:rPr>
        <w:t xml:space="preserve">re independent of each other. Hence, the </w:t>
      </w:r>
      <w:r w:rsidR="0026727E">
        <w:rPr>
          <w:rFonts w:ascii="Times New Roman" w:hAnsi="Times New Roman"/>
          <w:szCs w:val="24"/>
        </w:rPr>
        <w:t>‘individual cases’ specificity</w:t>
      </w:r>
      <w:r w:rsidRPr="00772CFF">
        <w:rPr>
          <w:rFonts w:ascii="Times New Roman" w:hAnsi="Times New Roman"/>
          <w:szCs w:val="24"/>
        </w:rPr>
        <w:t xml:space="preserve"> cannot </w:t>
      </w:r>
      <w:r w:rsidR="00BE1DC4">
        <w:rPr>
          <w:rFonts w:ascii="Times New Roman" w:hAnsi="Times New Roman"/>
          <w:szCs w:val="24"/>
        </w:rPr>
        <w:t xml:space="preserve">be </w:t>
      </w:r>
      <w:r w:rsidRPr="00772CFF">
        <w:rPr>
          <w:rFonts w:ascii="Times New Roman" w:hAnsi="Times New Roman"/>
          <w:szCs w:val="24"/>
        </w:rPr>
        <w:t xml:space="preserve">imported into the content of the first section, the ‘pattern’ since it does not contain the minimum level of detail required by the </w:t>
      </w:r>
      <w:r w:rsidR="000E5A7F">
        <w:rPr>
          <w:rFonts w:ascii="Times New Roman" w:hAnsi="Times New Roman"/>
          <w:szCs w:val="24"/>
        </w:rPr>
        <w:t>court's legal framework</w:t>
      </w:r>
      <w:r w:rsidRPr="00772CFF">
        <w:rPr>
          <w:rFonts w:ascii="Times New Roman" w:hAnsi="Times New Roman"/>
          <w:szCs w:val="24"/>
        </w:rPr>
        <w:t>.</w:t>
      </w:r>
      <w:r w:rsidRPr="00772CFF">
        <w:rPr>
          <w:rFonts w:ascii="Times New Roman" w:hAnsi="Times New Roman"/>
          <w:szCs w:val="24"/>
          <w:vertAlign w:val="superscript"/>
        </w:rPr>
        <w:footnoteReference w:id="337"/>
      </w:r>
      <w:r w:rsidRPr="00772CFF">
        <w:rPr>
          <w:rFonts w:ascii="Times New Roman" w:hAnsi="Times New Roman"/>
          <w:szCs w:val="24"/>
        </w:rPr>
        <w:t xml:space="preserve"> One implication of this is that the allegations in ‘the individual cases’ is not an extension of ‘the pattern’ neither does it give it an ‘independent value’.</w:t>
      </w:r>
      <w:r w:rsidR="00565688">
        <w:rPr>
          <w:rStyle w:val="FootnoteReference"/>
          <w:rFonts w:ascii="Times New Roman" w:hAnsi="Times New Roman"/>
          <w:szCs w:val="24"/>
        </w:rPr>
        <w:footnoteReference w:id="338"/>
      </w:r>
      <w:r w:rsidR="008A5D0A">
        <w:rPr>
          <w:rFonts w:ascii="Times New Roman" w:hAnsi="Times New Roman"/>
          <w:szCs w:val="24"/>
        </w:rPr>
        <w:t xml:space="preserve"> </w:t>
      </w:r>
      <w:r w:rsidR="00565688">
        <w:rPr>
          <w:rFonts w:ascii="Times New Roman" w:hAnsi="Times New Roman"/>
          <w:szCs w:val="24"/>
        </w:rPr>
        <w:t>On account of this, the</w:t>
      </w:r>
      <w:r w:rsidR="0087464D">
        <w:rPr>
          <w:rFonts w:ascii="Times New Roman" w:hAnsi="Times New Roman"/>
          <w:szCs w:val="24"/>
        </w:rPr>
        <w:t xml:space="preserve"> prosecutor restricted the allegations</w:t>
      </w:r>
      <w:r w:rsidR="00565688">
        <w:rPr>
          <w:rFonts w:ascii="Times New Roman" w:hAnsi="Times New Roman"/>
          <w:szCs w:val="24"/>
        </w:rPr>
        <w:t xml:space="preserve"> against Lubanga </w:t>
      </w:r>
      <w:r w:rsidR="008A5D0A">
        <w:rPr>
          <w:rFonts w:ascii="Times New Roman" w:hAnsi="Times New Roman"/>
          <w:szCs w:val="24"/>
        </w:rPr>
        <w:t xml:space="preserve">to </w:t>
      </w:r>
      <w:r w:rsidR="00BE1DC4">
        <w:rPr>
          <w:rFonts w:ascii="Times New Roman" w:hAnsi="Times New Roman"/>
          <w:szCs w:val="24"/>
        </w:rPr>
        <w:t xml:space="preserve">the </w:t>
      </w:r>
      <w:r w:rsidR="008A5D0A">
        <w:rPr>
          <w:rFonts w:ascii="Times New Roman" w:hAnsi="Times New Roman"/>
          <w:szCs w:val="24"/>
        </w:rPr>
        <w:t>two</w:t>
      </w:r>
      <w:r w:rsidR="00BE1DC4">
        <w:rPr>
          <w:rFonts w:ascii="Times New Roman" w:hAnsi="Times New Roman"/>
          <w:szCs w:val="24"/>
        </w:rPr>
        <w:t>-</w:t>
      </w:r>
      <w:r w:rsidR="008A5D0A">
        <w:rPr>
          <w:rFonts w:ascii="Times New Roman" w:hAnsi="Times New Roman"/>
          <w:szCs w:val="24"/>
        </w:rPr>
        <w:t>count charge.</w:t>
      </w:r>
    </w:p>
    <w:p w14:paraId="71270031" w14:textId="5453C208" w:rsidR="0042660C" w:rsidRDefault="00565688" w:rsidP="00E717D6">
      <w:pPr>
        <w:spacing w:line="480" w:lineRule="auto"/>
        <w:jc w:val="both"/>
        <w:rPr>
          <w:rFonts w:ascii="Times New Roman" w:hAnsi="Times New Roman"/>
          <w:szCs w:val="24"/>
        </w:rPr>
      </w:pPr>
      <w:r>
        <w:rPr>
          <w:rFonts w:ascii="Times New Roman" w:hAnsi="Times New Roman"/>
          <w:szCs w:val="24"/>
        </w:rPr>
        <w:lastRenderedPageBreak/>
        <w:t>Th</w:t>
      </w:r>
      <w:r w:rsidR="00BE1DC4">
        <w:rPr>
          <w:rFonts w:ascii="Times New Roman" w:hAnsi="Times New Roman"/>
          <w:szCs w:val="24"/>
        </w:rPr>
        <w:t>ese</w:t>
      </w:r>
      <w:r w:rsidR="00772CFF" w:rsidRPr="00772CFF">
        <w:rPr>
          <w:rFonts w:ascii="Times New Roman" w:hAnsi="Times New Roman"/>
          <w:szCs w:val="24"/>
        </w:rPr>
        <w:t xml:space="preserve"> previous sections have </w:t>
      </w:r>
      <w:r w:rsidR="0042660C">
        <w:rPr>
          <w:rFonts w:ascii="Times New Roman" w:hAnsi="Times New Roman"/>
          <w:szCs w:val="24"/>
        </w:rPr>
        <w:t xml:space="preserve">explored the </w:t>
      </w:r>
      <w:r w:rsidR="0026727E">
        <w:rPr>
          <w:rFonts w:ascii="Times New Roman" w:hAnsi="Times New Roman"/>
          <w:szCs w:val="24"/>
        </w:rPr>
        <w:t>prosecutor's role</w:t>
      </w:r>
      <w:r w:rsidR="0042660C">
        <w:rPr>
          <w:rFonts w:ascii="Times New Roman" w:hAnsi="Times New Roman"/>
          <w:szCs w:val="24"/>
        </w:rPr>
        <w:t xml:space="preserve"> to the charges of Lubanga case</w:t>
      </w:r>
      <w:r w:rsidR="00E717D6">
        <w:rPr>
          <w:rFonts w:ascii="Times New Roman" w:hAnsi="Times New Roman"/>
          <w:szCs w:val="24"/>
        </w:rPr>
        <w:t xml:space="preserve"> and the charges of Lubanga</w:t>
      </w:r>
      <w:r w:rsidR="0042660C">
        <w:rPr>
          <w:rFonts w:ascii="Times New Roman" w:hAnsi="Times New Roman"/>
          <w:szCs w:val="24"/>
        </w:rPr>
        <w:t>.</w:t>
      </w:r>
      <w:r w:rsidR="0042660C" w:rsidRPr="00772CFF">
        <w:rPr>
          <w:rFonts w:ascii="Times New Roman" w:hAnsi="Times New Roman"/>
          <w:szCs w:val="24"/>
        </w:rPr>
        <w:t xml:space="preserve"> </w:t>
      </w:r>
      <w:r w:rsidR="00772CFF" w:rsidRPr="00772CFF">
        <w:rPr>
          <w:rFonts w:ascii="Times New Roman" w:hAnsi="Times New Roman"/>
          <w:szCs w:val="24"/>
        </w:rPr>
        <w:t>This section shall examine</w:t>
      </w:r>
      <w:r w:rsidR="0042660C">
        <w:rPr>
          <w:rFonts w:ascii="Times New Roman" w:hAnsi="Times New Roman"/>
          <w:szCs w:val="24"/>
        </w:rPr>
        <w:t xml:space="preserve"> the charging document of Katanga</w:t>
      </w:r>
      <w:r w:rsidR="00772CFF" w:rsidRPr="00772CFF">
        <w:rPr>
          <w:rFonts w:ascii="Times New Roman" w:hAnsi="Times New Roman"/>
          <w:szCs w:val="24"/>
        </w:rPr>
        <w:t xml:space="preserve"> </w:t>
      </w:r>
      <w:r w:rsidR="0042660C">
        <w:rPr>
          <w:rFonts w:ascii="Times New Roman" w:hAnsi="Times New Roman"/>
          <w:szCs w:val="24"/>
        </w:rPr>
        <w:t>i</w:t>
      </w:r>
      <w:r w:rsidR="008A5D0A">
        <w:rPr>
          <w:rFonts w:ascii="Times New Roman" w:hAnsi="Times New Roman"/>
          <w:szCs w:val="24"/>
        </w:rPr>
        <w:t>n to understand the charges.</w:t>
      </w:r>
    </w:p>
    <w:p w14:paraId="003F499F" w14:textId="77777777" w:rsidR="00772CFF" w:rsidRPr="00772CFF" w:rsidRDefault="00772CFF" w:rsidP="00772CFF">
      <w:pPr>
        <w:jc w:val="both"/>
        <w:rPr>
          <w:rFonts w:ascii="Times New Roman" w:hAnsi="Times New Roman"/>
          <w:szCs w:val="24"/>
        </w:rPr>
      </w:pPr>
    </w:p>
    <w:p w14:paraId="16F808F2" w14:textId="77777777" w:rsidR="00772CFF" w:rsidRPr="0042660C" w:rsidRDefault="00ED57BB" w:rsidP="00A44B61">
      <w:pPr>
        <w:pStyle w:val="Heading2"/>
      </w:pPr>
      <w:bookmarkStart w:id="24" w:name="_Toc60235802"/>
      <w:r>
        <w:rPr>
          <w:lang w:val="en-US"/>
        </w:rPr>
        <w:t xml:space="preserve">2.6 </w:t>
      </w:r>
      <w:r w:rsidR="00772CFF" w:rsidRPr="00772CFF">
        <w:rPr>
          <w:lang w:val="en-US"/>
        </w:rPr>
        <w:t>Charging Document: Katanga</w:t>
      </w:r>
      <w:bookmarkEnd w:id="24"/>
    </w:p>
    <w:p w14:paraId="447BD786" w14:textId="77777777" w:rsidR="00881B7D" w:rsidRDefault="00ED57BB" w:rsidP="00A44B61">
      <w:pPr>
        <w:pStyle w:val="Heading3"/>
      </w:pPr>
      <w:bookmarkStart w:id="25" w:name="_Toc60235803"/>
      <w:r>
        <w:t>2.6.1</w:t>
      </w:r>
      <w:r w:rsidR="00772CFF" w:rsidRPr="00772CFF">
        <w:t>Background to the case</w:t>
      </w:r>
      <w:bookmarkEnd w:id="25"/>
    </w:p>
    <w:p w14:paraId="5E080CF2" w14:textId="4BFC9CB5" w:rsidR="00206AC6" w:rsidRDefault="00881B7D" w:rsidP="00E2229F">
      <w:pPr>
        <w:spacing w:line="480" w:lineRule="auto"/>
        <w:jc w:val="both"/>
        <w:rPr>
          <w:rFonts w:ascii="Times New Roman" w:hAnsi="Times New Roman"/>
          <w:lang w:val="en-US"/>
        </w:rPr>
      </w:pPr>
      <w:r w:rsidRPr="00BA5A22">
        <w:rPr>
          <w:rFonts w:ascii="Times New Roman" w:hAnsi="Times New Roman"/>
          <w:lang w:val="en-US"/>
        </w:rPr>
        <w:t xml:space="preserve">On </w:t>
      </w:r>
      <w:r w:rsidR="005915F9">
        <w:rPr>
          <w:rFonts w:ascii="Times New Roman" w:hAnsi="Times New Roman"/>
          <w:lang w:val="en-US"/>
        </w:rPr>
        <w:t>April 19,</w:t>
      </w:r>
      <w:r w:rsidR="00496B19">
        <w:rPr>
          <w:rFonts w:ascii="Times New Roman" w:hAnsi="Times New Roman"/>
          <w:lang w:val="en-US"/>
        </w:rPr>
        <w:t xml:space="preserve"> </w:t>
      </w:r>
      <w:r w:rsidR="005915F9">
        <w:rPr>
          <w:rFonts w:ascii="Times New Roman" w:hAnsi="Times New Roman"/>
          <w:lang w:val="en-US"/>
        </w:rPr>
        <w:t>2004</w:t>
      </w:r>
      <w:r w:rsidRPr="00BA5A22">
        <w:rPr>
          <w:rFonts w:ascii="Times New Roman" w:hAnsi="Times New Roman"/>
          <w:lang w:val="en-US"/>
        </w:rPr>
        <w:t>,</w:t>
      </w:r>
      <w:r w:rsidR="00496B19">
        <w:rPr>
          <w:rFonts w:ascii="Times New Roman" w:hAnsi="Times New Roman"/>
          <w:lang w:val="en-US"/>
        </w:rPr>
        <w:t xml:space="preserve"> </w:t>
      </w:r>
      <w:r w:rsidRPr="00BA5A22">
        <w:rPr>
          <w:rFonts w:ascii="Times New Roman" w:hAnsi="Times New Roman"/>
          <w:lang w:val="en-US"/>
        </w:rPr>
        <w:t xml:space="preserve">by referral, the DRC government requested the ICC to determine if it could investigate </w:t>
      </w:r>
      <w:r w:rsidR="00496B19">
        <w:rPr>
          <w:rFonts w:ascii="Times New Roman" w:hAnsi="Times New Roman"/>
          <w:lang w:val="en-US"/>
        </w:rPr>
        <w:t xml:space="preserve">the </w:t>
      </w:r>
      <w:r w:rsidR="0026727E">
        <w:rPr>
          <w:rFonts w:ascii="Times New Roman" w:hAnsi="Times New Roman"/>
          <w:lang w:val="en-US"/>
        </w:rPr>
        <w:t>DRC situation and ascertain one or more culpable persons, accused of crimes that</w:t>
      </w:r>
      <w:r w:rsidRPr="00BA5A22">
        <w:rPr>
          <w:rFonts w:ascii="Times New Roman" w:hAnsi="Times New Roman"/>
          <w:lang w:val="en-US"/>
        </w:rPr>
        <w:t xml:space="preserve"> fall within the </w:t>
      </w:r>
      <w:r w:rsidR="000E5A7F">
        <w:rPr>
          <w:rFonts w:ascii="Times New Roman" w:hAnsi="Times New Roman"/>
          <w:lang w:val="en-US"/>
        </w:rPr>
        <w:t>court's jurisdiction</w:t>
      </w:r>
      <w:r w:rsidRPr="00BA5A22">
        <w:rPr>
          <w:rFonts w:ascii="Times New Roman" w:hAnsi="Times New Roman"/>
          <w:lang w:val="en-US"/>
        </w:rPr>
        <w:t>.</w:t>
      </w:r>
      <w:r w:rsidR="004113CE">
        <w:rPr>
          <w:rStyle w:val="FootnoteReference"/>
          <w:rFonts w:ascii="Times New Roman" w:hAnsi="Times New Roman"/>
          <w:lang w:val="en-US"/>
        </w:rPr>
        <w:footnoteReference w:id="339"/>
      </w:r>
      <w:r w:rsidRPr="00BA5A22">
        <w:rPr>
          <w:rFonts w:ascii="Times New Roman" w:hAnsi="Times New Roman"/>
          <w:lang w:val="en-US"/>
        </w:rPr>
        <w:t xml:space="preserve">On June 23, 2004, the ICC Prosecutor commenced </w:t>
      </w:r>
      <w:r w:rsidR="00496B19">
        <w:rPr>
          <w:rFonts w:ascii="Times New Roman" w:hAnsi="Times New Roman"/>
          <w:lang w:val="en-US"/>
        </w:rPr>
        <w:t xml:space="preserve">an </w:t>
      </w:r>
      <w:r w:rsidR="002C0EDA" w:rsidRPr="00BA5A22">
        <w:rPr>
          <w:rFonts w:ascii="Times New Roman" w:hAnsi="Times New Roman"/>
          <w:lang w:val="en-US"/>
        </w:rPr>
        <w:t xml:space="preserve">official investigation into the </w:t>
      </w:r>
      <w:proofErr w:type="spellStart"/>
      <w:r w:rsidR="0026727E">
        <w:rPr>
          <w:rFonts w:ascii="Times New Roman" w:hAnsi="Times New Roman"/>
          <w:lang w:val="en-US"/>
        </w:rPr>
        <w:t>Ituri</w:t>
      </w:r>
      <w:proofErr w:type="spellEnd"/>
      <w:r w:rsidR="0026727E">
        <w:rPr>
          <w:rFonts w:ascii="Times New Roman" w:hAnsi="Times New Roman"/>
          <w:lang w:val="en-US"/>
        </w:rPr>
        <w:t xml:space="preserve"> district's alleged crimes</w:t>
      </w:r>
      <w:r w:rsidR="002C0EDA" w:rsidRPr="00BA5A22">
        <w:rPr>
          <w:rFonts w:ascii="Times New Roman" w:hAnsi="Times New Roman"/>
          <w:lang w:val="en-US"/>
        </w:rPr>
        <w:t>.</w:t>
      </w:r>
    </w:p>
    <w:p w14:paraId="75E58716" w14:textId="599B3EE1" w:rsidR="00206AC6" w:rsidRDefault="00206AC6" w:rsidP="00E2229F">
      <w:pPr>
        <w:spacing w:line="480" w:lineRule="auto"/>
        <w:jc w:val="both"/>
        <w:rPr>
          <w:rFonts w:ascii="Times New Roman" w:hAnsi="Times New Roman"/>
          <w:lang w:val="en-US"/>
        </w:rPr>
      </w:pPr>
      <w:r>
        <w:rPr>
          <w:rFonts w:ascii="Times New Roman" w:hAnsi="Times New Roman"/>
          <w:lang w:val="en-US"/>
        </w:rPr>
        <w:t>The investigations reveal</w:t>
      </w:r>
      <w:r w:rsidR="00522FA1">
        <w:rPr>
          <w:rFonts w:ascii="Times New Roman" w:hAnsi="Times New Roman"/>
          <w:lang w:val="en-US"/>
        </w:rPr>
        <w:t>ed</w:t>
      </w:r>
      <w:r>
        <w:rPr>
          <w:rFonts w:ascii="Times New Roman" w:hAnsi="Times New Roman"/>
          <w:lang w:val="en-US"/>
        </w:rPr>
        <w:t xml:space="preserve"> suffici</w:t>
      </w:r>
      <w:r w:rsidR="00522FA1">
        <w:rPr>
          <w:rFonts w:ascii="Times New Roman" w:hAnsi="Times New Roman"/>
          <w:lang w:val="en-US"/>
        </w:rPr>
        <w:t>e</w:t>
      </w:r>
      <w:r>
        <w:rPr>
          <w:rFonts w:ascii="Times New Roman" w:hAnsi="Times New Roman"/>
          <w:lang w:val="en-US"/>
        </w:rPr>
        <w:t xml:space="preserve">nt evidence to establish the joint </w:t>
      </w:r>
      <w:r w:rsidR="00522FA1">
        <w:rPr>
          <w:rFonts w:ascii="Times New Roman" w:hAnsi="Times New Roman"/>
          <w:lang w:val="en-US"/>
        </w:rPr>
        <w:t xml:space="preserve">military operations carried out by the FRPI and FNI members during an attack on the village of </w:t>
      </w:r>
      <w:proofErr w:type="spellStart"/>
      <w:r w:rsidR="00522FA1">
        <w:rPr>
          <w:rFonts w:ascii="Times New Roman" w:hAnsi="Times New Roman"/>
          <w:lang w:val="en-US"/>
        </w:rPr>
        <w:t>Bog</w:t>
      </w:r>
      <w:r w:rsidR="00F24536">
        <w:rPr>
          <w:rFonts w:ascii="Times New Roman" w:hAnsi="Times New Roman"/>
          <w:lang w:val="en-US"/>
        </w:rPr>
        <w:t>o</w:t>
      </w:r>
      <w:r w:rsidR="00522FA1">
        <w:rPr>
          <w:rFonts w:ascii="Times New Roman" w:hAnsi="Times New Roman"/>
          <w:lang w:val="en-US"/>
        </w:rPr>
        <w:t>ro</w:t>
      </w:r>
      <w:proofErr w:type="spellEnd"/>
      <w:r w:rsidR="00522FA1">
        <w:rPr>
          <w:rFonts w:ascii="Times New Roman" w:hAnsi="Times New Roman"/>
          <w:lang w:val="en-US"/>
        </w:rPr>
        <w:t xml:space="preserve"> in February 2003.</w:t>
      </w:r>
      <w:r w:rsidR="00522FA1">
        <w:rPr>
          <w:rStyle w:val="FootnoteReference"/>
          <w:rFonts w:ascii="Times New Roman" w:hAnsi="Times New Roman"/>
          <w:lang w:val="en-US"/>
        </w:rPr>
        <w:footnoteReference w:id="340"/>
      </w:r>
      <w:r w:rsidR="00522FA1">
        <w:rPr>
          <w:rFonts w:ascii="Times New Roman" w:hAnsi="Times New Roman"/>
          <w:lang w:val="en-US"/>
        </w:rPr>
        <w:t>The members of these militias specifically targeted civilians of the Hema ethnicity.</w:t>
      </w:r>
      <w:r w:rsidR="00496B19">
        <w:rPr>
          <w:rFonts w:ascii="Times New Roman" w:hAnsi="Times New Roman"/>
          <w:lang w:val="en-US"/>
        </w:rPr>
        <w:t xml:space="preserve"> The combatants</w:t>
      </w:r>
      <w:r w:rsidR="00522FA1">
        <w:rPr>
          <w:rFonts w:ascii="Times New Roman" w:hAnsi="Times New Roman"/>
          <w:lang w:val="en-US"/>
        </w:rPr>
        <w:t xml:space="preserve"> committed pillaging, </w:t>
      </w:r>
      <w:r w:rsidR="00496B19">
        <w:rPr>
          <w:rFonts w:ascii="Times New Roman" w:hAnsi="Times New Roman"/>
          <w:lang w:val="en-US"/>
        </w:rPr>
        <w:t xml:space="preserve">the </w:t>
      </w:r>
      <w:r w:rsidR="00522FA1">
        <w:rPr>
          <w:rFonts w:ascii="Times New Roman" w:hAnsi="Times New Roman"/>
          <w:lang w:val="en-US"/>
        </w:rPr>
        <w:t>murder of civilians, sexual slavery, rape</w:t>
      </w:r>
      <w:r w:rsidR="0026727E">
        <w:rPr>
          <w:rFonts w:ascii="Times New Roman" w:hAnsi="Times New Roman"/>
          <w:lang w:val="en-US"/>
        </w:rPr>
        <w:t>, and</w:t>
      </w:r>
      <w:r w:rsidR="00522FA1">
        <w:rPr>
          <w:rFonts w:ascii="Times New Roman" w:hAnsi="Times New Roman"/>
          <w:lang w:val="en-US"/>
        </w:rPr>
        <w:t xml:space="preserve"> children under fifteen</w:t>
      </w:r>
      <w:r w:rsidR="00974B6C">
        <w:rPr>
          <w:rFonts w:ascii="Times New Roman" w:hAnsi="Times New Roman"/>
          <w:lang w:val="en-US"/>
        </w:rPr>
        <w:t xml:space="preserve"> years</w:t>
      </w:r>
      <w:r w:rsidR="00522FA1">
        <w:rPr>
          <w:rFonts w:ascii="Times New Roman" w:hAnsi="Times New Roman"/>
          <w:lang w:val="en-US"/>
        </w:rPr>
        <w:t xml:space="preserve"> to participate actively in the </w:t>
      </w:r>
      <w:r w:rsidR="00522FA1">
        <w:rPr>
          <w:rFonts w:ascii="Times New Roman" w:hAnsi="Times New Roman"/>
          <w:lang w:val="en-US"/>
        </w:rPr>
        <w:lastRenderedPageBreak/>
        <w:t>h</w:t>
      </w:r>
      <w:r w:rsidR="00496B19">
        <w:rPr>
          <w:rFonts w:ascii="Times New Roman" w:hAnsi="Times New Roman"/>
          <w:lang w:val="en-US"/>
        </w:rPr>
        <w:t>os</w:t>
      </w:r>
      <w:r w:rsidR="00522FA1">
        <w:rPr>
          <w:rFonts w:ascii="Times New Roman" w:hAnsi="Times New Roman"/>
          <w:lang w:val="en-US"/>
        </w:rPr>
        <w:t>tilities.</w:t>
      </w:r>
      <w:r w:rsidR="00900B8F">
        <w:rPr>
          <w:rStyle w:val="FootnoteReference"/>
          <w:rFonts w:ascii="Times New Roman" w:hAnsi="Times New Roman"/>
          <w:lang w:val="en-US"/>
        </w:rPr>
        <w:footnoteReference w:id="341"/>
      </w:r>
      <w:r w:rsidR="00522FA1">
        <w:rPr>
          <w:rFonts w:ascii="Times New Roman" w:hAnsi="Times New Roman"/>
          <w:lang w:val="en-US"/>
        </w:rPr>
        <w:t xml:space="preserve">The </w:t>
      </w:r>
      <w:r w:rsidR="00924D6A">
        <w:rPr>
          <w:rFonts w:ascii="Times New Roman" w:hAnsi="Times New Roman"/>
          <w:lang w:val="en-US"/>
        </w:rPr>
        <w:t xml:space="preserve">classification of these </w:t>
      </w:r>
      <w:r w:rsidR="00522FA1">
        <w:rPr>
          <w:rFonts w:ascii="Times New Roman" w:hAnsi="Times New Roman"/>
          <w:lang w:val="en-US"/>
        </w:rPr>
        <w:t xml:space="preserve">criminal acts </w:t>
      </w:r>
      <w:r w:rsidR="00924D6A">
        <w:rPr>
          <w:rFonts w:ascii="Times New Roman" w:hAnsi="Times New Roman"/>
          <w:lang w:val="en-US"/>
        </w:rPr>
        <w:t>f</w:t>
      </w:r>
      <w:r w:rsidR="00CA6087">
        <w:rPr>
          <w:rFonts w:ascii="Times New Roman" w:hAnsi="Times New Roman"/>
          <w:lang w:val="en-US"/>
        </w:rPr>
        <w:t>e</w:t>
      </w:r>
      <w:r w:rsidR="00924D6A">
        <w:rPr>
          <w:rFonts w:ascii="Times New Roman" w:hAnsi="Times New Roman"/>
          <w:lang w:val="en-US"/>
        </w:rPr>
        <w:t xml:space="preserve">ll under </w:t>
      </w:r>
      <w:r w:rsidR="00900B8F">
        <w:rPr>
          <w:rFonts w:ascii="Times New Roman" w:hAnsi="Times New Roman"/>
          <w:lang w:val="en-US"/>
        </w:rPr>
        <w:t>war crimes and crimes against humanity.</w:t>
      </w:r>
    </w:p>
    <w:p w14:paraId="017C5BC5" w14:textId="6099D47E" w:rsidR="00772CFF" w:rsidRPr="00BA5A22" w:rsidRDefault="004113CE" w:rsidP="00E2229F">
      <w:pPr>
        <w:spacing w:line="480" w:lineRule="auto"/>
        <w:jc w:val="both"/>
        <w:rPr>
          <w:rFonts w:ascii="Times New Roman" w:hAnsi="Times New Roman"/>
          <w:lang w:val="en-US"/>
        </w:rPr>
      </w:pPr>
      <w:r>
        <w:rPr>
          <w:rFonts w:ascii="Times New Roman" w:hAnsi="Times New Roman"/>
          <w:lang w:val="en-US"/>
        </w:rPr>
        <w:t xml:space="preserve"> </w:t>
      </w:r>
      <w:r w:rsidR="00293E6B" w:rsidRPr="00BA5A22">
        <w:rPr>
          <w:rFonts w:ascii="Times New Roman" w:hAnsi="Times New Roman"/>
          <w:lang w:val="en-US"/>
        </w:rPr>
        <w:t xml:space="preserve">On June 25, 2007, </w:t>
      </w:r>
      <w:r w:rsidR="00BA5A22" w:rsidRPr="00BA5A22">
        <w:rPr>
          <w:rFonts w:ascii="Times New Roman" w:hAnsi="Times New Roman"/>
          <w:lang w:val="en-US"/>
        </w:rPr>
        <w:t xml:space="preserve">the Prosecution requested arrest warrants for both Katanga and </w:t>
      </w:r>
      <w:proofErr w:type="spellStart"/>
      <w:r w:rsidR="00BA5A22" w:rsidRPr="00BA5A22">
        <w:rPr>
          <w:rFonts w:ascii="Times New Roman" w:hAnsi="Times New Roman"/>
          <w:lang w:val="en-US"/>
        </w:rPr>
        <w:t>Ngudjolo</w:t>
      </w:r>
      <w:proofErr w:type="spellEnd"/>
      <w:r w:rsidR="00BA5A22" w:rsidRPr="00BA5A22">
        <w:rPr>
          <w:rFonts w:ascii="Times New Roman" w:hAnsi="Times New Roman"/>
          <w:lang w:val="en-US"/>
        </w:rPr>
        <w:t>.</w:t>
      </w:r>
      <w:r w:rsidR="00BA5A22" w:rsidRPr="00BA5A22">
        <w:rPr>
          <w:rStyle w:val="FootnoteReference"/>
          <w:rFonts w:ascii="Times New Roman" w:hAnsi="Times New Roman"/>
          <w:lang w:val="en-US"/>
        </w:rPr>
        <w:footnoteReference w:id="342"/>
      </w:r>
      <w:r w:rsidR="00BA5A22">
        <w:rPr>
          <w:rFonts w:ascii="Times New Roman" w:hAnsi="Times New Roman"/>
          <w:lang w:val="en-US"/>
        </w:rPr>
        <w:t>In response to the request, the Chamber issued unsealed arrest warrant against K</w:t>
      </w:r>
      <w:r w:rsidR="0095266F">
        <w:rPr>
          <w:rFonts w:ascii="Times New Roman" w:hAnsi="Times New Roman"/>
          <w:lang w:val="en-US"/>
        </w:rPr>
        <w:t>atan</w:t>
      </w:r>
      <w:r w:rsidR="00BA5A22">
        <w:rPr>
          <w:rFonts w:ascii="Times New Roman" w:hAnsi="Times New Roman"/>
          <w:lang w:val="en-US"/>
        </w:rPr>
        <w:t>g</w:t>
      </w:r>
      <w:r w:rsidR="0095266F">
        <w:rPr>
          <w:rFonts w:ascii="Times New Roman" w:hAnsi="Times New Roman"/>
          <w:lang w:val="en-US"/>
        </w:rPr>
        <w:t>a</w:t>
      </w:r>
      <w:r w:rsidR="00BA5A22">
        <w:rPr>
          <w:rFonts w:ascii="Times New Roman" w:hAnsi="Times New Roman"/>
          <w:lang w:val="en-US"/>
        </w:rPr>
        <w:t xml:space="preserve"> and </w:t>
      </w:r>
      <w:proofErr w:type="spellStart"/>
      <w:r w:rsidR="00BA5A22">
        <w:rPr>
          <w:rFonts w:ascii="Times New Roman" w:hAnsi="Times New Roman"/>
          <w:lang w:val="en-US"/>
        </w:rPr>
        <w:t>Ngudjolo</w:t>
      </w:r>
      <w:proofErr w:type="spellEnd"/>
      <w:r w:rsidR="00BA5A22">
        <w:rPr>
          <w:rFonts w:ascii="Times New Roman" w:hAnsi="Times New Roman"/>
          <w:lang w:val="en-US"/>
        </w:rPr>
        <w:t xml:space="preserve"> on October 18, 2007</w:t>
      </w:r>
      <w:r w:rsidR="00496B19">
        <w:rPr>
          <w:rFonts w:ascii="Times New Roman" w:hAnsi="Times New Roman"/>
          <w:lang w:val="en-US"/>
        </w:rPr>
        <w:t>,</w:t>
      </w:r>
      <w:r w:rsidR="00BA5A22">
        <w:rPr>
          <w:rFonts w:ascii="Times New Roman" w:hAnsi="Times New Roman"/>
          <w:lang w:val="en-US"/>
        </w:rPr>
        <w:t xml:space="preserve"> and February 7, 2008</w:t>
      </w:r>
      <w:r w:rsidR="00496B19">
        <w:rPr>
          <w:rFonts w:ascii="Times New Roman" w:hAnsi="Times New Roman"/>
          <w:lang w:val="en-US"/>
        </w:rPr>
        <w:t>,</w:t>
      </w:r>
      <w:r w:rsidR="00BA5A22">
        <w:rPr>
          <w:rFonts w:ascii="Times New Roman" w:hAnsi="Times New Roman"/>
          <w:lang w:val="en-US"/>
        </w:rPr>
        <w:t xml:space="preserve"> respectively</w:t>
      </w:r>
      <w:r w:rsidR="0095266F">
        <w:rPr>
          <w:rFonts w:ascii="Times New Roman" w:hAnsi="Times New Roman"/>
          <w:lang w:val="en-US"/>
        </w:rPr>
        <w:t>.</w:t>
      </w:r>
      <w:r w:rsidR="00F75E9B">
        <w:rPr>
          <w:rFonts w:ascii="Times New Roman" w:hAnsi="Times New Roman"/>
          <w:lang w:val="en-US"/>
        </w:rPr>
        <w:t xml:space="preserve"> O</w:t>
      </w:r>
      <w:r w:rsidR="0095266F">
        <w:rPr>
          <w:rFonts w:ascii="Times New Roman" w:hAnsi="Times New Roman"/>
          <w:lang w:val="en-US"/>
        </w:rPr>
        <w:t>n March 10, 2008</w:t>
      </w:r>
      <w:r w:rsidR="00F75E9B">
        <w:rPr>
          <w:rFonts w:ascii="Times New Roman" w:hAnsi="Times New Roman"/>
          <w:lang w:val="en-US"/>
        </w:rPr>
        <w:t xml:space="preserve">, The PTC 1 joined the two cases because the suspects, Katanga and </w:t>
      </w:r>
      <w:proofErr w:type="spellStart"/>
      <w:r w:rsidR="00F75E9B">
        <w:rPr>
          <w:rFonts w:ascii="Times New Roman" w:hAnsi="Times New Roman"/>
          <w:lang w:val="en-US"/>
        </w:rPr>
        <w:t>Ngudjolo</w:t>
      </w:r>
      <w:proofErr w:type="spellEnd"/>
      <w:r w:rsidR="00F75E9B">
        <w:rPr>
          <w:rFonts w:ascii="Times New Roman" w:hAnsi="Times New Roman"/>
          <w:lang w:val="en-US"/>
        </w:rPr>
        <w:t xml:space="preserve"> all</w:t>
      </w:r>
      <w:r w:rsidR="00206AC6">
        <w:rPr>
          <w:rFonts w:ascii="Times New Roman" w:hAnsi="Times New Roman"/>
          <w:lang w:val="en-US"/>
        </w:rPr>
        <w:t>egedly shared responsibility for</w:t>
      </w:r>
      <w:r w:rsidR="00F75E9B">
        <w:rPr>
          <w:rFonts w:ascii="Times New Roman" w:hAnsi="Times New Roman"/>
          <w:lang w:val="en-US"/>
        </w:rPr>
        <w:t xml:space="preserve"> crimes committed during the joint attack on</w:t>
      </w:r>
      <w:r w:rsidR="00E2229F">
        <w:rPr>
          <w:rFonts w:ascii="Times New Roman" w:hAnsi="Times New Roman"/>
          <w:lang w:val="en-US"/>
        </w:rPr>
        <w:t xml:space="preserve"> the </w:t>
      </w:r>
      <w:proofErr w:type="spellStart"/>
      <w:r w:rsidR="00E2229F">
        <w:rPr>
          <w:rFonts w:ascii="Times New Roman" w:hAnsi="Times New Roman"/>
          <w:lang w:val="en-US"/>
        </w:rPr>
        <w:t>Bogor</w:t>
      </w:r>
      <w:r w:rsidR="00496B19">
        <w:rPr>
          <w:rFonts w:ascii="Times New Roman" w:hAnsi="Times New Roman"/>
          <w:lang w:val="en-US"/>
        </w:rPr>
        <w:t>o</w:t>
      </w:r>
      <w:proofErr w:type="spellEnd"/>
      <w:r w:rsidR="00E2229F">
        <w:rPr>
          <w:rFonts w:ascii="Times New Roman" w:hAnsi="Times New Roman"/>
          <w:lang w:val="en-US"/>
        </w:rPr>
        <w:t xml:space="preserve"> and, the </w:t>
      </w:r>
      <w:r w:rsidR="00496B19">
        <w:rPr>
          <w:rFonts w:ascii="Times New Roman" w:hAnsi="Times New Roman"/>
          <w:lang w:val="en-US"/>
        </w:rPr>
        <w:t>available</w:t>
      </w:r>
      <w:r w:rsidR="00E2229F">
        <w:rPr>
          <w:rFonts w:ascii="Times New Roman" w:hAnsi="Times New Roman"/>
          <w:lang w:val="en-US"/>
        </w:rPr>
        <w:t xml:space="preserve"> ev</w:t>
      </w:r>
      <w:r w:rsidR="00F75E9B">
        <w:rPr>
          <w:rFonts w:ascii="Times New Roman" w:hAnsi="Times New Roman"/>
          <w:lang w:val="en-US"/>
        </w:rPr>
        <w:t>idence linked these suspects together.</w:t>
      </w:r>
      <w:r w:rsidR="0095266F">
        <w:rPr>
          <w:rStyle w:val="FootnoteReference"/>
          <w:rFonts w:ascii="Times New Roman" w:hAnsi="Times New Roman"/>
          <w:lang w:val="en-US"/>
        </w:rPr>
        <w:footnoteReference w:id="343"/>
      </w:r>
      <w:r w:rsidR="00F75E9B">
        <w:rPr>
          <w:rFonts w:ascii="Times New Roman" w:hAnsi="Times New Roman"/>
          <w:lang w:val="en-US"/>
        </w:rPr>
        <w:t xml:space="preserve">It is also noted that joinder of the case would not be prejudicial to the </w:t>
      </w:r>
      <w:r w:rsidR="0026727E">
        <w:rPr>
          <w:rFonts w:ascii="Times New Roman" w:hAnsi="Times New Roman"/>
          <w:lang w:val="en-US"/>
        </w:rPr>
        <w:t>victims' interest</w:t>
      </w:r>
      <w:r w:rsidR="00F75E9B">
        <w:rPr>
          <w:rFonts w:ascii="Times New Roman" w:hAnsi="Times New Roman"/>
          <w:lang w:val="en-US"/>
        </w:rPr>
        <w:t>s</w:t>
      </w:r>
      <w:r w:rsidR="00496B19">
        <w:rPr>
          <w:rFonts w:ascii="Times New Roman" w:hAnsi="Times New Roman"/>
          <w:lang w:val="en-US"/>
        </w:rPr>
        <w:t>,</w:t>
      </w:r>
      <w:r w:rsidR="00F75E9B">
        <w:rPr>
          <w:rFonts w:ascii="Times New Roman" w:hAnsi="Times New Roman"/>
          <w:lang w:val="en-US"/>
        </w:rPr>
        <w:t xml:space="preserve"> and witnesses would it adversely affect the defendants.</w:t>
      </w:r>
      <w:r w:rsidR="00F75E9B">
        <w:rPr>
          <w:rStyle w:val="FootnoteReference"/>
          <w:rFonts w:ascii="Times New Roman" w:hAnsi="Times New Roman"/>
          <w:lang w:val="en-US"/>
        </w:rPr>
        <w:footnoteReference w:id="344"/>
      </w:r>
    </w:p>
    <w:p w14:paraId="1AD942F3" w14:textId="7B9A42B8" w:rsidR="00772CFF" w:rsidRDefault="00F24536" w:rsidP="00E2229F">
      <w:pPr>
        <w:spacing w:line="480" w:lineRule="auto"/>
        <w:jc w:val="both"/>
        <w:rPr>
          <w:rFonts w:ascii="Times New Roman" w:hAnsi="Times New Roman"/>
          <w:lang w:val="en-US"/>
        </w:rPr>
      </w:pPr>
      <w:r>
        <w:rPr>
          <w:rFonts w:ascii="Times New Roman" w:hAnsi="Times New Roman"/>
          <w:szCs w:val="24"/>
        </w:rPr>
        <w:t xml:space="preserve">The ICC arraigned </w:t>
      </w:r>
      <w:r w:rsidR="00772CFF" w:rsidRPr="00772CFF">
        <w:rPr>
          <w:rFonts w:ascii="Times New Roman" w:hAnsi="Times New Roman"/>
          <w:szCs w:val="24"/>
        </w:rPr>
        <w:t xml:space="preserve">Germain Katanga and </w:t>
      </w:r>
      <w:proofErr w:type="spellStart"/>
      <w:r>
        <w:rPr>
          <w:rFonts w:ascii="Times New Roman" w:hAnsi="Times New Roman"/>
          <w:szCs w:val="24"/>
        </w:rPr>
        <w:t>Ngudjolo</w:t>
      </w:r>
      <w:proofErr w:type="spellEnd"/>
      <w:r>
        <w:rPr>
          <w:rFonts w:ascii="Times New Roman" w:hAnsi="Times New Roman"/>
          <w:szCs w:val="24"/>
        </w:rPr>
        <w:t xml:space="preserve"> Chui as</w:t>
      </w:r>
      <w:r w:rsidR="00772CFF" w:rsidRPr="00772CFF">
        <w:rPr>
          <w:rFonts w:ascii="Times New Roman" w:hAnsi="Times New Roman"/>
          <w:szCs w:val="24"/>
        </w:rPr>
        <w:t xml:space="preserve"> the former leader</w:t>
      </w:r>
      <w:r w:rsidR="00881B7D">
        <w:rPr>
          <w:rFonts w:ascii="Times New Roman" w:hAnsi="Times New Roman"/>
          <w:szCs w:val="24"/>
        </w:rPr>
        <w:t>s</w:t>
      </w:r>
      <w:r w:rsidR="00772CFF" w:rsidRPr="00772CFF">
        <w:rPr>
          <w:rFonts w:ascii="Times New Roman" w:hAnsi="Times New Roman"/>
          <w:szCs w:val="24"/>
        </w:rPr>
        <w:t xml:space="preserve"> of the Forces de Resist</w:t>
      </w:r>
      <w:r w:rsidR="00BE1DC4">
        <w:rPr>
          <w:rFonts w:ascii="Times New Roman" w:hAnsi="Times New Roman"/>
          <w:szCs w:val="24"/>
        </w:rPr>
        <w:t>a</w:t>
      </w:r>
      <w:r w:rsidR="00772CFF" w:rsidRPr="00772CFF">
        <w:rPr>
          <w:rFonts w:ascii="Times New Roman" w:hAnsi="Times New Roman"/>
          <w:szCs w:val="24"/>
        </w:rPr>
        <w:t xml:space="preserve">nce </w:t>
      </w:r>
      <w:proofErr w:type="spellStart"/>
      <w:r w:rsidR="00772CFF" w:rsidRPr="00772CFF">
        <w:rPr>
          <w:rFonts w:ascii="Times New Roman" w:hAnsi="Times New Roman"/>
          <w:szCs w:val="24"/>
        </w:rPr>
        <w:t>Patriotique</w:t>
      </w:r>
      <w:proofErr w:type="spellEnd"/>
      <w:r w:rsidR="00772CFF" w:rsidRPr="00772CFF">
        <w:rPr>
          <w:rFonts w:ascii="Times New Roman" w:hAnsi="Times New Roman"/>
          <w:szCs w:val="24"/>
        </w:rPr>
        <w:t xml:space="preserve"> </w:t>
      </w:r>
      <w:proofErr w:type="spellStart"/>
      <w:r w:rsidR="00772CFF" w:rsidRPr="00772CFF">
        <w:rPr>
          <w:rFonts w:ascii="Times New Roman" w:hAnsi="Times New Roman"/>
          <w:szCs w:val="24"/>
        </w:rPr>
        <w:t>Ituri</w:t>
      </w:r>
      <w:proofErr w:type="spellEnd"/>
      <w:r w:rsidR="00772CFF" w:rsidRPr="00772CFF">
        <w:rPr>
          <w:rFonts w:ascii="Times New Roman" w:hAnsi="Times New Roman"/>
          <w:szCs w:val="24"/>
        </w:rPr>
        <w:t xml:space="preserve">(FRPI) and Front des Nationalists et </w:t>
      </w:r>
      <w:proofErr w:type="spellStart"/>
      <w:r w:rsidR="00772CFF" w:rsidRPr="00772CFF">
        <w:rPr>
          <w:rFonts w:ascii="Times New Roman" w:hAnsi="Times New Roman"/>
          <w:szCs w:val="24"/>
        </w:rPr>
        <w:t>Integrationistes</w:t>
      </w:r>
      <w:proofErr w:type="spellEnd"/>
      <w:r w:rsidR="00772CFF" w:rsidRPr="00772CFF">
        <w:rPr>
          <w:rFonts w:ascii="Times New Roman" w:hAnsi="Times New Roman"/>
          <w:szCs w:val="24"/>
        </w:rPr>
        <w:t xml:space="preserve">(FNI) respectively. They were charged for the alleged commission of war crimes and crimes against humanity during an attack in the village of </w:t>
      </w:r>
      <w:proofErr w:type="spellStart"/>
      <w:r w:rsidR="00772CFF" w:rsidRPr="00772CFF">
        <w:rPr>
          <w:rFonts w:ascii="Times New Roman" w:hAnsi="Times New Roman"/>
          <w:szCs w:val="24"/>
        </w:rPr>
        <w:t>Bogoro</w:t>
      </w:r>
      <w:proofErr w:type="spellEnd"/>
      <w:r w:rsidR="00772CFF" w:rsidRPr="00772CFF">
        <w:rPr>
          <w:rFonts w:ascii="Times New Roman" w:hAnsi="Times New Roman"/>
          <w:szCs w:val="24"/>
        </w:rPr>
        <w:t xml:space="preserve">, in </w:t>
      </w:r>
      <w:proofErr w:type="spellStart"/>
      <w:r w:rsidR="00772CFF" w:rsidRPr="00772CFF">
        <w:rPr>
          <w:rFonts w:ascii="Times New Roman" w:hAnsi="Times New Roman"/>
          <w:szCs w:val="24"/>
        </w:rPr>
        <w:lastRenderedPageBreak/>
        <w:t>Ituri</w:t>
      </w:r>
      <w:proofErr w:type="spellEnd"/>
      <w:r w:rsidR="00772CFF" w:rsidRPr="00772CFF">
        <w:rPr>
          <w:rFonts w:ascii="Times New Roman" w:hAnsi="Times New Roman"/>
          <w:szCs w:val="24"/>
        </w:rPr>
        <w:t xml:space="preserve"> district of eastern DRC on 24 February 2003.</w:t>
      </w:r>
      <w:r w:rsidR="00772CFF" w:rsidRPr="00772CFF">
        <w:rPr>
          <w:rFonts w:ascii="Times New Roman" w:hAnsi="Times New Roman"/>
          <w:szCs w:val="24"/>
          <w:vertAlign w:val="superscript"/>
        </w:rPr>
        <w:footnoteReference w:id="345"/>
      </w:r>
      <w:r w:rsidR="004113CE" w:rsidRPr="004113CE">
        <w:rPr>
          <w:rFonts w:ascii="Times New Roman" w:hAnsi="Times New Roman"/>
          <w:lang w:val="en-US"/>
        </w:rPr>
        <w:t xml:space="preserve"> </w:t>
      </w:r>
      <w:r w:rsidR="004113CE">
        <w:rPr>
          <w:rFonts w:ascii="Times New Roman" w:hAnsi="Times New Roman"/>
          <w:lang w:val="en-US"/>
        </w:rPr>
        <w:t>The crimes span</w:t>
      </w:r>
      <w:r>
        <w:rPr>
          <w:rFonts w:ascii="Times New Roman" w:hAnsi="Times New Roman"/>
          <w:lang w:val="en-US"/>
        </w:rPr>
        <w:t>ned</w:t>
      </w:r>
      <w:r w:rsidR="004113CE">
        <w:rPr>
          <w:rFonts w:ascii="Times New Roman" w:hAnsi="Times New Roman"/>
          <w:lang w:val="en-US"/>
        </w:rPr>
        <w:t xml:space="preserve"> from January to March 2003.</w:t>
      </w:r>
      <w:r w:rsidR="00496B19">
        <w:rPr>
          <w:rFonts w:ascii="Times New Roman" w:hAnsi="Times New Roman"/>
          <w:lang w:val="en-US"/>
        </w:rPr>
        <w:t xml:space="preserve"> </w:t>
      </w:r>
      <w:r w:rsidR="004113CE">
        <w:rPr>
          <w:rFonts w:ascii="Times New Roman" w:hAnsi="Times New Roman"/>
          <w:lang w:val="en-US"/>
        </w:rPr>
        <w:t>How</w:t>
      </w:r>
      <w:r>
        <w:rPr>
          <w:rFonts w:ascii="Times New Roman" w:hAnsi="Times New Roman"/>
          <w:lang w:val="en-US"/>
        </w:rPr>
        <w:t>ever, the charging document limited the</w:t>
      </w:r>
      <w:r w:rsidR="004113CE">
        <w:rPr>
          <w:rFonts w:ascii="Times New Roman" w:hAnsi="Times New Roman"/>
          <w:lang w:val="en-US"/>
        </w:rPr>
        <w:t xml:space="preserve"> main crime under</w:t>
      </w:r>
      <w:r>
        <w:rPr>
          <w:rFonts w:ascii="Times New Roman" w:hAnsi="Times New Roman"/>
          <w:lang w:val="en-US"/>
        </w:rPr>
        <w:t xml:space="preserve"> investigation </w:t>
      </w:r>
      <w:r w:rsidR="004113CE">
        <w:rPr>
          <w:rFonts w:ascii="Times New Roman" w:hAnsi="Times New Roman"/>
          <w:lang w:val="en-US"/>
        </w:rPr>
        <w:t>to 24 February</w:t>
      </w:r>
      <w:r w:rsidR="00206AC6">
        <w:rPr>
          <w:rFonts w:ascii="Times New Roman" w:hAnsi="Times New Roman"/>
          <w:lang w:val="en-US"/>
        </w:rPr>
        <w:t xml:space="preserve"> 2003.</w:t>
      </w:r>
    </w:p>
    <w:p w14:paraId="1BEA2877" w14:textId="77777777"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 xml:space="preserve">On 26 September 2008, PTC 1 issued the Decision on the confirmation of charges. It found unanimously that  “there was sufficient evidence to establish substantial grounds to believe that, during the attack on </w:t>
      </w:r>
      <w:proofErr w:type="spellStart"/>
      <w:r w:rsidRPr="00772CFF">
        <w:rPr>
          <w:rFonts w:ascii="Times New Roman" w:hAnsi="Times New Roman"/>
          <w:szCs w:val="24"/>
        </w:rPr>
        <w:t>Bogoro</w:t>
      </w:r>
      <w:proofErr w:type="spellEnd"/>
      <w:r w:rsidRPr="00772CFF">
        <w:rPr>
          <w:rFonts w:ascii="Times New Roman" w:hAnsi="Times New Roman"/>
          <w:szCs w:val="24"/>
        </w:rPr>
        <w:t xml:space="preserve"> of 24 February 2003,</w:t>
      </w:r>
      <w:r w:rsidR="00BE1DC4">
        <w:rPr>
          <w:rFonts w:ascii="Times New Roman" w:hAnsi="Times New Roman"/>
          <w:szCs w:val="24"/>
        </w:rPr>
        <w:t xml:space="preserve"> </w:t>
      </w:r>
      <w:r w:rsidRPr="00772CFF">
        <w:rPr>
          <w:rFonts w:ascii="Times New Roman" w:hAnsi="Times New Roman"/>
          <w:szCs w:val="24"/>
        </w:rPr>
        <w:t xml:space="preserve">Katanga and </w:t>
      </w:r>
      <w:proofErr w:type="spellStart"/>
      <w:r w:rsidRPr="00772CFF">
        <w:rPr>
          <w:rFonts w:ascii="Times New Roman" w:hAnsi="Times New Roman"/>
          <w:szCs w:val="24"/>
        </w:rPr>
        <w:t>Ngudjolo</w:t>
      </w:r>
      <w:proofErr w:type="spellEnd"/>
      <w:r w:rsidRPr="00772CFF">
        <w:rPr>
          <w:rFonts w:ascii="Times New Roman" w:hAnsi="Times New Roman"/>
          <w:szCs w:val="24"/>
        </w:rPr>
        <w:t>,</w:t>
      </w:r>
      <w:r w:rsidR="003728A4">
        <w:rPr>
          <w:rFonts w:ascii="Times New Roman" w:hAnsi="Times New Roman"/>
          <w:szCs w:val="24"/>
        </w:rPr>
        <w:t xml:space="preserve"> </w:t>
      </w:r>
      <w:r w:rsidRPr="00772CFF">
        <w:rPr>
          <w:rFonts w:ascii="Times New Roman" w:hAnsi="Times New Roman"/>
          <w:szCs w:val="24"/>
        </w:rPr>
        <w:t>as principal indirect co-perpetrators, jointly co</w:t>
      </w:r>
      <w:r w:rsidR="00DC2AD2">
        <w:rPr>
          <w:rFonts w:ascii="Times New Roman" w:hAnsi="Times New Roman"/>
          <w:szCs w:val="24"/>
        </w:rPr>
        <w:t xml:space="preserve">mmitted through other persons, </w:t>
      </w:r>
      <w:r w:rsidRPr="00772CFF">
        <w:rPr>
          <w:rFonts w:ascii="Times New Roman" w:hAnsi="Times New Roman"/>
          <w:szCs w:val="24"/>
        </w:rPr>
        <w:t xml:space="preserve">within the meaning of </w:t>
      </w:r>
      <w:r w:rsidR="00BE1DC4">
        <w:rPr>
          <w:rFonts w:ascii="Times New Roman" w:hAnsi="Times New Roman"/>
          <w:szCs w:val="24"/>
        </w:rPr>
        <w:t>A</w:t>
      </w:r>
      <w:r w:rsidRPr="00772CFF">
        <w:rPr>
          <w:rFonts w:ascii="Times New Roman" w:hAnsi="Times New Roman"/>
          <w:szCs w:val="24"/>
        </w:rPr>
        <w:t>rticle 25(3)(a) of the Statute, the following crimes with intent:</w:t>
      </w:r>
    </w:p>
    <w:p w14:paraId="011F2773" w14:textId="6247B7BE"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1.war crime of wilful killing under article 8(2)(a)(</w:t>
      </w:r>
      <w:proofErr w:type="spellStart"/>
      <w:r w:rsidRPr="00772CFF">
        <w:rPr>
          <w:rFonts w:ascii="Times New Roman" w:hAnsi="Times New Roman"/>
          <w:szCs w:val="24"/>
        </w:rPr>
        <w:t>i</w:t>
      </w:r>
      <w:proofErr w:type="spellEnd"/>
      <w:r w:rsidRPr="00772CFF">
        <w:rPr>
          <w:rFonts w:ascii="Times New Roman" w:hAnsi="Times New Roman"/>
          <w:szCs w:val="24"/>
        </w:rPr>
        <w:t>);</w:t>
      </w:r>
    </w:p>
    <w:p w14:paraId="23392A2D" w14:textId="7E88D45C"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 xml:space="preserve">2.the crime against humanity of murder under </w:t>
      </w:r>
      <w:r w:rsidR="00BE1DC4">
        <w:rPr>
          <w:rFonts w:ascii="Times New Roman" w:hAnsi="Times New Roman"/>
          <w:szCs w:val="24"/>
        </w:rPr>
        <w:t>A</w:t>
      </w:r>
      <w:r w:rsidRPr="00772CFF">
        <w:rPr>
          <w:rFonts w:ascii="Times New Roman" w:hAnsi="Times New Roman"/>
          <w:szCs w:val="24"/>
        </w:rPr>
        <w:t>rticle 7(1)(a);</w:t>
      </w:r>
    </w:p>
    <w:p w14:paraId="6313D5CD" w14:textId="56EC70E7"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3.The war crime of directing an attack ag</w:t>
      </w:r>
      <w:r w:rsidR="00DC2AD2">
        <w:rPr>
          <w:rFonts w:ascii="Times New Roman" w:hAnsi="Times New Roman"/>
          <w:szCs w:val="24"/>
        </w:rPr>
        <w:t>a</w:t>
      </w:r>
      <w:r w:rsidRPr="00772CFF">
        <w:rPr>
          <w:rFonts w:ascii="Times New Roman" w:hAnsi="Times New Roman"/>
          <w:szCs w:val="24"/>
        </w:rPr>
        <w:t>inst a civilian population as such or against individual civilians not taking direct part in hostilities under article 8(2)(b)(</w:t>
      </w:r>
      <w:proofErr w:type="spellStart"/>
      <w:r w:rsidRPr="00772CFF">
        <w:rPr>
          <w:rFonts w:ascii="Times New Roman" w:hAnsi="Times New Roman"/>
          <w:szCs w:val="24"/>
        </w:rPr>
        <w:t>i</w:t>
      </w:r>
      <w:proofErr w:type="spellEnd"/>
      <w:r w:rsidRPr="00772CFF">
        <w:rPr>
          <w:rFonts w:ascii="Times New Roman" w:hAnsi="Times New Roman"/>
          <w:szCs w:val="24"/>
        </w:rPr>
        <w:t>); and</w:t>
      </w:r>
    </w:p>
    <w:p w14:paraId="0AFE182E" w14:textId="749E4C6D"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4.the war crime of destruction of property under 8(2)(b)(xii)</w:t>
      </w:r>
      <w:r w:rsidR="00DA5FA2">
        <w:rPr>
          <w:rFonts w:ascii="Times New Roman" w:hAnsi="Times New Roman"/>
          <w:szCs w:val="24"/>
        </w:rPr>
        <w:t>;</w:t>
      </w:r>
    </w:p>
    <w:p w14:paraId="50F2561B" w14:textId="6272365B"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5.the war crime of pillaging under article 8(2)(b)(xvi);</w:t>
      </w:r>
    </w:p>
    <w:p w14:paraId="7BDE28E4" w14:textId="77777777" w:rsidR="00ED60B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lastRenderedPageBreak/>
        <w:t xml:space="preserve">6.the war crime of using children under the age </w:t>
      </w:r>
      <w:r w:rsidR="00BE1DC4">
        <w:rPr>
          <w:rFonts w:ascii="Times New Roman" w:hAnsi="Times New Roman"/>
          <w:szCs w:val="24"/>
        </w:rPr>
        <w:t>o</w:t>
      </w:r>
      <w:r w:rsidRPr="00772CFF">
        <w:rPr>
          <w:rFonts w:ascii="Times New Roman" w:hAnsi="Times New Roman"/>
          <w:szCs w:val="24"/>
        </w:rPr>
        <w:t>f fifteen years to participate actively in hostilities as set out in article 8(2)(b)(xxvi)’.</w:t>
      </w:r>
      <w:r w:rsidRPr="00772CFF">
        <w:rPr>
          <w:rFonts w:ascii="Times New Roman" w:hAnsi="Times New Roman"/>
          <w:szCs w:val="24"/>
          <w:vertAlign w:val="superscript"/>
        </w:rPr>
        <w:footnoteReference w:id="346"/>
      </w:r>
    </w:p>
    <w:p w14:paraId="14D39FED" w14:textId="68550618" w:rsidR="00772CFF" w:rsidRPr="00772CFF" w:rsidRDefault="00ED60BF" w:rsidP="00E2229F">
      <w:pPr>
        <w:spacing w:line="480" w:lineRule="auto"/>
        <w:jc w:val="both"/>
        <w:rPr>
          <w:rFonts w:ascii="Times New Roman" w:hAnsi="Times New Roman"/>
          <w:szCs w:val="24"/>
        </w:rPr>
      </w:pPr>
      <w:r>
        <w:rPr>
          <w:rFonts w:ascii="Times New Roman" w:hAnsi="Times New Roman"/>
          <w:szCs w:val="24"/>
        </w:rPr>
        <w:t>7</w:t>
      </w:r>
      <w:r w:rsidR="00772CFF" w:rsidRPr="00772CFF">
        <w:rPr>
          <w:rFonts w:ascii="Times New Roman" w:hAnsi="Times New Roman"/>
          <w:szCs w:val="24"/>
        </w:rPr>
        <w:t>.the war crime of sexual slavery under article 8(2)(xxii);</w:t>
      </w:r>
    </w:p>
    <w:p w14:paraId="15AB0C8F" w14:textId="2C9B2523" w:rsidR="00772CFF" w:rsidRPr="00772CFF" w:rsidRDefault="00ED60BF" w:rsidP="00E2229F">
      <w:pPr>
        <w:spacing w:line="480" w:lineRule="auto"/>
        <w:jc w:val="both"/>
        <w:rPr>
          <w:rFonts w:ascii="Times New Roman" w:hAnsi="Times New Roman"/>
          <w:szCs w:val="24"/>
        </w:rPr>
      </w:pPr>
      <w:r>
        <w:rPr>
          <w:rFonts w:ascii="Times New Roman" w:hAnsi="Times New Roman"/>
          <w:szCs w:val="24"/>
        </w:rPr>
        <w:t>8</w:t>
      </w:r>
      <w:r w:rsidR="00772CFF" w:rsidRPr="00772CFF">
        <w:rPr>
          <w:rFonts w:ascii="Times New Roman" w:hAnsi="Times New Roman"/>
          <w:szCs w:val="24"/>
        </w:rPr>
        <w:t>.the crime against humanity of sexual slavery under article 7(1)(g);</w:t>
      </w:r>
    </w:p>
    <w:p w14:paraId="5E0D8C09" w14:textId="77777777" w:rsidR="00772CFF" w:rsidRPr="00772CFF" w:rsidRDefault="00ED60BF" w:rsidP="00E2229F">
      <w:pPr>
        <w:spacing w:line="480" w:lineRule="auto"/>
        <w:jc w:val="both"/>
        <w:rPr>
          <w:rFonts w:ascii="Times New Roman" w:hAnsi="Times New Roman"/>
          <w:szCs w:val="24"/>
        </w:rPr>
      </w:pPr>
      <w:r>
        <w:rPr>
          <w:rFonts w:ascii="Times New Roman" w:hAnsi="Times New Roman"/>
          <w:szCs w:val="24"/>
        </w:rPr>
        <w:t>9</w:t>
      </w:r>
      <w:r w:rsidR="00772CFF" w:rsidRPr="00772CFF">
        <w:rPr>
          <w:rFonts w:ascii="Times New Roman" w:hAnsi="Times New Roman"/>
          <w:szCs w:val="24"/>
        </w:rPr>
        <w:t>.</w:t>
      </w:r>
      <w:r w:rsidR="00BE1DC4">
        <w:rPr>
          <w:rFonts w:ascii="Times New Roman" w:hAnsi="Times New Roman"/>
          <w:szCs w:val="24"/>
        </w:rPr>
        <w:t xml:space="preserve"> </w:t>
      </w:r>
      <w:r w:rsidR="00772CFF" w:rsidRPr="00772CFF">
        <w:rPr>
          <w:rFonts w:ascii="Times New Roman" w:hAnsi="Times New Roman"/>
          <w:szCs w:val="24"/>
        </w:rPr>
        <w:t>The war crime of rape under article 8(2)(b)(xxii);</w:t>
      </w:r>
    </w:p>
    <w:p w14:paraId="48C2170D" w14:textId="77777777" w:rsidR="00772CFF" w:rsidRDefault="00ED60BF" w:rsidP="00E2229F">
      <w:pPr>
        <w:spacing w:line="480" w:lineRule="auto"/>
        <w:jc w:val="both"/>
        <w:rPr>
          <w:rFonts w:ascii="Times New Roman" w:hAnsi="Times New Roman"/>
          <w:szCs w:val="24"/>
        </w:rPr>
      </w:pPr>
      <w:r>
        <w:rPr>
          <w:rFonts w:ascii="Times New Roman" w:hAnsi="Times New Roman"/>
          <w:szCs w:val="24"/>
        </w:rPr>
        <w:t>10</w:t>
      </w:r>
      <w:r w:rsidR="00772CFF" w:rsidRPr="00772CFF">
        <w:rPr>
          <w:rFonts w:ascii="Times New Roman" w:hAnsi="Times New Roman"/>
          <w:szCs w:val="24"/>
        </w:rPr>
        <w:t>.the crime against humanity of rape under article 7(1)(g).</w:t>
      </w:r>
      <w:r w:rsidR="00772CFF" w:rsidRPr="00772CFF">
        <w:rPr>
          <w:rFonts w:ascii="Times New Roman" w:hAnsi="Times New Roman"/>
          <w:szCs w:val="24"/>
          <w:vertAlign w:val="superscript"/>
        </w:rPr>
        <w:footnoteReference w:id="347"/>
      </w:r>
    </w:p>
    <w:p w14:paraId="58FB2922" w14:textId="57F7900C" w:rsidR="004113CE" w:rsidRDefault="004113CE" w:rsidP="00E2229F">
      <w:pPr>
        <w:spacing w:line="480" w:lineRule="auto"/>
        <w:jc w:val="both"/>
        <w:rPr>
          <w:rFonts w:ascii="Times New Roman" w:hAnsi="Times New Roman"/>
          <w:szCs w:val="24"/>
        </w:rPr>
      </w:pPr>
      <w:r>
        <w:rPr>
          <w:rFonts w:ascii="Times New Roman" w:hAnsi="Times New Roman"/>
          <w:szCs w:val="24"/>
        </w:rPr>
        <w:t>It is observed that the charges reveal different crimes committed within one single event on a day.</w:t>
      </w:r>
      <w:r w:rsidR="00496B19">
        <w:rPr>
          <w:rFonts w:ascii="Times New Roman" w:hAnsi="Times New Roman"/>
          <w:szCs w:val="24"/>
        </w:rPr>
        <w:t xml:space="preserve"> </w:t>
      </w:r>
      <w:r>
        <w:rPr>
          <w:rFonts w:ascii="Times New Roman" w:hAnsi="Times New Roman"/>
          <w:szCs w:val="24"/>
        </w:rPr>
        <w:t>Th</w:t>
      </w:r>
      <w:r w:rsidR="00496B19">
        <w:rPr>
          <w:rFonts w:ascii="Times New Roman" w:hAnsi="Times New Roman"/>
          <w:szCs w:val="24"/>
        </w:rPr>
        <w:t>e</w:t>
      </w:r>
      <w:r>
        <w:rPr>
          <w:rFonts w:ascii="Times New Roman" w:hAnsi="Times New Roman"/>
          <w:szCs w:val="24"/>
        </w:rPr>
        <w:t xml:space="preserve"> charges are considered to be comprehensive as opposed to the narrow charges in Lubanga.</w:t>
      </w:r>
      <w:r w:rsidR="00496B19">
        <w:rPr>
          <w:rFonts w:ascii="Times New Roman" w:hAnsi="Times New Roman"/>
          <w:szCs w:val="24"/>
        </w:rPr>
        <w:t xml:space="preserve"> </w:t>
      </w:r>
      <w:r>
        <w:rPr>
          <w:rFonts w:ascii="Times New Roman" w:hAnsi="Times New Roman"/>
          <w:szCs w:val="24"/>
        </w:rPr>
        <w:t xml:space="preserve">However, these charges were limited to a single day and event rather than a </w:t>
      </w:r>
      <w:r w:rsidR="00496B19">
        <w:rPr>
          <w:rFonts w:ascii="Times New Roman" w:hAnsi="Times New Roman"/>
          <w:szCs w:val="24"/>
        </w:rPr>
        <w:t>more extended</w:t>
      </w:r>
      <w:r>
        <w:rPr>
          <w:rFonts w:ascii="Times New Roman" w:hAnsi="Times New Roman"/>
          <w:szCs w:val="24"/>
        </w:rPr>
        <w:t xml:space="preserve"> peri</w:t>
      </w:r>
      <w:r w:rsidR="00DA5FA2">
        <w:rPr>
          <w:rFonts w:ascii="Times New Roman" w:hAnsi="Times New Roman"/>
          <w:szCs w:val="24"/>
        </w:rPr>
        <w:t>od</w:t>
      </w:r>
      <w:r>
        <w:rPr>
          <w:rFonts w:ascii="Times New Roman" w:hAnsi="Times New Roman"/>
          <w:szCs w:val="24"/>
        </w:rPr>
        <w:t>.</w:t>
      </w:r>
      <w:r w:rsidR="00496B19">
        <w:rPr>
          <w:rFonts w:ascii="Times New Roman" w:hAnsi="Times New Roman"/>
          <w:szCs w:val="24"/>
        </w:rPr>
        <w:t xml:space="preserve"> </w:t>
      </w:r>
      <w:r w:rsidR="005915F9">
        <w:rPr>
          <w:rFonts w:ascii="Times New Roman" w:hAnsi="Times New Roman"/>
          <w:szCs w:val="24"/>
        </w:rPr>
        <w:t xml:space="preserve">The ICC prosecutor </w:t>
      </w:r>
      <w:r w:rsidR="0061592F">
        <w:rPr>
          <w:rFonts w:ascii="Times New Roman" w:hAnsi="Times New Roman"/>
          <w:szCs w:val="24"/>
        </w:rPr>
        <w:t>reduce</w:t>
      </w:r>
      <w:r w:rsidR="00DA5FA2">
        <w:rPr>
          <w:rFonts w:ascii="Times New Roman" w:hAnsi="Times New Roman"/>
          <w:szCs w:val="24"/>
        </w:rPr>
        <w:t>d</w:t>
      </w:r>
      <w:r w:rsidR="0061592F">
        <w:rPr>
          <w:rFonts w:ascii="Times New Roman" w:hAnsi="Times New Roman"/>
          <w:szCs w:val="24"/>
        </w:rPr>
        <w:t xml:space="preserve"> the scope of his investigation to </w:t>
      </w:r>
      <w:r w:rsidR="00496B19">
        <w:rPr>
          <w:rFonts w:ascii="Times New Roman" w:hAnsi="Times New Roman"/>
          <w:szCs w:val="24"/>
        </w:rPr>
        <w:t xml:space="preserve">the </w:t>
      </w:r>
      <w:proofErr w:type="spellStart"/>
      <w:r w:rsidR="00496B19">
        <w:rPr>
          <w:rFonts w:ascii="Times New Roman" w:hAnsi="Times New Roman"/>
          <w:szCs w:val="24"/>
        </w:rPr>
        <w:t>I</w:t>
      </w:r>
      <w:r w:rsidR="0061592F">
        <w:rPr>
          <w:rFonts w:ascii="Times New Roman" w:hAnsi="Times New Roman"/>
          <w:szCs w:val="24"/>
        </w:rPr>
        <w:t>turi</w:t>
      </w:r>
      <w:proofErr w:type="spellEnd"/>
      <w:r w:rsidR="0061592F">
        <w:rPr>
          <w:rFonts w:ascii="Times New Roman" w:hAnsi="Times New Roman"/>
          <w:szCs w:val="24"/>
        </w:rPr>
        <w:t xml:space="preserve"> region </w:t>
      </w:r>
      <w:r w:rsidR="00DA5FA2">
        <w:rPr>
          <w:rFonts w:ascii="Times New Roman" w:hAnsi="Times New Roman"/>
          <w:szCs w:val="24"/>
        </w:rPr>
        <w:t>because</w:t>
      </w:r>
      <w:r w:rsidR="0061592F">
        <w:rPr>
          <w:rFonts w:ascii="Times New Roman" w:hAnsi="Times New Roman"/>
          <w:szCs w:val="24"/>
        </w:rPr>
        <w:t xml:space="preserve"> of the gravity of crimes </w:t>
      </w:r>
      <w:r w:rsidR="00DA5FA2">
        <w:rPr>
          <w:rFonts w:ascii="Times New Roman" w:hAnsi="Times New Roman"/>
          <w:szCs w:val="24"/>
        </w:rPr>
        <w:t>which occurred in</w:t>
      </w:r>
      <w:r w:rsidR="0061592F">
        <w:rPr>
          <w:rFonts w:ascii="Times New Roman" w:hAnsi="Times New Roman"/>
          <w:szCs w:val="24"/>
        </w:rPr>
        <w:t xml:space="preserve"> </w:t>
      </w:r>
      <w:proofErr w:type="spellStart"/>
      <w:r w:rsidR="0061592F">
        <w:rPr>
          <w:rFonts w:ascii="Times New Roman" w:hAnsi="Times New Roman"/>
          <w:szCs w:val="24"/>
        </w:rPr>
        <w:t>Ituri</w:t>
      </w:r>
      <w:proofErr w:type="spellEnd"/>
      <w:r w:rsidR="0061592F">
        <w:rPr>
          <w:rFonts w:ascii="Times New Roman" w:hAnsi="Times New Roman"/>
          <w:szCs w:val="24"/>
        </w:rPr>
        <w:t xml:space="preserve"> conflict.</w:t>
      </w:r>
      <w:r w:rsidR="0061592F">
        <w:rPr>
          <w:rStyle w:val="FootnoteReference"/>
          <w:rFonts w:ascii="Times New Roman" w:hAnsi="Times New Roman"/>
          <w:szCs w:val="24"/>
        </w:rPr>
        <w:footnoteReference w:id="348"/>
      </w:r>
    </w:p>
    <w:p w14:paraId="3665EE45" w14:textId="0FE0230C" w:rsidR="000E1BDD" w:rsidRPr="00772CFF" w:rsidRDefault="000E1BDD" w:rsidP="00E2229F">
      <w:pPr>
        <w:spacing w:line="480" w:lineRule="auto"/>
        <w:jc w:val="both"/>
        <w:rPr>
          <w:rFonts w:ascii="Times New Roman" w:hAnsi="Times New Roman"/>
          <w:szCs w:val="24"/>
        </w:rPr>
      </w:pPr>
      <w:r w:rsidRPr="00772CFF">
        <w:rPr>
          <w:rFonts w:ascii="Times New Roman" w:hAnsi="Times New Roman"/>
          <w:szCs w:val="24"/>
        </w:rPr>
        <w:t xml:space="preserve">The LRV also adduced evidence to prove that the </w:t>
      </w:r>
      <w:proofErr w:type="spellStart"/>
      <w:r w:rsidRPr="00772CFF">
        <w:rPr>
          <w:rFonts w:ascii="Times New Roman" w:hAnsi="Times New Roman"/>
          <w:szCs w:val="24"/>
        </w:rPr>
        <w:t>Lendu</w:t>
      </w:r>
      <w:proofErr w:type="spellEnd"/>
      <w:r w:rsidRPr="00772CFF">
        <w:rPr>
          <w:rFonts w:ascii="Times New Roman" w:hAnsi="Times New Roman"/>
          <w:szCs w:val="24"/>
        </w:rPr>
        <w:t xml:space="preserve"> and the </w:t>
      </w:r>
      <w:proofErr w:type="spellStart"/>
      <w:r w:rsidRPr="00772CFF">
        <w:rPr>
          <w:rFonts w:ascii="Times New Roman" w:hAnsi="Times New Roman"/>
          <w:szCs w:val="24"/>
        </w:rPr>
        <w:t>Ngiti</w:t>
      </w:r>
      <w:proofErr w:type="spellEnd"/>
      <w:r w:rsidRPr="00772CFF">
        <w:rPr>
          <w:rFonts w:ascii="Times New Roman" w:hAnsi="Times New Roman"/>
          <w:szCs w:val="24"/>
        </w:rPr>
        <w:t xml:space="preserve"> attackers massacred civilian population in the events that </w:t>
      </w:r>
      <w:r w:rsidR="00DA5FA2">
        <w:rPr>
          <w:rFonts w:ascii="Times New Roman" w:hAnsi="Times New Roman"/>
          <w:szCs w:val="24"/>
        </w:rPr>
        <w:t>emerged</w:t>
      </w:r>
      <w:r w:rsidRPr="00772CFF">
        <w:rPr>
          <w:rFonts w:ascii="Times New Roman" w:hAnsi="Times New Roman"/>
          <w:szCs w:val="24"/>
        </w:rPr>
        <w:t xml:space="preserve"> at </w:t>
      </w:r>
      <w:proofErr w:type="spellStart"/>
      <w:r w:rsidRPr="00772CFF">
        <w:rPr>
          <w:rFonts w:ascii="Times New Roman" w:hAnsi="Times New Roman"/>
          <w:szCs w:val="24"/>
        </w:rPr>
        <w:t>Bogoro</w:t>
      </w:r>
      <w:proofErr w:type="spellEnd"/>
      <w:r w:rsidRPr="00772CFF">
        <w:rPr>
          <w:rFonts w:ascii="Times New Roman" w:hAnsi="Times New Roman"/>
          <w:szCs w:val="24"/>
        </w:rPr>
        <w:t xml:space="preserve"> on 24 February </w:t>
      </w:r>
      <w:r w:rsidRPr="00772CFF">
        <w:rPr>
          <w:rFonts w:ascii="Times New Roman" w:hAnsi="Times New Roman"/>
          <w:szCs w:val="24"/>
        </w:rPr>
        <w:lastRenderedPageBreak/>
        <w:t>2004,</w:t>
      </w:r>
      <w:r w:rsidR="00BE1DC4">
        <w:rPr>
          <w:rFonts w:ascii="Times New Roman" w:hAnsi="Times New Roman"/>
          <w:szCs w:val="24"/>
        </w:rPr>
        <w:t xml:space="preserve"> </w:t>
      </w:r>
      <w:r w:rsidRPr="00772CFF">
        <w:rPr>
          <w:rFonts w:ascii="Times New Roman" w:hAnsi="Times New Roman"/>
          <w:szCs w:val="24"/>
        </w:rPr>
        <w:t>without making a distinction between the UPC combatants and civilians.</w:t>
      </w:r>
      <w:r w:rsidRPr="00772CFF">
        <w:rPr>
          <w:rFonts w:ascii="Times New Roman" w:hAnsi="Times New Roman"/>
          <w:szCs w:val="24"/>
          <w:vertAlign w:val="superscript"/>
        </w:rPr>
        <w:footnoteReference w:id="349"/>
      </w:r>
      <w:r w:rsidRPr="00772CFF">
        <w:rPr>
          <w:rFonts w:ascii="Times New Roman" w:hAnsi="Times New Roman"/>
          <w:szCs w:val="24"/>
        </w:rPr>
        <w:t>Corroborated evidence report</w:t>
      </w:r>
      <w:r w:rsidR="00B50F55">
        <w:rPr>
          <w:rFonts w:ascii="Times New Roman" w:hAnsi="Times New Roman"/>
          <w:szCs w:val="24"/>
        </w:rPr>
        <w:t>ed</w:t>
      </w:r>
      <w:r w:rsidRPr="00772CFF">
        <w:rPr>
          <w:rFonts w:ascii="Times New Roman" w:hAnsi="Times New Roman"/>
          <w:szCs w:val="24"/>
        </w:rPr>
        <w:t xml:space="preserve"> that </w:t>
      </w:r>
      <w:r w:rsidR="00B50F55">
        <w:rPr>
          <w:rFonts w:ascii="Times New Roman" w:hAnsi="Times New Roman"/>
          <w:szCs w:val="24"/>
        </w:rPr>
        <w:t xml:space="preserve">the combatants killed roughly </w:t>
      </w:r>
      <w:r w:rsidRPr="00772CFF">
        <w:rPr>
          <w:rFonts w:ascii="Times New Roman" w:hAnsi="Times New Roman"/>
          <w:szCs w:val="24"/>
        </w:rPr>
        <w:t>200 people</w:t>
      </w:r>
      <w:r w:rsidR="00B50F55">
        <w:rPr>
          <w:rFonts w:ascii="Times New Roman" w:hAnsi="Times New Roman"/>
          <w:szCs w:val="24"/>
        </w:rPr>
        <w:t xml:space="preserve"> </w:t>
      </w:r>
      <w:r w:rsidRPr="00772CFF">
        <w:rPr>
          <w:rFonts w:ascii="Times New Roman" w:hAnsi="Times New Roman"/>
          <w:szCs w:val="24"/>
        </w:rPr>
        <w:t>on the 24 February 2004.</w:t>
      </w:r>
      <w:r w:rsidR="00BE1DC4">
        <w:rPr>
          <w:rFonts w:ascii="Times New Roman" w:hAnsi="Times New Roman"/>
          <w:szCs w:val="24"/>
        </w:rPr>
        <w:t xml:space="preserve"> </w:t>
      </w:r>
      <w:r w:rsidRPr="00772CFF">
        <w:rPr>
          <w:rFonts w:ascii="Times New Roman" w:hAnsi="Times New Roman"/>
          <w:szCs w:val="24"/>
        </w:rPr>
        <w:t>Th</w:t>
      </w:r>
      <w:r w:rsidR="00B50F55">
        <w:rPr>
          <w:rFonts w:ascii="Times New Roman" w:hAnsi="Times New Roman"/>
          <w:szCs w:val="24"/>
        </w:rPr>
        <w:t>e evidence</w:t>
      </w:r>
      <w:r w:rsidRPr="00772CFF">
        <w:rPr>
          <w:rFonts w:ascii="Times New Roman" w:hAnsi="Times New Roman"/>
          <w:szCs w:val="24"/>
        </w:rPr>
        <w:t xml:space="preserve"> indicate</w:t>
      </w:r>
      <w:r w:rsidR="00B50F55">
        <w:rPr>
          <w:rFonts w:ascii="Times New Roman" w:hAnsi="Times New Roman"/>
          <w:szCs w:val="24"/>
        </w:rPr>
        <w:t>d</w:t>
      </w:r>
      <w:r w:rsidRPr="00772CFF">
        <w:rPr>
          <w:rFonts w:ascii="Times New Roman" w:hAnsi="Times New Roman"/>
          <w:szCs w:val="24"/>
        </w:rPr>
        <w:t xml:space="preserve"> that the intention behind the attack was the elimination of civilians and not military objectives.</w:t>
      </w:r>
      <w:r w:rsidR="00BE1DC4">
        <w:rPr>
          <w:rFonts w:ascii="Times New Roman" w:hAnsi="Times New Roman"/>
          <w:szCs w:val="24"/>
        </w:rPr>
        <w:t xml:space="preserve"> </w:t>
      </w:r>
      <w:r w:rsidRPr="00772CFF">
        <w:rPr>
          <w:rFonts w:ascii="Times New Roman" w:hAnsi="Times New Roman"/>
          <w:szCs w:val="24"/>
        </w:rPr>
        <w:t>The LRV remind</w:t>
      </w:r>
      <w:r w:rsidR="00B50F55">
        <w:rPr>
          <w:rFonts w:ascii="Times New Roman" w:hAnsi="Times New Roman"/>
          <w:szCs w:val="24"/>
        </w:rPr>
        <w:t>ed</w:t>
      </w:r>
      <w:r w:rsidRPr="00772CFF">
        <w:rPr>
          <w:rFonts w:ascii="Times New Roman" w:hAnsi="Times New Roman"/>
          <w:szCs w:val="24"/>
        </w:rPr>
        <w:t xml:space="preserve"> the Chambers that it heard specific corroborating testimonies which </w:t>
      </w:r>
      <w:r w:rsidR="00BE1DC4">
        <w:rPr>
          <w:rFonts w:ascii="Times New Roman" w:hAnsi="Times New Roman"/>
          <w:szCs w:val="24"/>
        </w:rPr>
        <w:t>emphasized</w:t>
      </w:r>
      <w:r w:rsidRPr="00772CFF">
        <w:rPr>
          <w:rFonts w:ascii="Times New Roman" w:hAnsi="Times New Roman"/>
          <w:szCs w:val="24"/>
        </w:rPr>
        <w:t xml:space="preserve"> several cases of women being raped and taken into sexual slavery</w:t>
      </w:r>
      <w:r w:rsidRPr="00772CFF">
        <w:rPr>
          <w:rFonts w:ascii="Times New Roman" w:hAnsi="Times New Roman"/>
          <w:szCs w:val="24"/>
          <w:vertAlign w:val="superscript"/>
        </w:rPr>
        <w:footnoteReference w:id="350"/>
      </w:r>
    </w:p>
    <w:p w14:paraId="7F729CA3" w14:textId="77777777"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 xml:space="preserve">However, </w:t>
      </w:r>
      <w:r w:rsidR="00ED60BF">
        <w:rPr>
          <w:rFonts w:ascii="Times New Roman" w:hAnsi="Times New Roman"/>
          <w:szCs w:val="24"/>
        </w:rPr>
        <w:t xml:space="preserve"> </w:t>
      </w:r>
      <w:r w:rsidRPr="00772CFF">
        <w:rPr>
          <w:rFonts w:ascii="Times New Roman" w:hAnsi="Times New Roman"/>
          <w:szCs w:val="24"/>
        </w:rPr>
        <w:t xml:space="preserve">Judge Anita </w:t>
      </w:r>
      <w:proofErr w:type="spellStart"/>
      <w:r w:rsidRPr="00772CFF">
        <w:rPr>
          <w:rFonts w:ascii="Times New Roman" w:hAnsi="Times New Roman"/>
          <w:szCs w:val="24"/>
        </w:rPr>
        <w:t>Usacka</w:t>
      </w:r>
      <w:proofErr w:type="spellEnd"/>
      <w:r w:rsidRPr="00772CFF">
        <w:rPr>
          <w:rFonts w:ascii="Times New Roman" w:hAnsi="Times New Roman"/>
          <w:szCs w:val="24"/>
        </w:rPr>
        <w:t>, in her dissenting opinion held that there was insufficient evidence to establish that the accused persons jointly committed through other pe</w:t>
      </w:r>
      <w:r w:rsidR="00BE1DC4">
        <w:rPr>
          <w:rFonts w:ascii="Times New Roman" w:hAnsi="Times New Roman"/>
          <w:szCs w:val="24"/>
        </w:rPr>
        <w:t>ople</w:t>
      </w:r>
      <w:r w:rsidRPr="00772CFF">
        <w:rPr>
          <w:rFonts w:ascii="Times New Roman" w:hAnsi="Times New Roman"/>
          <w:szCs w:val="24"/>
        </w:rPr>
        <w:t xml:space="preserve">, within the meaning of </w:t>
      </w:r>
      <w:r w:rsidR="00BE1DC4">
        <w:rPr>
          <w:rFonts w:ascii="Times New Roman" w:hAnsi="Times New Roman"/>
          <w:szCs w:val="24"/>
        </w:rPr>
        <w:t>A</w:t>
      </w:r>
      <w:r w:rsidRPr="00772CFF">
        <w:rPr>
          <w:rFonts w:ascii="Times New Roman" w:hAnsi="Times New Roman"/>
          <w:szCs w:val="24"/>
        </w:rPr>
        <w:t>rticle 25(3</w:t>
      </w:r>
      <w:r w:rsidR="00ED60BF">
        <w:rPr>
          <w:rFonts w:ascii="Times New Roman" w:hAnsi="Times New Roman"/>
          <w:szCs w:val="24"/>
        </w:rPr>
        <w:t>)(a) of the Statute</w:t>
      </w:r>
      <w:r w:rsidRPr="00772CFF">
        <w:rPr>
          <w:rFonts w:ascii="Times New Roman" w:hAnsi="Times New Roman"/>
          <w:szCs w:val="24"/>
        </w:rPr>
        <w:t xml:space="preserve">, the charges of rape and sexual slavery, both as war crimes and crimes against humanity within the meaning of articles 8(2)(b)(xxii) and 7(1)(g) of the Statute, </w:t>
      </w:r>
      <w:r w:rsidR="006734C7">
        <w:rPr>
          <w:rFonts w:ascii="Times New Roman" w:hAnsi="Times New Roman"/>
          <w:szCs w:val="24"/>
        </w:rPr>
        <w:t>based on</w:t>
      </w:r>
      <w:r w:rsidRPr="00772CFF">
        <w:rPr>
          <w:rFonts w:ascii="Times New Roman" w:hAnsi="Times New Roman"/>
          <w:szCs w:val="24"/>
        </w:rPr>
        <w:t xml:space="preserve"> </w:t>
      </w:r>
      <w:r w:rsidR="006734C7">
        <w:rPr>
          <w:rFonts w:ascii="Times New Roman" w:hAnsi="Times New Roman"/>
          <w:szCs w:val="24"/>
        </w:rPr>
        <w:t>A</w:t>
      </w:r>
      <w:r w:rsidRPr="00772CFF">
        <w:rPr>
          <w:rFonts w:ascii="Times New Roman" w:hAnsi="Times New Roman"/>
          <w:szCs w:val="24"/>
        </w:rPr>
        <w:t>rticle 61(7)(c)(</w:t>
      </w:r>
      <w:proofErr w:type="spellStart"/>
      <w:r w:rsidRPr="00772CFF">
        <w:rPr>
          <w:rFonts w:ascii="Times New Roman" w:hAnsi="Times New Roman"/>
          <w:szCs w:val="24"/>
        </w:rPr>
        <w:t>i</w:t>
      </w:r>
      <w:proofErr w:type="spellEnd"/>
      <w:r w:rsidRPr="00772CFF">
        <w:rPr>
          <w:rFonts w:ascii="Times New Roman" w:hAnsi="Times New Roman"/>
          <w:szCs w:val="24"/>
        </w:rPr>
        <w:t>).</w:t>
      </w:r>
      <w:r w:rsidRPr="00772CFF">
        <w:rPr>
          <w:rFonts w:ascii="Times New Roman" w:hAnsi="Times New Roman"/>
          <w:szCs w:val="24"/>
          <w:vertAlign w:val="superscript"/>
        </w:rPr>
        <w:footnoteReference w:id="351"/>
      </w:r>
      <w:r w:rsidR="00ED60BF">
        <w:rPr>
          <w:rFonts w:ascii="Times New Roman" w:hAnsi="Times New Roman"/>
          <w:szCs w:val="24"/>
        </w:rPr>
        <w:t xml:space="preserve">She requested the Prosecutor </w:t>
      </w:r>
      <w:r w:rsidRPr="00772CFF">
        <w:rPr>
          <w:rFonts w:ascii="Times New Roman" w:hAnsi="Times New Roman"/>
          <w:szCs w:val="24"/>
        </w:rPr>
        <w:t>to provide further evidence in respect of these charges.</w:t>
      </w:r>
      <w:r w:rsidRPr="00772CFF">
        <w:rPr>
          <w:rFonts w:ascii="Times New Roman" w:hAnsi="Times New Roman"/>
          <w:szCs w:val="24"/>
          <w:vertAlign w:val="superscript"/>
        </w:rPr>
        <w:footnoteReference w:id="352"/>
      </w:r>
      <w:r w:rsidR="00AD7FD4">
        <w:rPr>
          <w:rFonts w:ascii="Times New Roman" w:hAnsi="Times New Roman"/>
          <w:szCs w:val="24"/>
        </w:rPr>
        <w:t xml:space="preserve">For this reason, </w:t>
      </w:r>
      <w:r w:rsidR="003D7420">
        <w:rPr>
          <w:rFonts w:ascii="Times New Roman" w:hAnsi="Times New Roman"/>
          <w:szCs w:val="24"/>
        </w:rPr>
        <w:t xml:space="preserve">it is shown that SGBV requires </w:t>
      </w:r>
      <w:r w:rsidR="00E95BA4">
        <w:rPr>
          <w:rFonts w:ascii="Times New Roman" w:hAnsi="Times New Roman"/>
          <w:szCs w:val="24"/>
        </w:rPr>
        <w:t>a higher evidentiary burden.</w:t>
      </w:r>
    </w:p>
    <w:p w14:paraId="6AF015AB" w14:textId="26E999E1"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The ICTJ notes that the ICC prosecutor could have charged the accused persons of fewer crimes committed during several events over a long period.</w:t>
      </w:r>
      <w:r w:rsidRPr="00772CFF">
        <w:rPr>
          <w:rFonts w:ascii="Times New Roman" w:hAnsi="Times New Roman"/>
          <w:szCs w:val="24"/>
          <w:vertAlign w:val="superscript"/>
        </w:rPr>
        <w:footnoteReference w:id="353"/>
      </w:r>
      <w:r w:rsidR="009A4723">
        <w:rPr>
          <w:rFonts w:ascii="Times New Roman" w:hAnsi="Times New Roman"/>
          <w:szCs w:val="24"/>
        </w:rPr>
        <w:t xml:space="preserve">The charges </w:t>
      </w:r>
      <w:r w:rsidR="009A4723">
        <w:rPr>
          <w:rFonts w:ascii="Times New Roman" w:hAnsi="Times New Roman"/>
          <w:szCs w:val="24"/>
        </w:rPr>
        <w:lastRenderedPageBreak/>
        <w:t>contained multiple attacks which occurred in one day, 24 February 2004.</w:t>
      </w:r>
      <w:r w:rsidR="006734C7">
        <w:rPr>
          <w:rFonts w:ascii="Times New Roman" w:hAnsi="Times New Roman"/>
          <w:szCs w:val="24"/>
        </w:rPr>
        <w:t xml:space="preserve"> </w:t>
      </w:r>
      <w:r w:rsidR="009A4723">
        <w:rPr>
          <w:rFonts w:ascii="Times New Roman" w:hAnsi="Times New Roman"/>
          <w:szCs w:val="24"/>
        </w:rPr>
        <w:t>To this end,</w:t>
      </w:r>
      <w:r w:rsidR="00B50F55">
        <w:rPr>
          <w:rFonts w:ascii="Times New Roman" w:hAnsi="Times New Roman"/>
          <w:szCs w:val="24"/>
        </w:rPr>
        <w:t xml:space="preserve"> the charging document factored out </w:t>
      </w:r>
      <w:r w:rsidR="009A4723">
        <w:rPr>
          <w:rFonts w:ascii="Times New Roman" w:hAnsi="Times New Roman"/>
          <w:szCs w:val="24"/>
        </w:rPr>
        <w:t xml:space="preserve">hostilities which </w:t>
      </w:r>
      <w:r w:rsidR="00B50F55">
        <w:rPr>
          <w:rFonts w:ascii="Times New Roman" w:hAnsi="Times New Roman"/>
          <w:szCs w:val="24"/>
        </w:rPr>
        <w:t xml:space="preserve">took place in </w:t>
      </w:r>
      <w:r w:rsidR="009A4723">
        <w:rPr>
          <w:rFonts w:ascii="Times New Roman" w:hAnsi="Times New Roman"/>
          <w:szCs w:val="24"/>
        </w:rPr>
        <w:t>the same period.</w:t>
      </w:r>
    </w:p>
    <w:p w14:paraId="177C3616" w14:textId="29FD4505" w:rsidR="00772CFF" w:rsidRPr="00772CFF" w:rsidRDefault="00772CFF" w:rsidP="00E2229F">
      <w:pPr>
        <w:spacing w:line="480" w:lineRule="auto"/>
        <w:jc w:val="both"/>
        <w:rPr>
          <w:rFonts w:ascii="Times New Roman" w:hAnsi="Times New Roman"/>
          <w:szCs w:val="24"/>
        </w:rPr>
      </w:pPr>
      <w:r w:rsidRPr="00772CFF">
        <w:rPr>
          <w:rFonts w:ascii="Times New Roman" w:hAnsi="Times New Roman"/>
          <w:szCs w:val="24"/>
        </w:rPr>
        <w:t>On November 21, 2012, Trial Chamber severed the cases and</w:t>
      </w:r>
      <w:r w:rsidR="00B50F55">
        <w:rPr>
          <w:rFonts w:ascii="Times New Roman" w:hAnsi="Times New Roman"/>
          <w:szCs w:val="24"/>
        </w:rPr>
        <w:t>,</w:t>
      </w:r>
      <w:r w:rsidRPr="00772CFF">
        <w:rPr>
          <w:rFonts w:ascii="Times New Roman" w:hAnsi="Times New Roman"/>
          <w:szCs w:val="24"/>
        </w:rPr>
        <w:t xml:space="preserve"> </w:t>
      </w:r>
      <w:r w:rsidR="00B50F55">
        <w:rPr>
          <w:rFonts w:ascii="Times New Roman" w:hAnsi="Times New Roman"/>
          <w:szCs w:val="24"/>
        </w:rPr>
        <w:t>announced</w:t>
      </w:r>
      <w:r w:rsidRPr="00772CFF">
        <w:rPr>
          <w:rFonts w:ascii="Times New Roman" w:hAnsi="Times New Roman"/>
          <w:szCs w:val="24"/>
        </w:rPr>
        <w:t xml:space="preserve"> its intention to the participants that Katanga’s mode of liability as an indirect co-perpetrator and principal </w:t>
      </w:r>
      <w:r w:rsidR="006734C7">
        <w:rPr>
          <w:rFonts w:ascii="Times New Roman" w:hAnsi="Times New Roman"/>
          <w:szCs w:val="24"/>
        </w:rPr>
        <w:t>under</w:t>
      </w:r>
      <w:r w:rsidRPr="00772CFF">
        <w:rPr>
          <w:rFonts w:ascii="Times New Roman" w:hAnsi="Times New Roman"/>
          <w:szCs w:val="24"/>
        </w:rPr>
        <w:t xml:space="preserve"> Article 25(3)(a)may be subject to legal re-characterisation </w:t>
      </w:r>
      <w:r w:rsidR="00B50F55">
        <w:rPr>
          <w:rFonts w:ascii="Times New Roman" w:hAnsi="Times New Roman"/>
          <w:szCs w:val="24"/>
        </w:rPr>
        <w:t xml:space="preserve">in </w:t>
      </w:r>
      <w:r w:rsidR="0026727E">
        <w:rPr>
          <w:rFonts w:ascii="Times New Roman" w:hAnsi="Times New Roman"/>
          <w:szCs w:val="24"/>
        </w:rPr>
        <w:t>accord</w:t>
      </w:r>
      <w:r w:rsidR="00B50F55">
        <w:rPr>
          <w:rFonts w:ascii="Times New Roman" w:hAnsi="Times New Roman"/>
          <w:szCs w:val="24"/>
        </w:rPr>
        <w:t>ance</w:t>
      </w:r>
      <w:r w:rsidRPr="00772CFF">
        <w:rPr>
          <w:rFonts w:ascii="Times New Roman" w:hAnsi="Times New Roman"/>
          <w:szCs w:val="24"/>
        </w:rPr>
        <w:t xml:space="preserve"> to Regulation 55,</w:t>
      </w:r>
      <w:r w:rsidR="009A4723">
        <w:rPr>
          <w:rFonts w:ascii="Times New Roman" w:hAnsi="Times New Roman"/>
          <w:szCs w:val="24"/>
        </w:rPr>
        <w:t xml:space="preserve"> </w:t>
      </w:r>
      <w:r w:rsidRPr="00772CFF">
        <w:rPr>
          <w:rFonts w:ascii="Times New Roman" w:hAnsi="Times New Roman"/>
          <w:szCs w:val="24"/>
        </w:rPr>
        <w:t>to assess his responsibility as an accessory (Article 25(3)(d)</w:t>
      </w:r>
      <w:r w:rsidR="009A4723">
        <w:rPr>
          <w:rFonts w:ascii="Times New Roman" w:hAnsi="Times New Roman"/>
          <w:szCs w:val="24"/>
        </w:rPr>
        <w:t>.</w:t>
      </w:r>
      <w:r w:rsidRPr="00772CFF">
        <w:rPr>
          <w:rFonts w:ascii="Times New Roman" w:hAnsi="Times New Roman"/>
          <w:szCs w:val="24"/>
        </w:rPr>
        <w:t xml:space="preserve">  Subsequently, Trial Chamber II acquitted </w:t>
      </w:r>
      <w:proofErr w:type="spellStart"/>
      <w:r w:rsidRPr="00772CFF">
        <w:rPr>
          <w:rFonts w:ascii="Times New Roman" w:hAnsi="Times New Roman"/>
          <w:szCs w:val="24"/>
        </w:rPr>
        <w:t>Ngudjolo</w:t>
      </w:r>
      <w:proofErr w:type="spellEnd"/>
      <w:r w:rsidRPr="00772CFF">
        <w:rPr>
          <w:rFonts w:ascii="Times New Roman" w:hAnsi="Times New Roman"/>
          <w:szCs w:val="24"/>
        </w:rPr>
        <w:t xml:space="preserve"> of all charges, </w:t>
      </w:r>
      <w:r w:rsidR="00B50F55">
        <w:rPr>
          <w:rFonts w:ascii="Times New Roman" w:hAnsi="Times New Roman"/>
          <w:szCs w:val="24"/>
        </w:rPr>
        <w:t>because</w:t>
      </w:r>
      <w:r w:rsidRPr="00772CFF">
        <w:rPr>
          <w:rFonts w:ascii="Times New Roman" w:hAnsi="Times New Roman"/>
          <w:szCs w:val="24"/>
        </w:rPr>
        <w:t xml:space="preserve"> the Prosecutor could not provide sufficient evidence to prove his case beyond </w:t>
      </w:r>
      <w:r w:rsidR="006734C7">
        <w:rPr>
          <w:rFonts w:ascii="Times New Roman" w:hAnsi="Times New Roman"/>
          <w:szCs w:val="24"/>
        </w:rPr>
        <w:t xml:space="preserve">a </w:t>
      </w:r>
      <w:r w:rsidRPr="00772CFF">
        <w:rPr>
          <w:rFonts w:ascii="Times New Roman" w:hAnsi="Times New Roman"/>
          <w:szCs w:val="24"/>
        </w:rPr>
        <w:t xml:space="preserve">reasonable doubt. The Chamber commented on the </w:t>
      </w:r>
      <w:r w:rsidR="0026727E">
        <w:rPr>
          <w:rFonts w:ascii="Times New Roman" w:hAnsi="Times New Roman"/>
          <w:szCs w:val="24"/>
        </w:rPr>
        <w:t>prosecutor's inadequacies</w:t>
      </w:r>
      <w:r w:rsidR="009A4723">
        <w:rPr>
          <w:rFonts w:ascii="Times New Roman" w:hAnsi="Times New Roman"/>
          <w:szCs w:val="24"/>
        </w:rPr>
        <w:t xml:space="preserve"> in evidence gathering and the flawed testimonies</w:t>
      </w:r>
      <w:r w:rsidRPr="00772CFF">
        <w:rPr>
          <w:rFonts w:ascii="Times New Roman" w:hAnsi="Times New Roman"/>
          <w:szCs w:val="24"/>
        </w:rPr>
        <w:t xml:space="preserve"> of the </w:t>
      </w:r>
      <w:r w:rsidR="00603CD0">
        <w:rPr>
          <w:rFonts w:ascii="Times New Roman" w:hAnsi="Times New Roman"/>
          <w:szCs w:val="24"/>
        </w:rPr>
        <w:t>prosecutor's three principal witnesses</w:t>
      </w:r>
      <w:r w:rsidRPr="00772CFF">
        <w:rPr>
          <w:rFonts w:ascii="Times New Roman" w:hAnsi="Times New Roman"/>
          <w:szCs w:val="24"/>
        </w:rPr>
        <w:t>.</w:t>
      </w:r>
      <w:r w:rsidRPr="00772CFF">
        <w:rPr>
          <w:rFonts w:ascii="Times New Roman" w:hAnsi="Times New Roman"/>
          <w:szCs w:val="24"/>
          <w:vertAlign w:val="superscript"/>
        </w:rPr>
        <w:footnoteReference w:id="354"/>
      </w:r>
      <w:r w:rsidRPr="00772CFF">
        <w:rPr>
          <w:rFonts w:ascii="Times New Roman" w:hAnsi="Times New Roman"/>
          <w:szCs w:val="24"/>
        </w:rPr>
        <w:t xml:space="preserve"> </w:t>
      </w:r>
      <w:r w:rsidR="009A4723">
        <w:rPr>
          <w:rFonts w:ascii="Times New Roman" w:hAnsi="Times New Roman"/>
          <w:szCs w:val="24"/>
        </w:rPr>
        <w:t>Accordingly,</w:t>
      </w:r>
      <w:r w:rsidR="006734C7">
        <w:rPr>
          <w:rFonts w:ascii="Times New Roman" w:hAnsi="Times New Roman"/>
          <w:szCs w:val="24"/>
        </w:rPr>
        <w:t xml:space="preserve"> </w:t>
      </w:r>
      <w:r w:rsidRPr="00772CFF">
        <w:rPr>
          <w:rFonts w:ascii="Times New Roman" w:hAnsi="Times New Roman"/>
          <w:szCs w:val="24"/>
        </w:rPr>
        <w:t>the TC changed Katanga’s mode of liability from indirect(principal) co-perpetrator to an accomplice(accessory)</w:t>
      </w:r>
    </w:p>
    <w:p w14:paraId="1333B24D" w14:textId="744DAACD" w:rsidR="00772CFF" w:rsidRPr="006734C7" w:rsidRDefault="00772CFF" w:rsidP="00E2229F">
      <w:pPr>
        <w:spacing w:line="480" w:lineRule="auto"/>
        <w:jc w:val="both"/>
        <w:rPr>
          <w:rFonts w:ascii="Times New Roman" w:hAnsi="Times New Roman"/>
          <w:szCs w:val="24"/>
        </w:rPr>
      </w:pPr>
      <w:r w:rsidRPr="006734C7">
        <w:rPr>
          <w:rFonts w:ascii="Times New Roman" w:hAnsi="Times New Roman"/>
          <w:szCs w:val="24"/>
        </w:rPr>
        <w:t>Although, the counts of th</w:t>
      </w:r>
      <w:r w:rsidR="00496B19">
        <w:rPr>
          <w:rFonts w:ascii="Times New Roman" w:hAnsi="Times New Roman"/>
          <w:szCs w:val="24"/>
        </w:rPr>
        <w:t>ese</w:t>
      </w:r>
      <w:r w:rsidRPr="006734C7">
        <w:rPr>
          <w:rFonts w:ascii="Times New Roman" w:hAnsi="Times New Roman"/>
          <w:szCs w:val="24"/>
        </w:rPr>
        <w:t xml:space="preserve"> charges</w:t>
      </w:r>
      <w:r w:rsidR="00E8148E">
        <w:rPr>
          <w:rFonts w:ascii="Times New Roman" w:hAnsi="Times New Roman"/>
          <w:szCs w:val="24"/>
        </w:rPr>
        <w:t>,</w:t>
      </w:r>
      <w:r w:rsidRPr="006734C7">
        <w:rPr>
          <w:rFonts w:ascii="Times New Roman" w:hAnsi="Times New Roman"/>
          <w:szCs w:val="24"/>
        </w:rPr>
        <w:t xml:space="preserve"> to some extent</w:t>
      </w:r>
      <w:r w:rsidR="00486818">
        <w:rPr>
          <w:rFonts w:ascii="Times New Roman" w:hAnsi="Times New Roman"/>
          <w:szCs w:val="24"/>
        </w:rPr>
        <w:t>,</w:t>
      </w:r>
      <w:r w:rsidRPr="006734C7">
        <w:rPr>
          <w:rFonts w:ascii="Times New Roman" w:hAnsi="Times New Roman"/>
          <w:szCs w:val="24"/>
        </w:rPr>
        <w:t xml:space="preserve"> are comprehensive. However, the content is limited to a single day event, thereby neglecting the other multiple attacks during that period.</w:t>
      </w:r>
    </w:p>
    <w:p w14:paraId="414BF250" w14:textId="56CFEDEE" w:rsidR="006F062F" w:rsidRPr="006734C7" w:rsidRDefault="00772CFF" w:rsidP="00E2229F">
      <w:pPr>
        <w:spacing w:line="480" w:lineRule="auto"/>
        <w:jc w:val="both"/>
        <w:rPr>
          <w:rFonts w:ascii="Times New Roman" w:hAnsi="Times New Roman"/>
          <w:szCs w:val="24"/>
        </w:rPr>
      </w:pPr>
      <w:r w:rsidRPr="006734C7">
        <w:rPr>
          <w:rFonts w:ascii="Times New Roman" w:hAnsi="Times New Roman"/>
          <w:szCs w:val="24"/>
        </w:rPr>
        <w:t xml:space="preserve">Jon </w:t>
      </w:r>
      <w:r w:rsidR="00496B19">
        <w:rPr>
          <w:rFonts w:ascii="Times New Roman" w:hAnsi="Times New Roman"/>
          <w:szCs w:val="24"/>
        </w:rPr>
        <w:t>H</w:t>
      </w:r>
      <w:r w:rsidRPr="006734C7">
        <w:rPr>
          <w:rFonts w:ascii="Times New Roman" w:hAnsi="Times New Roman"/>
          <w:szCs w:val="24"/>
        </w:rPr>
        <w:t>eller and Jacobs criticised the deficiencies of the prosecutor’s investigations.</w:t>
      </w:r>
      <w:r w:rsidRPr="006734C7">
        <w:rPr>
          <w:rFonts w:ascii="Times New Roman" w:hAnsi="Times New Roman"/>
          <w:szCs w:val="24"/>
          <w:vertAlign w:val="superscript"/>
        </w:rPr>
        <w:footnoteReference w:id="355"/>
      </w:r>
      <w:r w:rsidRPr="006734C7">
        <w:rPr>
          <w:rFonts w:ascii="Times New Roman" w:hAnsi="Times New Roman"/>
          <w:szCs w:val="24"/>
        </w:rPr>
        <w:t xml:space="preserve">They argue that the Prosecutor failed to prove any of the allegations </w:t>
      </w:r>
      <w:r w:rsidRPr="006734C7">
        <w:rPr>
          <w:rFonts w:ascii="Times New Roman" w:hAnsi="Times New Roman"/>
          <w:szCs w:val="24"/>
        </w:rPr>
        <w:lastRenderedPageBreak/>
        <w:t>in the charges.</w:t>
      </w:r>
      <w:r w:rsidR="006F53BA" w:rsidRPr="006734C7">
        <w:rPr>
          <w:rFonts w:ascii="Times New Roman" w:hAnsi="Times New Roman"/>
          <w:szCs w:val="24"/>
        </w:rPr>
        <w:t xml:space="preserve"> As previously discussed,</w:t>
      </w:r>
      <w:r w:rsidRPr="006734C7">
        <w:rPr>
          <w:rFonts w:ascii="Times New Roman" w:hAnsi="Times New Roman"/>
          <w:szCs w:val="24"/>
        </w:rPr>
        <w:t xml:space="preserve"> Judge </w:t>
      </w:r>
      <w:proofErr w:type="spellStart"/>
      <w:r w:rsidRPr="006734C7">
        <w:rPr>
          <w:rFonts w:ascii="Times New Roman" w:hAnsi="Times New Roman"/>
          <w:szCs w:val="24"/>
        </w:rPr>
        <w:t>Usacka</w:t>
      </w:r>
      <w:proofErr w:type="spellEnd"/>
      <w:r w:rsidRPr="006734C7">
        <w:rPr>
          <w:rFonts w:ascii="Times New Roman" w:hAnsi="Times New Roman"/>
          <w:szCs w:val="24"/>
        </w:rPr>
        <w:t>, in her dissenting opinion</w:t>
      </w:r>
      <w:r w:rsidR="00486818">
        <w:rPr>
          <w:rFonts w:ascii="Times New Roman" w:hAnsi="Times New Roman"/>
          <w:szCs w:val="24"/>
        </w:rPr>
        <w:t>,</w:t>
      </w:r>
      <w:r w:rsidRPr="006734C7">
        <w:rPr>
          <w:rFonts w:ascii="Times New Roman" w:hAnsi="Times New Roman"/>
          <w:szCs w:val="24"/>
        </w:rPr>
        <w:t xml:space="preserve"> requested the Prosecutor to conduct further investigations into the allegations of rape and sexual violence.</w:t>
      </w:r>
      <w:r w:rsidR="006F53BA" w:rsidRPr="006734C7">
        <w:rPr>
          <w:rStyle w:val="FootnoteReference"/>
          <w:rFonts w:ascii="Times New Roman" w:hAnsi="Times New Roman"/>
          <w:szCs w:val="24"/>
        </w:rPr>
        <w:footnoteReference w:id="356"/>
      </w:r>
      <w:r w:rsidR="006F53BA" w:rsidRPr="006734C7">
        <w:rPr>
          <w:rFonts w:ascii="Times New Roman" w:hAnsi="Times New Roman"/>
          <w:szCs w:val="24"/>
        </w:rPr>
        <w:t xml:space="preserve">It is not </w:t>
      </w:r>
      <w:r w:rsidR="009D2670">
        <w:rPr>
          <w:rFonts w:ascii="Times New Roman" w:hAnsi="Times New Roman"/>
          <w:szCs w:val="24"/>
        </w:rPr>
        <w:t>sure</w:t>
      </w:r>
      <w:r w:rsidR="006F53BA" w:rsidRPr="006734C7">
        <w:rPr>
          <w:rFonts w:ascii="Times New Roman" w:hAnsi="Times New Roman"/>
          <w:szCs w:val="24"/>
        </w:rPr>
        <w:t xml:space="preserve"> if </w:t>
      </w:r>
      <w:r w:rsidR="006734C7">
        <w:rPr>
          <w:rFonts w:ascii="Times New Roman" w:hAnsi="Times New Roman"/>
          <w:szCs w:val="24"/>
        </w:rPr>
        <w:t xml:space="preserve">the </w:t>
      </w:r>
      <w:r w:rsidR="006F53BA" w:rsidRPr="006734C7">
        <w:rPr>
          <w:rFonts w:ascii="Times New Roman" w:hAnsi="Times New Roman"/>
          <w:szCs w:val="24"/>
        </w:rPr>
        <w:t xml:space="preserve">Prosecutor conducted more investigation into SGBV </w:t>
      </w:r>
      <w:r w:rsidR="00E21C9E">
        <w:rPr>
          <w:rFonts w:ascii="Times New Roman" w:hAnsi="Times New Roman"/>
          <w:szCs w:val="24"/>
        </w:rPr>
        <w:t>because</w:t>
      </w:r>
      <w:r w:rsidR="00B50F55">
        <w:rPr>
          <w:rFonts w:ascii="Times New Roman" w:hAnsi="Times New Roman"/>
          <w:szCs w:val="24"/>
        </w:rPr>
        <w:t xml:space="preserve"> the TC</w:t>
      </w:r>
      <w:r w:rsidR="009D2670">
        <w:rPr>
          <w:rFonts w:ascii="Times New Roman" w:hAnsi="Times New Roman"/>
          <w:szCs w:val="24"/>
        </w:rPr>
        <w:t xml:space="preserve"> </w:t>
      </w:r>
      <w:r w:rsidR="006F53BA" w:rsidRPr="006734C7">
        <w:rPr>
          <w:rFonts w:ascii="Times New Roman" w:hAnsi="Times New Roman"/>
          <w:szCs w:val="24"/>
        </w:rPr>
        <w:t xml:space="preserve">acquitted </w:t>
      </w:r>
      <w:r w:rsidR="00B50F55">
        <w:rPr>
          <w:rFonts w:ascii="Times New Roman" w:hAnsi="Times New Roman"/>
          <w:szCs w:val="24"/>
        </w:rPr>
        <w:t xml:space="preserve">Katanga </w:t>
      </w:r>
      <w:r w:rsidR="006F53BA" w:rsidRPr="006734C7">
        <w:rPr>
          <w:rFonts w:ascii="Times New Roman" w:hAnsi="Times New Roman"/>
          <w:szCs w:val="24"/>
        </w:rPr>
        <w:t>of SGBV.</w:t>
      </w:r>
      <w:r w:rsidR="00B50F55">
        <w:rPr>
          <w:rFonts w:ascii="Times New Roman" w:hAnsi="Times New Roman"/>
          <w:szCs w:val="24"/>
        </w:rPr>
        <w:t xml:space="preserve"> The acquittal shows the consequences of insufficient investigations at the OTP.</w:t>
      </w:r>
    </w:p>
    <w:p w14:paraId="199BC5B3" w14:textId="4CAFD5EC" w:rsidR="00572D1C" w:rsidRPr="006734C7" w:rsidRDefault="00572D1C" w:rsidP="00E2229F">
      <w:pPr>
        <w:spacing w:line="480" w:lineRule="auto"/>
        <w:jc w:val="both"/>
        <w:rPr>
          <w:rFonts w:ascii="Times New Roman" w:hAnsi="Times New Roman"/>
          <w:szCs w:val="24"/>
        </w:rPr>
      </w:pPr>
      <w:r w:rsidRPr="006734C7">
        <w:rPr>
          <w:rFonts w:ascii="Times New Roman" w:hAnsi="Times New Roman"/>
          <w:szCs w:val="24"/>
        </w:rPr>
        <w:t xml:space="preserve">Having discussed the background to the case, the </w:t>
      </w:r>
      <w:r w:rsidR="00E21C9E">
        <w:rPr>
          <w:rFonts w:ascii="Times New Roman" w:hAnsi="Times New Roman"/>
          <w:szCs w:val="24"/>
        </w:rPr>
        <w:t>nex</w:t>
      </w:r>
      <w:r w:rsidRPr="006734C7">
        <w:rPr>
          <w:rFonts w:ascii="Times New Roman" w:hAnsi="Times New Roman"/>
          <w:szCs w:val="24"/>
        </w:rPr>
        <w:t>t part shall critically analyse Regulation 55 vis-à-vis the p</w:t>
      </w:r>
      <w:r w:rsidR="0026727E">
        <w:rPr>
          <w:rFonts w:ascii="Times New Roman" w:hAnsi="Times New Roman"/>
          <w:szCs w:val="24"/>
        </w:rPr>
        <w:t>rosecutor's powers and its implications on victims'</w:t>
      </w:r>
      <w:r w:rsidR="00E2229F">
        <w:rPr>
          <w:rFonts w:ascii="Times New Roman" w:hAnsi="Times New Roman"/>
          <w:szCs w:val="24"/>
        </w:rPr>
        <w:t xml:space="preserve"> rights and interests</w:t>
      </w:r>
      <w:r w:rsidRPr="006734C7">
        <w:rPr>
          <w:rFonts w:ascii="Times New Roman" w:hAnsi="Times New Roman"/>
          <w:szCs w:val="24"/>
        </w:rPr>
        <w:t>.</w:t>
      </w:r>
    </w:p>
    <w:p w14:paraId="07FC2751" w14:textId="77777777" w:rsidR="00572D1C" w:rsidRPr="006734C7" w:rsidRDefault="00975263" w:rsidP="00A44B61">
      <w:pPr>
        <w:pStyle w:val="Heading2"/>
      </w:pPr>
      <w:bookmarkStart w:id="26" w:name="_Toc60235804"/>
      <w:r w:rsidRPr="006734C7">
        <w:t>2.7</w:t>
      </w:r>
      <w:r w:rsidR="00A549E5">
        <w:t xml:space="preserve"> </w:t>
      </w:r>
      <w:r w:rsidR="00572D1C" w:rsidRPr="006734C7">
        <w:t>Regulation 55</w:t>
      </w:r>
      <w:bookmarkEnd w:id="26"/>
    </w:p>
    <w:p w14:paraId="7A408CA5" w14:textId="7670C5EC" w:rsidR="00B50F55" w:rsidRDefault="00572D1C" w:rsidP="00B50F55">
      <w:pPr>
        <w:spacing w:line="480" w:lineRule="auto"/>
        <w:jc w:val="both"/>
        <w:rPr>
          <w:rFonts w:ascii="Times New Roman" w:hAnsi="Times New Roman"/>
          <w:szCs w:val="24"/>
        </w:rPr>
      </w:pPr>
      <w:r w:rsidRPr="006734C7">
        <w:rPr>
          <w:rFonts w:ascii="Times New Roman" w:hAnsi="Times New Roman"/>
          <w:szCs w:val="24"/>
        </w:rPr>
        <w:t xml:space="preserve">The </w:t>
      </w:r>
      <w:r w:rsidR="00C164B9">
        <w:rPr>
          <w:rFonts w:ascii="Times New Roman" w:hAnsi="Times New Roman"/>
          <w:szCs w:val="24"/>
        </w:rPr>
        <w:t>Court's Regulations</w:t>
      </w:r>
      <w:r w:rsidRPr="006734C7">
        <w:rPr>
          <w:rFonts w:ascii="Times New Roman" w:hAnsi="Times New Roman"/>
          <w:szCs w:val="24"/>
        </w:rPr>
        <w:t xml:space="preserve"> may be described as an official document made by the Judges of the Court to adopt rules for the </w:t>
      </w:r>
      <w:r w:rsidR="0026727E">
        <w:rPr>
          <w:rFonts w:ascii="Times New Roman" w:hAnsi="Times New Roman"/>
          <w:szCs w:val="24"/>
        </w:rPr>
        <w:t>Court's functions</w:t>
      </w:r>
      <w:r w:rsidRPr="006734C7">
        <w:rPr>
          <w:rFonts w:ascii="Times New Roman" w:hAnsi="Times New Roman"/>
          <w:szCs w:val="24"/>
        </w:rPr>
        <w:t>.</w:t>
      </w:r>
      <w:r w:rsidRPr="006734C7">
        <w:rPr>
          <w:rFonts w:ascii="Times New Roman" w:hAnsi="Times New Roman"/>
          <w:szCs w:val="24"/>
          <w:vertAlign w:val="superscript"/>
        </w:rPr>
        <w:footnoteReference w:id="357"/>
      </w:r>
      <w:r w:rsidRPr="006734C7">
        <w:rPr>
          <w:rFonts w:ascii="Times New Roman" w:hAnsi="Times New Roman"/>
          <w:szCs w:val="24"/>
        </w:rPr>
        <w:t>It is also referred to as judge</w:t>
      </w:r>
      <w:r w:rsidR="006734C7">
        <w:rPr>
          <w:rFonts w:ascii="Times New Roman" w:hAnsi="Times New Roman"/>
          <w:szCs w:val="24"/>
        </w:rPr>
        <w:t>-</w:t>
      </w:r>
      <w:r w:rsidRPr="006734C7">
        <w:rPr>
          <w:rFonts w:ascii="Times New Roman" w:hAnsi="Times New Roman"/>
          <w:szCs w:val="24"/>
        </w:rPr>
        <w:t>made laws. ‘</w:t>
      </w:r>
      <w:r w:rsidRPr="006734C7">
        <w:rPr>
          <w:rFonts w:ascii="Times New Roman" w:hAnsi="Times New Roman"/>
          <w:i/>
          <w:szCs w:val="24"/>
        </w:rPr>
        <w:t>A routine function’</w:t>
      </w:r>
      <w:r w:rsidRPr="006734C7">
        <w:rPr>
          <w:rFonts w:ascii="Times New Roman" w:hAnsi="Times New Roman"/>
          <w:szCs w:val="24"/>
        </w:rPr>
        <w:t xml:space="preserve"> necessary for the operations of the court.</w:t>
      </w:r>
      <w:r w:rsidRPr="006734C7">
        <w:rPr>
          <w:rFonts w:ascii="Times New Roman" w:hAnsi="Times New Roman"/>
          <w:szCs w:val="24"/>
          <w:vertAlign w:val="superscript"/>
        </w:rPr>
        <w:footnoteReference w:id="358"/>
      </w:r>
      <w:r w:rsidRPr="006734C7">
        <w:rPr>
          <w:rFonts w:ascii="Times New Roman" w:hAnsi="Times New Roman"/>
          <w:szCs w:val="24"/>
        </w:rPr>
        <w:t xml:space="preserve">This Regulation is adopted </w:t>
      </w:r>
      <w:r w:rsidR="00E21C9E">
        <w:rPr>
          <w:rFonts w:ascii="Times New Roman" w:hAnsi="Times New Roman"/>
          <w:szCs w:val="24"/>
        </w:rPr>
        <w:t>according</w:t>
      </w:r>
      <w:r w:rsidRPr="006734C7">
        <w:rPr>
          <w:rFonts w:ascii="Times New Roman" w:hAnsi="Times New Roman"/>
          <w:szCs w:val="24"/>
        </w:rPr>
        <w:t xml:space="preserve"> to Article 52 of the Rome Statute.</w:t>
      </w:r>
      <w:r w:rsidR="00524D65" w:rsidRPr="006734C7">
        <w:rPr>
          <w:rFonts w:ascii="Times New Roman" w:hAnsi="Times New Roman"/>
          <w:szCs w:val="24"/>
        </w:rPr>
        <w:t xml:space="preserve"> </w:t>
      </w:r>
      <w:r w:rsidRPr="006734C7">
        <w:rPr>
          <w:rFonts w:ascii="Times New Roman" w:hAnsi="Times New Roman"/>
          <w:szCs w:val="24"/>
        </w:rPr>
        <w:t xml:space="preserve">One of the most </w:t>
      </w:r>
      <w:r w:rsidR="009D2670">
        <w:rPr>
          <w:rFonts w:ascii="Times New Roman" w:hAnsi="Times New Roman"/>
          <w:szCs w:val="24"/>
        </w:rPr>
        <w:t>crucial</w:t>
      </w:r>
      <w:r w:rsidRPr="006734C7">
        <w:rPr>
          <w:rFonts w:ascii="Times New Roman" w:hAnsi="Times New Roman"/>
          <w:szCs w:val="24"/>
        </w:rPr>
        <w:t xml:space="preserve"> section of this Regulation is Regulation 55. </w:t>
      </w:r>
    </w:p>
    <w:p w14:paraId="2A658517" w14:textId="33B6E22B" w:rsidR="00A41B0A" w:rsidRDefault="00B50F55" w:rsidP="00A41B0A">
      <w:pPr>
        <w:spacing w:line="480" w:lineRule="auto"/>
        <w:jc w:val="both"/>
        <w:rPr>
          <w:rFonts w:ascii="Times New Roman" w:hAnsi="Times New Roman"/>
          <w:szCs w:val="24"/>
        </w:rPr>
      </w:pPr>
      <w:r w:rsidRPr="00101793">
        <w:rPr>
          <w:rFonts w:ascii="Times New Roman" w:hAnsi="Times New Roman"/>
          <w:szCs w:val="24"/>
          <w:lang w:val="en-US"/>
        </w:rPr>
        <w:t xml:space="preserve"> </w:t>
      </w:r>
      <w:r>
        <w:rPr>
          <w:rFonts w:ascii="Times New Roman" w:hAnsi="Times New Roman"/>
          <w:szCs w:val="24"/>
          <w:lang w:val="en-US"/>
        </w:rPr>
        <w:t>A</w:t>
      </w:r>
      <w:r w:rsidRPr="00101793">
        <w:rPr>
          <w:rFonts w:ascii="Times New Roman" w:hAnsi="Times New Roman"/>
          <w:szCs w:val="24"/>
          <w:lang w:val="en-US"/>
        </w:rPr>
        <w:t xml:space="preserve"> poorly drafted or ambiguous charging document could sabotage victims access to justice or remedy. From this, charging document</w:t>
      </w:r>
      <w:r>
        <w:rPr>
          <w:rFonts w:ascii="Times New Roman" w:hAnsi="Times New Roman"/>
          <w:szCs w:val="24"/>
          <w:lang w:val="en-US"/>
        </w:rPr>
        <w:t>s</w:t>
      </w:r>
      <w:r w:rsidRPr="00101793">
        <w:rPr>
          <w:rFonts w:ascii="Times New Roman" w:hAnsi="Times New Roman"/>
          <w:szCs w:val="24"/>
          <w:lang w:val="en-US"/>
        </w:rPr>
        <w:t xml:space="preserve"> are significant for victims.</w:t>
      </w:r>
      <w:r>
        <w:rPr>
          <w:rFonts w:ascii="Times New Roman" w:hAnsi="Times New Roman"/>
          <w:szCs w:val="24"/>
          <w:lang w:val="en-US"/>
        </w:rPr>
        <w:t xml:space="preserve"> </w:t>
      </w:r>
      <w:r w:rsidR="00A41B0A">
        <w:rPr>
          <w:rFonts w:ascii="Times New Roman" w:hAnsi="Times New Roman"/>
          <w:szCs w:val="24"/>
        </w:rPr>
        <w:t>Regulation</w:t>
      </w:r>
      <w:r w:rsidR="00E2595E">
        <w:rPr>
          <w:rFonts w:ascii="Times New Roman" w:hAnsi="Times New Roman"/>
          <w:szCs w:val="24"/>
        </w:rPr>
        <w:t xml:space="preserve"> 55 permits the Chamber to change</w:t>
      </w:r>
      <w:r w:rsidR="00A41B0A">
        <w:rPr>
          <w:rFonts w:ascii="Times New Roman" w:hAnsi="Times New Roman"/>
          <w:szCs w:val="24"/>
        </w:rPr>
        <w:t xml:space="preserve"> the legal characterisation of facts </w:t>
      </w:r>
      <w:r w:rsidR="00A41B0A">
        <w:rPr>
          <w:rFonts w:ascii="Times New Roman" w:hAnsi="Times New Roman"/>
          <w:szCs w:val="24"/>
        </w:rPr>
        <w:lastRenderedPageBreak/>
        <w:t xml:space="preserve">provided the </w:t>
      </w:r>
      <w:proofErr w:type="spellStart"/>
      <w:r w:rsidR="00A41B0A">
        <w:rPr>
          <w:rFonts w:ascii="Times New Roman" w:hAnsi="Times New Roman"/>
          <w:szCs w:val="24"/>
        </w:rPr>
        <w:t>rechar</w:t>
      </w:r>
      <w:r w:rsidR="009D2670">
        <w:rPr>
          <w:rFonts w:ascii="Times New Roman" w:hAnsi="Times New Roman"/>
          <w:szCs w:val="24"/>
        </w:rPr>
        <w:t>acteris</w:t>
      </w:r>
      <w:r w:rsidR="00A41B0A">
        <w:rPr>
          <w:rFonts w:ascii="Times New Roman" w:hAnsi="Times New Roman"/>
          <w:szCs w:val="24"/>
        </w:rPr>
        <w:t>ation</w:t>
      </w:r>
      <w:proofErr w:type="spellEnd"/>
      <w:r w:rsidR="00A41B0A">
        <w:rPr>
          <w:rFonts w:ascii="Times New Roman" w:hAnsi="Times New Roman"/>
          <w:szCs w:val="24"/>
        </w:rPr>
        <w:t xml:space="preserve"> does not exceed the facts and circumstances described in the charges.</w:t>
      </w:r>
      <w:r w:rsidR="00A41B0A">
        <w:rPr>
          <w:rStyle w:val="FootnoteReference"/>
          <w:rFonts w:ascii="Times New Roman" w:hAnsi="Times New Roman"/>
          <w:szCs w:val="24"/>
        </w:rPr>
        <w:footnoteReference w:id="359"/>
      </w:r>
    </w:p>
    <w:p w14:paraId="13AF93E8" w14:textId="77777777" w:rsidR="00A41B0A" w:rsidRPr="006734C7" w:rsidRDefault="00A41B0A" w:rsidP="00A41B0A">
      <w:pPr>
        <w:spacing w:line="480" w:lineRule="auto"/>
        <w:jc w:val="both"/>
        <w:rPr>
          <w:rFonts w:ascii="Times New Roman" w:hAnsi="Times New Roman"/>
          <w:szCs w:val="24"/>
        </w:rPr>
      </w:pPr>
      <w:r>
        <w:rPr>
          <w:rFonts w:ascii="Times New Roman" w:hAnsi="Times New Roman"/>
          <w:szCs w:val="24"/>
        </w:rPr>
        <w:t xml:space="preserve">This section explores </w:t>
      </w:r>
      <w:r w:rsidR="00E2595E">
        <w:rPr>
          <w:rFonts w:ascii="Times New Roman" w:hAnsi="Times New Roman"/>
          <w:szCs w:val="24"/>
        </w:rPr>
        <w:t>the extent of influen</w:t>
      </w:r>
      <w:r w:rsidR="00532C5C">
        <w:rPr>
          <w:rFonts w:ascii="Times New Roman" w:hAnsi="Times New Roman"/>
          <w:szCs w:val="24"/>
        </w:rPr>
        <w:t>ce prosecutorial discretion has on</w:t>
      </w:r>
      <w:r w:rsidR="00E2595E">
        <w:rPr>
          <w:rFonts w:ascii="Times New Roman" w:hAnsi="Times New Roman"/>
          <w:szCs w:val="24"/>
        </w:rPr>
        <w:t xml:space="preserve"> victims through the interpretation of Regulation 55 by the court.</w:t>
      </w:r>
    </w:p>
    <w:p w14:paraId="51C9E8DF" w14:textId="77777777" w:rsidR="00572D1C" w:rsidRPr="00772CFF" w:rsidRDefault="00572D1C" w:rsidP="006734C7">
      <w:pPr>
        <w:spacing w:line="480" w:lineRule="auto"/>
        <w:jc w:val="both"/>
        <w:rPr>
          <w:rFonts w:ascii="Times New Roman" w:hAnsi="Times New Roman"/>
          <w:szCs w:val="24"/>
        </w:rPr>
      </w:pPr>
      <w:r w:rsidRPr="00772CFF">
        <w:rPr>
          <w:rFonts w:ascii="Times New Roman" w:hAnsi="Times New Roman"/>
          <w:szCs w:val="24"/>
        </w:rPr>
        <w:t>Regulation 55 provides:</w:t>
      </w:r>
    </w:p>
    <w:p w14:paraId="49F798B0" w14:textId="42B95166" w:rsidR="00572D1C" w:rsidRDefault="00701786" w:rsidP="009D2670">
      <w:pPr>
        <w:pStyle w:val="Quote"/>
        <w:ind w:left="0"/>
        <w:rPr>
          <w:rFonts w:ascii="Times New Roman" w:hAnsi="Times New Roman"/>
          <w:lang w:val="en-US"/>
        </w:rPr>
      </w:pPr>
      <w:r>
        <w:rPr>
          <w:rFonts w:ascii="Times New Roman" w:hAnsi="Times New Roman"/>
          <w:i w:val="0"/>
          <w:iCs w:val="0"/>
          <w:color w:val="auto"/>
          <w:szCs w:val="24"/>
        </w:rPr>
        <w:t>1.</w:t>
      </w:r>
      <w:r w:rsidR="00572D1C" w:rsidRPr="00772CFF">
        <w:rPr>
          <w:lang w:val="en-US"/>
        </w:rPr>
        <w:t xml:space="preserve"> </w:t>
      </w:r>
      <w:r w:rsidR="00572D1C" w:rsidRPr="00701786">
        <w:rPr>
          <w:rFonts w:ascii="Times New Roman" w:hAnsi="Times New Roman"/>
          <w:lang w:val="en-US"/>
        </w:rPr>
        <w:t>“</w:t>
      </w:r>
      <w:r w:rsidR="00572D1C" w:rsidRPr="00522CC0">
        <w:rPr>
          <w:rFonts w:ascii="Times New Roman" w:hAnsi="Times New Roman"/>
          <w:i w:val="0"/>
          <w:lang w:val="en-US"/>
        </w:rPr>
        <w:t xml:space="preserve">In its decision  under Article 74, the Trial Chamber may change the legal </w:t>
      </w:r>
      <w:proofErr w:type="spellStart"/>
      <w:r w:rsidR="00572D1C" w:rsidRPr="00522CC0">
        <w:rPr>
          <w:rFonts w:ascii="Times New Roman" w:hAnsi="Times New Roman"/>
          <w:i w:val="0"/>
          <w:lang w:val="en-US"/>
        </w:rPr>
        <w:t>characteri</w:t>
      </w:r>
      <w:r w:rsidR="009D2670">
        <w:rPr>
          <w:rFonts w:ascii="Times New Roman" w:hAnsi="Times New Roman"/>
          <w:i w:val="0"/>
          <w:lang w:val="en-US"/>
        </w:rPr>
        <w:t>s</w:t>
      </w:r>
      <w:r w:rsidR="00572D1C" w:rsidRPr="00522CC0">
        <w:rPr>
          <w:rFonts w:ascii="Times New Roman" w:hAnsi="Times New Roman"/>
          <w:i w:val="0"/>
          <w:lang w:val="en-US"/>
        </w:rPr>
        <w:t>ation</w:t>
      </w:r>
      <w:proofErr w:type="spellEnd"/>
      <w:r w:rsidR="00572D1C" w:rsidRPr="00522CC0">
        <w:rPr>
          <w:rFonts w:ascii="Times New Roman" w:hAnsi="Times New Roman"/>
          <w:i w:val="0"/>
          <w:lang w:val="en-US"/>
        </w:rPr>
        <w:t xml:space="preserve"> of facts to accord with the crimes under articles 6,7 or 8, or to accord with the form of participation of the accused  under articles 25 and 28, without exceeding  the facts and circumstances described in the charges and any amendments to the charges</w:t>
      </w:r>
      <w:r w:rsidR="00572D1C" w:rsidRPr="00701786">
        <w:rPr>
          <w:rFonts w:ascii="Times New Roman" w:hAnsi="Times New Roman"/>
          <w:lang w:val="en-US"/>
        </w:rPr>
        <w:t>.”</w:t>
      </w:r>
      <w:r w:rsidR="00572D1C" w:rsidRPr="00701786">
        <w:rPr>
          <w:rFonts w:ascii="Times New Roman" w:hAnsi="Times New Roman"/>
          <w:vertAlign w:val="superscript"/>
          <w:lang w:val="en-US"/>
        </w:rPr>
        <w:footnoteReference w:id="360"/>
      </w:r>
    </w:p>
    <w:p w14:paraId="3AA9846F" w14:textId="0D05015D" w:rsidR="00701786" w:rsidRPr="004E73EB" w:rsidRDefault="00701786" w:rsidP="009D2670">
      <w:pPr>
        <w:jc w:val="center"/>
        <w:rPr>
          <w:rStyle w:val="QuoteChar"/>
          <w:rFonts w:ascii="Times New Roman" w:hAnsi="Times New Roman"/>
          <w:i w:val="0"/>
        </w:rPr>
      </w:pPr>
      <w:r w:rsidRPr="00701786">
        <w:rPr>
          <w:rFonts w:ascii="Times New Roman" w:hAnsi="Times New Roman"/>
          <w:lang w:val="en-US"/>
        </w:rPr>
        <w:t>2.</w:t>
      </w:r>
      <w:r w:rsidR="009D2670">
        <w:rPr>
          <w:rFonts w:ascii="Times New Roman" w:hAnsi="Times New Roman"/>
          <w:lang w:val="en-US"/>
        </w:rPr>
        <w:t xml:space="preserve"> </w:t>
      </w:r>
      <w:r w:rsidR="00B50F55">
        <w:rPr>
          <w:rStyle w:val="QuoteChar"/>
          <w:rFonts w:ascii="Times New Roman" w:hAnsi="Times New Roman"/>
          <w:i w:val="0"/>
        </w:rPr>
        <w:t>[</w:t>
      </w:r>
      <w:proofErr w:type="spellStart"/>
      <w:r w:rsidRPr="00522CC0">
        <w:rPr>
          <w:rStyle w:val="QuoteChar"/>
          <w:rFonts w:ascii="Times New Roman" w:hAnsi="Times New Roman"/>
          <w:i w:val="0"/>
        </w:rPr>
        <w:t>i</w:t>
      </w:r>
      <w:proofErr w:type="spellEnd"/>
      <w:r w:rsidR="00B50F55">
        <w:rPr>
          <w:rStyle w:val="QuoteChar"/>
          <w:rFonts w:ascii="Times New Roman" w:hAnsi="Times New Roman"/>
          <w:i w:val="0"/>
        </w:rPr>
        <w:t>]</w:t>
      </w:r>
      <w:r w:rsidRPr="00522CC0">
        <w:rPr>
          <w:rStyle w:val="QuoteChar"/>
          <w:rFonts w:ascii="Times New Roman" w:hAnsi="Times New Roman"/>
          <w:i w:val="0"/>
        </w:rPr>
        <w:t>t appears to the Chamber that the legal char</w:t>
      </w:r>
      <w:r w:rsidR="009D2670">
        <w:rPr>
          <w:rStyle w:val="QuoteChar"/>
          <w:rFonts w:ascii="Times New Roman" w:hAnsi="Times New Roman"/>
          <w:i w:val="0"/>
        </w:rPr>
        <w:t>acteris</w:t>
      </w:r>
      <w:r w:rsidRPr="00522CC0">
        <w:rPr>
          <w:rStyle w:val="QuoteChar"/>
          <w:rFonts w:ascii="Times New Roman" w:hAnsi="Times New Roman"/>
          <w:i w:val="0"/>
        </w:rPr>
        <w:t xml:space="preserve">ation of facts may be subject to change, the Chamber shall give notice to the participants of such possibility and having heard </w:t>
      </w:r>
      <w:r w:rsidR="009D2670">
        <w:rPr>
          <w:rStyle w:val="QuoteChar"/>
          <w:rFonts w:ascii="Times New Roman" w:hAnsi="Times New Roman"/>
          <w:i w:val="0"/>
        </w:rPr>
        <w:t xml:space="preserve">the </w:t>
      </w:r>
      <w:r w:rsidRPr="00522CC0">
        <w:rPr>
          <w:rStyle w:val="QuoteChar"/>
          <w:rFonts w:ascii="Times New Roman" w:hAnsi="Times New Roman"/>
          <w:i w:val="0"/>
        </w:rPr>
        <w:t>evidence, shall, at an appropriate stage of the proceedings, give the part</w:t>
      </w:r>
      <w:r w:rsidR="004E73EB" w:rsidRPr="00522CC0">
        <w:rPr>
          <w:rStyle w:val="QuoteChar"/>
          <w:rFonts w:ascii="Times New Roman" w:hAnsi="Times New Roman"/>
          <w:i w:val="0"/>
        </w:rPr>
        <w:t>i</w:t>
      </w:r>
      <w:r w:rsidRPr="00522CC0">
        <w:rPr>
          <w:rStyle w:val="QuoteChar"/>
          <w:rFonts w:ascii="Times New Roman" w:hAnsi="Times New Roman"/>
          <w:i w:val="0"/>
        </w:rPr>
        <w:t>cipants the opportunity to make oral or written submissions.</w:t>
      </w:r>
      <w:r w:rsidRPr="00701786">
        <w:rPr>
          <w:rStyle w:val="QuoteChar"/>
          <w:rFonts w:ascii="Times New Roman" w:hAnsi="Times New Roman"/>
        </w:rPr>
        <w:t>.</w:t>
      </w:r>
      <w:r w:rsidR="00522CC0">
        <w:rPr>
          <w:rStyle w:val="QuoteChar"/>
          <w:rFonts w:ascii="Times New Roman" w:hAnsi="Times New Roman"/>
        </w:rPr>
        <w:t>”</w:t>
      </w:r>
      <w:r w:rsidR="004E73EB">
        <w:rPr>
          <w:rStyle w:val="FootnoteReference"/>
          <w:rFonts w:ascii="Times New Roman" w:hAnsi="Times New Roman"/>
          <w:i/>
          <w:iCs/>
          <w:color w:val="404040" w:themeColor="text1" w:themeTint="BF"/>
        </w:rPr>
        <w:footnoteReference w:id="361"/>
      </w:r>
    </w:p>
    <w:p w14:paraId="0FAA4DB6" w14:textId="77777777" w:rsidR="00E21C9E" w:rsidRDefault="00E21C9E" w:rsidP="00101793">
      <w:pPr>
        <w:spacing w:line="480" w:lineRule="auto"/>
        <w:jc w:val="both"/>
        <w:rPr>
          <w:rFonts w:ascii="Times New Roman" w:hAnsi="Times New Roman"/>
          <w:lang w:val="en-US"/>
        </w:rPr>
      </w:pPr>
    </w:p>
    <w:p w14:paraId="144A70C4" w14:textId="1E6BA0E6" w:rsidR="00157E54" w:rsidRPr="00101793" w:rsidRDefault="004E73EB" w:rsidP="00101793">
      <w:pPr>
        <w:spacing w:line="480" w:lineRule="auto"/>
        <w:jc w:val="both"/>
        <w:rPr>
          <w:rFonts w:ascii="Times New Roman" w:hAnsi="Times New Roman"/>
          <w:lang w:val="en-US"/>
        </w:rPr>
      </w:pPr>
      <w:r>
        <w:rPr>
          <w:rFonts w:ascii="Times New Roman" w:hAnsi="Times New Roman"/>
          <w:lang w:val="en-US"/>
        </w:rPr>
        <w:t>From observation, t</w:t>
      </w:r>
      <w:r w:rsidR="00701786">
        <w:rPr>
          <w:rFonts w:ascii="Times New Roman" w:hAnsi="Times New Roman"/>
          <w:lang w:val="en-US"/>
        </w:rPr>
        <w:t xml:space="preserve">he provision </w:t>
      </w:r>
      <w:r w:rsidR="00C923BC">
        <w:rPr>
          <w:rFonts w:ascii="Times New Roman" w:hAnsi="Times New Roman"/>
          <w:lang w:val="en-US"/>
        </w:rPr>
        <w:t>vests</w:t>
      </w:r>
      <w:r>
        <w:rPr>
          <w:rFonts w:ascii="Times New Roman" w:hAnsi="Times New Roman"/>
          <w:lang w:val="en-US"/>
        </w:rPr>
        <w:t xml:space="preserve"> the Chamber with the power to modify the charges.</w:t>
      </w:r>
      <w:r w:rsidR="00733F1F">
        <w:rPr>
          <w:rFonts w:ascii="Times New Roman" w:hAnsi="Times New Roman"/>
          <w:lang w:val="en-US"/>
        </w:rPr>
        <w:t xml:space="preserve"> </w:t>
      </w:r>
      <w:r>
        <w:rPr>
          <w:rFonts w:ascii="Times New Roman" w:hAnsi="Times New Roman"/>
          <w:lang w:val="en-US"/>
        </w:rPr>
        <w:t xml:space="preserve">It makes it incumbent on the </w:t>
      </w:r>
      <w:r w:rsidR="00B50F55">
        <w:rPr>
          <w:rFonts w:ascii="Times New Roman" w:hAnsi="Times New Roman"/>
          <w:lang w:val="en-US"/>
        </w:rPr>
        <w:t>C</w:t>
      </w:r>
      <w:r>
        <w:rPr>
          <w:rFonts w:ascii="Times New Roman" w:hAnsi="Times New Roman"/>
          <w:lang w:val="en-US"/>
        </w:rPr>
        <w:t xml:space="preserve">hamber to notify the participants of such possibility and time to prepare their evidence. </w:t>
      </w:r>
      <w:r w:rsidR="00157E54" w:rsidRPr="00701786">
        <w:rPr>
          <w:rFonts w:ascii="Times New Roman" w:hAnsi="Times New Roman"/>
          <w:szCs w:val="24"/>
          <w:lang w:val="en-US"/>
        </w:rPr>
        <w:t xml:space="preserve">One key issue which this provision </w:t>
      </w:r>
      <w:r w:rsidR="00157E54" w:rsidRPr="00701786">
        <w:rPr>
          <w:rFonts w:ascii="Times New Roman" w:hAnsi="Times New Roman"/>
          <w:szCs w:val="24"/>
          <w:lang w:val="en-US"/>
        </w:rPr>
        <w:lastRenderedPageBreak/>
        <w:t>introduces is the amendment of charges.</w:t>
      </w:r>
      <w:r w:rsidR="006734C7" w:rsidRPr="00701786">
        <w:rPr>
          <w:rFonts w:ascii="Times New Roman" w:hAnsi="Times New Roman"/>
          <w:szCs w:val="24"/>
          <w:lang w:val="en-US"/>
        </w:rPr>
        <w:t xml:space="preserve"> </w:t>
      </w:r>
      <w:r w:rsidR="00157E54" w:rsidRPr="00701786">
        <w:rPr>
          <w:rFonts w:ascii="Times New Roman" w:hAnsi="Times New Roman"/>
          <w:szCs w:val="24"/>
          <w:lang w:val="en-US"/>
        </w:rPr>
        <w:t>As explained earlier, the Prosecutor is responsible for drafting the charges.</w:t>
      </w:r>
      <w:r w:rsidR="006734C7" w:rsidRPr="00701786">
        <w:rPr>
          <w:rFonts w:ascii="Times New Roman" w:hAnsi="Times New Roman"/>
          <w:szCs w:val="24"/>
          <w:lang w:val="en-US"/>
        </w:rPr>
        <w:t xml:space="preserve"> </w:t>
      </w:r>
      <w:r w:rsidR="00157E54" w:rsidRPr="00701786">
        <w:rPr>
          <w:rFonts w:ascii="Times New Roman" w:hAnsi="Times New Roman"/>
          <w:szCs w:val="24"/>
          <w:lang w:val="en-US"/>
        </w:rPr>
        <w:t>However,</w:t>
      </w:r>
      <w:r w:rsidR="00B50F55">
        <w:rPr>
          <w:rFonts w:ascii="Times New Roman" w:hAnsi="Times New Roman"/>
          <w:szCs w:val="24"/>
          <w:lang w:val="en-US"/>
        </w:rPr>
        <w:t xml:space="preserve"> an omission of allegations in the charging document</w:t>
      </w:r>
      <w:r w:rsidR="00157E54" w:rsidRPr="00701786">
        <w:rPr>
          <w:rFonts w:ascii="Times New Roman" w:hAnsi="Times New Roman"/>
          <w:szCs w:val="24"/>
          <w:lang w:val="en-US"/>
        </w:rPr>
        <w:t xml:space="preserve"> raises the question of who</w:t>
      </w:r>
      <w:r>
        <w:rPr>
          <w:rFonts w:ascii="Times New Roman" w:hAnsi="Times New Roman"/>
          <w:szCs w:val="24"/>
          <w:lang w:val="en-US"/>
        </w:rPr>
        <w:t xml:space="preserve"> amends the charges</w:t>
      </w:r>
      <w:r w:rsidR="00B50F55">
        <w:rPr>
          <w:rFonts w:ascii="Times New Roman" w:hAnsi="Times New Roman"/>
          <w:szCs w:val="24"/>
          <w:lang w:val="en-US"/>
        </w:rPr>
        <w:t xml:space="preserve">. </w:t>
      </w:r>
      <w:r w:rsidR="00157E54" w:rsidRPr="00701786">
        <w:rPr>
          <w:rFonts w:ascii="Times New Roman" w:hAnsi="Times New Roman"/>
          <w:szCs w:val="24"/>
          <w:lang w:val="en-US"/>
        </w:rPr>
        <w:t>The above provision infer</w:t>
      </w:r>
      <w:r w:rsidR="00B50F55">
        <w:rPr>
          <w:rFonts w:ascii="Times New Roman" w:hAnsi="Times New Roman"/>
          <w:szCs w:val="24"/>
          <w:lang w:val="en-US"/>
        </w:rPr>
        <w:t>s</w:t>
      </w:r>
      <w:r w:rsidR="00157E54" w:rsidRPr="00701786">
        <w:rPr>
          <w:rFonts w:ascii="Times New Roman" w:hAnsi="Times New Roman"/>
          <w:szCs w:val="24"/>
          <w:lang w:val="en-US"/>
        </w:rPr>
        <w:t xml:space="preserve"> that the Chamber ‘may’</w:t>
      </w:r>
      <w:r w:rsidR="00733F1F">
        <w:rPr>
          <w:rFonts w:ascii="Times New Roman" w:hAnsi="Times New Roman"/>
          <w:szCs w:val="24"/>
          <w:lang w:val="en-US"/>
        </w:rPr>
        <w:t xml:space="preserve"> </w:t>
      </w:r>
      <w:r w:rsidR="00157E54" w:rsidRPr="00701786">
        <w:rPr>
          <w:rFonts w:ascii="Times New Roman" w:hAnsi="Times New Roman"/>
          <w:szCs w:val="24"/>
          <w:lang w:val="en-US"/>
        </w:rPr>
        <w:t>change the legal characterization of facts</w:t>
      </w:r>
      <w:r w:rsidR="00733F1F">
        <w:rPr>
          <w:rFonts w:ascii="Times New Roman" w:hAnsi="Times New Roman"/>
          <w:szCs w:val="24"/>
          <w:lang w:val="en-US"/>
        </w:rPr>
        <w:t xml:space="preserve"> to</w:t>
      </w:r>
      <w:r w:rsidR="00157E54" w:rsidRPr="00701786">
        <w:rPr>
          <w:rFonts w:ascii="Times New Roman" w:hAnsi="Times New Roman"/>
          <w:szCs w:val="24"/>
          <w:lang w:val="en-US"/>
        </w:rPr>
        <w:t xml:space="preserve"> correspond with the crimes or the </w:t>
      </w:r>
      <w:r w:rsidR="0026727E">
        <w:rPr>
          <w:rFonts w:ascii="Times New Roman" w:hAnsi="Times New Roman"/>
          <w:szCs w:val="24"/>
          <w:lang w:val="en-US"/>
        </w:rPr>
        <w:t>accused's form of participation</w:t>
      </w:r>
      <w:r w:rsidR="00157E54" w:rsidRPr="00701786">
        <w:rPr>
          <w:rFonts w:ascii="Times New Roman" w:hAnsi="Times New Roman"/>
          <w:szCs w:val="24"/>
          <w:lang w:val="en-US"/>
        </w:rPr>
        <w:t>. There is a condition</w:t>
      </w:r>
      <w:r w:rsidR="00733F1F">
        <w:rPr>
          <w:rFonts w:ascii="Times New Roman" w:hAnsi="Times New Roman"/>
          <w:szCs w:val="24"/>
          <w:lang w:val="en-US"/>
        </w:rPr>
        <w:t>;</w:t>
      </w:r>
      <w:r w:rsidR="00157E54" w:rsidRPr="00701786">
        <w:rPr>
          <w:rFonts w:ascii="Times New Roman" w:hAnsi="Times New Roman"/>
          <w:szCs w:val="24"/>
          <w:lang w:val="en-US"/>
        </w:rPr>
        <w:t xml:space="preserve"> such amendment must not exceed “</w:t>
      </w:r>
      <w:r w:rsidR="00157E54" w:rsidRPr="00701786">
        <w:rPr>
          <w:rFonts w:ascii="Times New Roman" w:hAnsi="Times New Roman"/>
          <w:i/>
          <w:szCs w:val="24"/>
          <w:lang w:val="en-US"/>
        </w:rPr>
        <w:t>the facts and circumstances described in the charges and any amendments to the charges</w:t>
      </w:r>
      <w:r w:rsidR="006734C7" w:rsidRPr="00701786">
        <w:rPr>
          <w:rFonts w:ascii="Times New Roman" w:hAnsi="Times New Roman"/>
          <w:i/>
          <w:szCs w:val="24"/>
          <w:lang w:val="en-US"/>
        </w:rPr>
        <w:t>.</w:t>
      </w:r>
      <w:r w:rsidR="00157E54" w:rsidRPr="00701786">
        <w:rPr>
          <w:rFonts w:ascii="Times New Roman" w:hAnsi="Times New Roman"/>
          <w:szCs w:val="24"/>
          <w:lang w:val="en-US"/>
        </w:rPr>
        <w:t>”</w:t>
      </w:r>
      <w:r w:rsidR="00157E54" w:rsidRPr="00701786">
        <w:rPr>
          <w:rFonts w:ascii="Times New Roman" w:hAnsi="Times New Roman"/>
          <w:szCs w:val="24"/>
          <w:vertAlign w:val="superscript"/>
          <w:lang w:val="en-US"/>
        </w:rPr>
        <w:footnoteReference w:id="362"/>
      </w:r>
      <w:r w:rsidR="00101793">
        <w:rPr>
          <w:rFonts w:ascii="Times New Roman" w:hAnsi="Times New Roman"/>
          <w:szCs w:val="24"/>
          <w:lang w:val="en-US"/>
        </w:rPr>
        <w:t xml:space="preserve">The last part of the provision imposes a cap on the </w:t>
      </w:r>
      <w:proofErr w:type="spellStart"/>
      <w:r w:rsidR="00101793">
        <w:rPr>
          <w:rFonts w:ascii="Times New Roman" w:hAnsi="Times New Roman"/>
          <w:szCs w:val="24"/>
          <w:lang w:val="en-US"/>
        </w:rPr>
        <w:t>recharacterisation</w:t>
      </w:r>
      <w:proofErr w:type="spellEnd"/>
      <w:r w:rsidR="00101793">
        <w:rPr>
          <w:rFonts w:ascii="Times New Roman" w:hAnsi="Times New Roman"/>
          <w:szCs w:val="24"/>
          <w:lang w:val="en-US"/>
        </w:rPr>
        <w:t xml:space="preserve"> of facts, which </w:t>
      </w:r>
      <w:r w:rsidR="00B50F55">
        <w:rPr>
          <w:rFonts w:ascii="Times New Roman" w:hAnsi="Times New Roman"/>
          <w:szCs w:val="24"/>
          <w:lang w:val="en-US"/>
        </w:rPr>
        <w:t>limits radical alteration of the content of charges.</w:t>
      </w:r>
    </w:p>
    <w:p w14:paraId="2C9EEEFA" w14:textId="6DDF7DA0" w:rsidR="00572D1C" w:rsidRPr="00101793" w:rsidRDefault="00101F9D" w:rsidP="00101793">
      <w:pPr>
        <w:spacing w:line="480" w:lineRule="auto"/>
        <w:jc w:val="both"/>
        <w:rPr>
          <w:rFonts w:ascii="Times New Roman" w:hAnsi="Times New Roman"/>
          <w:szCs w:val="24"/>
        </w:rPr>
      </w:pPr>
      <w:r w:rsidRPr="00101793">
        <w:rPr>
          <w:rFonts w:ascii="Times New Roman" w:hAnsi="Times New Roman"/>
        </w:rPr>
        <w:t>Regulation 55 empowers the court to modify the legal characterisation of facts in the charges.</w:t>
      </w:r>
      <w:r w:rsidR="00157E54" w:rsidRPr="00101793">
        <w:rPr>
          <w:rFonts w:ascii="Times New Roman" w:hAnsi="Times New Roman"/>
        </w:rPr>
        <w:t xml:space="preserve"> </w:t>
      </w:r>
      <w:r w:rsidRPr="00101793">
        <w:rPr>
          <w:rFonts w:ascii="Times New Roman" w:hAnsi="Times New Roman"/>
        </w:rPr>
        <w:t xml:space="preserve">A commentator contends that this provision </w:t>
      </w:r>
      <w:r w:rsidR="00F21125" w:rsidRPr="00101793">
        <w:rPr>
          <w:rFonts w:ascii="Times New Roman" w:hAnsi="Times New Roman"/>
        </w:rPr>
        <w:t>transgresses</w:t>
      </w:r>
      <w:r w:rsidRPr="00101793">
        <w:rPr>
          <w:rFonts w:ascii="Times New Roman" w:hAnsi="Times New Roman"/>
        </w:rPr>
        <w:t xml:space="preserve"> some </w:t>
      </w:r>
      <w:r w:rsidR="0066633B">
        <w:rPr>
          <w:rFonts w:ascii="Times New Roman" w:hAnsi="Times New Roman"/>
        </w:rPr>
        <w:t>Rome Statute provisions</w:t>
      </w:r>
      <w:r w:rsidRPr="00101793">
        <w:rPr>
          <w:rFonts w:ascii="Times New Roman" w:hAnsi="Times New Roman"/>
        </w:rPr>
        <w:t xml:space="preserve"> because </w:t>
      </w:r>
      <w:r w:rsidR="00F21125" w:rsidRPr="00101793">
        <w:rPr>
          <w:rFonts w:ascii="Times New Roman" w:hAnsi="Times New Roman"/>
        </w:rPr>
        <w:t>it enables the judges to amend the charges under Article 61(9),</w:t>
      </w:r>
      <w:r w:rsidR="00F21125" w:rsidRPr="00101793">
        <w:rPr>
          <w:rStyle w:val="FootnoteReference"/>
          <w:rFonts w:ascii="Times New Roman" w:hAnsi="Times New Roman"/>
        </w:rPr>
        <w:footnoteReference w:id="363"/>
      </w:r>
      <w:r w:rsidR="00F21125" w:rsidRPr="00101793">
        <w:rPr>
          <w:rFonts w:ascii="Times New Roman" w:hAnsi="Times New Roman"/>
        </w:rPr>
        <w:t xml:space="preserve"> an encroachment on the </w:t>
      </w:r>
      <w:r w:rsidR="0026727E">
        <w:rPr>
          <w:rFonts w:ascii="Times New Roman" w:hAnsi="Times New Roman"/>
        </w:rPr>
        <w:t>prosecutor's exclusive role</w:t>
      </w:r>
      <w:r w:rsidR="00F21125" w:rsidRPr="00101793">
        <w:rPr>
          <w:rFonts w:ascii="Times New Roman" w:hAnsi="Times New Roman"/>
        </w:rPr>
        <w:t>.</w:t>
      </w:r>
      <w:r w:rsidR="00157E54" w:rsidRPr="00101793">
        <w:rPr>
          <w:rFonts w:ascii="Times New Roman" w:hAnsi="Times New Roman"/>
        </w:rPr>
        <w:t xml:space="preserve"> </w:t>
      </w:r>
      <w:r w:rsidR="007270FF" w:rsidRPr="00101793">
        <w:rPr>
          <w:rFonts w:ascii="Times New Roman" w:hAnsi="Times New Roman"/>
        </w:rPr>
        <w:t xml:space="preserve">By comparison, it is </w:t>
      </w:r>
      <w:r w:rsidR="007270FF" w:rsidRPr="00101793">
        <w:rPr>
          <w:rFonts w:ascii="Times New Roman" w:hAnsi="Times New Roman"/>
          <w:szCs w:val="24"/>
        </w:rPr>
        <w:t xml:space="preserve">possible that Regulation 55 could be activated to enable the judge in </w:t>
      </w:r>
      <w:r w:rsidR="00157E54" w:rsidRPr="00101793">
        <w:rPr>
          <w:rFonts w:ascii="Times New Roman" w:hAnsi="Times New Roman"/>
          <w:szCs w:val="24"/>
        </w:rPr>
        <w:t>the interpretation of the law where, otherwise if an action is not taken, it could potentially lead to injustice or prejudice the fair trial rights of the accused.</w:t>
      </w:r>
    </w:p>
    <w:p w14:paraId="6842BE0A" w14:textId="7AF1D057" w:rsidR="00157E54" w:rsidRPr="006734C7" w:rsidRDefault="00157E54" w:rsidP="00101793">
      <w:pPr>
        <w:spacing w:line="480" w:lineRule="auto"/>
        <w:jc w:val="both"/>
        <w:rPr>
          <w:rFonts w:ascii="Times New Roman" w:hAnsi="Times New Roman"/>
          <w:i/>
          <w:szCs w:val="24"/>
          <w:lang w:val="en-US"/>
        </w:rPr>
      </w:pPr>
      <w:r w:rsidRPr="00101793">
        <w:rPr>
          <w:rFonts w:ascii="Times New Roman" w:hAnsi="Times New Roman"/>
          <w:szCs w:val="24"/>
        </w:rPr>
        <w:t>At this point, it is necessary to analyse the application</w:t>
      </w:r>
      <w:r w:rsidR="00B50F55">
        <w:rPr>
          <w:rFonts w:ascii="Times New Roman" w:hAnsi="Times New Roman"/>
          <w:szCs w:val="24"/>
        </w:rPr>
        <w:t xml:space="preserve"> and consequences </w:t>
      </w:r>
      <w:r w:rsidRPr="00101793">
        <w:rPr>
          <w:rFonts w:ascii="Times New Roman" w:hAnsi="Times New Roman"/>
          <w:szCs w:val="24"/>
        </w:rPr>
        <w:t>of Regulation 55 for victims at the ICC.</w:t>
      </w:r>
      <w:r w:rsidRPr="00101793">
        <w:rPr>
          <w:rFonts w:ascii="Times New Roman" w:hAnsi="Times New Roman"/>
          <w:szCs w:val="24"/>
          <w:lang w:val="en-US"/>
        </w:rPr>
        <w:t xml:space="preserve"> By focusing </w:t>
      </w:r>
      <w:r w:rsidRPr="006734C7">
        <w:rPr>
          <w:rFonts w:ascii="Times New Roman" w:hAnsi="Times New Roman"/>
          <w:szCs w:val="24"/>
          <w:lang w:val="en-US"/>
        </w:rPr>
        <w:t>on the legal re-</w:t>
      </w:r>
      <w:proofErr w:type="spellStart"/>
      <w:r w:rsidRPr="006734C7">
        <w:rPr>
          <w:rFonts w:ascii="Times New Roman" w:hAnsi="Times New Roman"/>
          <w:szCs w:val="24"/>
          <w:lang w:val="en-US"/>
        </w:rPr>
        <w:t>characterisation</w:t>
      </w:r>
      <w:proofErr w:type="spellEnd"/>
      <w:r w:rsidRPr="006734C7">
        <w:rPr>
          <w:rFonts w:ascii="Times New Roman" w:hAnsi="Times New Roman"/>
          <w:szCs w:val="24"/>
          <w:lang w:val="en-US"/>
        </w:rPr>
        <w:t xml:space="preserve"> of facts in both </w:t>
      </w:r>
      <w:r w:rsidRPr="006734C7">
        <w:rPr>
          <w:rFonts w:ascii="Times New Roman" w:hAnsi="Times New Roman"/>
          <w:szCs w:val="24"/>
          <w:lang w:val="en-US"/>
        </w:rPr>
        <w:lastRenderedPageBreak/>
        <w:t xml:space="preserve">Lubanga and Katanga cases, the following section intends to </w:t>
      </w:r>
      <w:proofErr w:type="spellStart"/>
      <w:r w:rsidRPr="006734C7">
        <w:rPr>
          <w:rFonts w:ascii="Times New Roman" w:hAnsi="Times New Roman"/>
          <w:szCs w:val="24"/>
          <w:lang w:val="en-US"/>
        </w:rPr>
        <w:t>analyse</w:t>
      </w:r>
      <w:proofErr w:type="spellEnd"/>
      <w:r w:rsidRPr="006734C7">
        <w:rPr>
          <w:rFonts w:ascii="Times New Roman" w:hAnsi="Times New Roman"/>
          <w:szCs w:val="24"/>
          <w:lang w:val="en-US"/>
        </w:rPr>
        <w:t xml:space="preserve"> how the activation of Regulation 55 affects victims</w:t>
      </w:r>
      <w:r w:rsidR="004C2450">
        <w:rPr>
          <w:rFonts w:ascii="Times New Roman" w:hAnsi="Times New Roman"/>
          <w:szCs w:val="24"/>
          <w:lang w:val="en-US"/>
        </w:rPr>
        <w:t>’ rights and</w:t>
      </w:r>
      <w:r w:rsidRPr="006734C7">
        <w:rPr>
          <w:rFonts w:ascii="Times New Roman" w:hAnsi="Times New Roman"/>
          <w:szCs w:val="24"/>
          <w:lang w:val="en-US"/>
        </w:rPr>
        <w:t xml:space="preserve"> interests</w:t>
      </w:r>
      <w:r w:rsidR="004C2450">
        <w:rPr>
          <w:rFonts w:ascii="Times New Roman" w:hAnsi="Times New Roman"/>
          <w:szCs w:val="24"/>
          <w:lang w:val="en-US"/>
        </w:rPr>
        <w:t>.</w:t>
      </w:r>
    </w:p>
    <w:p w14:paraId="638181F0" w14:textId="77777777" w:rsidR="00157E54" w:rsidRPr="006734C7" w:rsidRDefault="00157E54" w:rsidP="006734C7">
      <w:pPr>
        <w:spacing w:line="480" w:lineRule="auto"/>
        <w:jc w:val="both"/>
        <w:rPr>
          <w:rFonts w:ascii="Times New Roman" w:hAnsi="Times New Roman"/>
          <w:szCs w:val="24"/>
        </w:rPr>
      </w:pPr>
    </w:p>
    <w:p w14:paraId="7A62BB23" w14:textId="77777777" w:rsidR="00772CFF" w:rsidRPr="006734C7" w:rsidRDefault="00975263" w:rsidP="00A44B61">
      <w:pPr>
        <w:pStyle w:val="Heading3"/>
      </w:pPr>
      <w:bookmarkStart w:id="27" w:name="_Toc60235805"/>
      <w:r w:rsidRPr="006734C7">
        <w:t>2.7.1</w:t>
      </w:r>
      <w:r w:rsidR="006F53BA" w:rsidRPr="006734C7">
        <w:t xml:space="preserve"> </w:t>
      </w:r>
      <w:r w:rsidR="00772CFF" w:rsidRPr="006734C7">
        <w:t>Legal re-</w:t>
      </w:r>
      <w:proofErr w:type="spellStart"/>
      <w:r w:rsidR="00772CFF" w:rsidRPr="006734C7">
        <w:t>characterisation</w:t>
      </w:r>
      <w:proofErr w:type="spellEnd"/>
      <w:r w:rsidR="00772CFF" w:rsidRPr="006734C7">
        <w:t xml:space="preserve"> of facts:</w:t>
      </w:r>
      <w:r w:rsidR="006734C7">
        <w:t xml:space="preserve"> </w:t>
      </w:r>
      <w:r w:rsidR="00772CFF" w:rsidRPr="006734C7">
        <w:t>Lubanga case visited</w:t>
      </w:r>
      <w:bookmarkEnd w:id="27"/>
    </w:p>
    <w:p w14:paraId="38B21D95" w14:textId="6C9A67A8" w:rsidR="00772CFF" w:rsidRPr="00772CFF" w:rsidRDefault="00772CFF" w:rsidP="00FF5254">
      <w:pPr>
        <w:spacing w:line="480" w:lineRule="auto"/>
        <w:jc w:val="both"/>
        <w:rPr>
          <w:rFonts w:ascii="Times New Roman" w:hAnsi="Times New Roman"/>
          <w:szCs w:val="24"/>
          <w:lang w:val="en-US"/>
        </w:rPr>
      </w:pPr>
      <w:r w:rsidRPr="006734C7">
        <w:rPr>
          <w:rFonts w:ascii="Times New Roman" w:hAnsi="Times New Roman"/>
          <w:szCs w:val="24"/>
        </w:rPr>
        <w:t>Arguably, the narrow scope of the charges against Lubanga restricted the number of victims affected a</w:t>
      </w:r>
      <w:r w:rsidR="0026727E">
        <w:rPr>
          <w:rFonts w:ascii="Times New Roman" w:hAnsi="Times New Roman"/>
          <w:szCs w:val="24"/>
        </w:rPr>
        <w:t>nd</w:t>
      </w:r>
      <w:r w:rsidRPr="006734C7">
        <w:rPr>
          <w:rFonts w:ascii="Times New Roman" w:hAnsi="Times New Roman"/>
          <w:szCs w:val="24"/>
        </w:rPr>
        <w:t xml:space="preserve"> the alleged crimes. Th</w:t>
      </w:r>
      <w:r w:rsidR="00E21C9E">
        <w:rPr>
          <w:rFonts w:ascii="Times New Roman" w:hAnsi="Times New Roman"/>
          <w:szCs w:val="24"/>
        </w:rPr>
        <w:t>e omission</w:t>
      </w:r>
      <w:r w:rsidRPr="006734C7">
        <w:rPr>
          <w:rFonts w:ascii="Times New Roman" w:hAnsi="Times New Roman"/>
          <w:szCs w:val="24"/>
        </w:rPr>
        <w:t xml:space="preserve"> raised questions about the gaps or </w:t>
      </w:r>
      <w:r w:rsidR="0028393E" w:rsidRPr="006734C7">
        <w:rPr>
          <w:rFonts w:ascii="Times New Roman" w:hAnsi="Times New Roman"/>
          <w:szCs w:val="24"/>
        </w:rPr>
        <w:t>inadequacies of the OTP’s</w:t>
      </w:r>
      <w:r w:rsidRPr="006734C7">
        <w:rPr>
          <w:rFonts w:ascii="Times New Roman" w:hAnsi="Times New Roman"/>
          <w:szCs w:val="24"/>
        </w:rPr>
        <w:t xml:space="preserve"> strategy.</w:t>
      </w:r>
      <w:r w:rsidRPr="006734C7">
        <w:rPr>
          <w:rFonts w:ascii="Times New Roman" w:hAnsi="Times New Roman"/>
          <w:szCs w:val="24"/>
          <w:vertAlign w:val="superscript"/>
        </w:rPr>
        <w:footnoteReference w:id="364"/>
      </w:r>
      <w:r w:rsidRPr="006734C7">
        <w:rPr>
          <w:rFonts w:ascii="Times New Roman" w:hAnsi="Times New Roman"/>
          <w:szCs w:val="24"/>
        </w:rPr>
        <w:t xml:space="preserve"> Kambale observed that after two years of investigation, it was disappointing that the OTP </w:t>
      </w:r>
      <w:r w:rsidR="0026727E">
        <w:rPr>
          <w:rFonts w:ascii="Times New Roman" w:hAnsi="Times New Roman"/>
          <w:szCs w:val="24"/>
        </w:rPr>
        <w:t>could only</w:t>
      </w:r>
      <w:r w:rsidRPr="006734C7">
        <w:rPr>
          <w:rFonts w:ascii="Times New Roman" w:hAnsi="Times New Roman"/>
          <w:szCs w:val="24"/>
        </w:rPr>
        <w:t xml:space="preserve"> come up with</w:t>
      </w:r>
      <w:r w:rsidRPr="00772CFF">
        <w:rPr>
          <w:rFonts w:ascii="Times New Roman" w:hAnsi="Times New Roman"/>
          <w:szCs w:val="24"/>
        </w:rPr>
        <w:t xml:space="preserve"> one count of charge-conscription and enlistment of child soldiers- amongst other serious crimes committed in </w:t>
      </w:r>
      <w:proofErr w:type="spellStart"/>
      <w:r w:rsidRPr="00772CFF">
        <w:rPr>
          <w:rFonts w:ascii="Times New Roman" w:hAnsi="Times New Roman"/>
          <w:szCs w:val="24"/>
        </w:rPr>
        <w:t>Ituri</w:t>
      </w:r>
      <w:proofErr w:type="spellEnd"/>
      <w:r w:rsidRPr="00772CFF">
        <w:rPr>
          <w:rFonts w:ascii="Times New Roman" w:hAnsi="Times New Roman"/>
          <w:szCs w:val="24"/>
        </w:rPr>
        <w:t>.</w:t>
      </w:r>
      <w:r w:rsidRPr="00772CFF">
        <w:rPr>
          <w:rFonts w:ascii="Times New Roman" w:hAnsi="Times New Roman"/>
          <w:szCs w:val="24"/>
          <w:vertAlign w:val="superscript"/>
        </w:rPr>
        <w:footnoteReference w:id="365"/>
      </w:r>
    </w:p>
    <w:p w14:paraId="5702CD17" w14:textId="3D3E9AAF" w:rsidR="00772CFF" w:rsidRPr="00772CFF" w:rsidRDefault="00772CFF" w:rsidP="00FF5254">
      <w:pPr>
        <w:spacing w:line="480" w:lineRule="auto"/>
        <w:jc w:val="both"/>
        <w:rPr>
          <w:rFonts w:ascii="Times New Roman" w:hAnsi="Times New Roman"/>
          <w:szCs w:val="24"/>
        </w:rPr>
      </w:pPr>
      <w:r w:rsidRPr="00772CFF">
        <w:rPr>
          <w:rFonts w:ascii="Times New Roman" w:hAnsi="Times New Roman"/>
          <w:szCs w:val="24"/>
        </w:rPr>
        <w:t xml:space="preserve">In response to the narrow charges, some human right </w:t>
      </w:r>
      <w:r w:rsidR="00EC7E87">
        <w:rPr>
          <w:rFonts w:ascii="Times New Roman" w:hAnsi="Times New Roman"/>
          <w:szCs w:val="24"/>
        </w:rPr>
        <w:t>organisations, NGOs and civil society</w:t>
      </w:r>
      <w:r w:rsidRPr="00772CFF">
        <w:rPr>
          <w:rFonts w:ascii="Times New Roman" w:hAnsi="Times New Roman"/>
          <w:szCs w:val="24"/>
        </w:rPr>
        <w:t xml:space="preserve"> across the country questioned the Prosecutor’s motives for not taking into account other serious crimes committed in </w:t>
      </w:r>
      <w:proofErr w:type="spellStart"/>
      <w:r w:rsidRPr="00772CFF">
        <w:rPr>
          <w:rFonts w:ascii="Times New Roman" w:hAnsi="Times New Roman"/>
          <w:szCs w:val="24"/>
        </w:rPr>
        <w:t>Ituri</w:t>
      </w:r>
      <w:proofErr w:type="spellEnd"/>
      <w:r w:rsidRPr="00772CFF">
        <w:rPr>
          <w:rFonts w:ascii="Times New Roman" w:hAnsi="Times New Roman"/>
          <w:szCs w:val="24"/>
        </w:rPr>
        <w:t>, which falls within the jurisdiction of the Court. They opined that the Prosecutor’s failure in this aspect m</w:t>
      </w:r>
      <w:r w:rsidR="00CC4F36">
        <w:rPr>
          <w:rFonts w:ascii="Times New Roman" w:hAnsi="Times New Roman"/>
          <w:szCs w:val="24"/>
        </w:rPr>
        <w:t>ight</w:t>
      </w:r>
      <w:r w:rsidRPr="00772CFF">
        <w:rPr>
          <w:rFonts w:ascii="Times New Roman" w:hAnsi="Times New Roman"/>
          <w:szCs w:val="24"/>
        </w:rPr>
        <w:t xml:space="preserve"> affect the ICC’s </w:t>
      </w:r>
      <w:r w:rsidRPr="00772CFF">
        <w:rPr>
          <w:rFonts w:ascii="Times New Roman" w:hAnsi="Times New Roman"/>
          <w:szCs w:val="24"/>
        </w:rPr>
        <w:lastRenderedPageBreak/>
        <w:t>credibility.</w:t>
      </w:r>
      <w:r w:rsidRPr="00772CFF">
        <w:rPr>
          <w:rFonts w:ascii="Times New Roman" w:hAnsi="Times New Roman"/>
          <w:szCs w:val="24"/>
          <w:vertAlign w:val="superscript"/>
        </w:rPr>
        <w:footnoteReference w:id="366"/>
      </w:r>
      <w:r w:rsidRPr="00772CFF">
        <w:rPr>
          <w:rFonts w:ascii="Times New Roman" w:hAnsi="Times New Roman"/>
          <w:szCs w:val="24"/>
        </w:rPr>
        <w:t>Right from the PTC’s issuance</w:t>
      </w:r>
      <w:r w:rsidR="00251A32">
        <w:rPr>
          <w:rFonts w:ascii="Times New Roman" w:hAnsi="Times New Roman"/>
          <w:szCs w:val="24"/>
        </w:rPr>
        <w:t xml:space="preserve"> of  Lubanga’s arrest warrant, t</w:t>
      </w:r>
      <w:r w:rsidRPr="00772CFF">
        <w:rPr>
          <w:rFonts w:ascii="Times New Roman" w:hAnsi="Times New Roman"/>
          <w:szCs w:val="24"/>
        </w:rPr>
        <w:t>he charges</w:t>
      </w:r>
      <w:r w:rsidR="00EC7E87">
        <w:rPr>
          <w:rFonts w:ascii="Times New Roman" w:hAnsi="Times New Roman"/>
          <w:szCs w:val="24"/>
        </w:rPr>
        <w:t xml:space="preserve"> </w:t>
      </w:r>
      <w:r w:rsidR="00E21C9E">
        <w:rPr>
          <w:rFonts w:ascii="Times New Roman" w:hAnsi="Times New Roman"/>
          <w:szCs w:val="24"/>
        </w:rPr>
        <w:t xml:space="preserve">omitted </w:t>
      </w:r>
      <w:r w:rsidR="0026727E">
        <w:rPr>
          <w:rFonts w:ascii="Times New Roman" w:hAnsi="Times New Roman"/>
          <w:szCs w:val="24"/>
        </w:rPr>
        <w:t>rape and sexual violence allegations</w:t>
      </w:r>
      <w:r w:rsidRPr="00772CFF">
        <w:rPr>
          <w:rFonts w:ascii="Times New Roman" w:hAnsi="Times New Roman"/>
          <w:szCs w:val="24"/>
        </w:rPr>
        <w:t>.</w:t>
      </w:r>
      <w:r w:rsidRPr="00772CFF">
        <w:rPr>
          <w:rFonts w:ascii="Times New Roman" w:hAnsi="Times New Roman"/>
          <w:szCs w:val="24"/>
          <w:vertAlign w:val="superscript"/>
        </w:rPr>
        <w:footnoteReference w:id="367"/>
      </w:r>
      <w:r w:rsidRPr="00772CFF">
        <w:rPr>
          <w:rFonts w:ascii="Times New Roman" w:hAnsi="Times New Roman"/>
          <w:szCs w:val="24"/>
        </w:rPr>
        <w:t>The PTC confirmed the charges of war crimes of enlistment, conscription and use of child soldiers.</w:t>
      </w:r>
      <w:r w:rsidRPr="00772CFF">
        <w:rPr>
          <w:rFonts w:ascii="Times New Roman" w:hAnsi="Times New Roman"/>
          <w:szCs w:val="24"/>
          <w:vertAlign w:val="superscript"/>
        </w:rPr>
        <w:footnoteReference w:id="368"/>
      </w:r>
    </w:p>
    <w:p w14:paraId="14AB81C4" w14:textId="44466E0C" w:rsidR="00CC4F36" w:rsidRDefault="00772CFF" w:rsidP="00FF5254">
      <w:pPr>
        <w:spacing w:line="480" w:lineRule="auto"/>
        <w:jc w:val="both"/>
        <w:rPr>
          <w:rFonts w:ascii="Times New Roman" w:hAnsi="Times New Roman"/>
          <w:szCs w:val="24"/>
        </w:rPr>
      </w:pPr>
      <w:r w:rsidRPr="00772CFF">
        <w:rPr>
          <w:rFonts w:ascii="Times New Roman" w:hAnsi="Times New Roman"/>
          <w:szCs w:val="24"/>
        </w:rPr>
        <w:t>An NGO</w:t>
      </w:r>
      <w:r w:rsidR="00CC4F36">
        <w:rPr>
          <w:rFonts w:ascii="Times New Roman" w:hAnsi="Times New Roman"/>
          <w:szCs w:val="24"/>
        </w:rPr>
        <w:t>,</w:t>
      </w:r>
      <w:r w:rsidRPr="00772CFF">
        <w:rPr>
          <w:rFonts w:ascii="Times New Roman" w:hAnsi="Times New Roman"/>
          <w:szCs w:val="24"/>
        </w:rPr>
        <w:t xml:space="preserve"> Women Initiatives for Gender Justice(WIGJ)  brought the </w:t>
      </w:r>
      <w:r w:rsidR="0026727E">
        <w:rPr>
          <w:rFonts w:ascii="Times New Roman" w:hAnsi="Times New Roman"/>
          <w:szCs w:val="24"/>
        </w:rPr>
        <w:t>Prosecutor's attention</w:t>
      </w:r>
      <w:r w:rsidRPr="00772CFF">
        <w:rPr>
          <w:rFonts w:ascii="Times New Roman" w:hAnsi="Times New Roman"/>
          <w:szCs w:val="24"/>
        </w:rPr>
        <w:t xml:space="preserve"> via a letter, to narrow charges against Lubanga. They referred to the Prosecutor’s statement where he reported that he would investigate the reports by states which included: ‘</w:t>
      </w:r>
      <w:r w:rsidRPr="007D4C8A">
        <w:rPr>
          <w:rFonts w:ascii="Times New Roman" w:hAnsi="Times New Roman"/>
          <w:szCs w:val="24"/>
        </w:rPr>
        <w:t>alleged  pattern of rape, torture</w:t>
      </w:r>
      <w:r w:rsidRPr="00772CFF">
        <w:rPr>
          <w:rFonts w:ascii="Times New Roman" w:hAnsi="Times New Roman"/>
          <w:szCs w:val="24"/>
        </w:rPr>
        <w:t>, forced displacement and the illegal use of child soldiers.”</w:t>
      </w:r>
      <w:r w:rsidRPr="00772CFF">
        <w:rPr>
          <w:rFonts w:ascii="Times New Roman" w:hAnsi="Times New Roman"/>
          <w:szCs w:val="24"/>
          <w:vertAlign w:val="superscript"/>
        </w:rPr>
        <w:footnoteReference w:id="369"/>
      </w:r>
      <w:r w:rsidRPr="00772CFF">
        <w:rPr>
          <w:rFonts w:ascii="Times New Roman" w:hAnsi="Times New Roman"/>
          <w:szCs w:val="24"/>
        </w:rPr>
        <w:t xml:space="preserve"> They rem</w:t>
      </w:r>
      <w:r w:rsidR="00F977B6">
        <w:rPr>
          <w:rFonts w:ascii="Times New Roman" w:hAnsi="Times New Roman"/>
          <w:szCs w:val="24"/>
        </w:rPr>
        <w:t>inded the Prosecutor that he had</w:t>
      </w:r>
      <w:r w:rsidRPr="00772CFF">
        <w:rPr>
          <w:rFonts w:ascii="Times New Roman" w:hAnsi="Times New Roman"/>
          <w:szCs w:val="24"/>
        </w:rPr>
        <w:t xml:space="preserve"> made statements over 12 months which confirmed that the </w:t>
      </w:r>
      <w:r w:rsidR="0026727E">
        <w:rPr>
          <w:rFonts w:ascii="Times New Roman" w:hAnsi="Times New Roman"/>
          <w:szCs w:val="24"/>
        </w:rPr>
        <w:t>DRC situation</w:t>
      </w:r>
      <w:r w:rsidRPr="00772CFF">
        <w:rPr>
          <w:rFonts w:ascii="Times New Roman" w:hAnsi="Times New Roman"/>
          <w:szCs w:val="24"/>
        </w:rPr>
        <w:t xml:space="preserve"> included summary executions, mass murder, torture, </w:t>
      </w:r>
      <w:r w:rsidRPr="007D4C8A">
        <w:rPr>
          <w:rFonts w:ascii="Times New Roman" w:hAnsi="Times New Roman"/>
          <w:szCs w:val="24"/>
        </w:rPr>
        <w:t>rape and other forms of sexual violence</w:t>
      </w:r>
      <w:r w:rsidRPr="00772CFF">
        <w:rPr>
          <w:rFonts w:ascii="Times New Roman" w:hAnsi="Times New Roman"/>
          <w:szCs w:val="24"/>
        </w:rPr>
        <w:t>, and forced displacement.</w:t>
      </w:r>
      <w:r w:rsidRPr="00772CFF">
        <w:rPr>
          <w:rFonts w:ascii="Times New Roman" w:hAnsi="Times New Roman"/>
          <w:szCs w:val="24"/>
          <w:vertAlign w:val="superscript"/>
        </w:rPr>
        <w:footnoteReference w:id="370"/>
      </w:r>
      <w:r w:rsidRPr="00772CFF">
        <w:rPr>
          <w:rFonts w:ascii="Times New Roman" w:hAnsi="Times New Roman"/>
          <w:szCs w:val="24"/>
        </w:rPr>
        <w:t xml:space="preserve"> They lamented about the restrictive nature of the charges to the recruitment and use of child soldiers. Although, they </w:t>
      </w:r>
      <w:r w:rsidR="00FF5254">
        <w:rPr>
          <w:rFonts w:ascii="Times New Roman" w:hAnsi="Times New Roman"/>
          <w:szCs w:val="24"/>
        </w:rPr>
        <w:t>acknowledged the ICC’s selectivity and</w:t>
      </w:r>
      <w:r w:rsidRPr="00772CFF">
        <w:rPr>
          <w:rFonts w:ascii="Times New Roman" w:hAnsi="Times New Roman"/>
          <w:szCs w:val="24"/>
        </w:rPr>
        <w:t xml:space="preserve"> limited resources in conducting investigations.</w:t>
      </w:r>
    </w:p>
    <w:p w14:paraId="2182D6E1" w14:textId="50CFF032" w:rsidR="00772CFF" w:rsidRPr="00164440" w:rsidRDefault="00772CFF" w:rsidP="00FF5254">
      <w:pPr>
        <w:spacing w:line="480" w:lineRule="auto"/>
        <w:jc w:val="both"/>
        <w:rPr>
          <w:rFonts w:ascii="Times New Roman" w:hAnsi="Times New Roman"/>
          <w:szCs w:val="24"/>
          <w:vertAlign w:val="superscript"/>
        </w:rPr>
      </w:pPr>
      <w:r w:rsidRPr="00772CFF">
        <w:rPr>
          <w:rFonts w:ascii="Times New Roman" w:hAnsi="Times New Roman"/>
          <w:szCs w:val="24"/>
        </w:rPr>
        <w:lastRenderedPageBreak/>
        <w:t>Nevertheless, they opined</w:t>
      </w:r>
      <w:r w:rsidR="00FF5254">
        <w:rPr>
          <w:rFonts w:ascii="Times New Roman" w:hAnsi="Times New Roman"/>
          <w:szCs w:val="24"/>
        </w:rPr>
        <w:t xml:space="preserve"> that if the ICC proceedings w</w:t>
      </w:r>
      <w:r w:rsidR="00CC4F36">
        <w:rPr>
          <w:rFonts w:ascii="Times New Roman" w:hAnsi="Times New Roman"/>
          <w:szCs w:val="24"/>
        </w:rPr>
        <w:t>ere</w:t>
      </w:r>
      <w:r w:rsidR="00FF5254">
        <w:rPr>
          <w:rFonts w:ascii="Times New Roman" w:hAnsi="Times New Roman"/>
          <w:szCs w:val="24"/>
        </w:rPr>
        <w:t xml:space="preserve"> to be fair and just, it was</w:t>
      </w:r>
      <w:r w:rsidRPr="00772CFF">
        <w:rPr>
          <w:rFonts w:ascii="Times New Roman" w:hAnsi="Times New Roman"/>
          <w:szCs w:val="24"/>
        </w:rPr>
        <w:t xml:space="preserve"> ‘</w:t>
      </w:r>
      <w:r w:rsidRPr="00772CFF">
        <w:rPr>
          <w:rFonts w:ascii="Times New Roman" w:hAnsi="Times New Roman"/>
          <w:i/>
          <w:szCs w:val="24"/>
        </w:rPr>
        <w:t xml:space="preserve">necessary that prosecutorial discretion </w:t>
      </w:r>
      <w:r w:rsidR="006734C7">
        <w:rPr>
          <w:rFonts w:ascii="Times New Roman" w:hAnsi="Times New Roman"/>
          <w:i/>
          <w:szCs w:val="24"/>
        </w:rPr>
        <w:t>is</w:t>
      </w:r>
      <w:r w:rsidRPr="00772CFF">
        <w:rPr>
          <w:rFonts w:ascii="Times New Roman" w:hAnsi="Times New Roman"/>
          <w:i/>
          <w:szCs w:val="24"/>
        </w:rPr>
        <w:t xml:space="preserve"> exercised in a transparent and principled way’</w:t>
      </w:r>
      <w:r w:rsidRPr="00772CFF">
        <w:rPr>
          <w:rFonts w:ascii="Times New Roman" w:hAnsi="Times New Roman"/>
          <w:szCs w:val="24"/>
        </w:rPr>
        <w:t>.</w:t>
      </w:r>
      <w:r w:rsidRPr="00772CFF">
        <w:rPr>
          <w:rFonts w:ascii="Times New Roman" w:hAnsi="Times New Roman"/>
          <w:szCs w:val="24"/>
          <w:vertAlign w:val="superscript"/>
        </w:rPr>
        <w:footnoteReference w:id="371"/>
      </w:r>
      <w:r w:rsidRPr="00772CFF">
        <w:rPr>
          <w:rFonts w:ascii="Times New Roman" w:hAnsi="Times New Roman"/>
          <w:szCs w:val="24"/>
        </w:rPr>
        <w:t xml:space="preserve"> </w:t>
      </w:r>
      <w:r w:rsidR="00CC4F36">
        <w:rPr>
          <w:rFonts w:ascii="Times New Roman" w:hAnsi="Times New Roman"/>
          <w:szCs w:val="24"/>
        </w:rPr>
        <w:t>Also</w:t>
      </w:r>
      <w:r w:rsidR="00F977B6">
        <w:rPr>
          <w:rFonts w:ascii="Times New Roman" w:hAnsi="Times New Roman"/>
          <w:szCs w:val="24"/>
        </w:rPr>
        <w:t>,</w:t>
      </w:r>
      <w:r w:rsidR="006734C7">
        <w:rPr>
          <w:rFonts w:ascii="Times New Roman" w:hAnsi="Times New Roman"/>
          <w:szCs w:val="24"/>
        </w:rPr>
        <w:t xml:space="preserve"> </w:t>
      </w:r>
      <w:r w:rsidR="00F977B6">
        <w:rPr>
          <w:rFonts w:ascii="Times New Roman" w:hAnsi="Times New Roman"/>
          <w:szCs w:val="24"/>
        </w:rPr>
        <w:t>t</w:t>
      </w:r>
      <w:r w:rsidRPr="00772CFF">
        <w:rPr>
          <w:rFonts w:ascii="Times New Roman" w:hAnsi="Times New Roman"/>
          <w:szCs w:val="24"/>
        </w:rPr>
        <w:t>hey noted that the</w:t>
      </w:r>
      <w:r w:rsidR="00E21C9E">
        <w:rPr>
          <w:rFonts w:ascii="Times New Roman" w:hAnsi="Times New Roman"/>
          <w:szCs w:val="24"/>
        </w:rPr>
        <w:t xml:space="preserve"> willingness of </w:t>
      </w:r>
      <w:r w:rsidRPr="00772CFF">
        <w:rPr>
          <w:rFonts w:ascii="Times New Roman" w:hAnsi="Times New Roman"/>
          <w:szCs w:val="24"/>
        </w:rPr>
        <w:t>victims/sur</w:t>
      </w:r>
      <w:r w:rsidR="00FF5254">
        <w:rPr>
          <w:rFonts w:ascii="Times New Roman" w:hAnsi="Times New Roman"/>
          <w:szCs w:val="24"/>
        </w:rPr>
        <w:t xml:space="preserve">vivors and witnesses of SGBV </w:t>
      </w:r>
      <w:r w:rsidRPr="00772CFF">
        <w:rPr>
          <w:rFonts w:ascii="Times New Roman" w:hAnsi="Times New Roman"/>
          <w:szCs w:val="24"/>
        </w:rPr>
        <w:t xml:space="preserve">to come forward. In expressing their concerns, they complained about the </w:t>
      </w:r>
      <w:r w:rsidR="0026727E">
        <w:rPr>
          <w:rFonts w:ascii="Times New Roman" w:hAnsi="Times New Roman"/>
          <w:szCs w:val="24"/>
        </w:rPr>
        <w:t>prosecutor's reluctance</w:t>
      </w:r>
      <w:r w:rsidRPr="00772CFF">
        <w:rPr>
          <w:rFonts w:ascii="Times New Roman" w:hAnsi="Times New Roman"/>
          <w:szCs w:val="24"/>
        </w:rPr>
        <w:t xml:space="preserve"> to </w:t>
      </w:r>
      <w:r w:rsidR="0099709F">
        <w:rPr>
          <w:rFonts w:ascii="Times New Roman" w:hAnsi="Times New Roman"/>
          <w:szCs w:val="24"/>
        </w:rPr>
        <w:t>investigate sexual violence crimes effectively</w:t>
      </w:r>
      <w:r w:rsidR="00164440">
        <w:rPr>
          <w:rFonts w:ascii="Times New Roman" w:hAnsi="Times New Roman"/>
          <w:szCs w:val="24"/>
        </w:rPr>
        <w:t xml:space="preserve">, </w:t>
      </w:r>
      <w:r w:rsidR="00E21C9E">
        <w:rPr>
          <w:rFonts w:ascii="Times New Roman" w:hAnsi="Times New Roman"/>
          <w:szCs w:val="24"/>
        </w:rPr>
        <w:t>given</w:t>
      </w:r>
      <w:r w:rsidR="00164440">
        <w:rPr>
          <w:rFonts w:ascii="Times New Roman" w:hAnsi="Times New Roman"/>
          <w:szCs w:val="24"/>
        </w:rPr>
        <w:t xml:space="preserve"> its challenges. </w:t>
      </w:r>
      <w:r w:rsidRPr="00772CFF">
        <w:rPr>
          <w:rFonts w:ascii="Times New Roman" w:hAnsi="Times New Roman"/>
          <w:szCs w:val="24"/>
        </w:rPr>
        <w:t>In conclusion, they persuaded the Prosecutor to include the crimes of SGBV in the charges. Apparently, this raised the question of whether</w:t>
      </w:r>
      <w:r w:rsidR="006734C7">
        <w:rPr>
          <w:rFonts w:ascii="Times New Roman" w:hAnsi="Times New Roman"/>
          <w:szCs w:val="24"/>
        </w:rPr>
        <w:t xml:space="preserve"> </w:t>
      </w:r>
      <w:r w:rsidRPr="00772CFF">
        <w:rPr>
          <w:rFonts w:ascii="Times New Roman" w:hAnsi="Times New Roman"/>
          <w:szCs w:val="24"/>
        </w:rPr>
        <w:t xml:space="preserve">sexual violence was an intrinsic part of </w:t>
      </w:r>
      <w:r w:rsidR="0099709F">
        <w:rPr>
          <w:rFonts w:ascii="Times New Roman" w:hAnsi="Times New Roman"/>
          <w:szCs w:val="24"/>
        </w:rPr>
        <w:t>child soldiers' recruitment and use</w:t>
      </w:r>
      <w:r w:rsidRPr="00772CFF">
        <w:rPr>
          <w:rFonts w:ascii="Times New Roman" w:hAnsi="Times New Roman"/>
          <w:szCs w:val="24"/>
        </w:rPr>
        <w:t>.</w:t>
      </w:r>
      <w:r w:rsidR="006734C7">
        <w:rPr>
          <w:rFonts w:ascii="Times New Roman" w:hAnsi="Times New Roman"/>
          <w:szCs w:val="24"/>
        </w:rPr>
        <w:t xml:space="preserve"> </w:t>
      </w:r>
      <w:r w:rsidRPr="00772CFF">
        <w:rPr>
          <w:rFonts w:ascii="Times New Roman" w:hAnsi="Times New Roman"/>
          <w:szCs w:val="24"/>
        </w:rPr>
        <w:t>Despite the persuasion of the WIGJ, the Prosecutor was indifferent</w:t>
      </w:r>
      <w:r w:rsidR="00164440">
        <w:rPr>
          <w:rFonts w:ascii="Times New Roman" w:hAnsi="Times New Roman"/>
          <w:szCs w:val="24"/>
        </w:rPr>
        <w:t xml:space="preserve"> to their objection.</w:t>
      </w:r>
    </w:p>
    <w:p w14:paraId="337A4251" w14:textId="76512FB7" w:rsidR="00A34723" w:rsidRDefault="00F977B6" w:rsidP="0030072B">
      <w:pPr>
        <w:spacing w:line="480" w:lineRule="auto"/>
        <w:jc w:val="both"/>
        <w:rPr>
          <w:rFonts w:ascii="Times New Roman" w:hAnsi="Times New Roman"/>
          <w:szCs w:val="24"/>
        </w:rPr>
      </w:pPr>
      <w:r>
        <w:rPr>
          <w:rFonts w:ascii="Times New Roman" w:hAnsi="Times New Roman"/>
          <w:szCs w:val="24"/>
        </w:rPr>
        <w:t xml:space="preserve">Subsequently, </w:t>
      </w:r>
      <w:r w:rsidR="00164440">
        <w:rPr>
          <w:rFonts w:ascii="Times New Roman" w:hAnsi="Times New Roman"/>
          <w:szCs w:val="24"/>
        </w:rPr>
        <w:t>under</w:t>
      </w:r>
      <w:r w:rsidR="00772CFF" w:rsidRPr="00772CFF">
        <w:rPr>
          <w:rFonts w:ascii="Times New Roman" w:hAnsi="Times New Roman"/>
          <w:szCs w:val="24"/>
        </w:rPr>
        <w:t xml:space="preserve"> a joint request made by the legal representatives of victims, in May 2006, the LRV filed a motion requesting the Trial Chamber to modify the facts of the charges to include charges of inhumane treatment and sexual slavery</w:t>
      </w:r>
      <w:r w:rsidR="00791E67">
        <w:rPr>
          <w:rFonts w:ascii="Times New Roman" w:hAnsi="Times New Roman"/>
          <w:szCs w:val="24"/>
        </w:rPr>
        <w:t xml:space="preserve"> as war crimes</w:t>
      </w:r>
      <w:r w:rsidR="00772CFF" w:rsidRPr="00772CFF">
        <w:rPr>
          <w:rFonts w:ascii="Times New Roman" w:hAnsi="Times New Roman"/>
          <w:szCs w:val="24"/>
        </w:rPr>
        <w:t>.</w:t>
      </w:r>
      <w:r w:rsidR="00CC4F36">
        <w:rPr>
          <w:rFonts w:ascii="Times New Roman" w:hAnsi="Times New Roman"/>
          <w:szCs w:val="24"/>
        </w:rPr>
        <w:t xml:space="preserve"> </w:t>
      </w:r>
      <w:r w:rsidR="003E07A8">
        <w:rPr>
          <w:rFonts w:ascii="Times New Roman" w:hAnsi="Times New Roman"/>
          <w:szCs w:val="24"/>
        </w:rPr>
        <w:t xml:space="preserve">The TC notified the parties of </w:t>
      </w:r>
      <w:r w:rsidR="00791E67">
        <w:rPr>
          <w:rFonts w:ascii="Times New Roman" w:hAnsi="Times New Roman"/>
          <w:szCs w:val="24"/>
        </w:rPr>
        <w:t xml:space="preserve">its intention to </w:t>
      </w:r>
      <w:r w:rsidR="00CC4F36">
        <w:rPr>
          <w:rFonts w:ascii="Times New Roman" w:hAnsi="Times New Roman"/>
          <w:szCs w:val="24"/>
        </w:rPr>
        <w:t>characte</w:t>
      </w:r>
      <w:r w:rsidR="00791E67">
        <w:rPr>
          <w:rFonts w:ascii="Times New Roman" w:hAnsi="Times New Roman"/>
          <w:szCs w:val="24"/>
        </w:rPr>
        <w:t>rise</w:t>
      </w:r>
      <w:r w:rsidR="003E07A8">
        <w:rPr>
          <w:rFonts w:ascii="Times New Roman" w:hAnsi="Times New Roman"/>
          <w:szCs w:val="24"/>
        </w:rPr>
        <w:t xml:space="preserve"> the facts under Regulation 55.</w:t>
      </w:r>
      <w:r w:rsidR="00CC4F36">
        <w:rPr>
          <w:rFonts w:ascii="Times New Roman" w:hAnsi="Times New Roman"/>
          <w:szCs w:val="24"/>
        </w:rPr>
        <w:t xml:space="preserve"> </w:t>
      </w:r>
      <w:r w:rsidR="003E07A8">
        <w:rPr>
          <w:rFonts w:ascii="Times New Roman" w:hAnsi="Times New Roman"/>
          <w:szCs w:val="24"/>
        </w:rPr>
        <w:t>The LRV requested the Trial Chamber to apply R</w:t>
      </w:r>
      <w:r w:rsidR="00791E67">
        <w:rPr>
          <w:rFonts w:ascii="Times New Roman" w:hAnsi="Times New Roman"/>
          <w:szCs w:val="24"/>
        </w:rPr>
        <w:t>e</w:t>
      </w:r>
      <w:r w:rsidR="003E07A8">
        <w:rPr>
          <w:rFonts w:ascii="Times New Roman" w:hAnsi="Times New Roman"/>
          <w:szCs w:val="24"/>
        </w:rPr>
        <w:t xml:space="preserve">gulation 55 </w:t>
      </w:r>
      <w:r w:rsidR="00791E67">
        <w:rPr>
          <w:rFonts w:ascii="Times New Roman" w:hAnsi="Times New Roman"/>
          <w:szCs w:val="24"/>
        </w:rPr>
        <w:t xml:space="preserve"> for</w:t>
      </w:r>
      <w:r w:rsidR="003E07A8">
        <w:rPr>
          <w:rFonts w:ascii="Times New Roman" w:hAnsi="Times New Roman"/>
          <w:szCs w:val="24"/>
        </w:rPr>
        <w:t xml:space="preserve"> an ‘additional legal char</w:t>
      </w:r>
      <w:r w:rsidR="00EA5FDA">
        <w:rPr>
          <w:rFonts w:ascii="Times New Roman" w:hAnsi="Times New Roman"/>
          <w:szCs w:val="24"/>
        </w:rPr>
        <w:t>a</w:t>
      </w:r>
      <w:r w:rsidR="003E07A8">
        <w:rPr>
          <w:rFonts w:ascii="Times New Roman" w:hAnsi="Times New Roman"/>
          <w:szCs w:val="24"/>
        </w:rPr>
        <w:t>cterisation</w:t>
      </w:r>
      <w:r w:rsidR="00EA5FDA">
        <w:rPr>
          <w:rFonts w:ascii="Times New Roman" w:hAnsi="Times New Roman"/>
          <w:szCs w:val="24"/>
        </w:rPr>
        <w:t xml:space="preserve"> to the facts and circumstances contained in the charging document</w:t>
      </w:r>
      <w:r w:rsidR="00A34723">
        <w:rPr>
          <w:rFonts w:ascii="Times New Roman" w:hAnsi="Times New Roman"/>
          <w:szCs w:val="24"/>
        </w:rPr>
        <w:t>;</w:t>
      </w:r>
      <w:r w:rsidR="00CC4F36">
        <w:rPr>
          <w:rFonts w:ascii="Times New Roman" w:hAnsi="Times New Roman"/>
          <w:szCs w:val="24"/>
        </w:rPr>
        <w:t xml:space="preserve"> </w:t>
      </w:r>
      <w:r w:rsidR="00A34723">
        <w:rPr>
          <w:rFonts w:ascii="Times New Roman" w:hAnsi="Times New Roman"/>
          <w:szCs w:val="24"/>
        </w:rPr>
        <w:t>the charging document had a one-count charge of conscripting,</w:t>
      </w:r>
      <w:r w:rsidR="00CC4F36">
        <w:rPr>
          <w:rFonts w:ascii="Times New Roman" w:hAnsi="Times New Roman"/>
          <w:szCs w:val="24"/>
        </w:rPr>
        <w:t xml:space="preserve"> </w:t>
      </w:r>
      <w:r w:rsidR="00A34723">
        <w:rPr>
          <w:rFonts w:ascii="Times New Roman" w:hAnsi="Times New Roman"/>
          <w:szCs w:val="24"/>
        </w:rPr>
        <w:t>enlisting and using children to participate actively in hostilities(as war crimes).</w:t>
      </w:r>
      <w:r w:rsidR="003E07A8">
        <w:rPr>
          <w:rFonts w:ascii="Times New Roman" w:hAnsi="Times New Roman"/>
          <w:szCs w:val="24"/>
        </w:rPr>
        <w:t xml:space="preserve"> </w:t>
      </w:r>
      <w:r w:rsidR="00791E67">
        <w:rPr>
          <w:rFonts w:ascii="Times New Roman" w:hAnsi="Times New Roman"/>
          <w:szCs w:val="24"/>
        </w:rPr>
        <w:t xml:space="preserve">In the LRV’s argument, the TC had the authority to change the </w:t>
      </w:r>
      <w:r w:rsidR="0026727E">
        <w:rPr>
          <w:rFonts w:ascii="Times New Roman" w:hAnsi="Times New Roman"/>
          <w:szCs w:val="24"/>
        </w:rPr>
        <w:t>facts' legal characterisation</w:t>
      </w:r>
      <w:r w:rsidR="00791E67">
        <w:rPr>
          <w:rFonts w:ascii="Times New Roman" w:hAnsi="Times New Roman"/>
          <w:szCs w:val="24"/>
        </w:rPr>
        <w:t xml:space="preserve"> because the additional charges </w:t>
      </w:r>
      <w:r w:rsidR="00EF29B9">
        <w:rPr>
          <w:rFonts w:ascii="Times New Roman" w:hAnsi="Times New Roman"/>
          <w:szCs w:val="24"/>
        </w:rPr>
        <w:t xml:space="preserve">were part of the facts and circumstances of the charges </w:t>
      </w:r>
      <w:r w:rsidR="007D2DB4">
        <w:rPr>
          <w:rFonts w:ascii="Times New Roman" w:hAnsi="Times New Roman"/>
          <w:szCs w:val="24"/>
        </w:rPr>
        <w:t xml:space="preserve">confirmed </w:t>
      </w:r>
      <w:r w:rsidR="00EF29B9">
        <w:rPr>
          <w:rFonts w:ascii="Times New Roman" w:hAnsi="Times New Roman"/>
          <w:szCs w:val="24"/>
        </w:rPr>
        <w:lastRenderedPageBreak/>
        <w:t>against the accused</w:t>
      </w:r>
      <w:r w:rsidR="007D2DB4">
        <w:rPr>
          <w:rFonts w:ascii="Times New Roman" w:hAnsi="Times New Roman"/>
          <w:szCs w:val="24"/>
        </w:rPr>
        <w:t xml:space="preserve"> by the PTC</w:t>
      </w:r>
      <w:r w:rsidR="00EF29B9">
        <w:rPr>
          <w:rFonts w:ascii="Times New Roman" w:hAnsi="Times New Roman"/>
          <w:szCs w:val="24"/>
        </w:rPr>
        <w:t>.</w:t>
      </w:r>
      <w:r w:rsidR="0030072B">
        <w:rPr>
          <w:rStyle w:val="FootnoteReference"/>
          <w:rFonts w:ascii="Times New Roman" w:hAnsi="Times New Roman"/>
          <w:szCs w:val="24"/>
        </w:rPr>
        <w:footnoteReference w:id="372"/>
      </w:r>
      <w:r w:rsidR="00EF29B9">
        <w:rPr>
          <w:rFonts w:ascii="Times New Roman" w:hAnsi="Times New Roman"/>
          <w:szCs w:val="24"/>
        </w:rPr>
        <w:t>These additional charges were not new to the content of the charging document.</w:t>
      </w:r>
    </w:p>
    <w:p w14:paraId="744EE953" w14:textId="615587CE" w:rsidR="003E114D" w:rsidRDefault="0030072B" w:rsidP="00BB7831">
      <w:pPr>
        <w:spacing w:line="480" w:lineRule="auto"/>
        <w:jc w:val="both"/>
        <w:rPr>
          <w:rFonts w:ascii="Times New Roman" w:hAnsi="Times New Roman"/>
          <w:szCs w:val="24"/>
        </w:rPr>
      </w:pPr>
      <w:r>
        <w:rPr>
          <w:rFonts w:ascii="Times New Roman" w:hAnsi="Times New Roman"/>
          <w:szCs w:val="24"/>
        </w:rPr>
        <w:t xml:space="preserve">In addressing the victims’ request, </w:t>
      </w:r>
      <w:r w:rsidR="00772CFF" w:rsidRPr="00772CFF">
        <w:rPr>
          <w:rFonts w:ascii="Times New Roman" w:hAnsi="Times New Roman"/>
          <w:szCs w:val="24"/>
        </w:rPr>
        <w:t>Majority of Trial Chamber</w:t>
      </w:r>
      <w:r w:rsidR="003E114D">
        <w:rPr>
          <w:rFonts w:ascii="Times New Roman" w:hAnsi="Times New Roman"/>
          <w:szCs w:val="24"/>
        </w:rPr>
        <w:t xml:space="preserve"> include</w:t>
      </w:r>
      <w:r w:rsidR="00164440">
        <w:rPr>
          <w:rFonts w:ascii="Times New Roman" w:hAnsi="Times New Roman"/>
          <w:szCs w:val="24"/>
        </w:rPr>
        <w:t>d</w:t>
      </w:r>
      <w:r w:rsidR="003E114D">
        <w:rPr>
          <w:rFonts w:ascii="Times New Roman" w:hAnsi="Times New Roman"/>
          <w:szCs w:val="24"/>
        </w:rPr>
        <w:t xml:space="preserve"> the LRVs additional charges</w:t>
      </w:r>
      <w:r w:rsidR="00772CFF" w:rsidRPr="00772CFF">
        <w:rPr>
          <w:rFonts w:ascii="Times New Roman" w:hAnsi="Times New Roman"/>
          <w:szCs w:val="24"/>
        </w:rPr>
        <w:t>,</w:t>
      </w:r>
      <w:r w:rsidR="006734C7">
        <w:rPr>
          <w:rFonts w:ascii="Times New Roman" w:hAnsi="Times New Roman"/>
          <w:szCs w:val="24"/>
        </w:rPr>
        <w:t xml:space="preserve"> </w:t>
      </w:r>
      <w:r w:rsidR="00772CFF" w:rsidRPr="00772CFF">
        <w:rPr>
          <w:rFonts w:ascii="Times New Roman" w:hAnsi="Times New Roman"/>
          <w:szCs w:val="24"/>
        </w:rPr>
        <w:t>with Judge Fulford dissenting,</w:t>
      </w:r>
      <w:r w:rsidR="00164440">
        <w:rPr>
          <w:rFonts w:ascii="Times New Roman" w:hAnsi="Times New Roman"/>
          <w:szCs w:val="24"/>
        </w:rPr>
        <w:t xml:space="preserve"> he</w:t>
      </w:r>
      <w:r w:rsidR="00772CFF" w:rsidRPr="00772CFF">
        <w:rPr>
          <w:rFonts w:ascii="Times New Roman" w:hAnsi="Times New Roman"/>
          <w:szCs w:val="24"/>
        </w:rPr>
        <w:t xml:space="preserve"> ruled that “</w:t>
      </w:r>
      <w:r w:rsidR="00772CFF" w:rsidRPr="000D11D8">
        <w:rPr>
          <w:rFonts w:ascii="Times New Roman" w:hAnsi="Times New Roman"/>
          <w:i/>
          <w:szCs w:val="24"/>
        </w:rPr>
        <w:t>that legal characterisation of the facts may be subject to change in accordance with Regulation 55(2) of the Regulations of the Court</w:t>
      </w:r>
      <w:r w:rsidR="00772CFF" w:rsidRPr="00772CFF">
        <w:rPr>
          <w:rFonts w:ascii="Times New Roman" w:hAnsi="Times New Roman"/>
          <w:szCs w:val="24"/>
        </w:rPr>
        <w:t>”</w:t>
      </w:r>
      <w:r w:rsidR="00772CFF" w:rsidRPr="00772CFF">
        <w:rPr>
          <w:rFonts w:ascii="Times New Roman" w:hAnsi="Times New Roman"/>
          <w:szCs w:val="24"/>
          <w:vertAlign w:val="superscript"/>
        </w:rPr>
        <w:footnoteReference w:id="373"/>
      </w:r>
      <w:r w:rsidR="00772CFF" w:rsidRPr="00772CFF">
        <w:rPr>
          <w:rFonts w:ascii="Times New Roman" w:hAnsi="Times New Roman"/>
          <w:szCs w:val="24"/>
        </w:rPr>
        <w:t xml:space="preserve">The majority noted that it was willing to hear arguments from the parties and consider whether these facts could be re-characterised to include inhumane/cruel treatment and sexual slavery under articles 7(1)(g) and </w:t>
      </w:r>
      <w:r w:rsidR="006734C7">
        <w:rPr>
          <w:rFonts w:ascii="Times New Roman" w:hAnsi="Times New Roman"/>
          <w:szCs w:val="24"/>
        </w:rPr>
        <w:t>A</w:t>
      </w:r>
      <w:r w:rsidR="00772CFF" w:rsidRPr="00772CFF">
        <w:rPr>
          <w:rFonts w:ascii="Times New Roman" w:hAnsi="Times New Roman"/>
          <w:szCs w:val="24"/>
        </w:rPr>
        <w:t>rticle 8(2).</w:t>
      </w:r>
      <w:r w:rsidR="006734C7">
        <w:rPr>
          <w:rFonts w:ascii="Times New Roman" w:hAnsi="Times New Roman"/>
          <w:szCs w:val="24"/>
        </w:rPr>
        <w:t xml:space="preserve"> </w:t>
      </w:r>
      <w:r w:rsidR="00772CFF" w:rsidRPr="00772CFF">
        <w:rPr>
          <w:rFonts w:ascii="Times New Roman" w:hAnsi="Times New Roman"/>
          <w:szCs w:val="24"/>
        </w:rPr>
        <w:t>According to the majority, sub</w:t>
      </w:r>
      <w:r w:rsidR="006734C7">
        <w:rPr>
          <w:rFonts w:ascii="Times New Roman" w:hAnsi="Times New Roman"/>
          <w:szCs w:val="24"/>
        </w:rPr>
        <w:t>-</w:t>
      </w:r>
      <w:r w:rsidR="00772CFF" w:rsidRPr="00772CFF">
        <w:rPr>
          <w:rFonts w:ascii="Times New Roman" w:hAnsi="Times New Roman"/>
          <w:szCs w:val="24"/>
        </w:rPr>
        <w:t>paragraphs (2) and (3)are distinct provisions from 55(1).</w:t>
      </w:r>
      <w:r w:rsidR="003E114D">
        <w:rPr>
          <w:rStyle w:val="FootnoteReference"/>
          <w:rFonts w:ascii="Times New Roman" w:hAnsi="Times New Roman"/>
          <w:szCs w:val="24"/>
        </w:rPr>
        <w:footnoteReference w:id="374"/>
      </w:r>
      <w:r w:rsidR="006734C7">
        <w:rPr>
          <w:rFonts w:ascii="Times New Roman" w:hAnsi="Times New Roman"/>
          <w:szCs w:val="24"/>
        </w:rPr>
        <w:t xml:space="preserve"> </w:t>
      </w:r>
      <w:r w:rsidR="00772CFF" w:rsidRPr="00772CFF">
        <w:rPr>
          <w:rFonts w:ascii="Times New Roman" w:hAnsi="Times New Roman"/>
          <w:szCs w:val="24"/>
        </w:rPr>
        <w:t xml:space="preserve">As such, they can be interpreted separately. </w:t>
      </w:r>
      <w:r w:rsidR="00CC4F36">
        <w:rPr>
          <w:rFonts w:ascii="Times New Roman" w:hAnsi="Times New Roman"/>
          <w:szCs w:val="24"/>
        </w:rPr>
        <w:t>At the same time,</w:t>
      </w:r>
      <w:r w:rsidR="0078462D">
        <w:rPr>
          <w:rFonts w:ascii="Times New Roman" w:hAnsi="Times New Roman"/>
          <w:szCs w:val="24"/>
        </w:rPr>
        <w:t xml:space="preserve"> </w:t>
      </w:r>
      <w:r w:rsidR="00772CFF" w:rsidRPr="00772CFF">
        <w:rPr>
          <w:rFonts w:ascii="Times New Roman" w:hAnsi="Times New Roman"/>
          <w:szCs w:val="24"/>
        </w:rPr>
        <w:t>Regulation 55(1) permits legal re-characterisation of facts unless the factual basis for such re-characterisation exceeds the facts stated in the charges. Subparagraphs (2) does not restrict legal characterisation to the fact and circumstances stated in the Charges. This</w:t>
      </w:r>
      <w:r w:rsidR="00CC4F36">
        <w:rPr>
          <w:rFonts w:ascii="Times New Roman" w:hAnsi="Times New Roman"/>
          <w:szCs w:val="24"/>
        </w:rPr>
        <w:t xml:space="preserve"> provision</w:t>
      </w:r>
      <w:r w:rsidR="00772CFF" w:rsidRPr="00772CFF">
        <w:rPr>
          <w:rFonts w:ascii="Times New Roman" w:hAnsi="Times New Roman"/>
          <w:szCs w:val="24"/>
        </w:rPr>
        <w:t xml:space="preserve"> envisages that any re-characterisation can exceed the factual scope of the charges.</w:t>
      </w:r>
      <w:r w:rsidR="00772CFF" w:rsidRPr="00772CFF">
        <w:rPr>
          <w:rFonts w:ascii="Times New Roman" w:hAnsi="Times New Roman"/>
          <w:szCs w:val="24"/>
          <w:vertAlign w:val="superscript"/>
        </w:rPr>
        <w:footnoteReference w:id="375"/>
      </w:r>
      <w:r w:rsidR="00772CFF" w:rsidRPr="00772CFF">
        <w:rPr>
          <w:rFonts w:ascii="Times New Roman" w:hAnsi="Times New Roman"/>
          <w:szCs w:val="24"/>
        </w:rPr>
        <w:t xml:space="preserve">  The Majority held that Regulation 55 is applicable to re-characterise the facts to include </w:t>
      </w:r>
      <w:r w:rsidR="00CC4F36">
        <w:rPr>
          <w:rFonts w:ascii="Times New Roman" w:hAnsi="Times New Roman"/>
          <w:szCs w:val="24"/>
        </w:rPr>
        <w:t>allegation</w:t>
      </w:r>
      <w:r w:rsidR="00772CFF" w:rsidRPr="00772CFF">
        <w:rPr>
          <w:rFonts w:ascii="Times New Roman" w:hAnsi="Times New Roman"/>
          <w:szCs w:val="24"/>
        </w:rPr>
        <w:t xml:space="preserve">s of inhumane treatment and sexual slavery. </w:t>
      </w:r>
      <w:r w:rsidR="003E114D">
        <w:rPr>
          <w:rFonts w:ascii="Times New Roman" w:hAnsi="Times New Roman"/>
          <w:szCs w:val="24"/>
        </w:rPr>
        <w:t xml:space="preserve">The majority also </w:t>
      </w:r>
      <w:r w:rsidR="003E114D">
        <w:rPr>
          <w:rFonts w:ascii="Times New Roman" w:hAnsi="Times New Roman"/>
          <w:szCs w:val="24"/>
        </w:rPr>
        <w:lastRenderedPageBreak/>
        <w:t>noted that it ‘was not bound’ by the facts and circumstances contained in confirmed charges by the PTC.</w:t>
      </w:r>
      <w:r w:rsidR="003E114D">
        <w:rPr>
          <w:rStyle w:val="FootnoteReference"/>
          <w:rFonts w:ascii="Times New Roman" w:hAnsi="Times New Roman"/>
          <w:szCs w:val="24"/>
        </w:rPr>
        <w:footnoteReference w:id="376"/>
      </w:r>
    </w:p>
    <w:p w14:paraId="125A156F" w14:textId="301C2323" w:rsidR="00772CFF" w:rsidRPr="00772CFF" w:rsidRDefault="00772CFF" w:rsidP="00BB7831">
      <w:pPr>
        <w:spacing w:line="480" w:lineRule="auto"/>
        <w:jc w:val="both"/>
        <w:rPr>
          <w:rFonts w:ascii="Times New Roman" w:hAnsi="Times New Roman"/>
          <w:szCs w:val="24"/>
        </w:rPr>
      </w:pPr>
      <w:r w:rsidRPr="00772CFF">
        <w:rPr>
          <w:rFonts w:ascii="Times New Roman" w:hAnsi="Times New Roman"/>
          <w:szCs w:val="24"/>
        </w:rPr>
        <w:t>In his dissenting opinion, Judge Fulford found that Article 61(9) of the Rome Statute and Regulation 52 confers the PTC with the exclusive authority to frame and amend charges. Additionally, Article 74(2) stipulates that the TC’s final decision is restricted to the facts and circumstances stated in the charg</w:t>
      </w:r>
      <w:r w:rsidR="00CC4F36">
        <w:rPr>
          <w:rFonts w:ascii="Times New Roman" w:hAnsi="Times New Roman"/>
          <w:szCs w:val="24"/>
        </w:rPr>
        <w:t>ing document</w:t>
      </w:r>
      <w:r w:rsidRPr="00772CFF">
        <w:rPr>
          <w:rFonts w:ascii="Times New Roman" w:hAnsi="Times New Roman"/>
          <w:szCs w:val="24"/>
        </w:rPr>
        <w:t>.</w:t>
      </w:r>
      <w:r w:rsidRPr="00772CFF">
        <w:rPr>
          <w:rFonts w:ascii="Times New Roman" w:hAnsi="Times New Roman"/>
          <w:szCs w:val="24"/>
          <w:vertAlign w:val="superscript"/>
        </w:rPr>
        <w:footnoteReference w:id="377"/>
      </w:r>
      <w:r w:rsidR="008C40E5">
        <w:rPr>
          <w:rFonts w:ascii="Times New Roman" w:hAnsi="Times New Roman"/>
          <w:szCs w:val="24"/>
        </w:rPr>
        <w:t>He</w:t>
      </w:r>
      <w:r w:rsidR="003E114D">
        <w:rPr>
          <w:rFonts w:ascii="Times New Roman" w:hAnsi="Times New Roman"/>
          <w:szCs w:val="24"/>
        </w:rPr>
        <w:t xml:space="preserve"> criticised the majority’s interpretation of Reg.55</w:t>
      </w:r>
      <w:r w:rsidR="008C40E5">
        <w:rPr>
          <w:rFonts w:ascii="Times New Roman" w:hAnsi="Times New Roman"/>
          <w:szCs w:val="24"/>
        </w:rPr>
        <w:t xml:space="preserve"> </w:t>
      </w:r>
      <w:r w:rsidR="00164440">
        <w:rPr>
          <w:rFonts w:ascii="Times New Roman" w:hAnsi="Times New Roman"/>
          <w:szCs w:val="24"/>
        </w:rPr>
        <w:t>in view that</w:t>
      </w:r>
      <w:r w:rsidR="003E114D">
        <w:rPr>
          <w:rFonts w:ascii="Times New Roman" w:hAnsi="Times New Roman"/>
          <w:szCs w:val="24"/>
        </w:rPr>
        <w:t xml:space="preserve"> </w:t>
      </w:r>
      <w:r w:rsidR="0026727E">
        <w:rPr>
          <w:rFonts w:ascii="Times New Roman" w:hAnsi="Times New Roman"/>
          <w:szCs w:val="24"/>
        </w:rPr>
        <w:t>understanding</w:t>
      </w:r>
      <w:r w:rsidR="008C40E5">
        <w:rPr>
          <w:rFonts w:ascii="Times New Roman" w:hAnsi="Times New Roman"/>
          <w:szCs w:val="24"/>
        </w:rPr>
        <w:t xml:space="preserve"> </w:t>
      </w:r>
      <w:r w:rsidR="003E114D">
        <w:rPr>
          <w:rFonts w:ascii="Times New Roman" w:hAnsi="Times New Roman"/>
          <w:szCs w:val="24"/>
        </w:rPr>
        <w:t>the said regulation cannot be d</w:t>
      </w:r>
      <w:r w:rsidR="008C40E5">
        <w:rPr>
          <w:rFonts w:ascii="Times New Roman" w:hAnsi="Times New Roman"/>
          <w:szCs w:val="24"/>
        </w:rPr>
        <w:t>ivided into tw</w:t>
      </w:r>
      <w:r w:rsidR="003E114D">
        <w:rPr>
          <w:rFonts w:ascii="Times New Roman" w:hAnsi="Times New Roman"/>
          <w:szCs w:val="24"/>
        </w:rPr>
        <w:t>o distinct stages</w:t>
      </w:r>
      <w:r w:rsidR="00CC4F36">
        <w:rPr>
          <w:rFonts w:ascii="Times New Roman" w:hAnsi="Times New Roman"/>
          <w:szCs w:val="24"/>
        </w:rPr>
        <w:t>. Instead</w:t>
      </w:r>
      <w:r w:rsidR="003E114D">
        <w:rPr>
          <w:rFonts w:ascii="Times New Roman" w:hAnsi="Times New Roman"/>
          <w:szCs w:val="24"/>
        </w:rPr>
        <w:t>, the sub</w:t>
      </w:r>
      <w:r w:rsidR="008C40E5">
        <w:rPr>
          <w:rFonts w:ascii="Times New Roman" w:hAnsi="Times New Roman"/>
          <w:szCs w:val="24"/>
        </w:rPr>
        <w:t xml:space="preserve"> </w:t>
      </w:r>
      <w:r w:rsidR="003E114D">
        <w:rPr>
          <w:rFonts w:ascii="Times New Roman" w:hAnsi="Times New Roman"/>
          <w:szCs w:val="24"/>
        </w:rPr>
        <w:t>reg</w:t>
      </w:r>
      <w:r w:rsidR="008C40E5">
        <w:rPr>
          <w:rFonts w:ascii="Times New Roman" w:hAnsi="Times New Roman"/>
          <w:szCs w:val="24"/>
        </w:rPr>
        <w:t>u</w:t>
      </w:r>
      <w:r w:rsidR="003E114D">
        <w:rPr>
          <w:rFonts w:ascii="Times New Roman" w:hAnsi="Times New Roman"/>
          <w:szCs w:val="24"/>
        </w:rPr>
        <w:t>l</w:t>
      </w:r>
      <w:r w:rsidR="008C40E5">
        <w:rPr>
          <w:rFonts w:ascii="Times New Roman" w:hAnsi="Times New Roman"/>
          <w:szCs w:val="24"/>
        </w:rPr>
        <w:t>a</w:t>
      </w:r>
      <w:r w:rsidR="003E114D">
        <w:rPr>
          <w:rFonts w:ascii="Times New Roman" w:hAnsi="Times New Roman"/>
          <w:szCs w:val="24"/>
        </w:rPr>
        <w:t>tions should be interpreted together.</w:t>
      </w:r>
      <w:r w:rsidR="008C40E5">
        <w:rPr>
          <w:rStyle w:val="FootnoteReference"/>
          <w:rFonts w:ascii="Times New Roman" w:hAnsi="Times New Roman"/>
          <w:szCs w:val="24"/>
        </w:rPr>
        <w:footnoteReference w:id="378"/>
      </w:r>
    </w:p>
    <w:p w14:paraId="24F4F59A" w14:textId="77777777" w:rsidR="00772CFF" w:rsidRPr="00772CFF" w:rsidRDefault="00772CFF" w:rsidP="00BB7831">
      <w:pPr>
        <w:spacing w:line="480" w:lineRule="auto"/>
        <w:jc w:val="both"/>
        <w:rPr>
          <w:rFonts w:ascii="Times New Roman" w:hAnsi="Times New Roman"/>
          <w:szCs w:val="24"/>
        </w:rPr>
      </w:pPr>
      <w:r w:rsidRPr="00772CFF">
        <w:rPr>
          <w:rFonts w:ascii="Times New Roman" w:hAnsi="Times New Roman"/>
          <w:szCs w:val="24"/>
        </w:rPr>
        <w:t>Article 61(9):</w:t>
      </w:r>
    </w:p>
    <w:p w14:paraId="647EEA36" w14:textId="08D3104F" w:rsidR="00772CFF" w:rsidRDefault="00772CFF" w:rsidP="00522CC0">
      <w:pPr>
        <w:spacing w:line="480" w:lineRule="auto"/>
        <w:ind w:firstLine="720"/>
        <w:jc w:val="center"/>
        <w:rPr>
          <w:rFonts w:ascii="Times New Roman" w:hAnsi="Times New Roman"/>
          <w:szCs w:val="24"/>
        </w:rPr>
      </w:pPr>
      <w:r w:rsidRPr="00A05842">
        <w:rPr>
          <w:rStyle w:val="QuoteChar"/>
          <w:rFonts w:ascii="Times New Roman" w:hAnsi="Times New Roman"/>
        </w:rPr>
        <w:t>“</w:t>
      </w:r>
      <w:r w:rsidRPr="00522CC0">
        <w:rPr>
          <w:rStyle w:val="QuoteChar"/>
          <w:rFonts w:ascii="Times New Roman" w:hAnsi="Times New Roman"/>
          <w:i w:val="0"/>
        </w:rPr>
        <w:t>After the charges are confirmed</w:t>
      </w:r>
      <w:r w:rsidR="00CC4F36">
        <w:rPr>
          <w:rStyle w:val="QuoteChar"/>
          <w:rFonts w:ascii="Times New Roman" w:hAnsi="Times New Roman"/>
          <w:i w:val="0"/>
        </w:rPr>
        <w:t>,</w:t>
      </w:r>
      <w:r w:rsidRPr="00522CC0">
        <w:rPr>
          <w:rStyle w:val="QuoteChar"/>
          <w:rFonts w:ascii="Times New Roman" w:hAnsi="Times New Roman"/>
          <w:i w:val="0"/>
        </w:rPr>
        <w:t xml:space="preserve"> and before the trial has begun, the Prosecutor </w:t>
      </w:r>
      <w:r w:rsidRPr="00522CC0">
        <w:rPr>
          <w:rStyle w:val="QuoteChar"/>
          <w:rFonts w:ascii="Times New Roman" w:hAnsi="Times New Roman"/>
          <w:i w:val="0"/>
          <w:u w:val="single"/>
        </w:rPr>
        <w:t>may, with the permission of the Pre-Trial Chamber</w:t>
      </w:r>
      <w:r w:rsidRPr="00522CC0">
        <w:rPr>
          <w:rStyle w:val="QuoteChar"/>
          <w:rFonts w:ascii="Times New Roman" w:hAnsi="Times New Roman"/>
          <w:i w:val="0"/>
        </w:rPr>
        <w:t xml:space="preserve"> and after notice to the accused, </w:t>
      </w:r>
      <w:r w:rsidRPr="00522CC0">
        <w:rPr>
          <w:rStyle w:val="QuoteChar"/>
          <w:rFonts w:ascii="Times New Roman" w:hAnsi="Times New Roman"/>
          <w:i w:val="0"/>
          <w:u w:val="single"/>
        </w:rPr>
        <w:t>amend the charges.</w:t>
      </w:r>
      <w:r w:rsidRPr="00522CC0">
        <w:rPr>
          <w:rStyle w:val="QuoteChar"/>
          <w:rFonts w:ascii="Times New Roman" w:hAnsi="Times New Roman"/>
          <w:i w:val="0"/>
        </w:rPr>
        <w:t xml:space="preserve"> If the Prosecutor seeks to add additional charges or to substitute more serious charges, a hearing under this article to</w:t>
      </w:r>
      <w:r w:rsidRPr="00522CC0">
        <w:rPr>
          <w:rStyle w:val="QuoteChar"/>
          <w:i w:val="0"/>
        </w:rPr>
        <w:t xml:space="preserve"> </w:t>
      </w:r>
      <w:r w:rsidRPr="00522CC0">
        <w:rPr>
          <w:rStyle w:val="QuoteChar"/>
          <w:rFonts w:ascii="Times New Roman" w:hAnsi="Times New Roman"/>
          <w:i w:val="0"/>
        </w:rPr>
        <w:t xml:space="preserve">confirm those charges </w:t>
      </w:r>
      <w:r w:rsidRPr="00522CC0">
        <w:rPr>
          <w:rStyle w:val="QuoteChar"/>
          <w:rFonts w:ascii="Times New Roman" w:hAnsi="Times New Roman"/>
          <w:i w:val="0"/>
        </w:rPr>
        <w:lastRenderedPageBreak/>
        <w:t>must be</w:t>
      </w:r>
      <w:r w:rsidRPr="00522CC0">
        <w:rPr>
          <w:rStyle w:val="QuoteChar"/>
          <w:i w:val="0"/>
        </w:rPr>
        <w:t xml:space="preserve"> </w:t>
      </w:r>
      <w:r w:rsidRPr="00522CC0">
        <w:rPr>
          <w:rStyle w:val="QuoteChar"/>
          <w:rFonts w:ascii="Times New Roman" w:hAnsi="Times New Roman"/>
          <w:i w:val="0"/>
        </w:rPr>
        <w:t>held</w:t>
      </w:r>
      <w:r w:rsidRPr="00522CC0">
        <w:rPr>
          <w:rFonts w:ascii="Times New Roman" w:hAnsi="Times New Roman"/>
          <w:i/>
          <w:szCs w:val="24"/>
        </w:rPr>
        <w:t xml:space="preserve">. </w:t>
      </w:r>
      <w:r w:rsidRPr="00522CC0">
        <w:rPr>
          <w:rFonts w:ascii="Times New Roman" w:hAnsi="Times New Roman"/>
          <w:szCs w:val="24"/>
        </w:rPr>
        <w:t>After commencement of the trial, the Prosecutor may, with the permission of the Trial Chamber, withdraw the charges</w:t>
      </w:r>
      <w:r w:rsidR="00CC4F36">
        <w:rPr>
          <w:rFonts w:ascii="Times New Roman" w:hAnsi="Times New Roman"/>
          <w:szCs w:val="24"/>
        </w:rPr>
        <w:t>.</w:t>
      </w:r>
      <w:r w:rsidRPr="00772CFF">
        <w:rPr>
          <w:rFonts w:ascii="Times New Roman" w:hAnsi="Times New Roman"/>
          <w:szCs w:val="24"/>
        </w:rPr>
        <w:t>”</w:t>
      </w:r>
      <w:r w:rsidRPr="00772CFF">
        <w:rPr>
          <w:rFonts w:ascii="Times New Roman" w:hAnsi="Times New Roman"/>
          <w:szCs w:val="24"/>
          <w:vertAlign w:val="superscript"/>
        </w:rPr>
        <w:footnoteReference w:id="379"/>
      </w:r>
    </w:p>
    <w:p w14:paraId="73EC0E94" w14:textId="77777777" w:rsidR="00E26707" w:rsidRPr="00772CFF" w:rsidRDefault="00E26707" w:rsidP="00A05842">
      <w:pPr>
        <w:spacing w:line="480" w:lineRule="auto"/>
        <w:jc w:val="both"/>
        <w:rPr>
          <w:rFonts w:ascii="Times New Roman" w:hAnsi="Times New Roman"/>
          <w:szCs w:val="24"/>
          <w:lang w:val="en-US"/>
        </w:rPr>
      </w:pPr>
      <w:r w:rsidRPr="00772CFF">
        <w:rPr>
          <w:rFonts w:ascii="Times New Roman" w:hAnsi="Times New Roman"/>
          <w:szCs w:val="24"/>
          <w:lang w:val="en-US"/>
        </w:rPr>
        <w:t>In the dissenting opinion of Judge Fulford, he notes:</w:t>
      </w:r>
    </w:p>
    <w:p w14:paraId="41F8325C" w14:textId="77777777" w:rsidR="00E26707" w:rsidRPr="00772CFF" w:rsidRDefault="00E26707" w:rsidP="00522CC0">
      <w:pPr>
        <w:spacing w:line="480" w:lineRule="auto"/>
        <w:jc w:val="center"/>
        <w:rPr>
          <w:rFonts w:ascii="Times New Roman" w:hAnsi="Times New Roman"/>
          <w:szCs w:val="24"/>
          <w:lang w:val="en-US"/>
        </w:rPr>
      </w:pPr>
      <w:r w:rsidRPr="00772CFF">
        <w:rPr>
          <w:rFonts w:ascii="Times New Roman" w:hAnsi="Times New Roman"/>
          <w:szCs w:val="24"/>
          <w:lang w:val="en-US"/>
        </w:rPr>
        <w:t>“</w:t>
      </w:r>
      <w:r w:rsidRPr="007D4C8A">
        <w:rPr>
          <w:rFonts w:ascii="Times New Roman" w:hAnsi="Times New Roman"/>
          <w:szCs w:val="24"/>
          <w:lang w:val="en-US"/>
        </w:rPr>
        <w:t xml:space="preserve">inevitably, it follows that a modification to the legal </w:t>
      </w:r>
      <w:proofErr w:type="spellStart"/>
      <w:r w:rsidRPr="007D4C8A">
        <w:rPr>
          <w:rFonts w:ascii="Times New Roman" w:hAnsi="Times New Roman"/>
          <w:szCs w:val="24"/>
          <w:lang w:val="en-US"/>
        </w:rPr>
        <w:t>characterisation</w:t>
      </w:r>
      <w:proofErr w:type="spellEnd"/>
      <w:r w:rsidRPr="007D4C8A">
        <w:rPr>
          <w:rFonts w:ascii="Times New Roman" w:hAnsi="Times New Roman"/>
          <w:szCs w:val="24"/>
          <w:lang w:val="en-US"/>
        </w:rPr>
        <w:t xml:space="preserve"> of the facts </w:t>
      </w:r>
      <w:r w:rsidRPr="007D4C8A">
        <w:rPr>
          <w:rFonts w:ascii="Times New Roman" w:hAnsi="Times New Roman"/>
          <w:szCs w:val="24"/>
          <w:u w:val="single"/>
          <w:lang w:val="en-US"/>
        </w:rPr>
        <w:t>under Regulation 55 must not constitute an amendment to the charges, an additional</w:t>
      </w:r>
      <w:r w:rsidRPr="007D4C8A">
        <w:rPr>
          <w:rFonts w:ascii="Times New Roman" w:hAnsi="Times New Roman"/>
          <w:szCs w:val="24"/>
          <w:lang w:val="en-US"/>
        </w:rPr>
        <w:t xml:space="preserve"> charge, a substitute charge or a withdrawal charge, because these are each governed by Article 61(9</w:t>
      </w:r>
      <w:r w:rsidR="00522CC0">
        <w:rPr>
          <w:rFonts w:ascii="Times New Roman" w:hAnsi="Times New Roman"/>
          <w:szCs w:val="24"/>
          <w:lang w:val="en-US"/>
        </w:rPr>
        <w:t>)”</w:t>
      </w:r>
      <w:r w:rsidRPr="00772CFF">
        <w:rPr>
          <w:rFonts w:ascii="Times New Roman" w:hAnsi="Times New Roman"/>
          <w:szCs w:val="24"/>
          <w:lang w:val="en-US"/>
        </w:rPr>
        <w:t>.</w:t>
      </w:r>
      <w:r w:rsidRPr="00772CFF">
        <w:rPr>
          <w:rFonts w:ascii="Times New Roman" w:hAnsi="Times New Roman"/>
          <w:szCs w:val="24"/>
          <w:vertAlign w:val="superscript"/>
          <w:lang w:val="en-US"/>
        </w:rPr>
        <w:footnoteReference w:id="380"/>
      </w:r>
    </w:p>
    <w:p w14:paraId="69B0D128" w14:textId="45705795" w:rsidR="00772CFF" w:rsidRPr="00772CFF" w:rsidRDefault="00772CFF" w:rsidP="00A05842">
      <w:pPr>
        <w:spacing w:line="480" w:lineRule="auto"/>
        <w:jc w:val="both"/>
        <w:rPr>
          <w:rFonts w:ascii="Times New Roman" w:hAnsi="Times New Roman"/>
          <w:szCs w:val="24"/>
        </w:rPr>
      </w:pPr>
      <w:r w:rsidRPr="00772CFF">
        <w:rPr>
          <w:rFonts w:ascii="Times New Roman" w:hAnsi="Times New Roman"/>
          <w:szCs w:val="24"/>
        </w:rPr>
        <w:t xml:space="preserve">It appears </w:t>
      </w:r>
      <w:r w:rsidR="0026727E">
        <w:rPr>
          <w:rFonts w:ascii="Times New Roman" w:hAnsi="Times New Roman"/>
          <w:szCs w:val="24"/>
        </w:rPr>
        <w:t>Judge Fulford's reasoning</w:t>
      </w:r>
      <w:r w:rsidRPr="00772CFF">
        <w:rPr>
          <w:rFonts w:ascii="Times New Roman" w:hAnsi="Times New Roman"/>
          <w:szCs w:val="24"/>
        </w:rPr>
        <w:t xml:space="preserve"> followed strict adherence to the black letter law, without making an assumption. He also criticised the Majority’s attempt at dividing the interpretation of the subparagraph of Regulation 55.</w:t>
      </w:r>
      <w:r w:rsidR="00281DCB">
        <w:rPr>
          <w:rFonts w:ascii="Times New Roman" w:hAnsi="Times New Roman"/>
          <w:szCs w:val="24"/>
        </w:rPr>
        <w:t xml:space="preserve"> </w:t>
      </w:r>
      <w:r w:rsidRPr="00772CFF">
        <w:rPr>
          <w:rFonts w:ascii="Times New Roman" w:hAnsi="Times New Roman"/>
          <w:szCs w:val="24"/>
        </w:rPr>
        <w:t>He stated that the subparagraphs should be read conjunctively instead of separatel</w:t>
      </w:r>
      <w:r w:rsidR="00164440">
        <w:rPr>
          <w:rFonts w:ascii="Times New Roman" w:hAnsi="Times New Roman"/>
          <w:szCs w:val="24"/>
        </w:rPr>
        <w:t>y because the latter</w:t>
      </w:r>
      <w:r w:rsidRPr="00772CFF">
        <w:rPr>
          <w:rFonts w:ascii="Times New Roman" w:hAnsi="Times New Roman"/>
          <w:szCs w:val="24"/>
        </w:rPr>
        <w:t xml:space="preserve"> application would likely infringe the defendant’s right to </w:t>
      </w:r>
      <w:r w:rsidR="00281DCB">
        <w:rPr>
          <w:rFonts w:ascii="Times New Roman" w:hAnsi="Times New Roman"/>
          <w:szCs w:val="24"/>
        </w:rPr>
        <w:t xml:space="preserve">a </w:t>
      </w:r>
      <w:r w:rsidRPr="00772CFF">
        <w:rPr>
          <w:rFonts w:ascii="Times New Roman" w:hAnsi="Times New Roman"/>
          <w:szCs w:val="24"/>
        </w:rPr>
        <w:t>fair trial.</w:t>
      </w:r>
      <w:r w:rsidRPr="00772CFF">
        <w:rPr>
          <w:rFonts w:ascii="Times New Roman" w:hAnsi="Times New Roman"/>
          <w:szCs w:val="24"/>
          <w:vertAlign w:val="superscript"/>
        </w:rPr>
        <w:footnoteReference w:id="381"/>
      </w:r>
    </w:p>
    <w:p w14:paraId="59483C7D" w14:textId="0DF14573" w:rsidR="00470051" w:rsidRDefault="00D17B1F" w:rsidP="00D17B1F">
      <w:pPr>
        <w:spacing w:line="480" w:lineRule="auto"/>
        <w:jc w:val="both"/>
        <w:rPr>
          <w:rFonts w:ascii="Times New Roman" w:hAnsi="Times New Roman"/>
          <w:szCs w:val="24"/>
        </w:rPr>
      </w:pPr>
      <w:r w:rsidRPr="00772CFF">
        <w:rPr>
          <w:rFonts w:ascii="Times New Roman" w:hAnsi="Times New Roman"/>
          <w:szCs w:val="24"/>
        </w:rPr>
        <w:t>On appeal</w:t>
      </w:r>
      <w:r w:rsidR="00281DCB">
        <w:rPr>
          <w:rFonts w:ascii="Times New Roman" w:hAnsi="Times New Roman"/>
          <w:szCs w:val="24"/>
        </w:rPr>
        <w:t>,</w:t>
      </w:r>
      <w:r>
        <w:rPr>
          <w:rFonts w:ascii="Times New Roman" w:hAnsi="Times New Roman"/>
          <w:szCs w:val="24"/>
        </w:rPr>
        <w:t xml:space="preserve"> t</w:t>
      </w:r>
      <w:r w:rsidR="00753C00">
        <w:rPr>
          <w:rFonts w:ascii="Times New Roman" w:hAnsi="Times New Roman"/>
          <w:szCs w:val="24"/>
        </w:rPr>
        <w:t xml:space="preserve">he </w:t>
      </w:r>
      <w:proofErr w:type="spellStart"/>
      <w:r w:rsidR="00753C00">
        <w:rPr>
          <w:rFonts w:ascii="Times New Roman" w:hAnsi="Times New Roman"/>
          <w:szCs w:val="24"/>
        </w:rPr>
        <w:t>Defense</w:t>
      </w:r>
      <w:proofErr w:type="spellEnd"/>
      <w:r w:rsidR="00470051">
        <w:rPr>
          <w:rFonts w:ascii="Times New Roman" w:hAnsi="Times New Roman"/>
          <w:szCs w:val="24"/>
        </w:rPr>
        <w:t xml:space="preserve"> accentuated</w:t>
      </w:r>
      <w:r w:rsidR="00753C00">
        <w:rPr>
          <w:rFonts w:ascii="Times New Roman" w:hAnsi="Times New Roman"/>
          <w:szCs w:val="24"/>
        </w:rPr>
        <w:t xml:space="preserve"> the incompatibility between Regulation 55</w:t>
      </w:r>
      <w:r w:rsidR="00470051">
        <w:rPr>
          <w:rFonts w:ascii="Times New Roman" w:hAnsi="Times New Roman"/>
          <w:szCs w:val="24"/>
        </w:rPr>
        <w:t xml:space="preserve">, </w:t>
      </w:r>
      <w:r w:rsidR="00753C00">
        <w:rPr>
          <w:rFonts w:ascii="Times New Roman" w:hAnsi="Times New Roman"/>
          <w:szCs w:val="24"/>
        </w:rPr>
        <w:t xml:space="preserve"> the Rome Statute </w:t>
      </w:r>
      <w:r w:rsidR="00470051">
        <w:rPr>
          <w:rFonts w:ascii="Times New Roman" w:hAnsi="Times New Roman"/>
          <w:szCs w:val="24"/>
        </w:rPr>
        <w:t>and the accused fair trial rights</w:t>
      </w:r>
      <w:r w:rsidR="00753C00">
        <w:rPr>
          <w:rFonts w:ascii="Times New Roman" w:hAnsi="Times New Roman"/>
          <w:szCs w:val="24"/>
        </w:rPr>
        <w:t>.</w:t>
      </w:r>
      <w:r w:rsidR="00753C00">
        <w:rPr>
          <w:rStyle w:val="FootnoteReference"/>
          <w:rFonts w:ascii="Times New Roman" w:hAnsi="Times New Roman"/>
          <w:szCs w:val="24"/>
        </w:rPr>
        <w:footnoteReference w:id="382"/>
      </w:r>
      <w:r w:rsidR="00753C00">
        <w:rPr>
          <w:rFonts w:ascii="Times New Roman" w:hAnsi="Times New Roman"/>
          <w:szCs w:val="24"/>
        </w:rPr>
        <w:t xml:space="preserve">In </w:t>
      </w:r>
      <w:r w:rsidR="00281DCB">
        <w:rPr>
          <w:rFonts w:ascii="Times New Roman" w:hAnsi="Times New Roman"/>
          <w:szCs w:val="24"/>
        </w:rPr>
        <w:t xml:space="preserve">a </w:t>
      </w:r>
      <w:r w:rsidR="00753C00">
        <w:rPr>
          <w:rFonts w:ascii="Times New Roman" w:hAnsi="Times New Roman"/>
          <w:szCs w:val="24"/>
        </w:rPr>
        <w:t xml:space="preserve">similar vein, the </w:t>
      </w:r>
      <w:proofErr w:type="spellStart"/>
      <w:r w:rsidR="00753C00">
        <w:rPr>
          <w:rFonts w:ascii="Times New Roman" w:hAnsi="Times New Roman"/>
          <w:szCs w:val="24"/>
        </w:rPr>
        <w:t>Defense</w:t>
      </w:r>
      <w:proofErr w:type="spellEnd"/>
      <w:r w:rsidR="00753C00">
        <w:rPr>
          <w:rFonts w:ascii="Times New Roman" w:hAnsi="Times New Roman"/>
          <w:szCs w:val="24"/>
        </w:rPr>
        <w:t xml:space="preserve"> contended the </w:t>
      </w:r>
      <w:r>
        <w:rPr>
          <w:rFonts w:ascii="Times New Roman" w:hAnsi="Times New Roman"/>
          <w:szCs w:val="24"/>
        </w:rPr>
        <w:t xml:space="preserve">TC’s decision on </w:t>
      </w:r>
      <w:r w:rsidR="00281DCB">
        <w:rPr>
          <w:rFonts w:ascii="Times New Roman" w:hAnsi="Times New Roman"/>
          <w:szCs w:val="24"/>
        </w:rPr>
        <w:t xml:space="preserve">the </w:t>
      </w:r>
      <w:r w:rsidR="0026727E">
        <w:rPr>
          <w:rFonts w:ascii="Times New Roman" w:hAnsi="Times New Roman"/>
          <w:szCs w:val="24"/>
        </w:rPr>
        <w:t>subparagraphs' disjunctive interpretation</w:t>
      </w:r>
      <w:r>
        <w:rPr>
          <w:rFonts w:ascii="Times New Roman" w:hAnsi="Times New Roman"/>
          <w:szCs w:val="24"/>
        </w:rPr>
        <w:t>.</w:t>
      </w:r>
      <w:r w:rsidR="00281DCB">
        <w:rPr>
          <w:rFonts w:ascii="Times New Roman" w:hAnsi="Times New Roman"/>
          <w:szCs w:val="24"/>
        </w:rPr>
        <w:t xml:space="preserve"> </w:t>
      </w:r>
      <w:r>
        <w:rPr>
          <w:rFonts w:ascii="Times New Roman" w:hAnsi="Times New Roman"/>
          <w:szCs w:val="24"/>
        </w:rPr>
        <w:t xml:space="preserve">It stated that these </w:t>
      </w:r>
      <w:r>
        <w:rPr>
          <w:rFonts w:ascii="Times New Roman" w:hAnsi="Times New Roman"/>
          <w:szCs w:val="24"/>
        </w:rPr>
        <w:lastRenderedPageBreak/>
        <w:t>subparagraphs are interdependent rather than distinctive.</w:t>
      </w:r>
      <w:r>
        <w:rPr>
          <w:rStyle w:val="FootnoteReference"/>
          <w:rFonts w:ascii="Times New Roman" w:hAnsi="Times New Roman"/>
          <w:szCs w:val="24"/>
        </w:rPr>
        <w:footnoteReference w:id="383"/>
      </w:r>
      <w:r>
        <w:rPr>
          <w:rFonts w:ascii="Times New Roman" w:hAnsi="Times New Roman"/>
          <w:szCs w:val="24"/>
        </w:rPr>
        <w:t xml:space="preserve">The Prosecutor </w:t>
      </w:r>
      <w:r w:rsidR="002A48B7">
        <w:rPr>
          <w:rFonts w:ascii="Times New Roman" w:hAnsi="Times New Roman"/>
          <w:szCs w:val="24"/>
        </w:rPr>
        <w:t>opposed the TC’s decision on the division of the subparagraphs of Reg.55 into two stages.</w:t>
      </w:r>
      <w:r w:rsidR="002A48B7">
        <w:rPr>
          <w:rStyle w:val="FootnoteReference"/>
          <w:rFonts w:ascii="Times New Roman" w:hAnsi="Times New Roman"/>
          <w:szCs w:val="24"/>
        </w:rPr>
        <w:footnoteReference w:id="384"/>
      </w:r>
      <w:r w:rsidR="00772CFF" w:rsidRPr="00772CFF">
        <w:rPr>
          <w:rFonts w:ascii="Times New Roman" w:hAnsi="Times New Roman"/>
          <w:szCs w:val="24"/>
        </w:rPr>
        <w:t xml:space="preserve"> </w:t>
      </w:r>
      <w:r w:rsidR="00281DCB">
        <w:rPr>
          <w:rFonts w:ascii="Times New Roman" w:hAnsi="Times New Roman"/>
          <w:szCs w:val="24"/>
        </w:rPr>
        <w:t>T</w:t>
      </w:r>
      <w:r w:rsidR="00772CFF" w:rsidRPr="00772CFF">
        <w:rPr>
          <w:rFonts w:ascii="Times New Roman" w:hAnsi="Times New Roman"/>
          <w:szCs w:val="24"/>
        </w:rPr>
        <w:t xml:space="preserve">he AC reversed the </w:t>
      </w:r>
      <w:r w:rsidR="00222028">
        <w:rPr>
          <w:rFonts w:ascii="Times New Roman" w:hAnsi="Times New Roman"/>
          <w:szCs w:val="24"/>
        </w:rPr>
        <w:t xml:space="preserve">TC’s </w:t>
      </w:r>
      <w:r w:rsidR="00772CFF" w:rsidRPr="00772CFF">
        <w:rPr>
          <w:rFonts w:ascii="Times New Roman" w:hAnsi="Times New Roman"/>
          <w:szCs w:val="24"/>
        </w:rPr>
        <w:t>decision</w:t>
      </w:r>
      <w:r w:rsidR="00281DCB">
        <w:rPr>
          <w:rFonts w:ascii="Times New Roman" w:hAnsi="Times New Roman"/>
          <w:szCs w:val="24"/>
        </w:rPr>
        <w:t xml:space="preserve">; </w:t>
      </w:r>
      <w:r w:rsidR="00222028">
        <w:rPr>
          <w:rFonts w:ascii="Times New Roman" w:hAnsi="Times New Roman"/>
          <w:szCs w:val="24"/>
        </w:rPr>
        <w:t xml:space="preserve">it rejected the defence’s argument that </w:t>
      </w:r>
      <w:r w:rsidR="006043EC">
        <w:rPr>
          <w:rFonts w:ascii="Times New Roman" w:hAnsi="Times New Roman"/>
          <w:szCs w:val="24"/>
        </w:rPr>
        <w:t>Reg.55 is “inherently incompatible</w:t>
      </w:r>
      <w:r w:rsidR="00281DCB">
        <w:rPr>
          <w:rFonts w:ascii="Times New Roman" w:hAnsi="Times New Roman"/>
          <w:szCs w:val="24"/>
        </w:rPr>
        <w:t>”</w:t>
      </w:r>
      <w:r w:rsidR="006043EC">
        <w:rPr>
          <w:rFonts w:ascii="Times New Roman" w:hAnsi="Times New Roman"/>
          <w:szCs w:val="24"/>
        </w:rPr>
        <w:t xml:space="preserve"> with the Rome Statute or rights of the accused to a fair trial.</w:t>
      </w:r>
      <w:r w:rsidR="00281DCB">
        <w:rPr>
          <w:rFonts w:ascii="Times New Roman" w:hAnsi="Times New Roman"/>
          <w:szCs w:val="24"/>
        </w:rPr>
        <w:t xml:space="preserve"> While</w:t>
      </w:r>
      <w:r w:rsidR="00FC365F">
        <w:rPr>
          <w:rFonts w:ascii="Times New Roman" w:hAnsi="Times New Roman"/>
          <w:szCs w:val="24"/>
        </w:rPr>
        <w:t xml:space="preserve"> stress</w:t>
      </w:r>
      <w:r w:rsidR="00281DCB">
        <w:rPr>
          <w:rFonts w:ascii="Times New Roman" w:hAnsi="Times New Roman"/>
          <w:szCs w:val="24"/>
        </w:rPr>
        <w:t>ing</w:t>
      </w:r>
      <w:r w:rsidR="00FC365F">
        <w:rPr>
          <w:rFonts w:ascii="Times New Roman" w:hAnsi="Times New Roman"/>
          <w:szCs w:val="24"/>
        </w:rPr>
        <w:t xml:space="preserve"> that Regulation 55 was ‘necessary for the Court’s routine functioning’.</w:t>
      </w:r>
      <w:r w:rsidR="00FC365F">
        <w:rPr>
          <w:rStyle w:val="FootnoteReference"/>
          <w:rFonts w:ascii="Times New Roman" w:hAnsi="Times New Roman"/>
          <w:szCs w:val="24"/>
        </w:rPr>
        <w:footnoteReference w:id="385"/>
      </w:r>
      <w:r w:rsidR="006043EC">
        <w:rPr>
          <w:rFonts w:ascii="Times New Roman" w:hAnsi="Times New Roman"/>
          <w:szCs w:val="24"/>
        </w:rPr>
        <w:t xml:space="preserve">It also </w:t>
      </w:r>
      <w:r w:rsidR="00281DCB">
        <w:rPr>
          <w:rFonts w:ascii="Times New Roman" w:hAnsi="Times New Roman"/>
          <w:szCs w:val="24"/>
        </w:rPr>
        <w:t>st</w:t>
      </w:r>
      <w:r w:rsidR="00470051">
        <w:rPr>
          <w:rFonts w:ascii="Times New Roman" w:hAnsi="Times New Roman"/>
          <w:szCs w:val="24"/>
        </w:rPr>
        <w:t>ressed</w:t>
      </w:r>
      <w:r w:rsidR="006043EC">
        <w:rPr>
          <w:rFonts w:ascii="Times New Roman" w:hAnsi="Times New Roman"/>
          <w:szCs w:val="24"/>
        </w:rPr>
        <w:t xml:space="preserve"> the</w:t>
      </w:r>
      <w:r w:rsidR="00281DCB">
        <w:rPr>
          <w:rFonts w:ascii="Times New Roman" w:hAnsi="Times New Roman"/>
          <w:szCs w:val="24"/>
        </w:rPr>
        <w:t xml:space="preserve"> </w:t>
      </w:r>
      <w:r w:rsidR="00470051">
        <w:rPr>
          <w:rFonts w:ascii="Times New Roman" w:hAnsi="Times New Roman"/>
          <w:szCs w:val="24"/>
        </w:rPr>
        <w:t xml:space="preserve">consolidated </w:t>
      </w:r>
      <w:r w:rsidR="00281DCB">
        <w:rPr>
          <w:rFonts w:ascii="Times New Roman" w:hAnsi="Times New Roman"/>
          <w:szCs w:val="24"/>
        </w:rPr>
        <w:t>interpretation of</w:t>
      </w:r>
      <w:r w:rsidR="006043EC">
        <w:rPr>
          <w:rFonts w:ascii="Times New Roman" w:hAnsi="Times New Roman"/>
          <w:szCs w:val="24"/>
        </w:rPr>
        <w:t xml:space="preserve"> subparagraph</w:t>
      </w:r>
      <w:r w:rsidR="00470051">
        <w:rPr>
          <w:rFonts w:ascii="Times New Roman" w:hAnsi="Times New Roman"/>
          <w:szCs w:val="24"/>
        </w:rPr>
        <w:t>s</w:t>
      </w:r>
      <w:r w:rsidR="006043EC">
        <w:rPr>
          <w:rFonts w:ascii="Times New Roman" w:hAnsi="Times New Roman"/>
          <w:szCs w:val="24"/>
        </w:rPr>
        <w:t xml:space="preserve"> because they are</w:t>
      </w:r>
      <w:r w:rsidR="00470051">
        <w:rPr>
          <w:rFonts w:ascii="Times New Roman" w:hAnsi="Times New Roman"/>
          <w:szCs w:val="24"/>
        </w:rPr>
        <w:t xml:space="preserve"> interrelated</w:t>
      </w:r>
      <w:r w:rsidR="006043EC">
        <w:rPr>
          <w:rFonts w:ascii="Times New Roman" w:hAnsi="Times New Roman"/>
          <w:szCs w:val="24"/>
        </w:rPr>
        <w:t xml:space="preserve"> provisions.</w:t>
      </w:r>
      <w:r w:rsidR="006043EC">
        <w:rPr>
          <w:rStyle w:val="FootnoteReference"/>
          <w:rFonts w:ascii="Times New Roman" w:hAnsi="Times New Roman"/>
          <w:szCs w:val="24"/>
        </w:rPr>
        <w:footnoteReference w:id="386"/>
      </w:r>
    </w:p>
    <w:p w14:paraId="3F54CE49" w14:textId="1176F202" w:rsidR="004E5DD1" w:rsidRDefault="00470051" w:rsidP="00D17B1F">
      <w:pPr>
        <w:spacing w:line="480" w:lineRule="auto"/>
        <w:jc w:val="both"/>
        <w:rPr>
          <w:rFonts w:ascii="Times New Roman" w:hAnsi="Times New Roman"/>
          <w:szCs w:val="24"/>
        </w:rPr>
      </w:pPr>
      <w:r>
        <w:rPr>
          <w:rFonts w:ascii="Times New Roman" w:hAnsi="Times New Roman"/>
          <w:szCs w:val="24"/>
        </w:rPr>
        <w:t>Besides,</w:t>
      </w:r>
      <w:r w:rsidR="00772CFF" w:rsidRPr="00772CFF">
        <w:rPr>
          <w:rFonts w:ascii="Times New Roman" w:hAnsi="Times New Roman"/>
          <w:szCs w:val="24"/>
        </w:rPr>
        <w:t xml:space="preserve"> </w:t>
      </w:r>
      <w:r>
        <w:rPr>
          <w:rFonts w:ascii="Times New Roman" w:hAnsi="Times New Roman"/>
          <w:szCs w:val="24"/>
        </w:rPr>
        <w:t>the AC</w:t>
      </w:r>
      <w:r w:rsidR="00281DCB">
        <w:rPr>
          <w:rFonts w:ascii="Times New Roman" w:hAnsi="Times New Roman"/>
          <w:szCs w:val="24"/>
        </w:rPr>
        <w:t xml:space="preserve"> highlighted</w:t>
      </w:r>
      <w:r w:rsidR="00772CFF" w:rsidRPr="00772CFF">
        <w:rPr>
          <w:rFonts w:ascii="Times New Roman" w:hAnsi="Times New Roman"/>
          <w:szCs w:val="24"/>
        </w:rPr>
        <w:t xml:space="preserve"> that </w:t>
      </w:r>
      <w:r w:rsidR="00281DCB">
        <w:rPr>
          <w:rFonts w:ascii="Times New Roman" w:hAnsi="Times New Roman"/>
          <w:szCs w:val="24"/>
        </w:rPr>
        <w:t xml:space="preserve">the </w:t>
      </w:r>
      <w:r w:rsidR="00772CFF" w:rsidRPr="00772CFF">
        <w:rPr>
          <w:rFonts w:ascii="Times New Roman" w:hAnsi="Times New Roman"/>
          <w:szCs w:val="24"/>
        </w:rPr>
        <w:t>Prosecutor has the exclusive power to select charges and the underlying factual elements.</w:t>
      </w:r>
      <w:r w:rsidR="00CE689C">
        <w:rPr>
          <w:rFonts w:ascii="Times New Roman" w:hAnsi="Times New Roman"/>
          <w:szCs w:val="24"/>
        </w:rPr>
        <w:t xml:space="preserve"> Hence,</w:t>
      </w:r>
      <w:r w:rsidR="00281DCB">
        <w:rPr>
          <w:rFonts w:ascii="Times New Roman" w:hAnsi="Times New Roman"/>
          <w:szCs w:val="24"/>
        </w:rPr>
        <w:t xml:space="preserve"> </w:t>
      </w:r>
      <w:r w:rsidR="00CE689C">
        <w:rPr>
          <w:rFonts w:ascii="Times New Roman" w:hAnsi="Times New Roman"/>
          <w:szCs w:val="24"/>
        </w:rPr>
        <w:t>t</w:t>
      </w:r>
      <w:r w:rsidR="00772CFF" w:rsidRPr="00772CFF">
        <w:rPr>
          <w:rFonts w:ascii="Times New Roman" w:hAnsi="Times New Roman"/>
          <w:szCs w:val="24"/>
        </w:rPr>
        <w:t xml:space="preserve">he decision of the TC on Regulation 55 </w:t>
      </w:r>
      <w:r>
        <w:rPr>
          <w:rFonts w:ascii="Times New Roman" w:hAnsi="Times New Roman"/>
          <w:szCs w:val="24"/>
        </w:rPr>
        <w:t>was</w:t>
      </w:r>
      <w:r w:rsidR="00772CFF" w:rsidRPr="00772CFF">
        <w:rPr>
          <w:rFonts w:ascii="Times New Roman" w:hAnsi="Times New Roman"/>
          <w:szCs w:val="24"/>
        </w:rPr>
        <w:t xml:space="preserve"> contrary to the Statute. The AC decision confirms the exclusive power of the Prosecutor to draft and amend charges.</w:t>
      </w:r>
      <w:r w:rsidR="00281DCB">
        <w:rPr>
          <w:rFonts w:ascii="Times New Roman" w:hAnsi="Times New Roman"/>
          <w:szCs w:val="24"/>
        </w:rPr>
        <w:t xml:space="preserve"> </w:t>
      </w:r>
      <w:r w:rsidR="004E5DD1">
        <w:rPr>
          <w:rFonts w:ascii="Times New Roman" w:hAnsi="Times New Roman"/>
          <w:szCs w:val="24"/>
        </w:rPr>
        <w:t xml:space="preserve">The </w:t>
      </w:r>
      <w:r w:rsidR="00281DCB">
        <w:rPr>
          <w:rFonts w:ascii="Times New Roman" w:hAnsi="Times New Roman"/>
          <w:szCs w:val="24"/>
        </w:rPr>
        <w:t xml:space="preserve">AC </w:t>
      </w:r>
      <w:r w:rsidR="004E5DD1">
        <w:rPr>
          <w:rFonts w:ascii="Times New Roman" w:hAnsi="Times New Roman"/>
          <w:szCs w:val="24"/>
        </w:rPr>
        <w:t>emphasised that ‘new facts and circumstances which are not contained in the charg</w:t>
      </w:r>
      <w:r w:rsidR="00281DCB">
        <w:rPr>
          <w:rFonts w:ascii="Times New Roman" w:hAnsi="Times New Roman"/>
          <w:szCs w:val="24"/>
        </w:rPr>
        <w:t>ing document</w:t>
      </w:r>
      <w:r w:rsidR="004E5DD1">
        <w:rPr>
          <w:rFonts w:ascii="Times New Roman" w:hAnsi="Times New Roman"/>
          <w:szCs w:val="24"/>
        </w:rPr>
        <w:t xml:space="preserve"> may only be added under the procedure of Article 61(9) of the Statute.</w:t>
      </w:r>
      <w:r w:rsidR="004E5DD1">
        <w:rPr>
          <w:rStyle w:val="FootnoteReference"/>
          <w:rFonts w:ascii="Times New Roman" w:hAnsi="Times New Roman"/>
          <w:szCs w:val="24"/>
        </w:rPr>
        <w:footnoteReference w:id="387"/>
      </w:r>
      <w:r w:rsidR="00772CFF" w:rsidRPr="00772CFF">
        <w:rPr>
          <w:rFonts w:ascii="Times New Roman" w:hAnsi="Times New Roman"/>
          <w:szCs w:val="24"/>
        </w:rPr>
        <w:t xml:space="preserve"> </w:t>
      </w:r>
      <w:r w:rsidR="004E5DD1">
        <w:rPr>
          <w:rFonts w:ascii="Times New Roman" w:hAnsi="Times New Roman"/>
          <w:szCs w:val="24"/>
        </w:rPr>
        <w:t>This incorporation would change the scope of the trial.</w:t>
      </w:r>
      <w:r w:rsidR="00281DCB">
        <w:rPr>
          <w:rFonts w:ascii="Times New Roman" w:hAnsi="Times New Roman"/>
          <w:szCs w:val="24"/>
        </w:rPr>
        <w:t xml:space="preserve"> </w:t>
      </w:r>
      <w:r w:rsidR="004E5DD1">
        <w:rPr>
          <w:rFonts w:ascii="Times New Roman" w:hAnsi="Times New Roman"/>
          <w:szCs w:val="24"/>
        </w:rPr>
        <w:t xml:space="preserve">It is only within the </w:t>
      </w:r>
      <w:r w:rsidR="0026727E">
        <w:rPr>
          <w:rFonts w:ascii="Times New Roman" w:hAnsi="Times New Roman"/>
          <w:szCs w:val="24"/>
        </w:rPr>
        <w:t>Prosecutor's powers</w:t>
      </w:r>
      <w:r w:rsidR="004E5DD1">
        <w:rPr>
          <w:rFonts w:ascii="Times New Roman" w:hAnsi="Times New Roman"/>
          <w:szCs w:val="24"/>
        </w:rPr>
        <w:t xml:space="preserve"> </w:t>
      </w:r>
      <w:r>
        <w:rPr>
          <w:rFonts w:ascii="Times New Roman" w:hAnsi="Times New Roman"/>
          <w:szCs w:val="24"/>
        </w:rPr>
        <w:t>under</w:t>
      </w:r>
      <w:r w:rsidR="004E5DD1">
        <w:rPr>
          <w:rFonts w:ascii="Times New Roman" w:hAnsi="Times New Roman"/>
          <w:szCs w:val="24"/>
        </w:rPr>
        <w:t xml:space="preserve"> </w:t>
      </w:r>
      <w:r w:rsidR="00281DCB">
        <w:rPr>
          <w:rFonts w:ascii="Times New Roman" w:hAnsi="Times New Roman"/>
          <w:szCs w:val="24"/>
        </w:rPr>
        <w:t>A</w:t>
      </w:r>
      <w:r w:rsidR="004E5DD1">
        <w:rPr>
          <w:rFonts w:ascii="Times New Roman" w:hAnsi="Times New Roman"/>
          <w:szCs w:val="24"/>
        </w:rPr>
        <w:t>rticle 54(1) to effect this change.</w:t>
      </w:r>
      <w:r w:rsidR="004E5DD1">
        <w:rPr>
          <w:rStyle w:val="FootnoteReference"/>
          <w:rFonts w:ascii="Times New Roman" w:hAnsi="Times New Roman"/>
          <w:szCs w:val="24"/>
        </w:rPr>
        <w:footnoteReference w:id="388"/>
      </w:r>
      <w:r w:rsidR="00A63E31">
        <w:rPr>
          <w:rFonts w:ascii="Times New Roman" w:hAnsi="Times New Roman"/>
          <w:szCs w:val="24"/>
        </w:rPr>
        <w:t>The AC observes:</w:t>
      </w:r>
    </w:p>
    <w:p w14:paraId="337AAFCB" w14:textId="53B78BDF" w:rsidR="00A63E31" w:rsidRPr="00F96BEE" w:rsidRDefault="00F96BEE" w:rsidP="00F96BEE">
      <w:pPr>
        <w:pStyle w:val="Quote"/>
        <w:rPr>
          <w:rFonts w:ascii="Times New Roman" w:hAnsi="Times New Roman"/>
        </w:rPr>
      </w:pPr>
      <w:r w:rsidRPr="00707598">
        <w:rPr>
          <w:rFonts w:ascii="Times New Roman" w:hAnsi="Times New Roman"/>
          <w:i w:val="0"/>
        </w:rPr>
        <w:lastRenderedPageBreak/>
        <w:t>“</w:t>
      </w:r>
      <w:r w:rsidR="00A63E31" w:rsidRPr="00707598">
        <w:rPr>
          <w:rFonts w:ascii="Times New Roman" w:hAnsi="Times New Roman"/>
          <w:i w:val="0"/>
        </w:rPr>
        <w:t>[</w:t>
      </w:r>
      <w:proofErr w:type="spellStart"/>
      <w:r w:rsidR="00A63E31" w:rsidRPr="00707598">
        <w:rPr>
          <w:rFonts w:ascii="Times New Roman" w:hAnsi="Times New Roman"/>
          <w:i w:val="0"/>
        </w:rPr>
        <w:t>i</w:t>
      </w:r>
      <w:proofErr w:type="spellEnd"/>
      <w:r w:rsidR="00A63E31" w:rsidRPr="00707598">
        <w:rPr>
          <w:rFonts w:ascii="Times New Roman" w:hAnsi="Times New Roman"/>
          <w:i w:val="0"/>
        </w:rPr>
        <w:t xml:space="preserve">]t is the prosecutor who, pursuant to </w:t>
      </w:r>
      <w:r w:rsidR="00470051">
        <w:rPr>
          <w:rFonts w:ascii="Times New Roman" w:hAnsi="Times New Roman"/>
          <w:i w:val="0"/>
        </w:rPr>
        <w:t>A</w:t>
      </w:r>
      <w:r w:rsidR="00A63E31" w:rsidRPr="00707598">
        <w:rPr>
          <w:rFonts w:ascii="Times New Roman" w:hAnsi="Times New Roman"/>
          <w:i w:val="0"/>
        </w:rPr>
        <w:t xml:space="preserve">rticle 54(1) of the </w:t>
      </w:r>
      <w:proofErr w:type="spellStart"/>
      <w:r w:rsidR="00A63E31" w:rsidRPr="00707598">
        <w:rPr>
          <w:rFonts w:ascii="Times New Roman" w:hAnsi="Times New Roman"/>
          <w:i w:val="0"/>
        </w:rPr>
        <w:t>Statute,..is</w:t>
      </w:r>
      <w:proofErr w:type="spellEnd"/>
      <w:r w:rsidR="00A63E31" w:rsidRPr="00707598">
        <w:rPr>
          <w:rFonts w:ascii="Times New Roman" w:hAnsi="Times New Roman"/>
          <w:i w:val="0"/>
        </w:rPr>
        <w:t xml:space="preserve"> tasked with the investigation of crime under the jurisdiction of the Court and who, pursuant to </w:t>
      </w:r>
      <w:r w:rsidR="00470051">
        <w:rPr>
          <w:rFonts w:ascii="Times New Roman" w:hAnsi="Times New Roman"/>
          <w:i w:val="0"/>
        </w:rPr>
        <w:t>A</w:t>
      </w:r>
      <w:r w:rsidR="00A63E31" w:rsidRPr="00707598">
        <w:rPr>
          <w:rFonts w:ascii="Times New Roman" w:hAnsi="Times New Roman"/>
          <w:i w:val="0"/>
        </w:rPr>
        <w:t>rticle 61(1) and (3) of the Statute,</w:t>
      </w:r>
      <w:r w:rsidR="00281DCB">
        <w:rPr>
          <w:rFonts w:ascii="Times New Roman" w:hAnsi="Times New Roman"/>
          <w:i w:val="0"/>
        </w:rPr>
        <w:t>…</w:t>
      </w:r>
      <w:r w:rsidR="00A63E31" w:rsidRPr="00707598">
        <w:rPr>
          <w:rFonts w:ascii="Times New Roman" w:hAnsi="Times New Roman"/>
          <w:i w:val="0"/>
        </w:rPr>
        <w:t>proffers charges against suspects.</w:t>
      </w:r>
      <w:r w:rsidR="00281DCB">
        <w:rPr>
          <w:rFonts w:ascii="Times New Roman" w:hAnsi="Times New Roman"/>
          <w:i w:val="0"/>
        </w:rPr>
        <w:t xml:space="preserve"> </w:t>
      </w:r>
      <w:r w:rsidR="00A63E31" w:rsidRPr="00707598">
        <w:rPr>
          <w:rFonts w:ascii="Times New Roman" w:hAnsi="Times New Roman"/>
          <w:i w:val="0"/>
        </w:rPr>
        <w:t xml:space="preserve">To give the Trial Chamber the power to extend </w:t>
      </w:r>
      <w:r w:rsidRPr="00707598">
        <w:rPr>
          <w:rFonts w:ascii="Times New Roman" w:hAnsi="Times New Roman"/>
          <w:i w:val="0"/>
        </w:rPr>
        <w:t>proprio motu the scope of a trial to facts and circumstances not alleged by the Prosecutor would be contrary to the distribution of powers under the Statute</w:t>
      </w:r>
      <w:r w:rsidR="00281DCB">
        <w:rPr>
          <w:rFonts w:ascii="Times New Roman" w:hAnsi="Times New Roman"/>
          <w:i w:val="0"/>
        </w:rPr>
        <w:t>.</w:t>
      </w:r>
      <w:r w:rsidRPr="00F96BEE">
        <w:rPr>
          <w:rFonts w:ascii="Times New Roman" w:hAnsi="Times New Roman"/>
        </w:rPr>
        <w:t>”</w:t>
      </w:r>
      <w:r>
        <w:rPr>
          <w:rStyle w:val="FootnoteReference"/>
          <w:rFonts w:ascii="Times New Roman" w:hAnsi="Times New Roman"/>
        </w:rPr>
        <w:footnoteReference w:id="389"/>
      </w:r>
    </w:p>
    <w:p w14:paraId="04B6E075" w14:textId="787205EF" w:rsidR="00092134" w:rsidRDefault="00ED6EED" w:rsidP="007D4C8A">
      <w:pPr>
        <w:spacing w:line="480" w:lineRule="auto"/>
        <w:jc w:val="both"/>
        <w:rPr>
          <w:rFonts w:ascii="Times New Roman" w:hAnsi="Times New Roman"/>
          <w:szCs w:val="24"/>
        </w:rPr>
      </w:pPr>
      <w:r>
        <w:rPr>
          <w:rFonts w:ascii="Times New Roman" w:hAnsi="Times New Roman"/>
          <w:szCs w:val="24"/>
        </w:rPr>
        <w:t xml:space="preserve"> </w:t>
      </w:r>
      <w:r w:rsidR="00470051">
        <w:rPr>
          <w:rFonts w:ascii="Times New Roman" w:hAnsi="Times New Roman"/>
          <w:szCs w:val="24"/>
        </w:rPr>
        <w:t>T</w:t>
      </w:r>
      <w:r>
        <w:rPr>
          <w:rFonts w:ascii="Times New Roman" w:hAnsi="Times New Roman"/>
          <w:szCs w:val="24"/>
        </w:rPr>
        <w:t xml:space="preserve">he </w:t>
      </w:r>
      <w:r w:rsidR="00470051">
        <w:rPr>
          <w:rFonts w:ascii="Times New Roman" w:hAnsi="Times New Roman"/>
          <w:szCs w:val="24"/>
        </w:rPr>
        <w:t xml:space="preserve">ruling heightened the prosecutor’s function </w:t>
      </w:r>
      <w:r w:rsidR="00566053">
        <w:rPr>
          <w:rFonts w:ascii="Times New Roman" w:hAnsi="Times New Roman"/>
          <w:szCs w:val="24"/>
        </w:rPr>
        <w:t xml:space="preserve">in </w:t>
      </w:r>
      <w:r w:rsidR="00470051">
        <w:rPr>
          <w:rFonts w:ascii="Times New Roman" w:hAnsi="Times New Roman"/>
          <w:szCs w:val="24"/>
        </w:rPr>
        <w:t>amplifying</w:t>
      </w:r>
      <w:r w:rsidR="00566053">
        <w:rPr>
          <w:rFonts w:ascii="Times New Roman" w:hAnsi="Times New Roman"/>
          <w:szCs w:val="24"/>
        </w:rPr>
        <w:t xml:space="preserve"> the </w:t>
      </w:r>
      <w:r w:rsidR="00092134">
        <w:rPr>
          <w:rFonts w:ascii="Times New Roman" w:hAnsi="Times New Roman"/>
          <w:szCs w:val="24"/>
        </w:rPr>
        <w:t>scope of the trial</w:t>
      </w:r>
      <w:r w:rsidR="00D15881">
        <w:rPr>
          <w:rFonts w:ascii="Times New Roman" w:hAnsi="Times New Roman"/>
          <w:szCs w:val="24"/>
        </w:rPr>
        <w:t>.</w:t>
      </w:r>
      <w:r w:rsidR="00C52255">
        <w:rPr>
          <w:rFonts w:ascii="Times New Roman" w:hAnsi="Times New Roman"/>
          <w:szCs w:val="24"/>
        </w:rPr>
        <w:t xml:space="preserve"> </w:t>
      </w:r>
      <w:r w:rsidR="0026727E">
        <w:rPr>
          <w:rFonts w:ascii="Times New Roman" w:hAnsi="Times New Roman"/>
          <w:szCs w:val="24"/>
        </w:rPr>
        <w:t xml:space="preserve">It also revealed that it is ultra vires the </w:t>
      </w:r>
      <w:r w:rsidR="00887A1E">
        <w:rPr>
          <w:rFonts w:ascii="Times New Roman" w:hAnsi="Times New Roman"/>
          <w:szCs w:val="24"/>
        </w:rPr>
        <w:t>TC's power</w:t>
      </w:r>
      <w:r w:rsidR="0026727E">
        <w:rPr>
          <w:rFonts w:ascii="Times New Roman" w:hAnsi="Times New Roman"/>
          <w:szCs w:val="24"/>
        </w:rPr>
        <w:t xml:space="preserve"> to extend the scope of the trial to facts and circumstances that</w:t>
      </w:r>
      <w:r w:rsidR="00D15881">
        <w:rPr>
          <w:rFonts w:ascii="Times New Roman" w:hAnsi="Times New Roman"/>
          <w:szCs w:val="24"/>
        </w:rPr>
        <w:t xml:space="preserve"> exceeds the content of the charging document.</w:t>
      </w:r>
      <w:r w:rsidR="00C52255">
        <w:rPr>
          <w:rFonts w:ascii="Times New Roman" w:hAnsi="Times New Roman"/>
          <w:szCs w:val="24"/>
        </w:rPr>
        <w:t xml:space="preserve"> I</w:t>
      </w:r>
      <w:r w:rsidR="00D26DE6">
        <w:rPr>
          <w:rFonts w:ascii="Times New Roman" w:hAnsi="Times New Roman"/>
          <w:szCs w:val="24"/>
        </w:rPr>
        <w:t>t seems the TC has the powers to modify</w:t>
      </w:r>
      <w:r w:rsidR="00C52255">
        <w:rPr>
          <w:rFonts w:ascii="Times New Roman" w:hAnsi="Times New Roman"/>
          <w:szCs w:val="24"/>
        </w:rPr>
        <w:t xml:space="preserve"> the</w:t>
      </w:r>
      <w:r w:rsidR="00D26DE6">
        <w:rPr>
          <w:rFonts w:ascii="Times New Roman" w:hAnsi="Times New Roman"/>
          <w:szCs w:val="24"/>
        </w:rPr>
        <w:t xml:space="preserve"> charges,</w:t>
      </w:r>
      <w:r w:rsidR="00C52255">
        <w:rPr>
          <w:rFonts w:ascii="Times New Roman" w:hAnsi="Times New Roman"/>
          <w:szCs w:val="24"/>
        </w:rPr>
        <w:t xml:space="preserve"> </w:t>
      </w:r>
      <w:r w:rsidR="00D26DE6">
        <w:rPr>
          <w:rFonts w:ascii="Times New Roman" w:hAnsi="Times New Roman"/>
          <w:szCs w:val="24"/>
        </w:rPr>
        <w:t>given that it does not introduce new facts and circumstances into the subject matter of the trial.</w:t>
      </w:r>
      <w:r w:rsidR="00C52255">
        <w:rPr>
          <w:rFonts w:ascii="Times New Roman" w:hAnsi="Times New Roman"/>
          <w:szCs w:val="24"/>
        </w:rPr>
        <w:t xml:space="preserve"> </w:t>
      </w:r>
      <w:r w:rsidR="00BA36E4">
        <w:rPr>
          <w:rFonts w:ascii="Times New Roman" w:hAnsi="Times New Roman"/>
          <w:szCs w:val="24"/>
        </w:rPr>
        <w:t xml:space="preserve">This </w:t>
      </w:r>
      <w:r w:rsidR="00C52255">
        <w:rPr>
          <w:rFonts w:ascii="Times New Roman" w:hAnsi="Times New Roman"/>
          <w:szCs w:val="24"/>
        </w:rPr>
        <w:t xml:space="preserve">ruling </w:t>
      </w:r>
      <w:r w:rsidR="00BA36E4">
        <w:rPr>
          <w:rFonts w:ascii="Times New Roman" w:hAnsi="Times New Roman"/>
          <w:szCs w:val="24"/>
        </w:rPr>
        <w:t xml:space="preserve">begs </w:t>
      </w:r>
      <w:r w:rsidR="00D53208">
        <w:rPr>
          <w:rFonts w:ascii="Times New Roman" w:hAnsi="Times New Roman"/>
          <w:szCs w:val="24"/>
        </w:rPr>
        <w:t>whether sexual slavery and cruel</w:t>
      </w:r>
      <w:r w:rsidR="00BA36E4">
        <w:rPr>
          <w:rFonts w:ascii="Times New Roman" w:hAnsi="Times New Roman"/>
          <w:szCs w:val="24"/>
        </w:rPr>
        <w:t xml:space="preserve"> and inhumane treatment</w:t>
      </w:r>
      <w:r w:rsidR="00C52255">
        <w:rPr>
          <w:rFonts w:ascii="Times New Roman" w:hAnsi="Times New Roman"/>
          <w:szCs w:val="24"/>
        </w:rPr>
        <w:t>s</w:t>
      </w:r>
      <w:r w:rsidR="00BA36E4">
        <w:rPr>
          <w:rFonts w:ascii="Times New Roman" w:hAnsi="Times New Roman"/>
          <w:szCs w:val="24"/>
        </w:rPr>
        <w:t xml:space="preserve"> are new facts and circumstances in this situation.</w:t>
      </w:r>
      <w:r w:rsidR="00C52255">
        <w:rPr>
          <w:rFonts w:ascii="Times New Roman" w:hAnsi="Times New Roman"/>
          <w:szCs w:val="24"/>
        </w:rPr>
        <w:t xml:space="preserve"> </w:t>
      </w:r>
      <w:r w:rsidR="00D53208">
        <w:rPr>
          <w:rFonts w:ascii="Times New Roman" w:hAnsi="Times New Roman"/>
          <w:szCs w:val="24"/>
        </w:rPr>
        <w:t xml:space="preserve">If cruel and inhumane treatment </w:t>
      </w:r>
      <w:r w:rsidR="0026727E">
        <w:rPr>
          <w:rFonts w:ascii="Times New Roman" w:hAnsi="Times New Roman"/>
          <w:szCs w:val="24"/>
        </w:rPr>
        <w:t>is categorised as a constitutive part of child soldiers' recruitment, then it is not considered</w:t>
      </w:r>
      <w:r w:rsidR="00092134">
        <w:rPr>
          <w:rFonts w:ascii="Times New Roman" w:hAnsi="Times New Roman"/>
          <w:szCs w:val="24"/>
        </w:rPr>
        <w:t xml:space="preserve"> ‘new facts and circumstances’</w:t>
      </w:r>
      <w:r w:rsidR="00D53208">
        <w:rPr>
          <w:rFonts w:ascii="Times New Roman" w:hAnsi="Times New Roman"/>
          <w:szCs w:val="24"/>
        </w:rPr>
        <w:t>.</w:t>
      </w:r>
      <w:r w:rsidR="00092134">
        <w:rPr>
          <w:rFonts w:ascii="Times New Roman" w:hAnsi="Times New Roman"/>
          <w:szCs w:val="24"/>
        </w:rPr>
        <w:t xml:space="preserve"> </w:t>
      </w:r>
      <w:r w:rsidR="00D53208">
        <w:rPr>
          <w:rFonts w:ascii="Times New Roman" w:hAnsi="Times New Roman"/>
          <w:szCs w:val="24"/>
        </w:rPr>
        <w:t>Th</w:t>
      </w:r>
      <w:r w:rsidR="00C52255">
        <w:rPr>
          <w:rFonts w:ascii="Times New Roman" w:hAnsi="Times New Roman"/>
          <w:szCs w:val="24"/>
        </w:rPr>
        <w:t>us it</w:t>
      </w:r>
      <w:r w:rsidR="00D53208">
        <w:rPr>
          <w:rFonts w:ascii="Times New Roman" w:hAnsi="Times New Roman"/>
          <w:szCs w:val="24"/>
        </w:rPr>
        <w:t xml:space="preserve"> would mean it is within the </w:t>
      </w:r>
      <w:r w:rsidR="00887A1E">
        <w:rPr>
          <w:rFonts w:ascii="Times New Roman" w:hAnsi="Times New Roman"/>
          <w:szCs w:val="24"/>
        </w:rPr>
        <w:t>Chamber's pow</w:t>
      </w:r>
      <w:r w:rsidR="00D53208">
        <w:rPr>
          <w:rFonts w:ascii="Times New Roman" w:hAnsi="Times New Roman"/>
          <w:szCs w:val="24"/>
        </w:rPr>
        <w:t>er to concede to the request of the LRV and modify the charges.</w:t>
      </w:r>
    </w:p>
    <w:p w14:paraId="081CA2DC" w14:textId="33E1857B" w:rsidR="00F94CB2" w:rsidRDefault="00092134" w:rsidP="00F94CB2">
      <w:pPr>
        <w:spacing w:line="480" w:lineRule="auto"/>
        <w:jc w:val="both"/>
        <w:rPr>
          <w:rFonts w:ascii="Times New Roman" w:hAnsi="Times New Roman"/>
          <w:b/>
          <w:szCs w:val="24"/>
        </w:rPr>
      </w:pPr>
      <w:r>
        <w:rPr>
          <w:rFonts w:ascii="Times New Roman" w:hAnsi="Times New Roman"/>
          <w:szCs w:val="24"/>
        </w:rPr>
        <w:t>By</w:t>
      </w:r>
      <w:r w:rsidR="00D53208">
        <w:rPr>
          <w:rFonts w:ascii="Times New Roman" w:hAnsi="Times New Roman"/>
          <w:szCs w:val="24"/>
        </w:rPr>
        <w:t xml:space="preserve"> contrast, where these alleged crimes are considered a</w:t>
      </w:r>
      <w:r w:rsidR="00887A1E">
        <w:rPr>
          <w:rFonts w:ascii="Times New Roman" w:hAnsi="Times New Roman"/>
          <w:szCs w:val="24"/>
        </w:rPr>
        <w:t xml:space="preserve">  separate crime from the crimes contained in the charges, it is within the prosecutor's exclusive powe</w:t>
      </w:r>
      <w:r w:rsidR="00D53208">
        <w:rPr>
          <w:rFonts w:ascii="Times New Roman" w:hAnsi="Times New Roman"/>
          <w:szCs w:val="24"/>
        </w:rPr>
        <w:t xml:space="preserve">r to amend </w:t>
      </w:r>
      <w:r w:rsidR="00D53208">
        <w:rPr>
          <w:rFonts w:ascii="Times New Roman" w:hAnsi="Times New Roman"/>
          <w:szCs w:val="24"/>
        </w:rPr>
        <w:lastRenderedPageBreak/>
        <w:t>the charges</w:t>
      </w:r>
      <w:r w:rsidR="00F40DAE">
        <w:rPr>
          <w:rFonts w:ascii="Times New Roman" w:hAnsi="Times New Roman"/>
          <w:szCs w:val="24"/>
        </w:rPr>
        <w:t>.</w:t>
      </w:r>
      <w:r w:rsidR="00C52255">
        <w:rPr>
          <w:rFonts w:ascii="Times New Roman" w:hAnsi="Times New Roman"/>
          <w:szCs w:val="24"/>
        </w:rPr>
        <w:t xml:space="preserve"> </w:t>
      </w:r>
      <w:r w:rsidR="00470051">
        <w:rPr>
          <w:rFonts w:ascii="Times New Roman" w:hAnsi="Times New Roman"/>
          <w:szCs w:val="24"/>
        </w:rPr>
        <w:t>Conceivably</w:t>
      </w:r>
      <w:r w:rsidR="00F40DAE">
        <w:rPr>
          <w:rFonts w:ascii="Times New Roman" w:hAnsi="Times New Roman"/>
          <w:szCs w:val="24"/>
        </w:rPr>
        <w:t xml:space="preserve">, these distinct crimes </w:t>
      </w:r>
      <w:r w:rsidR="00470051">
        <w:rPr>
          <w:rFonts w:ascii="Times New Roman" w:hAnsi="Times New Roman"/>
          <w:szCs w:val="24"/>
        </w:rPr>
        <w:t xml:space="preserve">may be </w:t>
      </w:r>
      <w:r w:rsidR="00F40DAE">
        <w:rPr>
          <w:rFonts w:ascii="Times New Roman" w:hAnsi="Times New Roman"/>
          <w:szCs w:val="24"/>
        </w:rPr>
        <w:t>con</w:t>
      </w:r>
      <w:r w:rsidR="00470051">
        <w:rPr>
          <w:rFonts w:ascii="Times New Roman" w:hAnsi="Times New Roman"/>
          <w:szCs w:val="24"/>
        </w:rPr>
        <w:t>strued</w:t>
      </w:r>
      <w:r w:rsidR="00F40DAE">
        <w:rPr>
          <w:rFonts w:ascii="Times New Roman" w:hAnsi="Times New Roman"/>
          <w:szCs w:val="24"/>
        </w:rPr>
        <w:t xml:space="preserve"> as ‘new facts’ and ‘circum</w:t>
      </w:r>
      <w:r w:rsidR="00C52255">
        <w:rPr>
          <w:rFonts w:ascii="Times New Roman" w:hAnsi="Times New Roman"/>
          <w:szCs w:val="24"/>
        </w:rPr>
        <w:t>s</w:t>
      </w:r>
      <w:r w:rsidR="00F40DAE">
        <w:rPr>
          <w:rFonts w:ascii="Times New Roman" w:hAnsi="Times New Roman"/>
          <w:szCs w:val="24"/>
        </w:rPr>
        <w:t>tances’.</w:t>
      </w:r>
    </w:p>
    <w:p w14:paraId="2B12ECFF" w14:textId="6DCA9E64" w:rsidR="00C52255" w:rsidRPr="00F94CB2" w:rsidRDefault="00F94CB2" w:rsidP="00887A1E">
      <w:pPr>
        <w:spacing w:line="480" w:lineRule="auto"/>
        <w:jc w:val="center"/>
        <w:rPr>
          <w:rFonts w:ascii="Times New Roman" w:hAnsi="Times New Roman"/>
          <w:bCs/>
          <w:szCs w:val="24"/>
        </w:rPr>
      </w:pPr>
      <w:r w:rsidRPr="00F94CB2">
        <w:rPr>
          <w:rFonts w:ascii="Times New Roman" w:hAnsi="Times New Roman"/>
          <w:bCs/>
          <w:szCs w:val="24"/>
        </w:rPr>
        <w:t xml:space="preserve">A cursory </w:t>
      </w:r>
      <w:r>
        <w:rPr>
          <w:rFonts w:ascii="Times New Roman" w:hAnsi="Times New Roman"/>
          <w:bCs/>
          <w:szCs w:val="24"/>
        </w:rPr>
        <w:t>look at the impugned decision reflects that the judge is either pro-victims’ rights or a judge from the civil law system, an active judge in proceedings with extensive control over the proceedings.</w:t>
      </w:r>
      <w:r w:rsidR="0075602E">
        <w:rPr>
          <w:rFonts w:ascii="Times New Roman" w:hAnsi="Times New Roman"/>
          <w:bCs/>
          <w:szCs w:val="24"/>
        </w:rPr>
        <w:t xml:space="preserve"> </w:t>
      </w:r>
      <w:r w:rsidR="00772CFF" w:rsidRPr="00772CFF">
        <w:rPr>
          <w:rFonts w:ascii="Times New Roman" w:hAnsi="Times New Roman"/>
          <w:szCs w:val="24"/>
        </w:rPr>
        <w:t xml:space="preserve">Jon </w:t>
      </w:r>
      <w:r w:rsidR="00C52255">
        <w:rPr>
          <w:rFonts w:ascii="Times New Roman" w:hAnsi="Times New Roman"/>
          <w:szCs w:val="24"/>
        </w:rPr>
        <w:t>H</w:t>
      </w:r>
      <w:r w:rsidR="00772CFF" w:rsidRPr="00772CFF">
        <w:rPr>
          <w:rFonts w:ascii="Times New Roman" w:hAnsi="Times New Roman"/>
          <w:szCs w:val="24"/>
        </w:rPr>
        <w:t>eller describes the impugned</w:t>
      </w:r>
      <w:r>
        <w:rPr>
          <w:rFonts w:ascii="Times New Roman" w:hAnsi="Times New Roman"/>
          <w:szCs w:val="24"/>
        </w:rPr>
        <w:t xml:space="preserve"> </w:t>
      </w:r>
      <w:r w:rsidR="00772CFF" w:rsidRPr="00772CFF">
        <w:rPr>
          <w:rFonts w:ascii="Times New Roman" w:hAnsi="Times New Roman"/>
          <w:szCs w:val="24"/>
        </w:rPr>
        <w:t xml:space="preserve">decision </w:t>
      </w:r>
      <w:r w:rsidR="00C52255">
        <w:rPr>
          <w:rFonts w:ascii="Times New Roman" w:hAnsi="Times New Roman"/>
          <w:szCs w:val="24"/>
        </w:rPr>
        <w:t>:</w:t>
      </w:r>
    </w:p>
    <w:p w14:paraId="4816C72B" w14:textId="203D6183" w:rsidR="00772CFF" w:rsidRPr="00772CFF" w:rsidRDefault="00772CFF" w:rsidP="00887A1E">
      <w:pPr>
        <w:spacing w:line="480" w:lineRule="auto"/>
        <w:jc w:val="center"/>
        <w:rPr>
          <w:rFonts w:ascii="Times New Roman" w:hAnsi="Times New Roman"/>
          <w:szCs w:val="24"/>
        </w:rPr>
      </w:pPr>
      <w:r w:rsidRPr="00772CFF">
        <w:rPr>
          <w:rFonts w:ascii="Times New Roman" w:hAnsi="Times New Roman"/>
          <w:szCs w:val="24"/>
        </w:rPr>
        <w:t>“</w:t>
      </w:r>
      <w:r w:rsidRPr="00C5673B">
        <w:rPr>
          <w:rFonts w:ascii="Times New Roman" w:hAnsi="Times New Roman"/>
          <w:szCs w:val="24"/>
        </w:rPr>
        <w:t>The Judges, whether at the pre-trial phase or</w:t>
      </w:r>
      <w:r w:rsidR="00F94CB2">
        <w:rPr>
          <w:rFonts w:ascii="Times New Roman" w:hAnsi="Times New Roman"/>
          <w:szCs w:val="24"/>
        </w:rPr>
        <w:t xml:space="preserve"> at</w:t>
      </w:r>
      <w:r w:rsidRPr="00C5673B">
        <w:rPr>
          <w:rFonts w:ascii="Times New Roman" w:hAnsi="Times New Roman"/>
          <w:szCs w:val="24"/>
        </w:rPr>
        <w:t xml:space="preserve"> trial, have no power whatsoever in relation to the content of the charges……..The judges, in their never-ending quest to maintain control over the proceedings,</w:t>
      </w:r>
      <w:r w:rsidR="0075602E">
        <w:rPr>
          <w:rFonts w:ascii="Times New Roman" w:hAnsi="Times New Roman"/>
          <w:szCs w:val="24"/>
        </w:rPr>
        <w:t xml:space="preserve"> </w:t>
      </w:r>
      <w:r w:rsidRPr="00C5673B">
        <w:rPr>
          <w:rFonts w:ascii="Times New Roman" w:hAnsi="Times New Roman"/>
          <w:szCs w:val="24"/>
        </w:rPr>
        <w:t>included in the Regulations of the Cour</w:t>
      </w:r>
      <w:r w:rsidRPr="00772CFF">
        <w:rPr>
          <w:rFonts w:ascii="Times New Roman" w:hAnsi="Times New Roman"/>
          <w:i/>
          <w:szCs w:val="24"/>
        </w:rPr>
        <w:t>t….”</w:t>
      </w:r>
      <w:r w:rsidRPr="00772CFF">
        <w:rPr>
          <w:rFonts w:ascii="Times New Roman" w:hAnsi="Times New Roman"/>
          <w:i/>
          <w:szCs w:val="24"/>
          <w:vertAlign w:val="superscript"/>
        </w:rPr>
        <w:footnoteReference w:id="390"/>
      </w:r>
    </w:p>
    <w:p w14:paraId="2CE38BF9" w14:textId="59B5A40C" w:rsidR="007E4278" w:rsidRDefault="00772CFF" w:rsidP="00B550F7">
      <w:pPr>
        <w:spacing w:line="480" w:lineRule="auto"/>
        <w:jc w:val="both"/>
        <w:rPr>
          <w:rFonts w:ascii="Times New Roman" w:hAnsi="Times New Roman"/>
          <w:szCs w:val="24"/>
        </w:rPr>
      </w:pPr>
      <w:r w:rsidRPr="00772CFF">
        <w:rPr>
          <w:rFonts w:ascii="Times New Roman" w:hAnsi="Times New Roman"/>
          <w:szCs w:val="24"/>
        </w:rPr>
        <w:t xml:space="preserve">The </w:t>
      </w:r>
      <w:r w:rsidR="0026727E">
        <w:rPr>
          <w:rFonts w:ascii="Times New Roman" w:hAnsi="Times New Roman"/>
          <w:szCs w:val="24"/>
        </w:rPr>
        <w:t>judges of the Trial Chamber's impugned decision and the attempt</w:t>
      </w:r>
      <w:r w:rsidRPr="00772CFF">
        <w:rPr>
          <w:rFonts w:ascii="Times New Roman" w:hAnsi="Times New Roman"/>
          <w:szCs w:val="24"/>
        </w:rPr>
        <w:t xml:space="preserve"> to modify the charges indicated a more receptive stance towards the victims’ plight. One could argue that it demonstrates a civil la</w:t>
      </w:r>
      <w:r w:rsidR="00CE689C">
        <w:rPr>
          <w:rFonts w:ascii="Times New Roman" w:hAnsi="Times New Roman"/>
          <w:szCs w:val="24"/>
        </w:rPr>
        <w:t>w tradition</w:t>
      </w:r>
      <w:r w:rsidR="008C1017">
        <w:rPr>
          <w:rFonts w:ascii="Times New Roman" w:hAnsi="Times New Roman"/>
          <w:szCs w:val="24"/>
        </w:rPr>
        <w:t xml:space="preserve"> with active judges</w:t>
      </w:r>
      <w:r w:rsidR="00CE689C">
        <w:rPr>
          <w:rFonts w:ascii="Times New Roman" w:hAnsi="Times New Roman"/>
          <w:i/>
          <w:szCs w:val="24"/>
        </w:rPr>
        <w:t>.</w:t>
      </w:r>
      <w:r w:rsidR="0075602E">
        <w:rPr>
          <w:rFonts w:ascii="Times New Roman" w:hAnsi="Times New Roman"/>
          <w:i/>
          <w:szCs w:val="24"/>
        </w:rPr>
        <w:t xml:space="preserve"> </w:t>
      </w:r>
      <w:r w:rsidR="00FA4D8D">
        <w:rPr>
          <w:rFonts w:ascii="Times New Roman" w:hAnsi="Times New Roman"/>
          <w:szCs w:val="24"/>
        </w:rPr>
        <w:t xml:space="preserve">In addition, it seems the reasoning behind the impugned decision encapsulates the alleged crimes of sexual violence and cruel and inhume treatment as inevitable consequences or </w:t>
      </w:r>
      <w:r w:rsidR="0075602E">
        <w:rPr>
          <w:rFonts w:ascii="Times New Roman" w:hAnsi="Times New Roman"/>
          <w:szCs w:val="24"/>
        </w:rPr>
        <w:t xml:space="preserve">an </w:t>
      </w:r>
      <w:r w:rsidR="00FA4D8D">
        <w:rPr>
          <w:rFonts w:ascii="Times New Roman" w:hAnsi="Times New Roman"/>
          <w:szCs w:val="24"/>
        </w:rPr>
        <w:t>intrinsic part of the recruitment of child soldiers.</w:t>
      </w:r>
      <w:r w:rsidR="0075602E">
        <w:rPr>
          <w:rFonts w:ascii="Times New Roman" w:hAnsi="Times New Roman"/>
          <w:szCs w:val="24"/>
        </w:rPr>
        <w:t xml:space="preserve"> </w:t>
      </w:r>
      <w:r w:rsidR="00FA4D8D">
        <w:rPr>
          <w:rFonts w:ascii="Times New Roman" w:hAnsi="Times New Roman"/>
          <w:szCs w:val="24"/>
        </w:rPr>
        <w:t>The AC</w:t>
      </w:r>
      <w:r w:rsidR="007E4278">
        <w:rPr>
          <w:rFonts w:ascii="Times New Roman" w:hAnsi="Times New Roman"/>
          <w:szCs w:val="24"/>
        </w:rPr>
        <w:t xml:space="preserve"> reversed this decision </w:t>
      </w:r>
      <w:r w:rsidR="0075602E">
        <w:rPr>
          <w:rFonts w:ascii="Times New Roman" w:hAnsi="Times New Roman"/>
          <w:szCs w:val="24"/>
        </w:rPr>
        <w:t>because it</w:t>
      </w:r>
      <w:r w:rsidR="007E4278">
        <w:rPr>
          <w:rFonts w:ascii="Times New Roman" w:hAnsi="Times New Roman"/>
          <w:szCs w:val="24"/>
        </w:rPr>
        <w:t xml:space="preserve"> </w:t>
      </w:r>
      <w:r w:rsidR="0075602E">
        <w:rPr>
          <w:rFonts w:ascii="Times New Roman" w:hAnsi="Times New Roman"/>
          <w:szCs w:val="24"/>
        </w:rPr>
        <w:t>infring</w:t>
      </w:r>
      <w:r w:rsidR="007E4278">
        <w:rPr>
          <w:rFonts w:ascii="Times New Roman" w:hAnsi="Times New Roman"/>
          <w:szCs w:val="24"/>
        </w:rPr>
        <w:t>ed on the prosecutor’s power</w:t>
      </w:r>
      <w:r w:rsidR="0026727E">
        <w:rPr>
          <w:rFonts w:ascii="Times New Roman" w:hAnsi="Times New Roman"/>
          <w:szCs w:val="24"/>
        </w:rPr>
        <w:t>, reasoning that the proposed charges were separate and independent crimes that</w:t>
      </w:r>
      <w:r w:rsidR="007E4278">
        <w:rPr>
          <w:rFonts w:ascii="Times New Roman" w:hAnsi="Times New Roman"/>
          <w:szCs w:val="24"/>
        </w:rPr>
        <w:t xml:space="preserve"> would introduce new facts.</w:t>
      </w:r>
    </w:p>
    <w:p w14:paraId="307D90A5" w14:textId="01F045E0" w:rsidR="00772CFF" w:rsidRPr="00772CFF" w:rsidRDefault="007E4278" w:rsidP="00B550F7">
      <w:pPr>
        <w:spacing w:line="480" w:lineRule="auto"/>
        <w:jc w:val="both"/>
        <w:rPr>
          <w:rFonts w:ascii="Times New Roman" w:hAnsi="Times New Roman"/>
          <w:szCs w:val="24"/>
        </w:rPr>
      </w:pPr>
      <w:r>
        <w:rPr>
          <w:rFonts w:ascii="Times New Roman" w:hAnsi="Times New Roman"/>
          <w:szCs w:val="24"/>
        </w:rPr>
        <w:t xml:space="preserve">Arguably, </w:t>
      </w:r>
      <w:r w:rsidR="00721871">
        <w:rPr>
          <w:rFonts w:ascii="Times New Roman" w:hAnsi="Times New Roman"/>
          <w:szCs w:val="24"/>
        </w:rPr>
        <w:t>the AC’s</w:t>
      </w:r>
      <w:r w:rsidR="00B550F7">
        <w:rPr>
          <w:rFonts w:ascii="Times New Roman" w:hAnsi="Times New Roman"/>
          <w:szCs w:val="24"/>
        </w:rPr>
        <w:t xml:space="preserve"> decision points out the legal tec</w:t>
      </w:r>
      <w:r w:rsidR="006A1243">
        <w:rPr>
          <w:rFonts w:ascii="Times New Roman" w:hAnsi="Times New Roman"/>
          <w:szCs w:val="24"/>
        </w:rPr>
        <w:t>h</w:t>
      </w:r>
      <w:r w:rsidR="00B550F7">
        <w:rPr>
          <w:rFonts w:ascii="Times New Roman" w:hAnsi="Times New Roman"/>
          <w:szCs w:val="24"/>
        </w:rPr>
        <w:t xml:space="preserve">nicality in the interpretation of Regulation 55  as well as the role of the prosecutor in </w:t>
      </w:r>
      <w:r w:rsidR="006A1243">
        <w:rPr>
          <w:rFonts w:ascii="Times New Roman" w:hAnsi="Times New Roman"/>
          <w:szCs w:val="24"/>
        </w:rPr>
        <w:t xml:space="preserve">the </w:t>
      </w:r>
      <w:r w:rsidR="00B550F7">
        <w:rPr>
          <w:rFonts w:ascii="Times New Roman" w:hAnsi="Times New Roman"/>
          <w:szCs w:val="24"/>
        </w:rPr>
        <w:t>framing of charges.</w:t>
      </w:r>
      <w:r w:rsidR="006A1243">
        <w:rPr>
          <w:rFonts w:ascii="Times New Roman" w:hAnsi="Times New Roman"/>
          <w:szCs w:val="24"/>
        </w:rPr>
        <w:t xml:space="preserve"> </w:t>
      </w:r>
      <w:r w:rsidR="008C1017">
        <w:rPr>
          <w:rFonts w:ascii="Times New Roman" w:hAnsi="Times New Roman"/>
          <w:szCs w:val="24"/>
        </w:rPr>
        <w:t xml:space="preserve">The </w:t>
      </w:r>
      <w:r w:rsidR="008C1017">
        <w:rPr>
          <w:rFonts w:ascii="Times New Roman" w:hAnsi="Times New Roman"/>
          <w:szCs w:val="24"/>
        </w:rPr>
        <w:lastRenderedPageBreak/>
        <w:t>technicality that arose</w:t>
      </w:r>
      <w:r w:rsidR="006A1243">
        <w:rPr>
          <w:rFonts w:ascii="Times New Roman" w:hAnsi="Times New Roman"/>
          <w:szCs w:val="24"/>
        </w:rPr>
        <w:t>, in this case,</w:t>
      </w:r>
      <w:r w:rsidR="00772CFF" w:rsidRPr="00772CFF">
        <w:rPr>
          <w:rFonts w:ascii="Times New Roman" w:hAnsi="Times New Roman"/>
          <w:szCs w:val="24"/>
        </w:rPr>
        <w:t xml:space="preserve"> was left unaddressed by the AC decision, regardless of the impact it had on victims of SGBV and cruel treatment. The AC  applied the Law as it is-positive law-not as it ought to be.</w:t>
      </w:r>
      <w:r w:rsidR="00CE689C">
        <w:rPr>
          <w:rFonts w:ascii="Times New Roman" w:hAnsi="Times New Roman"/>
          <w:szCs w:val="24"/>
        </w:rPr>
        <w:t xml:space="preserve"> </w:t>
      </w:r>
      <w:r w:rsidR="00470051">
        <w:rPr>
          <w:rFonts w:ascii="Times New Roman" w:hAnsi="Times New Roman"/>
          <w:szCs w:val="24"/>
        </w:rPr>
        <w:t>T</w:t>
      </w:r>
      <w:r w:rsidR="00772CFF" w:rsidRPr="00772CFF">
        <w:rPr>
          <w:rFonts w:ascii="Times New Roman" w:hAnsi="Times New Roman"/>
          <w:szCs w:val="24"/>
        </w:rPr>
        <w:t>he decision confirm</w:t>
      </w:r>
      <w:r w:rsidR="00CE689C">
        <w:rPr>
          <w:rFonts w:ascii="Times New Roman" w:hAnsi="Times New Roman"/>
          <w:szCs w:val="24"/>
        </w:rPr>
        <w:t>s</w:t>
      </w:r>
      <w:r w:rsidR="00772CFF" w:rsidRPr="00772CFF">
        <w:rPr>
          <w:rFonts w:ascii="Times New Roman" w:hAnsi="Times New Roman"/>
          <w:szCs w:val="24"/>
        </w:rPr>
        <w:t xml:space="preserve"> that it was beyond the TC’s power to amend the charges regardless of the </w:t>
      </w:r>
      <w:r w:rsidR="0026727E">
        <w:rPr>
          <w:rFonts w:ascii="Times New Roman" w:hAnsi="Times New Roman"/>
          <w:szCs w:val="24"/>
        </w:rPr>
        <w:t>victims' situation</w:t>
      </w:r>
      <w:r w:rsidR="00772CFF" w:rsidRPr="00772CFF">
        <w:rPr>
          <w:rFonts w:ascii="Times New Roman" w:hAnsi="Times New Roman"/>
          <w:szCs w:val="24"/>
        </w:rPr>
        <w:t>.</w:t>
      </w:r>
    </w:p>
    <w:p w14:paraId="5C22E4D4" w14:textId="3C4656B4" w:rsidR="00772CFF" w:rsidRPr="00772CFF" w:rsidRDefault="00772CFF" w:rsidP="00B550F7">
      <w:pPr>
        <w:spacing w:line="480" w:lineRule="auto"/>
        <w:jc w:val="both"/>
        <w:rPr>
          <w:rFonts w:ascii="Times New Roman" w:hAnsi="Times New Roman"/>
          <w:szCs w:val="24"/>
        </w:rPr>
      </w:pPr>
      <w:r w:rsidRPr="00772CFF">
        <w:rPr>
          <w:rFonts w:ascii="Times New Roman" w:hAnsi="Times New Roman"/>
          <w:szCs w:val="24"/>
        </w:rPr>
        <w:t xml:space="preserve">The AC decision also underscores the fact that the </w:t>
      </w:r>
      <w:r w:rsidR="0026727E">
        <w:rPr>
          <w:rFonts w:ascii="Times New Roman" w:hAnsi="Times New Roman"/>
          <w:szCs w:val="24"/>
        </w:rPr>
        <w:t>TC  or the victims cannot challenge the prosecutor's discretion to draft and amend charge</w:t>
      </w:r>
      <w:r w:rsidRPr="00772CFF">
        <w:rPr>
          <w:rFonts w:ascii="Times New Roman" w:hAnsi="Times New Roman"/>
          <w:szCs w:val="24"/>
        </w:rPr>
        <w:t xml:space="preserve">s. </w:t>
      </w:r>
      <w:r w:rsidR="00470051">
        <w:rPr>
          <w:rFonts w:ascii="Times New Roman" w:hAnsi="Times New Roman"/>
          <w:szCs w:val="24"/>
        </w:rPr>
        <w:t>I</w:t>
      </w:r>
      <w:r w:rsidRPr="00772CFF">
        <w:rPr>
          <w:rFonts w:ascii="Times New Roman" w:hAnsi="Times New Roman"/>
          <w:szCs w:val="24"/>
        </w:rPr>
        <w:t>t is only within his exclusive power to amend the charges</w:t>
      </w:r>
      <w:r w:rsidR="00470051">
        <w:rPr>
          <w:rFonts w:ascii="Times New Roman" w:hAnsi="Times New Roman"/>
          <w:szCs w:val="24"/>
        </w:rPr>
        <w:t>,</w:t>
      </w:r>
      <w:r w:rsidRPr="00772CFF">
        <w:rPr>
          <w:rFonts w:ascii="Times New Roman" w:hAnsi="Times New Roman"/>
          <w:szCs w:val="24"/>
        </w:rPr>
        <w:t xml:space="preserve"> notwithstanding that his actions could potentially lead to injustice for the victims involved.</w:t>
      </w:r>
    </w:p>
    <w:p w14:paraId="736ECB34" w14:textId="1006A0E0" w:rsidR="00470051" w:rsidRDefault="00772CFF" w:rsidP="006208FA">
      <w:pPr>
        <w:spacing w:line="480" w:lineRule="auto"/>
        <w:jc w:val="both"/>
        <w:rPr>
          <w:rFonts w:ascii="Times New Roman" w:hAnsi="Times New Roman"/>
          <w:szCs w:val="24"/>
        </w:rPr>
      </w:pPr>
      <w:r w:rsidRPr="00772CFF">
        <w:rPr>
          <w:rFonts w:ascii="Times New Roman" w:hAnsi="Times New Roman"/>
          <w:szCs w:val="24"/>
        </w:rPr>
        <w:t>Specifically, one could argue that TC</w:t>
      </w:r>
      <w:r w:rsidR="00634C6B">
        <w:rPr>
          <w:rFonts w:ascii="Times New Roman" w:hAnsi="Times New Roman"/>
          <w:szCs w:val="24"/>
        </w:rPr>
        <w:t xml:space="preserve"> attempted to initiate</w:t>
      </w:r>
      <w:r w:rsidRPr="00772CFF">
        <w:rPr>
          <w:rFonts w:ascii="Times New Roman" w:hAnsi="Times New Roman"/>
          <w:szCs w:val="24"/>
        </w:rPr>
        <w:t xml:space="preserve"> Regulation 55 to fill the impunity gap and, obtain justice for victims.</w:t>
      </w:r>
      <w:r w:rsidR="00634C6B">
        <w:rPr>
          <w:rFonts w:ascii="Times New Roman" w:hAnsi="Times New Roman"/>
          <w:szCs w:val="24"/>
        </w:rPr>
        <w:t xml:space="preserve"> </w:t>
      </w:r>
      <w:r w:rsidRPr="00772CFF">
        <w:rPr>
          <w:rFonts w:ascii="Times New Roman" w:hAnsi="Times New Roman"/>
          <w:szCs w:val="24"/>
        </w:rPr>
        <w:t xml:space="preserve">One commentator </w:t>
      </w:r>
      <w:r w:rsidR="00470051">
        <w:rPr>
          <w:rFonts w:ascii="Times New Roman" w:hAnsi="Times New Roman"/>
          <w:szCs w:val="24"/>
        </w:rPr>
        <w:t>thinks</w:t>
      </w:r>
      <w:r w:rsidRPr="00772CFF">
        <w:rPr>
          <w:rFonts w:ascii="Times New Roman" w:hAnsi="Times New Roman"/>
          <w:szCs w:val="24"/>
        </w:rPr>
        <w:t xml:space="preserve"> that if a gap in the legal characterisation(at th</w:t>
      </w:r>
      <w:r w:rsidR="00634C6B">
        <w:rPr>
          <w:rFonts w:ascii="Times New Roman" w:hAnsi="Times New Roman"/>
          <w:szCs w:val="24"/>
        </w:rPr>
        <w:t>e pre-tria</w:t>
      </w:r>
      <w:r w:rsidRPr="00772CFF">
        <w:rPr>
          <w:rFonts w:ascii="Times New Roman" w:hAnsi="Times New Roman"/>
          <w:szCs w:val="24"/>
        </w:rPr>
        <w:t xml:space="preserve">l stage) would acquit the accused of allegations against him, </w:t>
      </w:r>
      <w:r w:rsidR="0026727E">
        <w:rPr>
          <w:rFonts w:ascii="Times New Roman" w:hAnsi="Times New Roman"/>
          <w:szCs w:val="24"/>
        </w:rPr>
        <w:t>such decision prejudices the statute's aim</w:t>
      </w:r>
      <w:r w:rsidRPr="00772CFF">
        <w:rPr>
          <w:rFonts w:ascii="Times New Roman" w:hAnsi="Times New Roman"/>
          <w:szCs w:val="24"/>
        </w:rPr>
        <w:t xml:space="preserve"> to end impunity.</w:t>
      </w:r>
      <w:r w:rsidRPr="00772CFF">
        <w:rPr>
          <w:rFonts w:ascii="Times New Roman" w:hAnsi="Times New Roman"/>
          <w:szCs w:val="24"/>
          <w:vertAlign w:val="superscript"/>
        </w:rPr>
        <w:footnoteReference w:id="391"/>
      </w:r>
      <w:r w:rsidRPr="00772CFF">
        <w:rPr>
          <w:rFonts w:ascii="Times New Roman" w:hAnsi="Times New Roman"/>
          <w:szCs w:val="24"/>
        </w:rPr>
        <w:t xml:space="preserve">  However, the  AC reversed TC’s decision. AC’s decision highlights the principle that decisions must </w:t>
      </w:r>
      <w:r w:rsidR="0026727E">
        <w:rPr>
          <w:rFonts w:ascii="Times New Roman" w:hAnsi="Times New Roman"/>
          <w:szCs w:val="24"/>
        </w:rPr>
        <w:t>conform</w:t>
      </w:r>
      <w:r w:rsidRPr="00772CFF">
        <w:rPr>
          <w:rFonts w:ascii="Times New Roman" w:hAnsi="Times New Roman"/>
          <w:szCs w:val="24"/>
        </w:rPr>
        <w:t xml:space="preserve"> </w:t>
      </w:r>
      <w:r w:rsidR="0026727E">
        <w:rPr>
          <w:rFonts w:ascii="Times New Roman" w:hAnsi="Times New Roman"/>
          <w:szCs w:val="24"/>
        </w:rPr>
        <w:t>to</w:t>
      </w:r>
      <w:r w:rsidRPr="00772CFF">
        <w:rPr>
          <w:rFonts w:ascii="Times New Roman" w:hAnsi="Times New Roman"/>
          <w:szCs w:val="24"/>
        </w:rPr>
        <w:t xml:space="preserve"> positive laws instead of morality. Jon </w:t>
      </w:r>
      <w:r w:rsidR="00126822">
        <w:rPr>
          <w:rFonts w:ascii="Times New Roman" w:hAnsi="Times New Roman"/>
          <w:szCs w:val="24"/>
        </w:rPr>
        <w:t>H</w:t>
      </w:r>
      <w:r w:rsidRPr="00772CFF">
        <w:rPr>
          <w:rFonts w:ascii="Times New Roman" w:hAnsi="Times New Roman"/>
          <w:szCs w:val="24"/>
        </w:rPr>
        <w:t>eller argues that judicial activism</w:t>
      </w:r>
      <w:r w:rsidR="0026727E">
        <w:rPr>
          <w:rFonts w:ascii="Times New Roman" w:hAnsi="Times New Roman"/>
          <w:szCs w:val="24"/>
        </w:rPr>
        <w:t xml:space="preserve"> often</w:t>
      </w:r>
      <w:r w:rsidRPr="00772CFF">
        <w:rPr>
          <w:rFonts w:ascii="Times New Roman" w:hAnsi="Times New Roman"/>
          <w:szCs w:val="24"/>
        </w:rPr>
        <w:t xml:space="preserve"> breaches the principle of legality and the rights of the defen</w:t>
      </w:r>
      <w:r w:rsidR="00126822">
        <w:rPr>
          <w:rFonts w:ascii="Times New Roman" w:hAnsi="Times New Roman"/>
          <w:szCs w:val="24"/>
        </w:rPr>
        <w:t>c</w:t>
      </w:r>
      <w:r w:rsidRPr="00772CFF">
        <w:rPr>
          <w:rFonts w:ascii="Times New Roman" w:hAnsi="Times New Roman"/>
          <w:szCs w:val="24"/>
        </w:rPr>
        <w:t>e.</w:t>
      </w:r>
      <w:r w:rsidRPr="00772CFF">
        <w:rPr>
          <w:rFonts w:ascii="Times New Roman" w:hAnsi="Times New Roman"/>
          <w:szCs w:val="24"/>
          <w:vertAlign w:val="superscript"/>
        </w:rPr>
        <w:footnoteReference w:id="392"/>
      </w:r>
      <w:r w:rsidRPr="00772CFF">
        <w:rPr>
          <w:rFonts w:ascii="Times New Roman" w:hAnsi="Times New Roman"/>
          <w:szCs w:val="24"/>
        </w:rPr>
        <w:t xml:space="preserve"> </w:t>
      </w:r>
    </w:p>
    <w:p w14:paraId="41B17F85" w14:textId="5D663F76" w:rsidR="00772CFF" w:rsidRDefault="00772CFF" w:rsidP="006208FA">
      <w:pPr>
        <w:spacing w:line="480" w:lineRule="auto"/>
        <w:jc w:val="both"/>
        <w:rPr>
          <w:rFonts w:ascii="Times New Roman" w:hAnsi="Times New Roman"/>
          <w:szCs w:val="24"/>
        </w:rPr>
      </w:pPr>
      <w:r w:rsidRPr="00772CFF">
        <w:rPr>
          <w:rFonts w:ascii="Times New Roman" w:hAnsi="Times New Roman"/>
          <w:szCs w:val="24"/>
        </w:rPr>
        <w:t xml:space="preserve">Nonetheless, we should bear in mind that where technicalities arise during the interpretation of </w:t>
      </w:r>
      <w:r w:rsidR="00126822">
        <w:rPr>
          <w:rFonts w:ascii="Times New Roman" w:hAnsi="Times New Roman"/>
          <w:szCs w:val="24"/>
        </w:rPr>
        <w:t xml:space="preserve">the </w:t>
      </w:r>
      <w:r w:rsidRPr="00772CFF">
        <w:rPr>
          <w:rFonts w:ascii="Times New Roman" w:hAnsi="Times New Roman"/>
          <w:szCs w:val="24"/>
        </w:rPr>
        <w:t>law, it may be acceptable if the judges make recourse to morality instead of submitting to the term</w:t>
      </w:r>
      <w:r w:rsidR="00F14D73">
        <w:rPr>
          <w:rFonts w:ascii="Times New Roman" w:hAnsi="Times New Roman"/>
          <w:szCs w:val="24"/>
        </w:rPr>
        <w:t>,</w:t>
      </w:r>
      <w:r w:rsidRPr="00772CFF">
        <w:rPr>
          <w:rFonts w:ascii="Times New Roman" w:hAnsi="Times New Roman"/>
          <w:szCs w:val="24"/>
        </w:rPr>
        <w:t xml:space="preserve"> </w:t>
      </w:r>
      <w:r w:rsidRPr="006208FA">
        <w:rPr>
          <w:rFonts w:ascii="Times New Roman" w:hAnsi="Times New Roman"/>
          <w:szCs w:val="24"/>
        </w:rPr>
        <w:t>‘my hands are tied</w:t>
      </w:r>
      <w:r w:rsidR="00470051">
        <w:rPr>
          <w:rFonts w:ascii="Times New Roman" w:hAnsi="Times New Roman"/>
          <w:szCs w:val="24"/>
        </w:rPr>
        <w:t>’</w:t>
      </w:r>
      <w:r w:rsidR="00B70BEA">
        <w:rPr>
          <w:rFonts w:ascii="Times New Roman" w:hAnsi="Times New Roman"/>
          <w:szCs w:val="24"/>
        </w:rPr>
        <w:t xml:space="preserve">(Stare Decisis and legal </w:t>
      </w:r>
      <w:r w:rsidR="00B70BEA">
        <w:rPr>
          <w:rFonts w:ascii="Times New Roman" w:hAnsi="Times New Roman"/>
          <w:szCs w:val="24"/>
        </w:rPr>
        <w:lastRenderedPageBreak/>
        <w:t>formalism)</w:t>
      </w:r>
      <w:r w:rsidRPr="006208FA">
        <w:rPr>
          <w:rFonts w:ascii="Times New Roman" w:hAnsi="Times New Roman"/>
          <w:szCs w:val="24"/>
        </w:rPr>
        <w:t>.</w:t>
      </w:r>
      <w:r w:rsidR="00B70BEA">
        <w:rPr>
          <w:rStyle w:val="FootnoteReference"/>
          <w:rFonts w:ascii="Times New Roman" w:hAnsi="Times New Roman"/>
          <w:szCs w:val="24"/>
        </w:rPr>
        <w:footnoteReference w:id="393"/>
      </w:r>
      <w:r w:rsidR="00730855">
        <w:rPr>
          <w:rFonts w:ascii="Times New Roman" w:hAnsi="Times New Roman"/>
          <w:szCs w:val="24"/>
        </w:rPr>
        <w:t>Unless if this could lead to abuse of judicial power.</w:t>
      </w:r>
      <w:r w:rsidRPr="006208FA">
        <w:rPr>
          <w:rFonts w:ascii="Times New Roman" w:hAnsi="Times New Roman"/>
          <w:szCs w:val="24"/>
        </w:rPr>
        <w:t xml:space="preserve"> </w:t>
      </w:r>
      <w:r w:rsidR="00F14D73">
        <w:rPr>
          <w:rFonts w:ascii="Times New Roman" w:hAnsi="Times New Roman"/>
          <w:szCs w:val="24"/>
        </w:rPr>
        <w:t>The judge has</w:t>
      </w:r>
      <w:r w:rsidRPr="006208FA">
        <w:rPr>
          <w:rFonts w:ascii="Times New Roman" w:hAnsi="Times New Roman"/>
          <w:szCs w:val="24"/>
        </w:rPr>
        <w:t xml:space="preserve"> to interpret the law and fill gaps in positive law.</w:t>
      </w:r>
      <w:r w:rsidR="00730855">
        <w:rPr>
          <w:rStyle w:val="FootnoteReference"/>
          <w:rFonts w:ascii="Times New Roman" w:hAnsi="Times New Roman"/>
          <w:szCs w:val="24"/>
        </w:rPr>
        <w:footnoteReference w:id="394"/>
      </w:r>
      <w:r w:rsidR="00373B6C">
        <w:rPr>
          <w:rFonts w:ascii="Times New Roman" w:hAnsi="Times New Roman"/>
          <w:szCs w:val="24"/>
        </w:rPr>
        <w:t xml:space="preserve"> Judicial activism </w:t>
      </w:r>
      <w:r w:rsidR="00D12F7F">
        <w:rPr>
          <w:rFonts w:ascii="Times New Roman" w:hAnsi="Times New Roman"/>
          <w:szCs w:val="24"/>
        </w:rPr>
        <w:t>is</w:t>
      </w:r>
      <w:r w:rsidR="00373B6C">
        <w:rPr>
          <w:rFonts w:ascii="Times New Roman" w:hAnsi="Times New Roman"/>
          <w:szCs w:val="24"/>
        </w:rPr>
        <w:t xml:space="preserve"> defined as rulings influenced by the judge’s personal decisions where a judge decides to </w:t>
      </w:r>
      <w:r w:rsidR="00F14D73">
        <w:rPr>
          <w:rFonts w:ascii="Times New Roman" w:hAnsi="Times New Roman"/>
          <w:szCs w:val="24"/>
        </w:rPr>
        <w:t>reach a verdict</w:t>
      </w:r>
      <w:r w:rsidR="00373B6C">
        <w:rPr>
          <w:rFonts w:ascii="Times New Roman" w:hAnsi="Times New Roman"/>
          <w:szCs w:val="24"/>
        </w:rPr>
        <w:t xml:space="preserve"> based on </w:t>
      </w:r>
      <w:r w:rsidR="00F14D73">
        <w:rPr>
          <w:rFonts w:ascii="Times New Roman" w:hAnsi="Times New Roman"/>
          <w:szCs w:val="24"/>
        </w:rPr>
        <w:t>their</w:t>
      </w:r>
      <w:r w:rsidR="00373B6C">
        <w:rPr>
          <w:rFonts w:ascii="Times New Roman" w:hAnsi="Times New Roman"/>
          <w:szCs w:val="24"/>
        </w:rPr>
        <w:t xml:space="preserve"> preference </w:t>
      </w:r>
      <w:r w:rsidR="0026727E">
        <w:rPr>
          <w:rFonts w:ascii="Times New Roman" w:hAnsi="Times New Roman"/>
          <w:szCs w:val="24"/>
        </w:rPr>
        <w:t>instead of</w:t>
      </w:r>
      <w:r w:rsidR="00373B6C">
        <w:rPr>
          <w:rFonts w:ascii="Times New Roman" w:hAnsi="Times New Roman"/>
          <w:szCs w:val="24"/>
        </w:rPr>
        <w:t xml:space="preserve"> strictly applying the law.</w:t>
      </w:r>
      <w:r w:rsidR="00373B6C">
        <w:rPr>
          <w:rStyle w:val="FootnoteReference"/>
          <w:rFonts w:ascii="Times New Roman" w:hAnsi="Times New Roman"/>
          <w:szCs w:val="24"/>
        </w:rPr>
        <w:footnoteReference w:id="395"/>
      </w:r>
      <w:r w:rsidR="00D12F7F">
        <w:rPr>
          <w:rFonts w:ascii="Times New Roman" w:hAnsi="Times New Roman"/>
          <w:szCs w:val="24"/>
        </w:rPr>
        <w:t xml:space="preserve">The judge may be politically motivated while performing the judicial role; a derogation from the norm. </w:t>
      </w:r>
      <w:r w:rsidR="00426163">
        <w:rPr>
          <w:rFonts w:ascii="Times New Roman" w:hAnsi="Times New Roman"/>
          <w:szCs w:val="24"/>
        </w:rPr>
        <w:t xml:space="preserve"> </w:t>
      </w:r>
      <w:r w:rsidR="00266E31">
        <w:rPr>
          <w:rFonts w:ascii="Times New Roman" w:hAnsi="Times New Roman"/>
          <w:szCs w:val="24"/>
        </w:rPr>
        <w:t xml:space="preserve">Judicial Role </w:t>
      </w:r>
      <w:r w:rsidR="00F14D73">
        <w:rPr>
          <w:rFonts w:ascii="Times New Roman" w:hAnsi="Times New Roman"/>
          <w:szCs w:val="24"/>
        </w:rPr>
        <w:t>is described</w:t>
      </w:r>
      <w:r w:rsidR="00266E31">
        <w:rPr>
          <w:rFonts w:ascii="Times New Roman" w:hAnsi="Times New Roman"/>
          <w:szCs w:val="24"/>
        </w:rPr>
        <w:t xml:space="preserve"> as </w:t>
      </w:r>
      <w:r w:rsidR="00426163">
        <w:rPr>
          <w:rFonts w:ascii="Times New Roman" w:hAnsi="Times New Roman"/>
          <w:szCs w:val="24"/>
        </w:rPr>
        <w:t>“normative expectations shared by judges and related actors regarding how a given judicial office should be performed.”</w:t>
      </w:r>
      <w:r w:rsidR="00426163">
        <w:rPr>
          <w:rStyle w:val="FootnoteReference"/>
          <w:rFonts w:ascii="Times New Roman" w:hAnsi="Times New Roman"/>
          <w:szCs w:val="24"/>
        </w:rPr>
        <w:footnoteReference w:id="396"/>
      </w:r>
      <w:r w:rsidR="00266E31">
        <w:rPr>
          <w:rFonts w:ascii="Times New Roman" w:hAnsi="Times New Roman"/>
          <w:szCs w:val="24"/>
        </w:rPr>
        <w:t xml:space="preserve"> According to Gibson, role orientations is described as what judges “think they ought to do.”</w:t>
      </w:r>
      <w:r w:rsidR="00266E31">
        <w:rPr>
          <w:rStyle w:val="FootnoteReference"/>
          <w:rFonts w:ascii="Times New Roman" w:hAnsi="Times New Roman"/>
          <w:szCs w:val="24"/>
        </w:rPr>
        <w:footnoteReference w:id="397"/>
      </w:r>
      <w:r w:rsidR="00266E31">
        <w:rPr>
          <w:rFonts w:ascii="Times New Roman" w:hAnsi="Times New Roman"/>
          <w:szCs w:val="24"/>
        </w:rPr>
        <w:t xml:space="preserve"> </w:t>
      </w:r>
      <w:r w:rsidR="000C4500">
        <w:rPr>
          <w:rFonts w:ascii="Times New Roman" w:hAnsi="Times New Roman"/>
          <w:szCs w:val="24"/>
        </w:rPr>
        <w:t>Therefore, judicial decisions are believed to be a product</w:t>
      </w:r>
      <w:r w:rsidR="00F14D73">
        <w:rPr>
          <w:rFonts w:ascii="Times New Roman" w:hAnsi="Times New Roman"/>
          <w:szCs w:val="24"/>
        </w:rPr>
        <w:t xml:space="preserve"> of</w:t>
      </w:r>
      <w:r w:rsidR="000C4500">
        <w:rPr>
          <w:rFonts w:ascii="Times New Roman" w:hAnsi="Times New Roman"/>
          <w:szCs w:val="24"/>
        </w:rPr>
        <w:t xml:space="preserve"> </w:t>
      </w:r>
      <w:r w:rsidR="003D7392">
        <w:rPr>
          <w:rFonts w:ascii="Times New Roman" w:hAnsi="Times New Roman"/>
          <w:szCs w:val="24"/>
        </w:rPr>
        <w:t>judicial role orientations(doctrinal and jurisprudential principles) rather than the political factors.</w:t>
      </w:r>
      <w:r w:rsidR="003D7392">
        <w:rPr>
          <w:rStyle w:val="FootnoteReference"/>
          <w:rFonts w:ascii="Times New Roman" w:hAnsi="Times New Roman"/>
          <w:szCs w:val="24"/>
        </w:rPr>
        <w:footnoteReference w:id="398"/>
      </w:r>
      <w:r w:rsidR="003D7392">
        <w:rPr>
          <w:rFonts w:ascii="Times New Roman" w:hAnsi="Times New Roman"/>
          <w:szCs w:val="24"/>
        </w:rPr>
        <w:t xml:space="preserve"> </w:t>
      </w:r>
      <w:r w:rsidR="00373B6C">
        <w:rPr>
          <w:rFonts w:ascii="Times New Roman" w:hAnsi="Times New Roman"/>
          <w:szCs w:val="24"/>
        </w:rPr>
        <w:t xml:space="preserve">It is </w:t>
      </w:r>
      <w:r w:rsidR="00F14D73">
        <w:rPr>
          <w:rFonts w:ascii="Times New Roman" w:hAnsi="Times New Roman"/>
          <w:szCs w:val="24"/>
        </w:rPr>
        <w:t>thought</w:t>
      </w:r>
      <w:r w:rsidR="00373B6C">
        <w:rPr>
          <w:rFonts w:ascii="Times New Roman" w:hAnsi="Times New Roman"/>
          <w:szCs w:val="24"/>
        </w:rPr>
        <w:t xml:space="preserve"> that judicial activism encourages political interference instead of adhering to the law. In contrast, the judge could interpret the law to enhance desirable outcomes, </w:t>
      </w:r>
      <w:r w:rsidR="00373B6C">
        <w:rPr>
          <w:rFonts w:ascii="Times New Roman" w:hAnsi="Times New Roman"/>
          <w:szCs w:val="24"/>
        </w:rPr>
        <w:lastRenderedPageBreak/>
        <w:t>especially where adherence to the law would lead to injustice.</w:t>
      </w:r>
      <w:r w:rsidR="00C7594A">
        <w:rPr>
          <w:rFonts w:ascii="Times New Roman" w:hAnsi="Times New Roman"/>
          <w:szCs w:val="24"/>
        </w:rPr>
        <w:t xml:space="preserve"> Notwithstanding, the rationale for such decision de</w:t>
      </w:r>
      <w:r w:rsidR="00B70BEA">
        <w:rPr>
          <w:rFonts w:ascii="Times New Roman" w:hAnsi="Times New Roman"/>
          <w:szCs w:val="24"/>
        </w:rPr>
        <w:t>viates</w:t>
      </w:r>
      <w:r w:rsidR="00C7594A">
        <w:rPr>
          <w:rFonts w:ascii="Times New Roman" w:hAnsi="Times New Roman"/>
          <w:szCs w:val="24"/>
        </w:rPr>
        <w:t xml:space="preserve"> from the stated law.</w:t>
      </w:r>
    </w:p>
    <w:p w14:paraId="5175D760" w14:textId="43DC3777" w:rsidR="00772CFF" w:rsidRDefault="00772CFF" w:rsidP="006208FA">
      <w:pPr>
        <w:spacing w:line="480" w:lineRule="auto"/>
        <w:jc w:val="both"/>
        <w:rPr>
          <w:rFonts w:ascii="Times New Roman" w:hAnsi="Times New Roman"/>
          <w:szCs w:val="24"/>
        </w:rPr>
      </w:pPr>
      <w:r w:rsidRPr="006208FA">
        <w:rPr>
          <w:rFonts w:ascii="Times New Roman" w:hAnsi="Times New Roman"/>
          <w:szCs w:val="24"/>
        </w:rPr>
        <w:t xml:space="preserve">From the above, it is clear that the </w:t>
      </w:r>
      <w:r w:rsidR="0026727E">
        <w:rPr>
          <w:rFonts w:ascii="Times New Roman" w:hAnsi="Times New Roman"/>
          <w:szCs w:val="24"/>
        </w:rPr>
        <w:t>prosecutor's role</w:t>
      </w:r>
      <w:r w:rsidRPr="006208FA">
        <w:rPr>
          <w:rFonts w:ascii="Times New Roman" w:hAnsi="Times New Roman"/>
          <w:szCs w:val="24"/>
        </w:rPr>
        <w:t xml:space="preserve"> in framing charges inevitably influences the possibility of victims accessing justice.</w:t>
      </w:r>
      <w:r w:rsidR="008C1017" w:rsidRPr="006208FA">
        <w:rPr>
          <w:rFonts w:ascii="Times New Roman" w:hAnsi="Times New Roman"/>
          <w:szCs w:val="24"/>
        </w:rPr>
        <w:t xml:space="preserve"> The c</w:t>
      </w:r>
      <w:r w:rsidR="007779D4">
        <w:rPr>
          <w:rFonts w:ascii="Times New Roman" w:hAnsi="Times New Roman"/>
          <w:szCs w:val="24"/>
        </w:rPr>
        <w:t>harging document's cont</w:t>
      </w:r>
      <w:r w:rsidR="00F45584">
        <w:rPr>
          <w:rFonts w:ascii="Times New Roman" w:hAnsi="Times New Roman"/>
          <w:szCs w:val="24"/>
        </w:rPr>
        <w:t>ent</w:t>
      </w:r>
      <w:r w:rsidR="008C1017" w:rsidRPr="006208FA">
        <w:rPr>
          <w:rFonts w:ascii="Times New Roman" w:hAnsi="Times New Roman"/>
          <w:szCs w:val="24"/>
        </w:rPr>
        <w:t xml:space="preserve"> may reflect the whole truth or the partial truth</w:t>
      </w:r>
      <w:r w:rsidR="00B334BC">
        <w:rPr>
          <w:rFonts w:ascii="Times New Roman" w:hAnsi="Times New Roman"/>
          <w:szCs w:val="24"/>
        </w:rPr>
        <w:t xml:space="preserve"> about the atrocities,</w:t>
      </w:r>
      <w:r w:rsidR="00A47828">
        <w:rPr>
          <w:rFonts w:ascii="Times New Roman" w:hAnsi="Times New Roman"/>
          <w:szCs w:val="24"/>
        </w:rPr>
        <w:t xml:space="preserve"> and</w:t>
      </w:r>
      <w:r w:rsidR="00B334BC">
        <w:rPr>
          <w:rFonts w:ascii="Times New Roman" w:hAnsi="Times New Roman"/>
          <w:szCs w:val="24"/>
        </w:rPr>
        <w:t xml:space="preserve"> partial truth might </w:t>
      </w:r>
      <w:r w:rsidR="00A47828">
        <w:rPr>
          <w:rFonts w:ascii="Times New Roman" w:hAnsi="Times New Roman"/>
          <w:szCs w:val="24"/>
        </w:rPr>
        <w:t xml:space="preserve">negatively impact </w:t>
      </w:r>
      <w:r w:rsidR="00B334BC">
        <w:rPr>
          <w:rFonts w:ascii="Times New Roman" w:hAnsi="Times New Roman"/>
          <w:szCs w:val="24"/>
        </w:rPr>
        <w:t>victims</w:t>
      </w:r>
      <w:r w:rsidR="0026727E">
        <w:rPr>
          <w:rFonts w:ascii="Times New Roman" w:hAnsi="Times New Roman"/>
          <w:szCs w:val="24"/>
        </w:rPr>
        <w:t>' interests and</w:t>
      </w:r>
      <w:r w:rsidR="00B334BC">
        <w:rPr>
          <w:rFonts w:ascii="Times New Roman" w:hAnsi="Times New Roman"/>
          <w:szCs w:val="24"/>
        </w:rPr>
        <w:t xml:space="preserve"> their ability to access justice. </w:t>
      </w:r>
      <w:r w:rsidR="008C1017" w:rsidRPr="006208FA">
        <w:rPr>
          <w:rFonts w:ascii="Times New Roman" w:hAnsi="Times New Roman"/>
          <w:szCs w:val="24"/>
        </w:rPr>
        <w:t xml:space="preserve">Therefore, </w:t>
      </w:r>
      <w:r w:rsidR="00F14D73">
        <w:rPr>
          <w:rFonts w:ascii="Times New Roman" w:hAnsi="Times New Roman"/>
          <w:szCs w:val="24"/>
        </w:rPr>
        <w:t xml:space="preserve">the </w:t>
      </w:r>
      <w:r w:rsidRPr="006208FA">
        <w:rPr>
          <w:rFonts w:ascii="Times New Roman" w:hAnsi="Times New Roman"/>
          <w:szCs w:val="24"/>
        </w:rPr>
        <w:t>Prosecutor</w:t>
      </w:r>
      <w:r w:rsidR="00F14D73">
        <w:rPr>
          <w:rFonts w:ascii="Times New Roman" w:hAnsi="Times New Roman"/>
          <w:szCs w:val="24"/>
        </w:rPr>
        <w:t xml:space="preserve"> must be cautious</w:t>
      </w:r>
      <w:r w:rsidRPr="006208FA">
        <w:rPr>
          <w:rFonts w:ascii="Times New Roman" w:hAnsi="Times New Roman"/>
          <w:szCs w:val="24"/>
        </w:rPr>
        <w:t xml:space="preserve"> to ensure that </w:t>
      </w:r>
      <w:r w:rsidR="0026727E">
        <w:rPr>
          <w:rFonts w:ascii="Times New Roman" w:hAnsi="Times New Roman"/>
          <w:szCs w:val="24"/>
        </w:rPr>
        <w:t>his powers' exercise</w:t>
      </w:r>
      <w:r w:rsidRPr="006208FA">
        <w:rPr>
          <w:rFonts w:ascii="Times New Roman" w:hAnsi="Times New Roman"/>
          <w:szCs w:val="24"/>
        </w:rPr>
        <w:t xml:space="preserve"> does not sabotage victims’</w:t>
      </w:r>
      <w:r w:rsidR="006208FA" w:rsidRPr="006208FA">
        <w:rPr>
          <w:rFonts w:ascii="Times New Roman" w:hAnsi="Times New Roman"/>
          <w:szCs w:val="24"/>
        </w:rPr>
        <w:t xml:space="preserve"> rights and</w:t>
      </w:r>
      <w:r w:rsidRPr="006208FA">
        <w:rPr>
          <w:rFonts w:ascii="Times New Roman" w:hAnsi="Times New Roman"/>
          <w:szCs w:val="24"/>
        </w:rPr>
        <w:t xml:space="preserve"> interests.</w:t>
      </w:r>
    </w:p>
    <w:p w14:paraId="6D5E8131" w14:textId="664E9208" w:rsidR="002A62C8" w:rsidRPr="006208FA" w:rsidRDefault="002A62C8" w:rsidP="006208FA">
      <w:pPr>
        <w:spacing w:line="480" w:lineRule="auto"/>
        <w:jc w:val="both"/>
        <w:rPr>
          <w:rFonts w:ascii="Times New Roman" w:hAnsi="Times New Roman"/>
          <w:szCs w:val="24"/>
        </w:rPr>
      </w:pPr>
      <w:r>
        <w:rPr>
          <w:rFonts w:ascii="Times New Roman" w:hAnsi="Times New Roman"/>
          <w:szCs w:val="24"/>
        </w:rPr>
        <w:t>While some of the PTC judges have been liberal to accommodate victims</w:t>
      </w:r>
      <w:r w:rsidR="0026727E">
        <w:rPr>
          <w:rFonts w:ascii="Times New Roman" w:hAnsi="Times New Roman"/>
          <w:szCs w:val="24"/>
        </w:rPr>
        <w:t>' interests amending the charges, further interpretation by the appellate judges entrenched the prosecutor's powers</w:t>
      </w:r>
      <w:r>
        <w:rPr>
          <w:rFonts w:ascii="Times New Roman" w:hAnsi="Times New Roman"/>
          <w:szCs w:val="24"/>
        </w:rPr>
        <w:t xml:space="preserve"> to determine the scope of the charges. Thus, tension still exists in acclimatising </w:t>
      </w:r>
      <w:proofErr w:type="spellStart"/>
      <w:r>
        <w:rPr>
          <w:rFonts w:ascii="Times New Roman" w:hAnsi="Times New Roman"/>
          <w:szCs w:val="24"/>
        </w:rPr>
        <w:t>victims</w:t>
      </w:r>
      <w:proofErr w:type="spellEnd"/>
      <w:r>
        <w:rPr>
          <w:rFonts w:ascii="Times New Roman" w:hAnsi="Times New Roman"/>
          <w:szCs w:val="24"/>
        </w:rPr>
        <w:t xml:space="preserve"> rights and interests within criminal trials.</w:t>
      </w:r>
    </w:p>
    <w:p w14:paraId="30D45159" w14:textId="4F5246BC" w:rsidR="00772CFF" w:rsidRPr="006208FA" w:rsidRDefault="006208FA" w:rsidP="006208FA">
      <w:pPr>
        <w:spacing w:line="480" w:lineRule="auto"/>
        <w:jc w:val="both"/>
        <w:rPr>
          <w:rFonts w:ascii="Times New Roman" w:hAnsi="Times New Roman"/>
          <w:szCs w:val="24"/>
        </w:rPr>
      </w:pPr>
      <w:r>
        <w:rPr>
          <w:rFonts w:ascii="Times New Roman" w:hAnsi="Times New Roman"/>
          <w:szCs w:val="24"/>
        </w:rPr>
        <w:t>So far</w:t>
      </w:r>
      <w:r w:rsidR="00F14D73">
        <w:rPr>
          <w:rFonts w:ascii="Times New Roman" w:hAnsi="Times New Roman"/>
          <w:szCs w:val="24"/>
        </w:rPr>
        <w:t>,</w:t>
      </w:r>
      <w:r>
        <w:rPr>
          <w:rFonts w:ascii="Times New Roman" w:hAnsi="Times New Roman"/>
          <w:szCs w:val="24"/>
        </w:rPr>
        <w:t xml:space="preserve"> this section has analysed </w:t>
      </w:r>
      <w:r w:rsidR="00F45584">
        <w:rPr>
          <w:rFonts w:ascii="Times New Roman" w:hAnsi="Times New Roman"/>
          <w:szCs w:val="24"/>
        </w:rPr>
        <w:t xml:space="preserve">the </w:t>
      </w:r>
      <w:r>
        <w:rPr>
          <w:rFonts w:ascii="Times New Roman" w:hAnsi="Times New Roman"/>
          <w:szCs w:val="24"/>
        </w:rPr>
        <w:t>impact of prosecutorial discretion on victims’ rights and interests</w:t>
      </w:r>
      <w:r w:rsidR="00F14D73">
        <w:rPr>
          <w:rFonts w:ascii="Times New Roman" w:hAnsi="Times New Roman"/>
          <w:szCs w:val="24"/>
        </w:rPr>
        <w:t>;</w:t>
      </w:r>
      <w:r w:rsidR="00F45584">
        <w:rPr>
          <w:rFonts w:ascii="Times New Roman" w:hAnsi="Times New Roman"/>
          <w:szCs w:val="24"/>
        </w:rPr>
        <w:t xml:space="preserve"> </w:t>
      </w:r>
      <w:r>
        <w:rPr>
          <w:rFonts w:ascii="Times New Roman" w:hAnsi="Times New Roman"/>
          <w:szCs w:val="24"/>
        </w:rPr>
        <w:t>t</w:t>
      </w:r>
      <w:r w:rsidR="00772CFF" w:rsidRPr="006208FA">
        <w:rPr>
          <w:rFonts w:ascii="Times New Roman" w:hAnsi="Times New Roman"/>
          <w:szCs w:val="24"/>
        </w:rPr>
        <w:t xml:space="preserve">he next section shall explore </w:t>
      </w:r>
      <w:r>
        <w:rPr>
          <w:rFonts w:ascii="Times New Roman" w:hAnsi="Times New Roman"/>
          <w:szCs w:val="24"/>
        </w:rPr>
        <w:t xml:space="preserve">Regulation 55 </w:t>
      </w:r>
      <w:r w:rsidR="00F14D73">
        <w:rPr>
          <w:rFonts w:ascii="Times New Roman" w:hAnsi="Times New Roman"/>
          <w:szCs w:val="24"/>
        </w:rPr>
        <w:t>and the Katanga case.</w:t>
      </w:r>
    </w:p>
    <w:p w14:paraId="5C418425" w14:textId="77777777" w:rsidR="00772CFF" w:rsidRPr="006208FA" w:rsidRDefault="00975263" w:rsidP="00A44B61">
      <w:pPr>
        <w:pStyle w:val="Heading3"/>
      </w:pPr>
      <w:bookmarkStart w:id="28" w:name="_Toc60235806"/>
      <w:r w:rsidRPr="006208FA">
        <w:t>2.7.2</w:t>
      </w:r>
      <w:r w:rsidR="005867AA">
        <w:t xml:space="preserve"> </w:t>
      </w:r>
      <w:r w:rsidR="00772CFF" w:rsidRPr="006208FA">
        <w:t>Legal re-</w:t>
      </w:r>
      <w:proofErr w:type="spellStart"/>
      <w:r w:rsidR="00772CFF" w:rsidRPr="006208FA">
        <w:t>characterisation</w:t>
      </w:r>
      <w:proofErr w:type="spellEnd"/>
      <w:r w:rsidR="00772CFF" w:rsidRPr="006208FA">
        <w:t xml:space="preserve"> of facts-Katanga visited</w:t>
      </w:r>
      <w:bookmarkEnd w:id="28"/>
    </w:p>
    <w:p w14:paraId="58775DDA" w14:textId="77777777" w:rsidR="00157E54" w:rsidRPr="008D0F3B" w:rsidRDefault="00772CFF" w:rsidP="006208FA">
      <w:pPr>
        <w:spacing w:line="480" w:lineRule="auto"/>
        <w:jc w:val="both"/>
        <w:rPr>
          <w:rFonts w:ascii="Times New Roman" w:hAnsi="Times New Roman"/>
          <w:i/>
          <w:iCs/>
          <w:szCs w:val="24"/>
          <w:lang w:val="en-US"/>
        </w:rPr>
      </w:pPr>
      <w:r w:rsidRPr="00EB5C4C">
        <w:rPr>
          <w:rFonts w:ascii="Times New Roman" w:hAnsi="Times New Roman"/>
          <w:szCs w:val="24"/>
          <w:lang w:val="en-US"/>
        </w:rPr>
        <w:t>To further understand the role o</w:t>
      </w:r>
      <w:r w:rsidR="00317942">
        <w:rPr>
          <w:rFonts w:ascii="Times New Roman" w:hAnsi="Times New Roman"/>
          <w:szCs w:val="24"/>
          <w:lang w:val="en-US"/>
        </w:rPr>
        <w:t xml:space="preserve">f the Prosecutorial discretion on </w:t>
      </w:r>
      <w:r w:rsidRPr="00EB5C4C">
        <w:rPr>
          <w:rFonts w:ascii="Times New Roman" w:hAnsi="Times New Roman"/>
          <w:szCs w:val="24"/>
          <w:lang w:val="en-US"/>
        </w:rPr>
        <w:t xml:space="preserve"> victims’</w:t>
      </w:r>
      <w:r w:rsidR="00317942">
        <w:rPr>
          <w:rFonts w:ascii="Times New Roman" w:hAnsi="Times New Roman"/>
          <w:szCs w:val="24"/>
          <w:lang w:val="en-US"/>
        </w:rPr>
        <w:t xml:space="preserve"> rights and </w:t>
      </w:r>
      <w:r w:rsidRPr="00EB5C4C">
        <w:rPr>
          <w:rFonts w:ascii="Times New Roman" w:hAnsi="Times New Roman"/>
          <w:szCs w:val="24"/>
          <w:lang w:val="en-US"/>
        </w:rPr>
        <w:t xml:space="preserve"> interests, this section explores the implementation of Regulation 55 in </w:t>
      </w:r>
      <w:r w:rsidRPr="008D0F3B">
        <w:rPr>
          <w:rFonts w:ascii="Times New Roman" w:hAnsi="Times New Roman"/>
          <w:i/>
          <w:iCs/>
          <w:szCs w:val="24"/>
          <w:lang w:val="en-US"/>
        </w:rPr>
        <w:t>The Prosecutor v.</w:t>
      </w:r>
      <w:r w:rsidR="00E26707" w:rsidRPr="008D0F3B">
        <w:rPr>
          <w:rFonts w:ascii="Times New Roman" w:hAnsi="Times New Roman"/>
          <w:i/>
          <w:iCs/>
          <w:szCs w:val="24"/>
          <w:lang w:val="en-US"/>
        </w:rPr>
        <w:t xml:space="preserve"> </w:t>
      </w:r>
      <w:r w:rsidRPr="008D0F3B">
        <w:rPr>
          <w:rFonts w:ascii="Times New Roman" w:hAnsi="Times New Roman"/>
          <w:i/>
          <w:iCs/>
          <w:szCs w:val="24"/>
          <w:lang w:val="en-US"/>
        </w:rPr>
        <w:t>Katanga</w:t>
      </w:r>
    </w:p>
    <w:p w14:paraId="765848F0" w14:textId="4958459E" w:rsidR="00E20D71" w:rsidRDefault="00772CFF" w:rsidP="00E66CED">
      <w:pPr>
        <w:spacing w:line="480" w:lineRule="auto"/>
        <w:jc w:val="both"/>
        <w:rPr>
          <w:rFonts w:ascii="Times New Roman" w:hAnsi="Times New Roman"/>
          <w:szCs w:val="24"/>
        </w:rPr>
      </w:pPr>
      <w:r w:rsidRPr="00EB5C4C">
        <w:rPr>
          <w:rFonts w:ascii="Times New Roman" w:hAnsi="Times New Roman"/>
          <w:szCs w:val="24"/>
        </w:rPr>
        <w:t xml:space="preserve">The majority </w:t>
      </w:r>
      <w:r w:rsidR="00317942">
        <w:rPr>
          <w:rFonts w:ascii="Times New Roman" w:hAnsi="Times New Roman"/>
          <w:szCs w:val="24"/>
        </w:rPr>
        <w:t xml:space="preserve">of the Chamber </w:t>
      </w:r>
      <w:r w:rsidRPr="00EB5C4C">
        <w:rPr>
          <w:rFonts w:ascii="Times New Roman" w:hAnsi="Times New Roman"/>
          <w:szCs w:val="24"/>
        </w:rPr>
        <w:t xml:space="preserve">gave notice that the mode of liability </w:t>
      </w:r>
      <w:r w:rsidR="003E3189">
        <w:rPr>
          <w:rFonts w:ascii="Times New Roman" w:hAnsi="Times New Roman"/>
          <w:szCs w:val="24"/>
        </w:rPr>
        <w:t xml:space="preserve">for </w:t>
      </w:r>
      <w:r w:rsidRPr="00EB5C4C">
        <w:rPr>
          <w:rFonts w:ascii="Times New Roman" w:hAnsi="Times New Roman"/>
          <w:szCs w:val="24"/>
        </w:rPr>
        <w:t xml:space="preserve">Katanga may be subject to legal re-characterisation in conformity with Article 25(3)(d) of the Rome </w:t>
      </w:r>
      <w:r w:rsidRPr="00EB5C4C">
        <w:rPr>
          <w:rFonts w:ascii="Times New Roman" w:hAnsi="Times New Roman"/>
          <w:szCs w:val="24"/>
        </w:rPr>
        <w:lastRenderedPageBreak/>
        <w:t>Statute.</w:t>
      </w:r>
      <w:r w:rsidRPr="00EB5C4C">
        <w:rPr>
          <w:rFonts w:ascii="Times New Roman" w:hAnsi="Times New Roman"/>
          <w:szCs w:val="24"/>
          <w:vertAlign w:val="superscript"/>
        </w:rPr>
        <w:footnoteReference w:id="399"/>
      </w:r>
      <w:r w:rsidRPr="00EB5C4C">
        <w:rPr>
          <w:rFonts w:ascii="Times New Roman" w:hAnsi="Times New Roman"/>
          <w:szCs w:val="24"/>
        </w:rPr>
        <w:t>Subsequently, the majority activated Regulation 55 to change Katanga’s</w:t>
      </w:r>
      <w:r w:rsidRPr="006208FA">
        <w:rPr>
          <w:rFonts w:ascii="Times New Roman" w:hAnsi="Times New Roman"/>
          <w:szCs w:val="24"/>
        </w:rPr>
        <w:t xml:space="preserve"> </w:t>
      </w:r>
      <w:r w:rsidR="0026727E">
        <w:rPr>
          <w:rFonts w:ascii="Times New Roman" w:hAnsi="Times New Roman"/>
          <w:szCs w:val="24"/>
        </w:rPr>
        <w:t>liability mode</w:t>
      </w:r>
      <w:r w:rsidRPr="006208FA">
        <w:rPr>
          <w:rFonts w:ascii="Times New Roman" w:hAnsi="Times New Roman"/>
          <w:szCs w:val="24"/>
        </w:rPr>
        <w:t xml:space="preserve"> from indirect co-perpetrator to</w:t>
      </w:r>
      <w:r w:rsidR="003E3189">
        <w:rPr>
          <w:rFonts w:ascii="Times New Roman" w:hAnsi="Times New Roman"/>
          <w:szCs w:val="24"/>
        </w:rPr>
        <w:t xml:space="preserve"> an</w:t>
      </w:r>
      <w:r w:rsidRPr="006208FA">
        <w:rPr>
          <w:rFonts w:ascii="Times New Roman" w:hAnsi="Times New Roman"/>
          <w:szCs w:val="24"/>
        </w:rPr>
        <w:t xml:space="preserve"> accessory.</w:t>
      </w:r>
      <w:r w:rsidRPr="006208FA">
        <w:rPr>
          <w:rFonts w:ascii="Times New Roman" w:hAnsi="Times New Roman"/>
          <w:szCs w:val="24"/>
          <w:vertAlign w:val="superscript"/>
        </w:rPr>
        <w:footnoteReference w:id="400"/>
      </w:r>
      <w:r w:rsidRPr="006208FA">
        <w:rPr>
          <w:rFonts w:ascii="Times New Roman" w:hAnsi="Times New Roman"/>
          <w:szCs w:val="24"/>
        </w:rPr>
        <w:t xml:space="preserve"> It </w:t>
      </w:r>
      <w:r w:rsidR="003E3189">
        <w:rPr>
          <w:rFonts w:ascii="Times New Roman" w:hAnsi="Times New Roman"/>
          <w:szCs w:val="24"/>
        </w:rPr>
        <w:t xml:space="preserve">is noteworthy </w:t>
      </w:r>
      <w:r w:rsidRPr="006208FA">
        <w:rPr>
          <w:rFonts w:ascii="Times New Roman" w:hAnsi="Times New Roman"/>
          <w:szCs w:val="24"/>
        </w:rPr>
        <w:t xml:space="preserve">that </w:t>
      </w:r>
      <w:r w:rsidR="003E3189">
        <w:rPr>
          <w:rFonts w:ascii="Times New Roman" w:hAnsi="Times New Roman"/>
          <w:szCs w:val="24"/>
        </w:rPr>
        <w:t>the chamber</w:t>
      </w:r>
      <w:r w:rsidRPr="006208FA">
        <w:rPr>
          <w:rFonts w:ascii="Times New Roman" w:hAnsi="Times New Roman"/>
          <w:szCs w:val="24"/>
        </w:rPr>
        <w:t xml:space="preserve"> entirely changed from the </w:t>
      </w:r>
      <w:r w:rsidR="008D0F3B">
        <w:rPr>
          <w:rFonts w:ascii="Times New Roman" w:hAnsi="Times New Roman"/>
          <w:szCs w:val="24"/>
        </w:rPr>
        <w:t>first</w:t>
      </w:r>
      <w:r w:rsidRPr="006208FA">
        <w:rPr>
          <w:rFonts w:ascii="Times New Roman" w:hAnsi="Times New Roman"/>
          <w:szCs w:val="24"/>
        </w:rPr>
        <w:t xml:space="preserve"> mode of liability to a new mode of liability. They submitted that the application of  Regulation 55 did not violate the accused right to </w:t>
      </w:r>
      <w:r w:rsidR="008D0F3B">
        <w:rPr>
          <w:rFonts w:ascii="Times New Roman" w:hAnsi="Times New Roman"/>
          <w:szCs w:val="24"/>
        </w:rPr>
        <w:t xml:space="preserve">a </w:t>
      </w:r>
      <w:r w:rsidRPr="006208FA">
        <w:rPr>
          <w:rFonts w:ascii="Times New Roman" w:hAnsi="Times New Roman"/>
          <w:szCs w:val="24"/>
        </w:rPr>
        <w:t>fair trial</w:t>
      </w:r>
      <w:r w:rsidR="00AD6044" w:rsidRPr="006208FA">
        <w:rPr>
          <w:rFonts w:ascii="Times New Roman" w:hAnsi="Times New Roman"/>
          <w:szCs w:val="24"/>
        </w:rPr>
        <w:t>.</w:t>
      </w:r>
      <w:r w:rsidR="003E3189">
        <w:rPr>
          <w:rStyle w:val="FootnoteReference"/>
          <w:rFonts w:ascii="Times New Roman" w:hAnsi="Times New Roman"/>
          <w:szCs w:val="24"/>
        </w:rPr>
        <w:footnoteReference w:id="401"/>
      </w:r>
      <w:r w:rsidR="008D0F3B">
        <w:rPr>
          <w:rFonts w:ascii="Times New Roman" w:hAnsi="Times New Roman"/>
          <w:szCs w:val="24"/>
        </w:rPr>
        <w:t xml:space="preserve"> </w:t>
      </w:r>
      <w:r w:rsidR="00AD6044" w:rsidRPr="006208FA">
        <w:rPr>
          <w:rFonts w:ascii="Times New Roman" w:hAnsi="Times New Roman"/>
          <w:szCs w:val="24"/>
        </w:rPr>
        <w:t>For this reason,</w:t>
      </w:r>
      <w:r w:rsidRPr="006208FA">
        <w:rPr>
          <w:rFonts w:ascii="Times New Roman" w:hAnsi="Times New Roman"/>
          <w:szCs w:val="24"/>
        </w:rPr>
        <w:t xml:space="preserve"> the evidence presented by the Prosecutor during the confirmation of charges had no link with the new legal characterisation of </w:t>
      </w:r>
      <w:r w:rsidRPr="00772CFF">
        <w:rPr>
          <w:rFonts w:ascii="Times New Roman" w:hAnsi="Times New Roman"/>
          <w:szCs w:val="24"/>
        </w:rPr>
        <w:t>facts.</w:t>
      </w:r>
    </w:p>
    <w:p w14:paraId="33F309BD" w14:textId="44AE598B" w:rsidR="00A07269" w:rsidRDefault="00E20D71" w:rsidP="00E66CED">
      <w:pPr>
        <w:spacing w:line="480" w:lineRule="auto"/>
        <w:jc w:val="both"/>
        <w:rPr>
          <w:rFonts w:ascii="Times New Roman" w:hAnsi="Times New Roman"/>
          <w:szCs w:val="24"/>
        </w:rPr>
      </w:pPr>
      <w:r w:rsidRPr="00772CFF">
        <w:rPr>
          <w:rFonts w:ascii="Times New Roman" w:hAnsi="Times New Roman"/>
          <w:szCs w:val="24"/>
        </w:rPr>
        <w:t>Jacobs noted that the “</w:t>
      </w:r>
      <w:r w:rsidRPr="00772CFF">
        <w:rPr>
          <w:rFonts w:ascii="Times New Roman" w:hAnsi="Times New Roman"/>
          <w:i/>
          <w:szCs w:val="24"/>
        </w:rPr>
        <w:t>Prosecutor essentially did not prove any of his allegations</w:t>
      </w:r>
      <w:r w:rsidRPr="00772CFF">
        <w:rPr>
          <w:rFonts w:ascii="Times New Roman" w:hAnsi="Times New Roman"/>
          <w:szCs w:val="24"/>
        </w:rPr>
        <w:t>”</w:t>
      </w:r>
      <w:r w:rsidRPr="00772CFF">
        <w:rPr>
          <w:rFonts w:ascii="Times New Roman" w:hAnsi="Times New Roman"/>
          <w:szCs w:val="24"/>
          <w:vertAlign w:val="superscript"/>
        </w:rPr>
        <w:footnoteReference w:id="402"/>
      </w:r>
      <w:r w:rsidRPr="00772CFF">
        <w:rPr>
          <w:rFonts w:ascii="Times New Roman" w:hAnsi="Times New Roman"/>
          <w:szCs w:val="24"/>
        </w:rPr>
        <w:t>, while Jon Heller posit</w:t>
      </w:r>
      <w:r w:rsidR="00244240">
        <w:rPr>
          <w:rFonts w:ascii="Times New Roman" w:hAnsi="Times New Roman"/>
          <w:szCs w:val="24"/>
        </w:rPr>
        <w:t>ed</w:t>
      </w:r>
      <w:r w:rsidRPr="00772CFF">
        <w:rPr>
          <w:rFonts w:ascii="Times New Roman" w:hAnsi="Times New Roman"/>
          <w:szCs w:val="24"/>
        </w:rPr>
        <w:t xml:space="preserve"> that the OTP ‘</w:t>
      </w:r>
      <w:r w:rsidRPr="00772CFF">
        <w:rPr>
          <w:rFonts w:ascii="Times New Roman" w:hAnsi="Times New Roman"/>
          <w:i/>
          <w:szCs w:val="24"/>
        </w:rPr>
        <w:t>failed to prove any of its legal claims</w:t>
      </w:r>
      <w:r w:rsidRPr="00772CFF">
        <w:rPr>
          <w:rFonts w:ascii="Times New Roman" w:hAnsi="Times New Roman"/>
          <w:szCs w:val="24"/>
        </w:rPr>
        <w:t>.</w:t>
      </w:r>
      <w:r w:rsidRPr="00772CFF">
        <w:rPr>
          <w:rFonts w:ascii="Times New Roman" w:hAnsi="Times New Roman"/>
          <w:szCs w:val="24"/>
          <w:vertAlign w:val="superscript"/>
        </w:rPr>
        <w:footnoteReference w:id="403"/>
      </w:r>
      <w:r w:rsidRPr="00772CFF">
        <w:rPr>
          <w:rFonts w:ascii="Times New Roman" w:hAnsi="Times New Roman"/>
          <w:szCs w:val="24"/>
        </w:rPr>
        <w:t xml:space="preserve">  In Wigley’s opinio</w:t>
      </w:r>
      <w:r w:rsidR="000672F7">
        <w:rPr>
          <w:rFonts w:ascii="Times New Roman" w:hAnsi="Times New Roman"/>
          <w:szCs w:val="24"/>
        </w:rPr>
        <w:t xml:space="preserve">n: </w:t>
      </w:r>
      <w:r w:rsidRPr="00772CFF">
        <w:rPr>
          <w:rFonts w:ascii="Times New Roman" w:hAnsi="Times New Roman"/>
          <w:szCs w:val="24"/>
        </w:rPr>
        <w:t>“</w:t>
      </w:r>
      <w:r w:rsidRPr="00532C5C">
        <w:rPr>
          <w:rFonts w:ascii="Times New Roman" w:hAnsi="Times New Roman"/>
          <w:szCs w:val="24"/>
        </w:rPr>
        <w:t>the majority redefined the case to favour</w:t>
      </w:r>
      <w:r w:rsidR="005867AA">
        <w:rPr>
          <w:rFonts w:ascii="Times New Roman" w:hAnsi="Times New Roman"/>
          <w:szCs w:val="24"/>
        </w:rPr>
        <w:t xml:space="preserve"> the prosecution and conviction</w:t>
      </w:r>
      <w:r w:rsidRPr="00532C5C">
        <w:rPr>
          <w:rFonts w:ascii="Times New Roman" w:hAnsi="Times New Roman"/>
          <w:szCs w:val="24"/>
        </w:rPr>
        <w:t>, at the expense of the rights of the accused</w:t>
      </w:r>
      <w:r w:rsidRPr="00772CFF">
        <w:rPr>
          <w:rFonts w:ascii="Times New Roman" w:hAnsi="Times New Roman"/>
          <w:szCs w:val="24"/>
        </w:rPr>
        <w:t>”.</w:t>
      </w:r>
      <w:r w:rsidRPr="00772CFF">
        <w:rPr>
          <w:rFonts w:ascii="Times New Roman" w:hAnsi="Times New Roman"/>
          <w:szCs w:val="24"/>
          <w:vertAlign w:val="superscript"/>
        </w:rPr>
        <w:footnoteReference w:id="404"/>
      </w:r>
      <w:r>
        <w:rPr>
          <w:rFonts w:ascii="Times New Roman" w:hAnsi="Times New Roman"/>
          <w:szCs w:val="24"/>
        </w:rPr>
        <w:t xml:space="preserve"> To ascertain the prioritisation of the accused rights over other parties, </w:t>
      </w:r>
      <w:r w:rsidRPr="00772CFF">
        <w:rPr>
          <w:rFonts w:ascii="Times New Roman" w:hAnsi="Times New Roman"/>
          <w:szCs w:val="24"/>
        </w:rPr>
        <w:t>she stated that “</w:t>
      </w:r>
      <w:r w:rsidRPr="005867AA">
        <w:rPr>
          <w:rFonts w:ascii="Times New Roman" w:hAnsi="Times New Roman"/>
          <w:szCs w:val="24"/>
        </w:rPr>
        <w:t>considerations about procedural fairness for the Prosecutor and the victims and their Legal Representatives, while certainly relevant, cannot trump the rights of the accused</w:t>
      </w:r>
      <w:r w:rsidR="000672F7">
        <w:rPr>
          <w:rFonts w:ascii="Times New Roman" w:hAnsi="Times New Roman"/>
          <w:szCs w:val="24"/>
        </w:rPr>
        <w:t>.</w:t>
      </w:r>
      <w:r w:rsidRPr="00772CFF">
        <w:rPr>
          <w:rFonts w:ascii="Times New Roman" w:hAnsi="Times New Roman"/>
          <w:szCs w:val="24"/>
        </w:rPr>
        <w:t>”</w:t>
      </w:r>
      <w:r w:rsidRPr="00772CFF">
        <w:rPr>
          <w:rFonts w:ascii="Times New Roman" w:hAnsi="Times New Roman"/>
          <w:szCs w:val="24"/>
          <w:vertAlign w:val="superscript"/>
        </w:rPr>
        <w:footnoteReference w:id="405"/>
      </w:r>
      <w:r>
        <w:rPr>
          <w:rFonts w:ascii="Times New Roman" w:hAnsi="Times New Roman"/>
          <w:szCs w:val="24"/>
        </w:rPr>
        <w:t xml:space="preserve"> </w:t>
      </w:r>
      <w:r w:rsidR="00772CFF" w:rsidRPr="00772CFF">
        <w:rPr>
          <w:rFonts w:ascii="Times New Roman" w:hAnsi="Times New Roman"/>
          <w:szCs w:val="24"/>
        </w:rPr>
        <w:t xml:space="preserve"> </w:t>
      </w:r>
    </w:p>
    <w:p w14:paraId="0DC95687" w14:textId="0744950E" w:rsidR="00A07269" w:rsidRDefault="00A07269" w:rsidP="00A07269">
      <w:pPr>
        <w:spacing w:line="480" w:lineRule="auto"/>
        <w:jc w:val="both"/>
        <w:rPr>
          <w:rFonts w:ascii="Times New Roman" w:hAnsi="Times New Roman"/>
          <w:szCs w:val="24"/>
        </w:rPr>
      </w:pPr>
      <w:r w:rsidRPr="00772CFF">
        <w:rPr>
          <w:rFonts w:ascii="Times New Roman" w:hAnsi="Times New Roman"/>
          <w:szCs w:val="24"/>
        </w:rPr>
        <w:t xml:space="preserve">While the pendulum of this radical change in the charges seems to swing to the side of the accused’s right to </w:t>
      </w:r>
      <w:r w:rsidR="000672F7">
        <w:rPr>
          <w:rFonts w:ascii="Times New Roman" w:hAnsi="Times New Roman"/>
          <w:szCs w:val="24"/>
        </w:rPr>
        <w:t xml:space="preserve">a </w:t>
      </w:r>
      <w:r w:rsidRPr="00772CFF">
        <w:rPr>
          <w:rFonts w:ascii="Times New Roman" w:hAnsi="Times New Roman"/>
          <w:szCs w:val="24"/>
        </w:rPr>
        <w:t>fair trial,</w:t>
      </w:r>
      <w:r>
        <w:rPr>
          <w:rFonts w:ascii="Times New Roman" w:hAnsi="Times New Roman"/>
          <w:szCs w:val="24"/>
        </w:rPr>
        <w:t xml:space="preserve"> </w:t>
      </w:r>
      <w:r w:rsidR="000672F7">
        <w:rPr>
          <w:rFonts w:ascii="Times New Roman" w:hAnsi="Times New Roman"/>
          <w:szCs w:val="24"/>
        </w:rPr>
        <w:t>main</w:t>
      </w:r>
      <w:r w:rsidRPr="00772CFF">
        <w:rPr>
          <w:rFonts w:ascii="Times New Roman" w:hAnsi="Times New Roman"/>
          <w:szCs w:val="24"/>
        </w:rPr>
        <w:t xml:space="preserve">ly what is considered as </w:t>
      </w:r>
      <w:r w:rsidR="000672F7">
        <w:rPr>
          <w:rFonts w:ascii="Times New Roman" w:hAnsi="Times New Roman"/>
          <w:szCs w:val="24"/>
        </w:rPr>
        <w:t xml:space="preserve">an </w:t>
      </w:r>
      <w:r w:rsidRPr="00772CFF">
        <w:rPr>
          <w:rFonts w:ascii="Times New Roman" w:hAnsi="Times New Roman"/>
          <w:szCs w:val="24"/>
        </w:rPr>
        <w:t xml:space="preserve">unfair trial, it also </w:t>
      </w:r>
      <w:r w:rsidRPr="00772CFF">
        <w:rPr>
          <w:rFonts w:ascii="Times New Roman" w:hAnsi="Times New Roman"/>
          <w:szCs w:val="24"/>
        </w:rPr>
        <w:lastRenderedPageBreak/>
        <w:t>reveals the indifference towards victims’</w:t>
      </w:r>
      <w:r w:rsidR="00E20D71">
        <w:rPr>
          <w:rFonts w:ascii="Times New Roman" w:hAnsi="Times New Roman"/>
          <w:szCs w:val="24"/>
        </w:rPr>
        <w:t xml:space="preserve"> rights and</w:t>
      </w:r>
      <w:r w:rsidRPr="00772CFF">
        <w:rPr>
          <w:rFonts w:ascii="Times New Roman" w:hAnsi="Times New Roman"/>
          <w:szCs w:val="24"/>
        </w:rPr>
        <w:t xml:space="preserve"> interests.</w:t>
      </w:r>
      <w:r>
        <w:rPr>
          <w:rFonts w:ascii="Times New Roman" w:hAnsi="Times New Roman"/>
          <w:szCs w:val="24"/>
        </w:rPr>
        <w:t xml:space="preserve"> </w:t>
      </w:r>
      <w:r w:rsidR="00E20D71">
        <w:rPr>
          <w:rFonts w:ascii="Times New Roman" w:hAnsi="Times New Roman"/>
          <w:szCs w:val="24"/>
        </w:rPr>
        <w:t xml:space="preserve">Presumably, </w:t>
      </w:r>
      <w:r w:rsidRPr="00772CFF">
        <w:rPr>
          <w:rFonts w:ascii="Times New Roman" w:hAnsi="Times New Roman"/>
          <w:szCs w:val="24"/>
        </w:rPr>
        <w:t xml:space="preserve"> the accused was released based on insufficient evidence</w:t>
      </w:r>
      <w:r w:rsidR="00BA5835">
        <w:rPr>
          <w:rFonts w:ascii="Times New Roman" w:hAnsi="Times New Roman"/>
          <w:szCs w:val="24"/>
        </w:rPr>
        <w:t xml:space="preserve"> to hold him responsible for the crime</w:t>
      </w:r>
      <w:r w:rsidRPr="00772CFF">
        <w:rPr>
          <w:rFonts w:ascii="Times New Roman" w:hAnsi="Times New Roman"/>
          <w:szCs w:val="24"/>
        </w:rPr>
        <w:t>.</w:t>
      </w:r>
      <w:r>
        <w:rPr>
          <w:rFonts w:ascii="Times New Roman" w:hAnsi="Times New Roman"/>
          <w:szCs w:val="24"/>
        </w:rPr>
        <w:t xml:space="preserve"> </w:t>
      </w:r>
      <w:r w:rsidR="000672F7">
        <w:rPr>
          <w:rFonts w:ascii="Times New Roman" w:hAnsi="Times New Roman"/>
          <w:szCs w:val="24"/>
        </w:rPr>
        <w:t>The acquittal</w:t>
      </w:r>
      <w:r w:rsidRPr="00772CFF">
        <w:rPr>
          <w:rFonts w:ascii="Times New Roman" w:hAnsi="Times New Roman"/>
          <w:szCs w:val="24"/>
        </w:rPr>
        <w:t xml:space="preserve"> does not pr</w:t>
      </w:r>
      <w:r w:rsidR="00244240">
        <w:rPr>
          <w:rFonts w:ascii="Times New Roman" w:hAnsi="Times New Roman"/>
          <w:szCs w:val="24"/>
        </w:rPr>
        <w:t>eclude the accused’s blameworthiness</w:t>
      </w:r>
      <w:r w:rsidRPr="00772CFF">
        <w:rPr>
          <w:rFonts w:ascii="Times New Roman" w:hAnsi="Times New Roman"/>
          <w:szCs w:val="24"/>
        </w:rPr>
        <w:t>.</w:t>
      </w:r>
      <w:r w:rsidR="00BA5835">
        <w:rPr>
          <w:rFonts w:ascii="Times New Roman" w:hAnsi="Times New Roman"/>
          <w:szCs w:val="24"/>
        </w:rPr>
        <w:t xml:space="preserve"> It means t</w:t>
      </w:r>
      <w:r w:rsidRPr="00772CFF">
        <w:rPr>
          <w:rFonts w:ascii="Times New Roman" w:hAnsi="Times New Roman"/>
          <w:szCs w:val="24"/>
        </w:rPr>
        <w:t>he accused</w:t>
      </w:r>
      <w:r w:rsidR="00244240">
        <w:rPr>
          <w:rFonts w:ascii="Times New Roman" w:hAnsi="Times New Roman"/>
          <w:szCs w:val="24"/>
        </w:rPr>
        <w:t>’s innocence was a product of</w:t>
      </w:r>
      <w:r w:rsidRPr="00772CFF">
        <w:rPr>
          <w:rFonts w:ascii="Times New Roman" w:hAnsi="Times New Roman"/>
          <w:szCs w:val="24"/>
        </w:rPr>
        <w:t xml:space="preserve"> </w:t>
      </w:r>
      <w:r w:rsidR="00244240">
        <w:rPr>
          <w:rFonts w:ascii="Times New Roman" w:hAnsi="Times New Roman"/>
          <w:szCs w:val="24"/>
        </w:rPr>
        <w:t>insufficient</w:t>
      </w:r>
      <w:r w:rsidRPr="00772CFF">
        <w:rPr>
          <w:rFonts w:ascii="Times New Roman" w:hAnsi="Times New Roman"/>
          <w:szCs w:val="24"/>
        </w:rPr>
        <w:t xml:space="preserve"> investigations and evidence.</w:t>
      </w:r>
    </w:p>
    <w:p w14:paraId="6B5F33CB" w14:textId="77777777" w:rsidR="00244240" w:rsidRDefault="00C37E1F" w:rsidP="005867AA">
      <w:pPr>
        <w:spacing w:line="480" w:lineRule="auto"/>
        <w:jc w:val="both"/>
        <w:rPr>
          <w:rFonts w:ascii="Times New Roman" w:hAnsi="Times New Roman"/>
          <w:szCs w:val="24"/>
        </w:rPr>
      </w:pPr>
      <w:r>
        <w:rPr>
          <w:rFonts w:ascii="Times New Roman" w:hAnsi="Times New Roman"/>
          <w:szCs w:val="24"/>
        </w:rPr>
        <w:t>Surprisingly</w:t>
      </w:r>
      <w:r w:rsidR="00AD6044">
        <w:rPr>
          <w:rFonts w:ascii="Times New Roman" w:hAnsi="Times New Roman"/>
          <w:szCs w:val="24"/>
        </w:rPr>
        <w:t>, t</w:t>
      </w:r>
      <w:r w:rsidR="006F53BA" w:rsidRPr="00772CFF">
        <w:rPr>
          <w:rFonts w:ascii="Times New Roman" w:hAnsi="Times New Roman"/>
          <w:szCs w:val="24"/>
        </w:rPr>
        <w:t>he</w:t>
      </w:r>
      <w:r w:rsidR="002C0006">
        <w:rPr>
          <w:rFonts w:ascii="Times New Roman" w:hAnsi="Times New Roman"/>
          <w:szCs w:val="24"/>
        </w:rPr>
        <w:t xml:space="preserve"> interpretation of  Regulation 55 became an issue in the Katanga case. The judges introduced</w:t>
      </w:r>
      <w:r w:rsidR="006F53BA" w:rsidRPr="00772CFF">
        <w:rPr>
          <w:rFonts w:ascii="Times New Roman" w:hAnsi="Times New Roman"/>
          <w:szCs w:val="24"/>
        </w:rPr>
        <w:t xml:space="preserve"> new characterisation</w:t>
      </w:r>
      <w:r w:rsidR="00276152">
        <w:rPr>
          <w:rFonts w:ascii="Times New Roman" w:hAnsi="Times New Roman"/>
          <w:szCs w:val="24"/>
        </w:rPr>
        <w:t>,</w:t>
      </w:r>
      <w:r w:rsidR="006F53BA" w:rsidRPr="00772CFF">
        <w:rPr>
          <w:rFonts w:ascii="Times New Roman" w:hAnsi="Times New Roman"/>
          <w:szCs w:val="24"/>
        </w:rPr>
        <w:t xml:space="preserve"> </w:t>
      </w:r>
      <w:r w:rsidR="00276152">
        <w:rPr>
          <w:rFonts w:ascii="Times New Roman" w:hAnsi="Times New Roman"/>
          <w:szCs w:val="24"/>
        </w:rPr>
        <w:t>which</w:t>
      </w:r>
      <w:r w:rsidR="00244240">
        <w:rPr>
          <w:rFonts w:ascii="Times New Roman" w:hAnsi="Times New Roman"/>
          <w:szCs w:val="24"/>
        </w:rPr>
        <w:t xml:space="preserve"> led to new liability</w:t>
      </w:r>
      <w:r w:rsidR="00276152">
        <w:rPr>
          <w:rFonts w:ascii="Times New Roman" w:hAnsi="Times New Roman"/>
          <w:szCs w:val="24"/>
        </w:rPr>
        <w:t>.</w:t>
      </w:r>
      <w:r w:rsidR="006F53BA" w:rsidRPr="00772CFF">
        <w:rPr>
          <w:rFonts w:ascii="Times New Roman" w:hAnsi="Times New Roman"/>
          <w:szCs w:val="24"/>
          <w:vertAlign w:val="superscript"/>
        </w:rPr>
        <w:footnoteReference w:id="406"/>
      </w:r>
      <w:r w:rsidR="006F53BA" w:rsidRPr="00772CFF">
        <w:rPr>
          <w:rFonts w:ascii="Times New Roman" w:hAnsi="Times New Roman"/>
          <w:szCs w:val="24"/>
        </w:rPr>
        <w:t xml:space="preserve"> </w:t>
      </w:r>
      <w:r w:rsidR="00276152">
        <w:rPr>
          <w:rFonts w:ascii="Times New Roman" w:hAnsi="Times New Roman"/>
          <w:szCs w:val="24"/>
        </w:rPr>
        <w:t xml:space="preserve">Consequently, the </w:t>
      </w:r>
      <w:r w:rsidR="00244240">
        <w:rPr>
          <w:rFonts w:ascii="Times New Roman" w:hAnsi="Times New Roman"/>
          <w:szCs w:val="24"/>
        </w:rPr>
        <w:t xml:space="preserve">Chamber </w:t>
      </w:r>
      <w:r w:rsidR="005867AA">
        <w:rPr>
          <w:rFonts w:ascii="Times New Roman" w:hAnsi="Times New Roman"/>
          <w:szCs w:val="24"/>
        </w:rPr>
        <w:t xml:space="preserve">acquitted </w:t>
      </w:r>
      <w:r w:rsidR="00244240">
        <w:rPr>
          <w:rFonts w:ascii="Times New Roman" w:hAnsi="Times New Roman"/>
          <w:szCs w:val="24"/>
        </w:rPr>
        <w:t>him of a</w:t>
      </w:r>
      <w:r w:rsidR="00772CFF" w:rsidRPr="00772CFF">
        <w:rPr>
          <w:rFonts w:ascii="Times New Roman" w:hAnsi="Times New Roman"/>
          <w:szCs w:val="24"/>
        </w:rPr>
        <w:t>llegations of recruitment of child sol</w:t>
      </w:r>
      <w:r>
        <w:rPr>
          <w:rFonts w:ascii="Times New Roman" w:hAnsi="Times New Roman"/>
          <w:szCs w:val="24"/>
        </w:rPr>
        <w:t>diers as well as SGBV</w:t>
      </w:r>
      <w:r w:rsidR="00244240">
        <w:rPr>
          <w:rFonts w:ascii="Times New Roman" w:hAnsi="Times New Roman"/>
          <w:szCs w:val="24"/>
        </w:rPr>
        <w:t>.</w:t>
      </w:r>
    </w:p>
    <w:p w14:paraId="2CD218C8" w14:textId="001E561F" w:rsidR="00276152" w:rsidRDefault="00244240" w:rsidP="005867AA">
      <w:pPr>
        <w:spacing w:line="480" w:lineRule="auto"/>
        <w:jc w:val="both"/>
        <w:rPr>
          <w:rFonts w:ascii="Times New Roman" w:hAnsi="Times New Roman"/>
          <w:szCs w:val="24"/>
        </w:rPr>
      </w:pPr>
      <w:r>
        <w:rPr>
          <w:rFonts w:ascii="Times New Roman" w:hAnsi="Times New Roman"/>
          <w:szCs w:val="24"/>
        </w:rPr>
        <w:t>It</w:t>
      </w:r>
      <w:r w:rsidR="00C37E1F">
        <w:rPr>
          <w:rFonts w:ascii="Times New Roman" w:hAnsi="Times New Roman"/>
          <w:szCs w:val="24"/>
        </w:rPr>
        <w:t xml:space="preserve"> identifies an interesting viewpoint on the implications of acquittal on victims’ </w:t>
      </w:r>
      <w:r w:rsidR="00E20D71">
        <w:rPr>
          <w:rFonts w:ascii="Times New Roman" w:hAnsi="Times New Roman"/>
          <w:szCs w:val="24"/>
        </w:rPr>
        <w:t xml:space="preserve">rights and </w:t>
      </w:r>
      <w:r w:rsidR="00C37E1F">
        <w:rPr>
          <w:rFonts w:ascii="Times New Roman" w:hAnsi="Times New Roman"/>
          <w:szCs w:val="24"/>
        </w:rPr>
        <w:t xml:space="preserve">interests. </w:t>
      </w:r>
      <w:r w:rsidR="00772CFF" w:rsidRPr="00772CFF">
        <w:rPr>
          <w:rFonts w:ascii="Times New Roman" w:hAnsi="Times New Roman"/>
          <w:szCs w:val="24"/>
        </w:rPr>
        <w:t>Using Combs’ analogy, ‘</w:t>
      </w:r>
      <w:r w:rsidR="00772CFF" w:rsidRPr="00772CFF">
        <w:rPr>
          <w:rFonts w:ascii="Times New Roman" w:hAnsi="Times New Roman"/>
          <w:i/>
          <w:szCs w:val="24"/>
        </w:rPr>
        <w:t>international victims often view acquittals through an ideology lens’</w:t>
      </w:r>
      <w:r w:rsidR="00772CFF" w:rsidRPr="00772CFF">
        <w:rPr>
          <w:rFonts w:ascii="Times New Roman" w:hAnsi="Times New Roman"/>
          <w:i/>
          <w:szCs w:val="24"/>
          <w:vertAlign w:val="superscript"/>
        </w:rPr>
        <w:footnoteReference w:id="407"/>
      </w:r>
      <w:r w:rsidR="00772CFF" w:rsidRPr="00772CFF">
        <w:rPr>
          <w:rFonts w:ascii="Times New Roman" w:hAnsi="Times New Roman"/>
          <w:szCs w:val="24"/>
        </w:rPr>
        <w:t xml:space="preserve"> The acquittal of Katanga based</w:t>
      </w:r>
      <w:r w:rsidR="00C37E1F">
        <w:rPr>
          <w:rFonts w:ascii="Times New Roman" w:hAnsi="Times New Roman"/>
          <w:szCs w:val="24"/>
        </w:rPr>
        <w:t xml:space="preserve"> on insufficient evidence to </w:t>
      </w:r>
      <w:r w:rsidR="00772CFF" w:rsidRPr="00772CFF">
        <w:rPr>
          <w:rFonts w:ascii="Times New Roman" w:hAnsi="Times New Roman"/>
          <w:szCs w:val="24"/>
        </w:rPr>
        <w:t xml:space="preserve">link the accused with </w:t>
      </w:r>
      <w:r w:rsidR="00C37E1F">
        <w:rPr>
          <w:rFonts w:ascii="Times New Roman" w:hAnsi="Times New Roman"/>
          <w:szCs w:val="24"/>
        </w:rPr>
        <w:t>the crime illustrates a percei</w:t>
      </w:r>
      <w:r w:rsidR="00772CFF" w:rsidRPr="00772CFF">
        <w:rPr>
          <w:rFonts w:ascii="Times New Roman" w:hAnsi="Times New Roman"/>
          <w:szCs w:val="24"/>
        </w:rPr>
        <w:t>ved injustice for the victims</w:t>
      </w:r>
      <w:r w:rsidR="00E20D71">
        <w:rPr>
          <w:rFonts w:ascii="Times New Roman" w:hAnsi="Times New Roman"/>
          <w:szCs w:val="24"/>
        </w:rPr>
        <w:t xml:space="preserve"> within this category</w:t>
      </w:r>
      <w:r w:rsidR="00772CFF" w:rsidRPr="00772CFF">
        <w:rPr>
          <w:rFonts w:ascii="Times New Roman" w:hAnsi="Times New Roman"/>
          <w:szCs w:val="24"/>
        </w:rPr>
        <w:t>.</w:t>
      </w:r>
      <w:r w:rsidR="00C37E1F">
        <w:rPr>
          <w:rFonts w:ascii="Times New Roman" w:hAnsi="Times New Roman"/>
          <w:szCs w:val="24"/>
        </w:rPr>
        <w:t xml:space="preserve"> </w:t>
      </w:r>
      <w:r w:rsidR="00772CFF" w:rsidRPr="00772CFF">
        <w:rPr>
          <w:rFonts w:ascii="Times New Roman" w:hAnsi="Times New Roman"/>
          <w:szCs w:val="24"/>
        </w:rPr>
        <w:t>We should also bear in mind that the radical change of the charges</w:t>
      </w:r>
      <w:r w:rsidR="00276152">
        <w:rPr>
          <w:rFonts w:ascii="Times New Roman" w:hAnsi="Times New Roman"/>
          <w:szCs w:val="24"/>
        </w:rPr>
        <w:t>,</w:t>
      </w:r>
      <w:r w:rsidR="00772CFF" w:rsidRPr="00772CFF">
        <w:rPr>
          <w:rFonts w:ascii="Times New Roman" w:hAnsi="Times New Roman"/>
          <w:szCs w:val="24"/>
        </w:rPr>
        <w:t xml:space="preserve"> especially the mode of criminal responsibility could be describ</w:t>
      </w:r>
      <w:r w:rsidR="00C37E1F">
        <w:rPr>
          <w:rFonts w:ascii="Times New Roman" w:hAnsi="Times New Roman"/>
          <w:szCs w:val="24"/>
        </w:rPr>
        <w:t>ed as a result of procedural issues</w:t>
      </w:r>
      <w:r w:rsidR="00772CFF" w:rsidRPr="00772CFF">
        <w:rPr>
          <w:rFonts w:ascii="Times New Roman" w:hAnsi="Times New Roman"/>
          <w:szCs w:val="24"/>
        </w:rPr>
        <w:t xml:space="preserve"> which affected the original charges. </w:t>
      </w:r>
      <w:r w:rsidR="00276152">
        <w:rPr>
          <w:rFonts w:ascii="Times New Roman" w:hAnsi="Times New Roman"/>
          <w:szCs w:val="24"/>
        </w:rPr>
        <w:t>By inference,</w:t>
      </w:r>
      <w:r w:rsidR="00E20D71">
        <w:rPr>
          <w:rFonts w:ascii="Times New Roman" w:hAnsi="Times New Roman"/>
          <w:szCs w:val="24"/>
        </w:rPr>
        <w:t xml:space="preserve"> procedural defects may</w:t>
      </w:r>
      <w:r w:rsidR="00772CFF" w:rsidRPr="00772CFF">
        <w:rPr>
          <w:rFonts w:ascii="Times New Roman" w:hAnsi="Times New Roman"/>
          <w:szCs w:val="24"/>
        </w:rPr>
        <w:t xml:space="preserve"> affect victims’ possibility of achieving justice.</w:t>
      </w:r>
    </w:p>
    <w:p w14:paraId="00093BBC" w14:textId="51C83FFC" w:rsidR="00B371E2" w:rsidRPr="00772CFF" w:rsidRDefault="00B371E2" w:rsidP="005867AA">
      <w:pPr>
        <w:spacing w:line="480" w:lineRule="auto"/>
        <w:jc w:val="both"/>
        <w:rPr>
          <w:rFonts w:ascii="Times New Roman" w:hAnsi="Times New Roman"/>
          <w:szCs w:val="24"/>
        </w:rPr>
      </w:pPr>
      <w:r w:rsidRPr="00772CFF">
        <w:rPr>
          <w:rFonts w:ascii="Times New Roman" w:hAnsi="Times New Roman"/>
          <w:szCs w:val="24"/>
        </w:rPr>
        <w:lastRenderedPageBreak/>
        <w:t>Th</w:t>
      </w:r>
      <w:r w:rsidR="00244240">
        <w:rPr>
          <w:rFonts w:ascii="Times New Roman" w:hAnsi="Times New Roman"/>
          <w:szCs w:val="24"/>
        </w:rPr>
        <w:t xml:space="preserve">e acquittal </w:t>
      </w:r>
      <w:r w:rsidRPr="00772CFF">
        <w:rPr>
          <w:rFonts w:ascii="Times New Roman" w:hAnsi="Times New Roman"/>
          <w:szCs w:val="24"/>
        </w:rPr>
        <w:t>could mean justice for Katanga and injustice for the victims.</w:t>
      </w:r>
      <w:r w:rsidR="0067789F">
        <w:rPr>
          <w:rFonts w:ascii="Times New Roman" w:hAnsi="Times New Roman"/>
          <w:szCs w:val="24"/>
        </w:rPr>
        <w:t xml:space="preserve"> </w:t>
      </w:r>
      <w:r w:rsidRPr="00772CFF">
        <w:rPr>
          <w:rFonts w:ascii="Times New Roman" w:hAnsi="Times New Roman"/>
          <w:szCs w:val="24"/>
        </w:rPr>
        <w:t>It is worthy of mention that the acquittal of Katanga for th</w:t>
      </w:r>
      <w:r w:rsidR="0067789F">
        <w:rPr>
          <w:rFonts w:ascii="Times New Roman" w:hAnsi="Times New Roman"/>
          <w:szCs w:val="24"/>
        </w:rPr>
        <w:t>ese</w:t>
      </w:r>
      <w:r w:rsidRPr="00772CFF">
        <w:rPr>
          <w:rFonts w:ascii="Times New Roman" w:hAnsi="Times New Roman"/>
          <w:szCs w:val="24"/>
        </w:rPr>
        <w:t xml:space="preserve"> crimes still left an impunity gap which is unconnected to the lack of insufficient evidence(an illustration of the  prosecutor’s investigative failure)</w:t>
      </w:r>
    </w:p>
    <w:p w14:paraId="7D4541BB" w14:textId="027C9164" w:rsidR="00772CFF" w:rsidRPr="00772CFF" w:rsidRDefault="00772CFF" w:rsidP="005867AA">
      <w:pPr>
        <w:spacing w:line="480" w:lineRule="auto"/>
        <w:jc w:val="both"/>
        <w:rPr>
          <w:rFonts w:ascii="Times New Roman" w:hAnsi="Times New Roman"/>
          <w:szCs w:val="24"/>
        </w:rPr>
      </w:pPr>
      <w:r w:rsidRPr="007C024B">
        <w:rPr>
          <w:rFonts w:ascii="Times New Roman" w:hAnsi="Times New Roman"/>
          <w:szCs w:val="24"/>
        </w:rPr>
        <w:t>Interestingly</w:t>
      </w:r>
      <w:r w:rsidRPr="00772CFF">
        <w:rPr>
          <w:rFonts w:ascii="Times New Roman" w:hAnsi="Times New Roman"/>
          <w:szCs w:val="24"/>
        </w:rPr>
        <w:t xml:space="preserve">, Judge </w:t>
      </w:r>
      <w:proofErr w:type="spellStart"/>
      <w:r w:rsidRPr="00772CFF">
        <w:rPr>
          <w:rFonts w:ascii="Times New Roman" w:hAnsi="Times New Roman"/>
          <w:szCs w:val="24"/>
        </w:rPr>
        <w:t>Wyngaert</w:t>
      </w:r>
      <w:proofErr w:type="spellEnd"/>
      <w:r w:rsidRPr="00772CFF">
        <w:rPr>
          <w:rFonts w:ascii="Times New Roman" w:hAnsi="Times New Roman"/>
          <w:szCs w:val="24"/>
        </w:rPr>
        <w:t xml:space="preserve"> in her dissenting opinion held that the majority overstretched the provision of the regulation and ‘</w:t>
      </w:r>
      <w:r w:rsidRPr="005867AA">
        <w:rPr>
          <w:rFonts w:ascii="Times New Roman" w:hAnsi="Times New Roman"/>
          <w:szCs w:val="24"/>
        </w:rPr>
        <w:t>changed the narrative of the charges so fundamentally that it exceeded the facts and circumstances described in the charges’</w:t>
      </w:r>
      <w:r w:rsidRPr="00772CFF">
        <w:rPr>
          <w:rFonts w:ascii="Times New Roman" w:hAnsi="Times New Roman"/>
          <w:szCs w:val="24"/>
          <w:vertAlign w:val="superscript"/>
        </w:rPr>
        <w:footnoteReference w:id="408"/>
      </w:r>
      <w:r w:rsidRPr="00772CFF">
        <w:rPr>
          <w:rFonts w:ascii="Times New Roman" w:hAnsi="Times New Roman"/>
          <w:szCs w:val="24"/>
        </w:rPr>
        <w:t xml:space="preserve"> She observed that the majority’s re-characterisation of facts ‘</w:t>
      </w:r>
      <w:r w:rsidRPr="00772CFF">
        <w:rPr>
          <w:rFonts w:ascii="Times New Roman" w:hAnsi="Times New Roman"/>
          <w:i/>
          <w:szCs w:val="24"/>
        </w:rPr>
        <w:t>fundamentally encroached upon the accused’s right to a fair trial’</w:t>
      </w:r>
      <w:r w:rsidRPr="00772CFF">
        <w:rPr>
          <w:rFonts w:ascii="Times New Roman" w:hAnsi="Times New Roman"/>
          <w:szCs w:val="24"/>
        </w:rPr>
        <w:t>.</w:t>
      </w:r>
      <w:r w:rsidRPr="00772CFF">
        <w:rPr>
          <w:rFonts w:ascii="Times New Roman" w:hAnsi="Times New Roman"/>
          <w:szCs w:val="24"/>
          <w:vertAlign w:val="superscript"/>
        </w:rPr>
        <w:footnoteReference w:id="409"/>
      </w:r>
      <w:r w:rsidRPr="00772CFF">
        <w:rPr>
          <w:rFonts w:ascii="Times New Roman" w:hAnsi="Times New Roman"/>
          <w:szCs w:val="24"/>
        </w:rPr>
        <w:t xml:space="preserve"> In Judge </w:t>
      </w:r>
      <w:proofErr w:type="spellStart"/>
      <w:r w:rsidRPr="00772CFF">
        <w:rPr>
          <w:rFonts w:ascii="Times New Roman" w:hAnsi="Times New Roman"/>
          <w:szCs w:val="24"/>
        </w:rPr>
        <w:t>Wyngaert’s</w:t>
      </w:r>
      <w:proofErr w:type="spellEnd"/>
      <w:r w:rsidRPr="00772CFF">
        <w:rPr>
          <w:rFonts w:ascii="Times New Roman" w:hAnsi="Times New Roman"/>
          <w:szCs w:val="24"/>
        </w:rPr>
        <w:t xml:space="preserve"> opinion, the Trial Chamber system of procedure is </w:t>
      </w:r>
      <w:r w:rsidR="00244240">
        <w:rPr>
          <w:rFonts w:ascii="Times New Roman" w:hAnsi="Times New Roman"/>
          <w:szCs w:val="24"/>
        </w:rPr>
        <w:t>most</w:t>
      </w:r>
      <w:r w:rsidRPr="00772CFF">
        <w:rPr>
          <w:rFonts w:ascii="Times New Roman" w:hAnsi="Times New Roman"/>
          <w:szCs w:val="24"/>
        </w:rPr>
        <w:t>ly adversarial</w:t>
      </w:r>
      <w:r w:rsidR="007B47C9">
        <w:rPr>
          <w:rFonts w:ascii="Times New Roman" w:hAnsi="Times New Roman"/>
          <w:szCs w:val="24"/>
        </w:rPr>
        <w:t>;</w:t>
      </w:r>
      <w:r w:rsidRPr="00772CFF">
        <w:rPr>
          <w:rFonts w:ascii="Times New Roman" w:hAnsi="Times New Roman"/>
          <w:szCs w:val="24"/>
        </w:rPr>
        <w:t xml:space="preserve"> </w:t>
      </w:r>
      <w:r w:rsidR="002339FF">
        <w:rPr>
          <w:rFonts w:ascii="Times New Roman" w:hAnsi="Times New Roman"/>
          <w:szCs w:val="24"/>
        </w:rPr>
        <w:t>thus, the adversarial procedure should have precluded the judges from applying the Regulation</w:t>
      </w:r>
      <w:r w:rsidRPr="00772CFF">
        <w:rPr>
          <w:rFonts w:ascii="Times New Roman" w:hAnsi="Times New Roman"/>
          <w:szCs w:val="24"/>
        </w:rPr>
        <w:t>.</w:t>
      </w:r>
      <w:r w:rsidRPr="00772CFF">
        <w:rPr>
          <w:rFonts w:ascii="Times New Roman" w:hAnsi="Times New Roman"/>
          <w:szCs w:val="24"/>
          <w:vertAlign w:val="superscript"/>
        </w:rPr>
        <w:footnoteReference w:id="410"/>
      </w:r>
      <w:r w:rsidRPr="00772CFF">
        <w:rPr>
          <w:rFonts w:ascii="Times New Roman" w:hAnsi="Times New Roman"/>
          <w:szCs w:val="24"/>
        </w:rPr>
        <w:t xml:space="preserve">It is believed that judges in </w:t>
      </w:r>
      <w:r w:rsidR="007B47C9">
        <w:rPr>
          <w:rFonts w:ascii="Times New Roman" w:hAnsi="Times New Roman"/>
          <w:szCs w:val="24"/>
        </w:rPr>
        <w:t xml:space="preserve">the </w:t>
      </w:r>
      <w:r w:rsidRPr="00772CFF">
        <w:rPr>
          <w:rFonts w:ascii="Times New Roman" w:hAnsi="Times New Roman"/>
          <w:szCs w:val="24"/>
        </w:rPr>
        <w:t>adversarial procedure are passive</w:t>
      </w:r>
      <w:r w:rsidR="002339FF">
        <w:rPr>
          <w:rFonts w:ascii="Times New Roman" w:hAnsi="Times New Roman"/>
          <w:szCs w:val="24"/>
        </w:rPr>
        <w:t xml:space="preserve"> instead of</w:t>
      </w:r>
      <w:r w:rsidRPr="00772CFF">
        <w:rPr>
          <w:rFonts w:ascii="Times New Roman" w:hAnsi="Times New Roman"/>
          <w:szCs w:val="24"/>
        </w:rPr>
        <w:t xml:space="preserve"> active judges in pursuit of truth-finding</w:t>
      </w:r>
      <w:r w:rsidR="00AE4C0D">
        <w:rPr>
          <w:rFonts w:ascii="Times New Roman" w:hAnsi="Times New Roman"/>
          <w:szCs w:val="24"/>
        </w:rPr>
        <w:t xml:space="preserve"> in </w:t>
      </w:r>
      <w:r w:rsidR="007B47C9">
        <w:rPr>
          <w:rFonts w:ascii="Times New Roman" w:hAnsi="Times New Roman"/>
          <w:szCs w:val="24"/>
        </w:rPr>
        <w:t>a</w:t>
      </w:r>
      <w:r w:rsidRPr="00772CFF">
        <w:rPr>
          <w:rFonts w:ascii="Times New Roman" w:hAnsi="Times New Roman"/>
          <w:szCs w:val="24"/>
        </w:rPr>
        <w:t>n inquisitorial system.</w:t>
      </w:r>
      <w:r w:rsidR="00AE4C0D">
        <w:rPr>
          <w:rFonts w:ascii="Times New Roman" w:hAnsi="Times New Roman"/>
          <w:szCs w:val="24"/>
        </w:rPr>
        <w:t xml:space="preserve"> Arguably</w:t>
      </w:r>
      <w:r w:rsidRPr="00772CFF">
        <w:rPr>
          <w:rFonts w:ascii="Times New Roman" w:hAnsi="Times New Roman"/>
          <w:szCs w:val="24"/>
        </w:rPr>
        <w:t xml:space="preserve">, the judges should not have taken control of the proceedings to the extent of re-characterising the fact beyond the initial charges. It could be that the judges that constituted the Trial Chamber wanted to close the impunity gap. Nevertheless, this does not disregard the fact that these judges usurped the </w:t>
      </w:r>
      <w:r w:rsidR="00FC5BD9">
        <w:rPr>
          <w:rFonts w:ascii="Times New Roman" w:hAnsi="Times New Roman"/>
          <w:szCs w:val="24"/>
        </w:rPr>
        <w:t>prosecutor's role</w:t>
      </w:r>
      <w:r w:rsidR="00AE4C0D">
        <w:rPr>
          <w:rFonts w:ascii="Times New Roman" w:hAnsi="Times New Roman"/>
          <w:szCs w:val="24"/>
        </w:rPr>
        <w:t xml:space="preserve"> </w:t>
      </w:r>
      <w:r w:rsidRPr="00772CFF">
        <w:rPr>
          <w:rFonts w:ascii="Times New Roman" w:hAnsi="Times New Roman"/>
          <w:szCs w:val="24"/>
        </w:rPr>
        <w:t xml:space="preserve">because the Prosecutor is solely responsible for drafting and amending the charges. </w:t>
      </w:r>
    </w:p>
    <w:p w14:paraId="64F7AA1B" w14:textId="04628478" w:rsidR="002F1B57" w:rsidRPr="00772CFF" w:rsidRDefault="00772CFF" w:rsidP="005867AA">
      <w:pPr>
        <w:spacing w:line="480" w:lineRule="auto"/>
        <w:jc w:val="both"/>
        <w:rPr>
          <w:rFonts w:ascii="Times New Roman" w:hAnsi="Times New Roman"/>
          <w:szCs w:val="24"/>
        </w:rPr>
      </w:pPr>
      <w:r w:rsidRPr="00772CFF">
        <w:rPr>
          <w:rFonts w:ascii="Times New Roman" w:hAnsi="Times New Roman"/>
          <w:szCs w:val="24"/>
        </w:rPr>
        <w:lastRenderedPageBreak/>
        <w:t>On appeal, the AC addressed</w:t>
      </w:r>
      <w:r w:rsidR="0094561A">
        <w:rPr>
          <w:rFonts w:ascii="Times New Roman" w:hAnsi="Times New Roman"/>
          <w:szCs w:val="24"/>
        </w:rPr>
        <w:t xml:space="preserve"> the change in legal characterisation.</w:t>
      </w:r>
      <w:r w:rsidRPr="00772CFF">
        <w:rPr>
          <w:rFonts w:ascii="Times New Roman" w:hAnsi="Times New Roman"/>
          <w:szCs w:val="24"/>
          <w:vertAlign w:val="superscript"/>
        </w:rPr>
        <w:footnoteReference w:id="411"/>
      </w:r>
      <w:r w:rsidR="0094561A">
        <w:rPr>
          <w:rFonts w:ascii="Times New Roman" w:hAnsi="Times New Roman"/>
          <w:szCs w:val="24"/>
        </w:rPr>
        <w:t>T</w:t>
      </w:r>
      <w:r w:rsidRPr="00772CFF">
        <w:rPr>
          <w:rFonts w:ascii="Times New Roman" w:hAnsi="Times New Roman"/>
          <w:szCs w:val="24"/>
        </w:rPr>
        <w:t xml:space="preserve">he chamber submitted that it was not initially </w:t>
      </w:r>
      <w:r w:rsidR="000D521C">
        <w:rPr>
          <w:rFonts w:ascii="Times New Roman" w:hAnsi="Times New Roman"/>
          <w:szCs w:val="24"/>
        </w:rPr>
        <w:t>apparent</w:t>
      </w:r>
      <w:r w:rsidRPr="00772CFF">
        <w:rPr>
          <w:rFonts w:ascii="Times New Roman" w:hAnsi="Times New Roman"/>
          <w:szCs w:val="24"/>
        </w:rPr>
        <w:t xml:space="preserve"> that the intended change in the legal characterisation of the facts </w:t>
      </w:r>
      <w:r w:rsidR="00036CE7">
        <w:rPr>
          <w:rFonts w:ascii="Times New Roman" w:hAnsi="Times New Roman"/>
          <w:szCs w:val="24"/>
        </w:rPr>
        <w:t>“</w:t>
      </w:r>
      <w:r w:rsidRPr="00036CE7">
        <w:rPr>
          <w:rFonts w:ascii="Times New Roman" w:hAnsi="Times New Roman"/>
          <w:szCs w:val="24"/>
        </w:rPr>
        <w:t>would exceed the facts and circumstances described in the charges</w:t>
      </w:r>
      <w:r w:rsidR="00036CE7">
        <w:rPr>
          <w:rFonts w:ascii="Times New Roman" w:hAnsi="Times New Roman"/>
          <w:szCs w:val="24"/>
        </w:rPr>
        <w:t>”</w:t>
      </w:r>
      <w:r w:rsidRPr="00772CFF">
        <w:rPr>
          <w:rFonts w:ascii="Times New Roman" w:hAnsi="Times New Roman"/>
          <w:i/>
          <w:szCs w:val="24"/>
          <w:vertAlign w:val="superscript"/>
        </w:rPr>
        <w:footnoteReference w:id="412"/>
      </w:r>
      <w:r w:rsidRPr="00772CFF">
        <w:rPr>
          <w:rFonts w:ascii="Times New Roman" w:hAnsi="Times New Roman"/>
          <w:szCs w:val="24"/>
        </w:rPr>
        <w:t xml:space="preserve"> The AC acknowledged TC’s recognition of the accused rights.</w:t>
      </w:r>
      <w:r w:rsidR="00AE4C0D">
        <w:rPr>
          <w:rFonts w:ascii="Times New Roman" w:hAnsi="Times New Roman"/>
          <w:szCs w:val="24"/>
        </w:rPr>
        <w:t xml:space="preserve"> </w:t>
      </w:r>
      <w:r w:rsidRPr="00772CFF">
        <w:rPr>
          <w:rFonts w:ascii="Times New Roman" w:hAnsi="Times New Roman"/>
          <w:szCs w:val="24"/>
        </w:rPr>
        <w:t>It decided that the TC did not encroach on the accused(Katanga)’s fair trial rights.</w:t>
      </w:r>
      <w:r w:rsidRPr="00772CFF">
        <w:rPr>
          <w:rFonts w:ascii="Times New Roman" w:hAnsi="Times New Roman"/>
          <w:szCs w:val="24"/>
          <w:vertAlign w:val="superscript"/>
        </w:rPr>
        <w:footnoteReference w:id="413"/>
      </w:r>
      <w:r w:rsidRPr="00772CFF">
        <w:rPr>
          <w:rFonts w:ascii="Times New Roman" w:hAnsi="Times New Roman"/>
          <w:szCs w:val="24"/>
        </w:rPr>
        <w:t xml:space="preserve"> </w:t>
      </w:r>
      <w:r w:rsidR="002F1B57" w:rsidRPr="00772CFF">
        <w:rPr>
          <w:rFonts w:ascii="Times New Roman" w:hAnsi="Times New Roman"/>
          <w:szCs w:val="24"/>
        </w:rPr>
        <w:t>The AC noted that “</w:t>
      </w:r>
      <w:r w:rsidR="002F1B57" w:rsidRPr="00036CE7">
        <w:rPr>
          <w:rFonts w:ascii="Times New Roman" w:hAnsi="Times New Roman"/>
          <w:szCs w:val="24"/>
        </w:rPr>
        <w:t>a principal purpose of Regulation 55 is to close accountability gaps, a purpose that is fully consistent with the Rome Statute</w:t>
      </w:r>
      <w:r w:rsidR="0094561A">
        <w:rPr>
          <w:rFonts w:ascii="Times New Roman" w:hAnsi="Times New Roman"/>
          <w:szCs w:val="24"/>
        </w:rPr>
        <w:t>.</w:t>
      </w:r>
      <w:r w:rsidR="002F1B57" w:rsidRPr="00772CFF">
        <w:rPr>
          <w:rFonts w:ascii="Times New Roman" w:hAnsi="Times New Roman"/>
          <w:szCs w:val="24"/>
        </w:rPr>
        <w:t>”</w:t>
      </w:r>
      <w:r w:rsidR="002F1B57" w:rsidRPr="00772CFF">
        <w:rPr>
          <w:rFonts w:ascii="Times New Roman" w:hAnsi="Times New Roman"/>
          <w:szCs w:val="24"/>
          <w:vertAlign w:val="superscript"/>
        </w:rPr>
        <w:footnoteReference w:id="414"/>
      </w:r>
      <w:r w:rsidR="002F1B57">
        <w:rPr>
          <w:rFonts w:ascii="Times New Roman" w:hAnsi="Times New Roman"/>
          <w:szCs w:val="24"/>
        </w:rPr>
        <w:t xml:space="preserve">The strength of such </w:t>
      </w:r>
      <w:r w:rsidR="00AE4C0D">
        <w:rPr>
          <w:rFonts w:ascii="Times New Roman" w:hAnsi="Times New Roman"/>
          <w:szCs w:val="24"/>
        </w:rPr>
        <w:t xml:space="preserve">an </w:t>
      </w:r>
      <w:r w:rsidR="002F1B57">
        <w:rPr>
          <w:rFonts w:ascii="Times New Roman" w:hAnsi="Times New Roman"/>
          <w:szCs w:val="24"/>
        </w:rPr>
        <w:t xml:space="preserve">approach lies </w:t>
      </w:r>
      <w:r w:rsidR="007E4B3B">
        <w:rPr>
          <w:rFonts w:ascii="Times New Roman" w:hAnsi="Times New Roman"/>
          <w:szCs w:val="24"/>
        </w:rPr>
        <w:t xml:space="preserve">in </w:t>
      </w:r>
      <w:r w:rsidR="00FC5BD9">
        <w:rPr>
          <w:rFonts w:ascii="Times New Roman" w:hAnsi="Times New Roman"/>
          <w:szCs w:val="24"/>
        </w:rPr>
        <w:t>addressing impunity and bring</w:t>
      </w:r>
      <w:r w:rsidR="007E4B3B">
        <w:rPr>
          <w:rFonts w:ascii="Times New Roman" w:hAnsi="Times New Roman"/>
          <w:szCs w:val="24"/>
        </w:rPr>
        <w:t>ing the accused to justice.</w:t>
      </w:r>
      <w:r w:rsidR="002F1B57" w:rsidRPr="00772CFF">
        <w:rPr>
          <w:rFonts w:ascii="Times New Roman" w:hAnsi="Times New Roman"/>
          <w:szCs w:val="24"/>
        </w:rPr>
        <w:t xml:space="preserve"> </w:t>
      </w:r>
    </w:p>
    <w:p w14:paraId="6776DA63" w14:textId="2BC8D9CB" w:rsidR="00772CFF" w:rsidRDefault="00772CFF" w:rsidP="005867AA">
      <w:pPr>
        <w:spacing w:line="480" w:lineRule="auto"/>
        <w:jc w:val="both"/>
        <w:rPr>
          <w:rFonts w:ascii="Times New Roman" w:hAnsi="Times New Roman"/>
          <w:szCs w:val="24"/>
        </w:rPr>
      </w:pPr>
      <w:r w:rsidRPr="00772CFF">
        <w:rPr>
          <w:rFonts w:ascii="Times New Roman" w:hAnsi="Times New Roman"/>
          <w:szCs w:val="24"/>
        </w:rPr>
        <w:t xml:space="preserve">Jon </w:t>
      </w:r>
      <w:r w:rsidR="00F45584">
        <w:rPr>
          <w:rFonts w:ascii="Times New Roman" w:hAnsi="Times New Roman"/>
          <w:szCs w:val="24"/>
        </w:rPr>
        <w:t>H</w:t>
      </w:r>
      <w:r w:rsidRPr="00772CFF">
        <w:rPr>
          <w:rFonts w:ascii="Times New Roman" w:hAnsi="Times New Roman"/>
          <w:szCs w:val="24"/>
        </w:rPr>
        <w:t>eller aver</w:t>
      </w:r>
      <w:r w:rsidR="002F612A">
        <w:rPr>
          <w:rFonts w:ascii="Times New Roman" w:hAnsi="Times New Roman"/>
          <w:szCs w:val="24"/>
        </w:rPr>
        <w:t>s</w:t>
      </w:r>
      <w:r w:rsidRPr="00772CFF">
        <w:rPr>
          <w:rFonts w:ascii="Times New Roman" w:hAnsi="Times New Roman"/>
          <w:szCs w:val="24"/>
        </w:rPr>
        <w:t xml:space="preserve"> that the TC’s application of Regulation 55 was ‘</w:t>
      </w:r>
      <w:r w:rsidRPr="00924CD4">
        <w:rPr>
          <w:rFonts w:ascii="Times New Roman" w:hAnsi="Times New Roman"/>
          <w:i/>
          <w:szCs w:val="24"/>
        </w:rPr>
        <w:t>ultra vires’</w:t>
      </w:r>
      <w:r w:rsidRPr="00772CFF">
        <w:rPr>
          <w:rFonts w:ascii="Times New Roman" w:hAnsi="Times New Roman"/>
          <w:szCs w:val="24"/>
        </w:rPr>
        <w:t xml:space="preserve"> because the Regulation was not in conformity with Rome Statute’s procedures for amending charges.</w:t>
      </w:r>
      <w:r w:rsidRPr="00772CFF">
        <w:rPr>
          <w:rFonts w:ascii="Times New Roman" w:hAnsi="Times New Roman"/>
          <w:szCs w:val="24"/>
          <w:vertAlign w:val="superscript"/>
        </w:rPr>
        <w:footnoteReference w:id="415"/>
      </w:r>
      <w:r w:rsidRPr="00772CFF">
        <w:rPr>
          <w:rFonts w:ascii="Times New Roman" w:hAnsi="Times New Roman"/>
          <w:szCs w:val="24"/>
        </w:rPr>
        <w:t xml:space="preserve"> It appears that amendment of the charges is within the exclusive discretion of the Prosecutor.</w:t>
      </w:r>
      <w:r w:rsidR="002F612A">
        <w:rPr>
          <w:rFonts w:ascii="Times New Roman" w:hAnsi="Times New Roman"/>
          <w:szCs w:val="24"/>
        </w:rPr>
        <w:t xml:space="preserve"> </w:t>
      </w:r>
      <w:r w:rsidR="009427EA">
        <w:rPr>
          <w:rFonts w:ascii="Times New Roman" w:hAnsi="Times New Roman"/>
          <w:szCs w:val="24"/>
        </w:rPr>
        <w:t>H</w:t>
      </w:r>
      <w:r w:rsidRPr="00772CFF">
        <w:rPr>
          <w:rFonts w:ascii="Times New Roman" w:hAnsi="Times New Roman"/>
          <w:szCs w:val="24"/>
        </w:rPr>
        <w:t>eller also argued that the activation of Regulation 55 by the Trial Chamber violated the Prosecutorial independence a</w:t>
      </w:r>
      <w:r w:rsidR="00FC5BD9">
        <w:rPr>
          <w:rFonts w:ascii="Times New Roman" w:hAnsi="Times New Roman"/>
          <w:szCs w:val="24"/>
        </w:rPr>
        <w:t>nd the accused’s</w:t>
      </w:r>
      <w:r w:rsidRPr="00772CFF">
        <w:rPr>
          <w:rFonts w:ascii="Times New Roman" w:hAnsi="Times New Roman"/>
          <w:szCs w:val="24"/>
        </w:rPr>
        <w:t xml:space="preserve"> rights to a fair trial. While this could be true, one may argue that the Court succeeded in filling the impunity gap</w:t>
      </w:r>
      <w:r w:rsidR="002F612A">
        <w:rPr>
          <w:rFonts w:ascii="Times New Roman" w:hAnsi="Times New Roman"/>
          <w:szCs w:val="24"/>
        </w:rPr>
        <w:t>;</w:t>
      </w:r>
      <w:r w:rsidRPr="00772CFF">
        <w:rPr>
          <w:rFonts w:ascii="Times New Roman" w:hAnsi="Times New Roman"/>
          <w:szCs w:val="24"/>
        </w:rPr>
        <w:t xml:space="preserve"> however, it did this in detriment to the accused’s right to </w:t>
      </w:r>
      <w:r w:rsidR="002F612A">
        <w:rPr>
          <w:rFonts w:ascii="Times New Roman" w:hAnsi="Times New Roman"/>
          <w:szCs w:val="24"/>
        </w:rPr>
        <w:t xml:space="preserve">a </w:t>
      </w:r>
      <w:r w:rsidRPr="00772CFF">
        <w:rPr>
          <w:rFonts w:ascii="Times New Roman" w:hAnsi="Times New Roman"/>
          <w:szCs w:val="24"/>
        </w:rPr>
        <w:t>fair trial because it change</w:t>
      </w:r>
      <w:r w:rsidR="002F612A">
        <w:rPr>
          <w:rFonts w:ascii="Times New Roman" w:hAnsi="Times New Roman"/>
          <w:szCs w:val="24"/>
        </w:rPr>
        <w:t>d</w:t>
      </w:r>
      <w:r w:rsidRPr="00772CFF">
        <w:rPr>
          <w:rFonts w:ascii="Times New Roman" w:hAnsi="Times New Roman"/>
          <w:szCs w:val="24"/>
        </w:rPr>
        <w:t xml:space="preserve"> the legal characterisation of facts and the mode of liability made by the Prosecutor initially. One reason for this may be connected to the</w:t>
      </w:r>
      <w:r w:rsidR="007C024B">
        <w:rPr>
          <w:rFonts w:ascii="Times New Roman" w:hAnsi="Times New Roman"/>
          <w:szCs w:val="24"/>
        </w:rPr>
        <w:t xml:space="preserve"> fact that the Prosecutor </w:t>
      </w:r>
      <w:r w:rsidR="007C024B">
        <w:rPr>
          <w:rFonts w:ascii="Times New Roman" w:hAnsi="Times New Roman"/>
          <w:szCs w:val="24"/>
        </w:rPr>
        <w:lastRenderedPageBreak/>
        <w:t>could not</w:t>
      </w:r>
      <w:r w:rsidRPr="00772CFF">
        <w:rPr>
          <w:rFonts w:ascii="Times New Roman" w:hAnsi="Times New Roman"/>
          <w:szCs w:val="24"/>
        </w:rPr>
        <w:t xml:space="preserve"> conduct an effective investigation and, provided insufficient evidence to establish the </w:t>
      </w:r>
      <w:r w:rsidR="00FC5BD9">
        <w:rPr>
          <w:rFonts w:ascii="Times New Roman" w:hAnsi="Times New Roman"/>
          <w:szCs w:val="24"/>
        </w:rPr>
        <w:t>accused's guilt</w:t>
      </w:r>
      <w:r w:rsidRPr="00772CFF">
        <w:rPr>
          <w:rFonts w:ascii="Times New Roman" w:hAnsi="Times New Roman"/>
          <w:szCs w:val="24"/>
        </w:rPr>
        <w:t>.</w:t>
      </w:r>
      <w:r w:rsidR="009427EA">
        <w:rPr>
          <w:rFonts w:ascii="Times New Roman" w:hAnsi="Times New Roman"/>
          <w:szCs w:val="24"/>
        </w:rPr>
        <w:t xml:space="preserve"> </w:t>
      </w:r>
    </w:p>
    <w:p w14:paraId="55A50206" w14:textId="1C1B5E26" w:rsidR="008258CA" w:rsidRPr="00772CFF" w:rsidRDefault="008258CA" w:rsidP="005867AA">
      <w:pPr>
        <w:spacing w:line="480" w:lineRule="auto"/>
        <w:jc w:val="both"/>
        <w:rPr>
          <w:rFonts w:ascii="Times New Roman" w:hAnsi="Times New Roman"/>
          <w:szCs w:val="24"/>
        </w:rPr>
      </w:pPr>
      <w:r>
        <w:rPr>
          <w:rFonts w:ascii="Times New Roman" w:hAnsi="Times New Roman"/>
          <w:szCs w:val="24"/>
        </w:rPr>
        <w:t>In addressing how the court’s interpretation of Regulation 55  affected victims’ rights and interests,</w:t>
      </w:r>
      <w:r w:rsidR="009427EA">
        <w:rPr>
          <w:rFonts w:ascii="Times New Roman" w:hAnsi="Times New Roman"/>
          <w:szCs w:val="24"/>
        </w:rPr>
        <w:t xml:space="preserve"> the researcher</w:t>
      </w:r>
      <w:r>
        <w:rPr>
          <w:rFonts w:ascii="Times New Roman" w:hAnsi="Times New Roman"/>
          <w:szCs w:val="24"/>
        </w:rPr>
        <w:t xml:space="preserve"> shall refer to the AC’s decision on the activation of Regulation 55 in Lubanga’s case.</w:t>
      </w:r>
      <w:r w:rsidR="00A91FBA">
        <w:rPr>
          <w:rFonts w:ascii="Times New Roman" w:hAnsi="Times New Roman"/>
          <w:szCs w:val="24"/>
        </w:rPr>
        <w:t xml:space="preserve"> </w:t>
      </w:r>
      <w:r w:rsidR="000D3B43">
        <w:rPr>
          <w:rFonts w:ascii="Times New Roman" w:hAnsi="Times New Roman"/>
          <w:szCs w:val="24"/>
        </w:rPr>
        <w:t xml:space="preserve">The decision in </w:t>
      </w:r>
      <w:r w:rsidR="00A91FBA">
        <w:rPr>
          <w:rFonts w:ascii="Times New Roman" w:hAnsi="Times New Roman"/>
          <w:szCs w:val="24"/>
        </w:rPr>
        <w:t xml:space="preserve">the </w:t>
      </w:r>
      <w:r w:rsidR="000D3B43">
        <w:rPr>
          <w:rFonts w:ascii="Times New Roman" w:hAnsi="Times New Roman"/>
          <w:szCs w:val="24"/>
        </w:rPr>
        <w:t>Lubanga case established the exclusive power of the prosecutor to amend charges.</w:t>
      </w:r>
      <w:r w:rsidR="00A91FBA">
        <w:rPr>
          <w:rFonts w:ascii="Times New Roman" w:hAnsi="Times New Roman"/>
          <w:szCs w:val="24"/>
        </w:rPr>
        <w:t xml:space="preserve"> </w:t>
      </w:r>
      <w:r w:rsidR="000D3B43">
        <w:rPr>
          <w:rFonts w:ascii="Times New Roman" w:hAnsi="Times New Roman"/>
          <w:szCs w:val="24"/>
        </w:rPr>
        <w:t>It is somewhat su</w:t>
      </w:r>
      <w:r w:rsidR="00A91FBA">
        <w:rPr>
          <w:rFonts w:ascii="Times New Roman" w:hAnsi="Times New Roman"/>
          <w:szCs w:val="24"/>
        </w:rPr>
        <w:t>r</w:t>
      </w:r>
      <w:r w:rsidR="000D3B43">
        <w:rPr>
          <w:rFonts w:ascii="Times New Roman" w:hAnsi="Times New Roman"/>
          <w:szCs w:val="24"/>
        </w:rPr>
        <w:t>prising that</w:t>
      </w:r>
      <w:r>
        <w:rPr>
          <w:rFonts w:ascii="Times New Roman" w:hAnsi="Times New Roman"/>
          <w:szCs w:val="24"/>
        </w:rPr>
        <w:t xml:space="preserve"> </w:t>
      </w:r>
      <w:r w:rsidR="000D3B43">
        <w:rPr>
          <w:rFonts w:ascii="Times New Roman" w:hAnsi="Times New Roman"/>
          <w:szCs w:val="24"/>
        </w:rPr>
        <w:t xml:space="preserve">in the Katanga case, the judges independently changed the </w:t>
      </w:r>
      <w:r w:rsidR="00A91FBA">
        <w:rPr>
          <w:rFonts w:ascii="Times New Roman" w:hAnsi="Times New Roman"/>
          <w:szCs w:val="24"/>
        </w:rPr>
        <w:t>c</w:t>
      </w:r>
      <w:r w:rsidR="00FC5BD9">
        <w:rPr>
          <w:rFonts w:ascii="Times New Roman" w:hAnsi="Times New Roman"/>
          <w:szCs w:val="24"/>
        </w:rPr>
        <w:t>harging document's cont</w:t>
      </w:r>
      <w:r w:rsidR="00A91FBA">
        <w:rPr>
          <w:rFonts w:ascii="Times New Roman" w:hAnsi="Times New Roman"/>
          <w:szCs w:val="24"/>
        </w:rPr>
        <w:t xml:space="preserve">ent, </w:t>
      </w:r>
      <w:r w:rsidR="000D3B43">
        <w:rPr>
          <w:rFonts w:ascii="Times New Roman" w:hAnsi="Times New Roman"/>
          <w:szCs w:val="24"/>
        </w:rPr>
        <w:t>the accused’s mode of liability.</w:t>
      </w:r>
      <w:r w:rsidR="00A91FBA">
        <w:rPr>
          <w:rFonts w:ascii="Times New Roman" w:hAnsi="Times New Roman"/>
          <w:szCs w:val="24"/>
        </w:rPr>
        <w:t xml:space="preserve"> </w:t>
      </w:r>
      <w:r w:rsidR="000D3B43">
        <w:rPr>
          <w:rFonts w:ascii="Times New Roman" w:hAnsi="Times New Roman"/>
          <w:szCs w:val="24"/>
        </w:rPr>
        <w:t>The original charges differ from the subsequent charges framed by the judges.</w:t>
      </w:r>
      <w:r w:rsidR="00A91FBA">
        <w:rPr>
          <w:rFonts w:ascii="Times New Roman" w:hAnsi="Times New Roman"/>
          <w:szCs w:val="24"/>
        </w:rPr>
        <w:t xml:space="preserve"> </w:t>
      </w:r>
      <w:r w:rsidR="000D3B43">
        <w:rPr>
          <w:rFonts w:ascii="Times New Roman" w:hAnsi="Times New Roman"/>
          <w:szCs w:val="24"/>
        </w:rPr>
        <w:t>While this recent decision of Katanga reveals inconsistencies in some of the Chamber’s rulings,</w:t>
      </w:r>
      <w:r w:rsidR="00A91FBA">
        <w:rPr>
          <w:rFonts w:ascii="Times New Roman" w:hAnsi="Times New Roman"/>
          <w:szCs w:val="24"/>
        </w:rPr>
        <w:t xml:space="preserve"> </w:t>
      </w:r>
      <w:r w:rsidR="00045361">
        <w:rPr>
          <w:rFonts w:ascii="Times New Roman" w:hAnsi="Times New Roman"/>
          <w:szCs w:val="24"/>
        </w:rPr>
        <w:t>it is also worthy of mention that the content of a charging document plays a</w:t>
      </w:r>
      <w:r w:rsidR="0094561A">
        <w:rPr>
          <w:rFonts w:ascii="Times New Roman" w:hAnsi="Times New Roman"/>
          <w:szCs w:val="24"/>
        </w:rPr>
        <w:t xml:space="preserve"> vital</w:t>
      </w:r>
      <w:r w:rsidR="00045361">
        <w:rPr>
          <w:rFonts w:ascii="Times New Roman" w:hAnsi="Times New Roman"/>
          <w:szCs w:val="24"/>
        </w:rPr>
        <w:t xml:space="preserve"> role in ascertaining who gets what and the scope </w:t>
      </w:r>
      <w:r w:rsidR="004D5821">
        <w:rPr>
          <w:rFonts w:ascii="Times New Roman" w:hAnsi="Times New Roman"/>
          <w:szCs w:val="24"/>
        </w:rPr>
        <w:t>of the trial.</w:t>
      </w:r>
      <w:r w:rsidR="00A91FBA">
        <w:rPr>
          <w:rFonts w:ascii="Times New Roman" w:hAnsi="Times New Roman"/>
          <w:szCs w:val="24"/>
        </w:rPr>
        <w:t xml:space="preserve"> </w:t>
      </w:r>
      <w:r w:rsidR="004D5821">
        <w:rPr>
          <w:rFonts w:ascii="Times New Roman" w:hAnsi="Times New Roman"/>
          <w:szCs w:val="24"/>
        </w:rPr>
        <w:t>However, with the changes made</w:t>
      </w:r>
      <w:r w:rsidR="00684C2C">
        <w:rPr>
          <w:rFonts w:ascii="Times New Roman" w:hAnsi="Times New Roman"/>
          <w:szCs w:val="24"/>
        </w:rPr>
        <w:t xml:space="preserve"> to the </w:t>
      </w:r>
      <w:r w:rsidR="00FC5BD9">
        <w:rPr>
          <w:rFonts w:ascii="Times New Roman" w:hAnsi="Times New Roman"/>
          <w:szCs w:val="24"/>
        </w:rPr>
        <w:t>TC's charging document</w:t>
      </w:r>
      <w:r w:rsidR="00684C2C">
        <w:rPr>
          <w:rFonts w:ascii="Times New Roman" w:hAnsi="Times New Roman"/>
          <w:szCs w:val="24"/>
        </w:rPr>
        <w:t xml:space="preserve">, </w:t>
      </w:r>
      <w:r w:rsidR="00761781">
        <w:rPr>
          <w:rFonts w:ascii="Times New Roman" w:hAnsi="Times New Roman"/>
          <w:szCs w:val="24"/>
        </w:rPr>
        <w:t>prosecutorial discretion's role or influence</w:t>
      </w:r>
      <w:r w:rsidR="00684C2C">
        <w:rPr>
          <w:rFonts w:ascii="Times New Roman" w:hAnsi="Times New Roman"/>
          <w:szCs w:val="24"/>
        </w:rPr>
        <w:t xml:space="preserve"> became unclear.</w:t>
      </w:r>
      <w:r w:rsidR="00A91FBA">
        <w:rPr>
          <w:rFonts w:ascii="Times New Roman" w:hAnsi="Times New Roman"/>
          <w:szCs w:val="24"/>
        </w:rPr>
        <w:t xml:space="preserve"> </w:t>
      </w:r>
      <w:r w:rsidR="00684C2C">
        <w:rPr>
          <w:rFonts w:ascii="Times New Roman" w:hAnsi="Times New Roman"/>
          <w:szCs w:val="24"/>
        </w:rPr>
        <w:t>W</w:t>
      </w:r>
      <w:r w:rsidR="00FC5BD9">
        <w:rPr>
          <w:rFonts w:ascii="Times New Roman" w:hAnsi="Times New Roman"/>
          <w:szCs w:val="24"/>
        </w:rPr>
        <w:t>e have a charging document framed by the judges, which questions the prosecutor's exclusive power in drafting the charges and the implications of the new charges on victims’ interests and</w:t>
      </w:r>
      <w:r w:rsidR="00434A3D">
        <w:rPr>
          <w:rFonts w:ascii="Times New Roman" w:hAnsi="Times New Roman"/>
          <w:szCs w:val="24"/>
        </w:rPr>
        <w:t xml:space="preserve"> the accused.</w:t>
      </w:r>
    </w:p>
    <w:p w14:paraId="364B75E6" w14:textId="2BE4DAD2" w:rsidR="00772CFF" w:rsidRPr="00772CFF" w:rsidRDefault="00772CFF" w:rsidP="005867AA">
      <w:pPr>
        <w:spacing w:line="480" w:lineRule="auto"/>
        <w:jc w:val="both"/>
        <w:rPr>
          <w:rFonts w:ascii="Times New Roman" w:hAnsi="Times New Roman"/>
          <w:szCs w:val="24"/>
        </w:rPr>
      </w:pPr>
      <w:r w:rsidRPr="00772CFF">
        <w:rPr>
          <w:rFonts w:ascii="Times New Roman" w:hAnsi="Times New Roman"/>
          <w:szCs w:val="24"/>
        </w:rPr>
        <w:t xml:space="preserve">In her article, Rigney concluded that the Court secured </w:t>
      </w:r>
      <w:r w:rsidR="00434A3D">
        <w:rPr>
          <w:rFonts w:ascii="Times New Roman" w:hAnsi="Times New Roman"/>
          <w:szCs w:val="24"/>
        </w:rPr>
        <w:t xml:space="preserve">a </w:t>
      </w:r>
      <w:r w:rsidRPr="00772CFF">
        <w:rPr>
          <w:rFonts w:ascii="Times New Roman" w:hAnsi="Times New Roman"/>
          <w:szCs w:val="24"/>
        </w:rPr>
        <w:t>conviction for the prosecution by relegating the rights of the accused</w:t>
      </w:r>
      <w:r w:rsidRPr="00772CFF">
        <w:rPr>
          <w:rFonts w:ascii="Times New Roman" w:hAnsi="Times New Roman"/>
          <w:szCs w:val="24"/>
          <w:vertAlign w:val="superscript"/>
        </w:rPr>
        <w:footnoteReference w:id="416"/>
      </w:r>
      <w:r w:rsidRPr="00772CFF">
        <w:rPr>
          <w:rFonts w:ascii="Times New Roman" w:hAnsi="Times New Roman"/>
          <w:szCs w:val="24"/>
        </w:rPr>
        <w:t xml:space="preserve">: </w:t>
      </w:r>
    </w:p>
    <w:p w14:paraId="07F6CA9B" w14:textId="16867F8E" w:rsidR="00772CFF" w:rsidRPr="00772CFF" w:rsidRDefault="00772CFF" w:rsidP="00214DD5">
      <w:pPr>
        <w:jc w:val="center"/>
        <w:rPr>
          <w:rFonts w:ascii="Times New Roman" w:hAnsi="Times New Roman"/>
          <w:szCs w:val="24"/>
        </w:rPr>
      </w:pPr>
      <w:r w:rsidRPr="00772CFF">
        <w:rPr>
          <w:rFonts w:ascii="Times New Roman" w:hAnsi="Times New Roman"/>
          <w:szCs w:val="24"/>
        </w:rPr>
        <w:lastRenderedPageBreak/>
        <w:t>“</w:t>
      </w:r>
      <w:r w:rsidRPr="00772CFF">
        <w:rPr>
          <w:rFonts w:ascii="Times New Roman" w:hAnsi="Times New Roman"/>
          <w:i/>
          <w:szCs w:val="24"/>
        </w:rPr>
        <w:t xml:space="preserve"> [</w:t>
      </w:r>
      <w:proofErr w:type="spellStart"/>
      <w:r w:rsidRPr="00772CFF">
        <w:rPr>
          <w:rFonts w:ascii="Times New Roman" w:hAnsi="Times New Roman"/>
          <w:i/>
          <w:szCs w:val="24"/>
        </w:rPr>
        <w:t>i</w:t>
      </w:r>
      <w:proofErr w:type="spellEnd"/>
      <w:r w:rsidRPr="00772CFF">
        <w:rPr>
          <w:rFonts w:ascii="Times New Roman" w:hAnsi="Times New Roman"/>
          <w:i/>
          <w:szCs w:val="24"/>
        </w:rPr>
        <w:t>]</w:t>
      </w:r>
      <w:r w:rsidRPr="005867AA">
        <w:rPr>
          <w:rFonts w:ascii="Times New Roman" w:hAnsi="Times New Roman"/>
          <w:szCs w:val="24"/>
        </w:rPr>
        <w:t>n Katanga, the rights of the accused were not considered to be integral</w:t>
      </w:r>
      <w:r w:rsidR="00434A3D">
        <w:rPr>
          <w:rFonts w:ascii="Times New Roman" w:hAnsi="Times New Roman"/>
          <w:szCs w:val="24"/>
        </w:rPr>
        <w:t>,</w:t>
      </w:r>
      <w:r w:rsidRPr="005867AA">
        <w:rPr>
          <w:rFonts w:ascii="Times New Roman" w:hAnsi="Times New Roman"/>
          <w:szCs w:val="24"/>
        </w:rPr>
        <w:t xml:space="preserve"> and the interests of ‘correcting’ the prosecution’s case to ensure conviction w</w:t>
      </w:r>
      <w:r w:rsidR="00B06D72">
        <w:rPr>
          <w:rFonts w:ascii="Times New Roman" w:hAnsi="Times New Roman"/>
          <w:szCs w:val="24"/>
        </w:rPr>
        <w:t>as</w:t>
      </w:r>
      <w:r w:rsidRPr="005867AA">
        <w:rPr>
          <w:rFonts w:ascii="Times New Roman" w:hAnsi="Times New Roman"/>
          <w:szCs w:val="24"/>
        </w:rPr>
        <w:t xml:space="preserve"> given precedence</w:t>
      </w:r>
      <w:r w:rsidR="00434A3D">
        <w:rPr>
          <w:rFonts w:ascii="Times New Roman" w:hAnsi="Times New Roman"/>
          <w:szCs w:val="24"/>
        </w:rPr>
        <w:t>.</w:t>
      </w:r>
      <w:r w:rsidRPr="00772CFF">
        <w:rPr>
          <w:rFonts w:ascii="Times New Roman" w:hAnsi="Times New Roman"/>
          <w:i/>
          <w:szCs w:val="24"/>
        </w:rPr>
        <w:t>”</w:t>
      </w:r>
      <w:r w:rsidRPr="00772CFF">
        <w:rPr>
          <w:rFonts w:ascii="Times New Roman" w:hAnsi="Times New Roman"/>
          <w:i/>
          <w:szCs w:val="24"/>
          <w:vertAlign w:val="superscript"/>
        </w:rPr>
        <w:footnoteReference w:id="417"/>
      </w:r>
    </w:p>
    <w:p w14:paraId="4769BE76" w14:textId="24FA8F06" w:rsidR="0094561A" w:rsidRDefault="00772CFF" w:rsidP="005867AA">
      <w:pPr>
        <w:spacing w:line="480" w:lineRule="auto"/>
        <w:jc w:val="both"/>
        <w:rPr>
          <w:rFonts w:ascii="Times New Roman" w:hAnsi="Times New Roman"/>
          <w:szCs w:val="24"/>
        </w:rPr>
      </w:pPr>
      <w:r w:rsidRPr="00772CFF">
        <w:rPr>
          <w:rFonts w:ascii="Times New Roman" w:hAnsi="Times New Roman"/>
          <w:szCs w:val="24"/>
        </w:rPr>
        <w:t xml:space="preserve">The prosecutor’s original charges could not sustain the conviction of Katanga. Ordinarily, Katanga should have been acquitted by the principle of </w:t>
      </w:r>
      <w:r w:rsidRPr="00772CFF">
        <w:rPr>
          <w:rFonts w:ascii="Times New Roman" w:hAnsi="Times New Roman"/>
          <w:i/>
          <w:szCs w:val="24"/>
        </w:rPr>
        <w:t xml:space="preserve">in </w:t>
      </w:r>
      <w:proofErr w:type="spellStart"/>
      <w:r w:rsidRPr="00772CFF">
        <w:rPr>
          <w:rFonts w:ascii="Times New Roman" w:hAnsi="Times New Roman"/>
          <w:i/>
          <w:szCs w:val="24"/>
        </w:rPr>
        <w:t>dubio</w:t>
      </w:r>
      <w:proofErr w:type="spellEnd"/>
      <w:r w:rsidRPr="00772CFF">
        <w:rPr>
          <w:rFonts w:ascii="Times New Roman" w:hAnsi="Times New Roman"/>
          <w:i/>
          <w:szCs w:val="24"/>
        </w:rPr>
        <w:t xml:space="preserve"> pro re</w:t>
      </w:r>
      <w:r w:rsidRPr="00772CFF">
        <w:rPr>
          <w:rFonts w:ascii="Times New Roman" w:hAnsi="Times New Roman"/>
          <w:szCs w:val="24"/>
        </w:rPr>
        <w:t>.</w:t>
      </w:r>
      <w:r w:rsidR="00A34BB2">
        <w:rPr>
          <w:rFonts w:ascii="Times New Roman" w:hAnsi="Times New Roman"/>
          <w:szCs w:val="24"/>
        </w:rPr>
        <w:t xml:space="preserve"> The Principle of </w:t>
      </w:r>
      <w:r w:rsidR="00A34BB2" w:rsidRPr="00A34BB2">
        <w:rPr>
          <w:rFonts w:ascii="Times New Roman" w:hAnsi="Times New Roman"/>
          <w:i/>
          <w:iCs/>
          <w:szCs w:val="24"/>
        </w:rPr>
        <w:t xml:space="preserve">in </w:t>
      </w:r>
      <w:proofErr w:type="spellStart"/>
      <w:r w:rsidR="00A34BB2" w:rsidRPr="00A34BB2">
        <w:rPr>
          <w:rFonts w:ascii="Times New Roman" w:hAnsi="Times New Roman"/>
          <w:i/>
          <w:iCs/>
          <w:szCs w:val="24"/>
        </w:rPr>
        <w:t>dubio</w:t>
      </w:r>
      <w:proofErr w:type="spellEnd"/>
      <w:r w:rsidR="00A34BB2" w:rsidRPr="00A34BB2">
        <w:rPr>
          <w:rFonts w:ascii="Times New Roman" w:hAnsi="Times New Roman"/>
          <w:i/>
          <w:iCs/>
          <w:szCs w:val="24"/>
        </w:rPr>
        <w:t xml:space="preserve"> pro re</w:t>
      </w:r>
      <w:r w:rsidR="00A34BB2">
        <w:rPr>
          <w:rFonts w:ascii="Times New Roman" w:hAnsi="Times New Roman"/>
          <w:szCs w:val="24"/>
        </w:rPr>
        <w:t xml:space="preserve"> stipulates that the defendant may not be convicted by the court when there are doubts about his guilt</w:t>
      </w:r>
      <w:r w:rsidR="00B06D72">
        <w:rPr>
          <w:rFonts w:ascii="Times New Roman" w:hAnsi="Times New Roman"/>
          <w:szCs w:val="24"/>
        </w:rPr>
        <w:t>.</w:t>
      </w:r>
      <w:r w:rsidR="00B06D72">
        <w:rPr>
          <w:rStyle w:val="FootnoteReference"/>
          <w:rFonts w:ascii="Times New Roman" w:hAnsi="Times New Roman"/>
          <w:szCs w:val="24"/>
        </w:rPr>
        <w:footnoteReference w:id="418"/>
      </w:r>
      <w:r w:rsidR="00A34BB2">
        <w:rPr>
          <w:rFonts w:ascii="Times New Roman" w:hAnsi="Times New Roman"/>
          <w:szCs w:val="24"/>
        </w:rPr>
        <w:t xml:space="preserve"> Thus, to clear all doubts, the case should be resolved in favour of the defendant. </w:t>
      </w:r>
      <w:r w:rsidR="0094561A">
        <w:rPr>
          <w:rFonts w:ascii="Times New Roman" w:hAnsi="Times New Roman"/>
          <w:szCs w:val="24"/>
        </w:rPr>
        <w:t>The presumption of innocence guides criminal prosecution at the ICC</w:t>
      </w:r>
      <w:r w:rsidR="00B06D72">
        <w:rPr>
          <w:rFonts w:ascii="Times New Roman" w:hAnsi="Times New Roman"/>
          <w:szCs w:val="24"/>
        </w:rPr>
        <w:t>.</w:t>
      </w:r>
      <w:r w:rsidR="006549A0">
        <w:rPr>
          <w:rFonts w:ascii="Times New Roman" w:hAnsi="Times New Roman"/>
          <w:szCs w:val="24"/>
        </w:rPr>
        <w:t xml:space="preserve"> The principle of </w:t>
      </w:r>
      <w:r w:rsidR="006549A0" w:rsidRPr="006549A0">
        <w:rPr>
          <w:rFonts w:ascii="Times New Roman" w:hAnsi="Times New Roman"/>
          <w:i/>
          <w:iCs/>
          <w:szCs w:val="24"/>
        </w:rPr>
        <w:t xml:space="preserve">in </w:t>
      </w:r>
      <w:proofErr w:type="spellStart"/>
      <w:r w:rsidR="006549A0" w:rsidRPr="006549A0">
        <w:rPr>
          <w:rFonts w:ascii="Times New Roman" w:hAnsi="Times New Roman"/>
          <w:i/>
          <w:iCs/>
          <w:szCs w:val="24"/>
        </w:rPr>
        <w:t>dubio</w:t>
      </w:r>
      <w:proofErr w:type="spellEnd"/>
      <w:r w:rsidR="006549A0" w:rsidRPr="006549A0">
        <w:rPr>
          <w:rFonts w:ascii="Times New Roman" w:hAnsi="Times New Roman"/>
          <w:i/>
          <w:iCs/>
          <w:szCs w:val="24"/>
        </w:rPr>
        <w:t xml:space="preserve"> pro re</w:t>
      </w:r>
      <w:r w:rsidR="006549A0">
        <w:rPr>
          <w:rFonts w:ascii="Times New Roman" w:hAnsi="Times New Roman"/>
          <w:szCs w:val="24"/>
        </w:rPr>
        <w:t xml:space="preserve"> is entrenched in the human right to the presumption of innocence.</w:t>
      </w:r>
      <w:r w:rsidR="00185CA1">
        <w:rPr>
          <w:rStyle w:val="FootnoteReference"/>
          <w:rFonts w:ascii="Times New Roman" w:hAnsi="Times New Roman"/>
          <w:szCs w:val="24"/>
        </w:rPr>
        <w:footnoteReference w:id="419"/>
      </w:r>
      <w:r w:rsidR="006549A0">
        <w:rPr>
          <w:rFonts w:ascii="Times New Roman" w:hAnsi="Times New Roman"/>
          <w:szCs w:val="24"/>
        </w:rPr>
        <w:t xml:space="preserve"> </w:t>
      </w:r>
      <w:r w:rsidR="00FC5BD9">
        <w:rPr>
          <w:rFonts w:ascii="Times New Roman" w:hAnsi="Times New Roman"/>
          <w:szCs w:val="24"/>
        </w:rPr>
        <w:t>It is possibly</w:t>
      </w:r>
      <w:r w:rsidR="006549A0">
        <w:rPr>
          <w:rFonts w:ascii="Times New Roman" w:hAnsi="Times New Roman"/>
          <w:szCs w:val="24"/>
        </w:rPr>
        <w:t xml:space="preserve"> easier for the prosecution to establish beyond a reasonable doubt the commission of war crimes and crimes against humanity.</w:t>
      </w:r>
    </w:p>
    <w:p w14:paraId="5B3BCE8D" w14:textId="00ABED18" w:rsidR="00DA6F74" w:rsidRDefault="006549A0" w:rsidP="005867AA">
      <w:pPr>
        <w:spacing w:line="480" w:lineRule="auto"/>
        <w:jc w:val="both"/>
        <w:rPr>
          <w:rFonts w:ascii="Times New Roman" w:hAnsi="Times New Roman"/>
          <w:szCs w:val="24"/>
        </w:rPr>
      </w:pPr>
      <w:r>
        <w:rPr>
          <w:rFonts w:ascii="Times New Roman" w:hAnsi="Times New Roman"/>
          <w:szCs w:val="24"/>
        </w:rPr>
        <w:t>Nevertheless,</w:t>
      </w:r>
      <w:r w:rsidR="00B06D72">
        <w:rPr>
          <w:rFonts w:ascii="Times New Roman" w:hAnsi="Times New Roman"/>
          <w:szCs w:val="24"/>
        </w:rPr>
        <w:t xml:space="preserve"> </w:t>
      </w:r>
      <w:r>
        <w:rPr>
          <w:rFonts w:ascii="Times New Roman" w:hAnsi="Times New Roman"/>
          <w:szCs w:val="24"/>
        </w:rPr>
        <w:t xml:space="preserve">the prosecutor might find it challenging to provide sufficient evidence to prove the </w:t>
      </w:r>
      <w:r w:rsidR="00FC5BD9">
        <w:rPr>
          <w:rFonts w:ascii="Times New Roman" w:hAnsi="Times New Roman"/>
          <w:szCs w:val="24"/>
        </w:rPr>
        <w:t>defendant's culpability;</w:t>
      </w:r>
      <w:r w:rsidR="00DA6F74">
        <w:rPr>
          <w:rFonts w:ascii="Times New Roman" w:hAnsi="Times New Roman"/>
          <w:szCs w:val="24"/>
        </w:rPr>
        <w:t xml:space="preserve"> h</w:t>
      </w:r>
      <w:r>
        <w:rPr>
          <w:rFonts w:ascii="Times New Roman" w:hAnsi="Times New Roman"/>
          <w:szCs w:val="24"/>
        </w:rPr>
        <w:t xml:space="preserve">ence, there </w:t>
      </w:r>
      <w:r w:rsidR="00A050E2">
        <w:rPr>
          <w:rFonts w:ascii="Times New Roman" w:hAnsi="Times New Roman"/>
          <w:szCs w:val="24"/>
        </w:rPr>
        <w:t>was no</w:t>
      </w:r>
      <w:r>
        <w:rPr>
          <w:rFonts w:ascii="Times New Roman" w:hAnsi="Times New Roman"/>
          <w:szCs w:val="24"/>
        </w:rPr>
        <w:t xml:space="preserve"> substantial evidence that</w:t>
      </w:r>
      <w:r w:rsidR="00DA6F74">
        <w:rPr>
          <w:rFonts w:ascii="Times New Roman" w:hAnsi="Times New Roman"/>
          <w:szCs w:val="24"/>
        </w:rPr>
        <w:t xml:space="preserve"> established the commission of </w:t>
      </w:r>
      <w:r>
        <w:rPr>
          <w:rFonts w:ascii="Times New Roman" w:hAnsi="Times New Roman"/>
          <w:szCs w:val="24"/>
        </w:rPr>
        <w:t>war crimes and crimes against</w:t>
      </w:r>
      <w:r w:rsidR="00DA6F74">
        <w:rPr>
          <w:rFonts w:ascii="Times New Roman" w:hAnsi="Times New Roman"/>
          <w:szCs w:val="24"/>
        </w:rPr>
        <w:t xml:space="preserve"> humanity.</w:t>
      </w:r>
      <w:r>
        <w:rPr>
          <w:rFonts w:ascii="Times New Roman" w:hAnsi="Times New Roman"/>
          <w:szCs w:val="24"/>
        </w:rPr>
        <w:t xml:space="preserve"> </w:t>
      </w:r>
      <w:r w:rsidR="00DA6F74">
        <w:rPr>
          <w:rFonts w:ascii="Times New Roman" w:hAnsi="Times New Roman"/>
          <w:szCs w:val="24"/>
        </w:rPr>
        <w:t>T</w:t>
      </w:r>
      <w:r>
        <w:rPr>
          <w:rFonts w:ascii="Times New Roman" w:hAnsi="Times New Roman"/>
          <w:szCs w:val="24"/>
        </w:rPr>
        <w:t>here might be insufficient evidence to prove the individual responsibility of the defendant.</w:t>
      </w:r>
      <w:r w:rsidR="009E69A9">
        <w:rPr>
          <w:rFonts w:ascii="Times New Roman" w:hAnsi="Times New Roman"/>
          <w:szCs w:val="24"/>
        </w:rPr>
        <w:t xml:space="preserve"> </w:t>
      </w:r>
      <w:r w:rsidR="00B06D72">
        <w:rPr>
          <w:rFonts w:ascii="Times New Roman" w:hAnsi="Times New Roman"/>
          <w:szCs w:val="24"/>
        </w:rPr>
        <w:t>The evidence must be convincing and sufficient</w:t>
      </w:r>
      <w:r w:rsidR="00DA6F74">
        <w:rPr>
          <w:rFonts w:ascii="Times New Roman" w:hAnsi="Times New Roman"/>
          <w:szCs w:val="24"/>
        </w:rPr>
        <w:t>, beyond a reasonable doubt.</w:t>
      </w:r>
      <w:r w:rsidR="00B06D72">
        <w:rPr>
          <w:rFonts w:ascii="Times New Roman" w:hAnsi="Times New Roman"/>
          <w:szCs w:val="24"/>
        </w:rPr>
        <w:t xml:space="preserve"> Anything short </w:t>
      </w:r>
      <w:r w:rsidR="00B06D72">
        <w:rPr>
          <w:rFonts w:ascii="Times New Roman" w:hAnsi="Times New Roman"/>
          <w:szCs w:val="24"/>
        </w:rPr>
        <w:lastRenderedPageBreak/>
        <w:t xml:space="preserve">of adequate evidence to establish the </w:t>
      </w:r>
      <w:r w:rsidR="00FC5BD9">
        <w:rPr>
          <w:rFonts w:ascii="Times New Roman" w:hAnsi="Times New Roman"/>
          <w:szCs w:val="24"/>
        </w:rPr>
        <w:t>defendant's guil</w:t>
      </w:r>
      <w:r w:rsidR="00B06D72">
        <w:rPr>
          <w:rFonts w:ascii="Times New Roman" w:hAnsi="Times New Roman"/>
          <w:szCs w:val="24"/>
        </w:rPr>
        <w:t xml:space="preserve">t could question the </w:t>
      </w:r>
      <w:r w:rsidR="006D035B">
        <w:rPr>
          <w:rFonts w:ascii="Times New Roman" w:hAnsi="Times New Roman"/>
          <w:szCs w:val="24"/>
        </w:rPr>
        <w:t>court's integrity and legitimacy</w:t>
      </w:r>
      <w:r w:rsidR="00B06D72">
        <w:rPr>
          <w:rFonts w:ascii="Times New Roman" w:hAnsi="Times New Roman"/>
          <w:szCs w:val="24"/>
        </w:rPr>
        <w:t>.</w:t>
      </w:r>
      <w:r w:rsidR="00CB57C1">
        <w:rPr>
          <w:rFonts w:ascii="Times New Roman" w:hAnsi="Times New Roman"/>
          <w:szCs w:val="24"/>
        </w:rPr>
        <w:t xml:space="preserve"> Since the </w:t>
      </w:r>
      <w:r w:rsidR="006D035B">
        <w:rPr>
          <w:rFonts w:ascii="Times New Roman" w:hAnsi="Times New Roman"/>
          <w:szCs w:val="24"/>
        </w:rPr>
        <w:t>accused's freedom</w:t>
      </w:r>
      <w:r w:rsidR="00CB57C1">
        <w:rPr>
          <w:rFonts w:ascii="Times New Roman" w:hAnsi="Times New Roman"/>
          <w:szCs w:val="24"/>
        </w:rPr>
        <w:t xml:space="preserve"> is at stake during criminal trials, the odds should be resolved in his favour; acquittal of the accused </w:t>
      </w:r>
      <w:r w:rsidR="00CE3D23">
        <w:rPr>
          <w:rFonts w:ascii="Times New Roman" w:hAnsi="Times New Roman"/>
          <w:szCs w:val="24"/>
        </w:rPr>
        <w:t xml:space="preserve">does not indicate </w:t>
      </w:r>
      <w:r w:rsidR="00FC5BD9">
        <w:rPr>
          <w:rFonts w:ascii="Times New Roman" w:hAnsi="Times New Roman"/>
          <w:szCs w:val="24"/>
        </w:rPr>
        <w:t>justice's circumvention</w:t>
      </w:r>
      <w:r w:rsidR="00CB57C1">
        <w:rPr>
          <w:rFonts w:ascii="Times New Roman" w:hAnsi="Times New Roman"/>
          <w:szCs w:val="24"/>
        </w:rPr>
        <w:t>.</w:t>
      </w:r>
      <w:r w:rsidR="00772CFF" w:rsidRPr="00772CFF">
        <w:rPr>
          <w:rFonts w:ascii="Times New Roman" w:hAnsi="Times New Roman"/>
          <w:szCs w:val="24"/>
        </w:rPr>
        <w:t xml:space="preserve"> Arguably, it appears the court was not willing to repeat what happened in </w:t>
      </w:r>
      <w:proofErr w:type="spellStart"/>
      <w:r w:rsidR="00772CFF" w:rsidRPr="00772CFF">
        <w:rPr>
          <w:rFonts w:ascii="Times New Roman" w:hAnsi="Times New Roman"/>
          <w:szCs w:val="24"/>
        </w:rPr>
        <w:t>Ngudjolo’s</w:t>
      </w:r>
      <w:proofErr w:type="spellEnd"/>
      <w:r w:rsidR="00772CFF" w:rsidRPr="00772CFF">
        <w:rPr>
          <w:rFonts w:ascii="Times New Roman" w:hAnsi="Times New Roman"/>
          <w:szCs w:val="24"/>
        </w:rPr>
        <w:t xml:space="preserve"> case-inadequate evidence</w:t>
      </w:r>
      <w:r w:rsidR="00434A3D">
        <w:rPr>
          <w:rFonts w:ascii="Times New Roman" w:hAnsi="Times New Roman"/>
          <w:szCs w:val="24"/>
        </w:rPr>
        <w:t xml:space="preserve">. </w:t>
      </w:r>
      <w:r w:rsidR="00924CD4">
        <w:rPr>
          <w:rFonts w:ascii="Times New Roman" w:hAnsi="Times New Roman"/>
          <w:szCs w:val="24"/>
        </w:rPr>
        <w:t>Therefore,</w:t>
      </w:r>
      <w:r w:rsidR="00772CFF" w:rsidRPr="00772CFF">
        <w:rPr>
          <w:rFonts w:ascii="Times New Roman" w:hAnsi="Times New Roman"/>
          <w:szCs w:val="24"/>
        </w:rPr>
        <w:t xml:space="preserve"> the Court introduced new charges and liability to fill the impunity gap and ensure </w:t>
      </w:r>
      <w:r w:rsidR="006D035B">
        <w:rPr>
          <w:rFonts w:ascii="Times New Roman" w:hAnsi="Times New Roman"/>
          <w:szCs w:val="24"/>
        </w:rPr>
        <w:t>victims' justice</w:t>
      </w:r>
      <w:r w:rsidR="00772CFF" w:rsidRPr="00772CFF">
        <w:rPr>
          <w:rFonts w:ascii="Times New Roman" w:hAnsi="Times New Roman"/>
          <w:szCs w:val="24"/>
        </w:rPr>
        <w:t xml:space="preserve">. </w:t>
      </w:r>
    </w:p>
    <w:p w14:paraId="21C74BD1" w14:textId="16144D9F" w:rsidR="00772CFF" w:rsidRPr="00772CFF" w:rsidRDefault="00772CFF" w:rsidP="005867AA">
      <w:pPr>
        <w:spacing w:line="480" w:lineRule="auto"/>
        <w:jc w:val="both"/>
        <w:rPr>
          <w:rFonts w:ascii="Times New Roman" w:hAnsi="Times New Roman"/>
          <w:szCs w:val="24"/>
        </w:rPr>
      </w:pPr>
      <w:r w:rsidRPr="00772CFF">
        <w:rPr>
          <w:rFonts w:ascii="Times New Roman" w:hAnsi="Times New Roman"/>
          <w:szCs w:val="24"/>
        </w:rPr>
        <w:t xml:space="preserve">The conviction of Katanga highlights the pressure on the Court to uphold the rights of the accused persons, the </w:t>
      </w:r>
      <w:r w:rsidR="00FC5BD9">
        <w:rPr>
          <w:rFonts w:ascii="Times New Roman" w:hAnsi="Times New Roman"/>
          <w:szCs w:val="24"/>
        </w:rPr>
        <w:t>prosecutor's role</w:t>
      </w:r>
      <w:r w:rsidRPr="00772CFF">
        <w:rPr>
          <w:rFonts w:ascii="Times New Roman" w:hAnsi="Times New Roman"/>
          <w:szCs w:val="24"/>
        </w:rPr>
        <w:t xml:space="preserve"> in drafting charges</w:t>
      </w:r>
      <w:r w:rsidR="00BA489B">
        <w:rPr>
          <w:rFonts w:ascii="Times New Roman" w:hAnsi="Times New Roman"/>
          <w:szCs w:val="24"/>
        </w:rPr>
        <w:t>, and victims' ability</w:t>
      </w:r>
      <w:r w:rsidRPr="00772CFF">
        <w:rPr>
          <w:rFonts w:ascii="Times New Roman" w:hAnsi="Times New Roman"/>
          <w:szCs w:val="24"/>
        </w:rPr>
        <w:t xml:space="preserve"> to obtain justice.</w:t>
      </w:r>
      <w:r w:rsidR="00A43B28">
        <w:rPr>
          <w:rFonts w:ascii="Times New Roman" w:hAnsi="Times New Roman"/>
          <w:szCs w:val="24"/>
        </w:rPr>
        <w:t xml:space="preserve"> </w:t>
      </w:r>
      <w:r w:rsidR="00434A3D">
        <w:rPr>
          <w:rFonts w:ascii="Times New Roman" w:hAnsi="Times New Roman"/>
          <w:szCs w:val="24"/>
        </w:rPr>
        <w:t>I</w:t>
      </w:r>
      <w:r w:rsidRPr="00772CFF">
        <w:rPr>
          <w:rFonts w:ascii="Times New Roman" w:hAnsi="Times New Roman"/>
          <w:szCs w:val="24"/>
        </w:rPr>
        <w:t>t could be argued that victims</w:t>
      </w:r>
      <w:r w:rsidR="00B371E2">
        <w:rPr>
          <w:rFonts w:ascii="Times New Roman" w:hAnsi="Times New Roman"/>
          <w:szCs w:val="24"/>
        </w:rPr>
        <w:t>’</w:t>
      </w:r>
      <w:r w:rsidRPr="00772CFF">
        <w:rPr>
          <w:rFonts w:ascii="Times New Roman" w:hAnsi="Times New Roman"/>
          <w:szCs w:val="24"/>
        </w:rPr>
        <w:t xml:space="preserve"> interests and claim for justice </w:t>
      </w:r>
      <w:r w:rsidR="00434A3D">
        <w:rPr>
          <w:rFonts w:ascii="Times New Roman" w:hAnsi="Times New Roman"/>
          <w:szCs w:val="24"/>
        </w:rPr>
        <w:t>are</w:t>
      </w:r>
      <w:r w:rsidRPr="00772CFF">
        <w:rPr>
          <w:rFonts w:ascii="Times New Roman" w:hAnsi="Times New Roman"/>
          <w:szCs w:val="24"/>
        </w:rPr>
        <w:t xml:space="preserve"> not always the focal point during th</w:t>
      </w:r>
      <w:r w:rsidR="00434A3D">
        <w:rPr>
          <w:rFonts w:ascii="Times New Roman" w:hAnsi="Times New Roman"/>
          <w:szCs w:val="24"/>
        </w:rPr>
        <w:t>ese</w:t>
      </w:r>
      <w:r w:rsidRPr="00772CFF">
        <w:rPr>
          <w:rFonts w:ascii="Times New Roman" w:hAnsi="Times New Roman"/>
          <w:szCs w:val="24"/>
        </w:rPr>
        <w:t xml:space="preserve"> </w:t>
      </w:r>
      <w:r w:rsidR="00434A3D">
        <w:rPr>
          <w:rFonts w:ascii="Times New Roman" w:hAnsi="Times New Roman"/>
          <w:szCs w:val="24"/>
        </w:rPr>
        <w:t>proceedings</w:t>
      </w:r>
      <w:r w:rsidRPr="00772CFF">
        <w:rPr>
          <w:rFonts w:ascii="Times New Roman" w:hAnsi="Times New Roman"/>
          <w:szCs w:val="24"/>
        </w:rPr>
        <w:t>.</w:t>
      </w:r>
    </w:p>
    <w:p w14:paraId="4AB79E7F" w14:textId="19CD374C" w:rsidR="009F414D" w:rsidRDefault="00F617F7" w:rsidP="005867AA">
      <w:pPr>
        <w:spacing w:line="480" w:lineRule="auto"/>
        <w:jc w:val="both"/>
        <w:rPr>
          <w:rFonts w:ascii="Times New Roman" w:hAnsi="Times New Roman"/>
          <w:szCs w:val="24"/>
        </w:rPr>
      </w:pPr>
      <w:r>
        <w:rPr>
          <w:rFonts w:ascii="Times New Roman" w:hAnsi="Times New Roman"/>
          <w:szCs w:val="24"/>
        </w:rPr>
        <w:t>Moreover,</w:t>
      </w:r>
      <w:r w:rsidR="00434A3D">
        <w:rPr>
          <w:rFonts w:ascii="Times New Roman" w:hAnsi="Times New Roman"/>
          <w:szCs w:val="24"/>
        </w:rPr>
        <w:t xml:space="preserve"> </w:t>
      </w:r>
      <w:r>
        <w:rPr>
          <w:rFonts w:ascii="Times New Roman" w:hAnsi="Times New Roman"/>
          <w:szCs w:val="24"/>
        </w:rPr>
        <w:t>t</w:t>
      </w:r>
      <w:r w:rsidR="00772CFF" w:rsidRPr="00772CFF">
        <w:rPr>
          <w:rFonts w:ascii="Times New Roman" w:hAnsi="Times New Roman"/>
          <w:szCs w:val="24"/>
        </w:rPr>
        <w:t xml:space="preserve">he Katanga case brings to our attention the battle of supremacy between the </w:t>
      </w:r>
      <w:r w:rsidR="00FC5BD9">
        <w:rPr>
          <w:rFonts w:ascii="Times New Roman" w:hAnsi="Times New Roman"/>
          <w:szCs w:val="24"/>
        </w:rPr>
        <w:t>accused's rights</w:t>
      </w:r>
      <w:r w:rsidR="00772CFF" w:rsidRPr="00772CFF">
        <w:rPr>
          <w:rFonts w:ascii="Times New Roman" w:hAnsi="Times New Roman"/>
          <w:szCs w:val="24"/>
        </w:rPr>
        <w:t xml:space="preserve"> and securing a conviction. The fairness of procedure for the accused is questionable</w:t>
      </w:r>
      <w:r w:rsidR="007940D2">
        <w:rPr>
          <w:rFonts w:ascii="Times New Roman" w:hAnsi="Times New Roman"/>
          <w:szCs w:val="24"/>
        </w:rPr>
        <w:t>,</w:t>
      </w:r>
      <w:r w:rsidR="00772CFF" w:rsidRPr="00772CFF">
        <w:rPr>
          <w:rFonts w:ascii="Times New Roman" w:hAnsi="Times New Roman"/>
          <w:szCs w:val="24"/>
        </w:rPr>
        <w:t xml:space="preserve"> but the </w:t>
      </w:r>
      <w:r w:rsidR="00FC5BD9">
        <w:rPr>
          <w:rFonts w:ascii="Times New Roman" w:hAnsi="Times New Roman"/>
          <w:szCs w:val="24"/>
        </w:rPr>
        <w:t>victims' interest</w:t>
      </w:r>
      <w:r w:rsidR="00772CFF" w:rsidRPr="00772CFF">
        <w:rPr>
          <w:rFonts w:ascii="Times New Roman" w:hAnsi="Times New Roman"/>
          <w:szCs w:val="24"/>
        </w:rPr>
        <w:t>s w</w:t>
      </w:r>
      <w:r w:rsidR="007940D2">
        <w:rPr>
          <w:rFonts w:ascii="Times New Roman" w:hAnsi="Times New Roman"/>
          <w:szCs w:val="24"/>
        </w:rPr>
        <w:t>ere</w:t>
      </w:r>
      <w:r w:rsidR="00772CFF" w:rsidRPr="00772CFF">
        <w:rPr>
          <w:rFonts w:ascii="Times New Roman" w:hAnsi="Times New Roman"/>
          <w:szCs w:val="24"/>
        </w:rPr>
        <w:t xml:space="preserve"> not in dispute here. It remains uncert</w:t>
      </w:r>
      <w:r>
        <w:rPr>
          <w:rFonts w:ascii="Times New Roman" w:hAnsi="Times New Roman"/>
          <w:szCs w:val="24"/>
        </w:rPr>
        <w:t>ain if Katanga’s conviction indicates</w:t>
      </w:r>
      <w:r w:rsidR="00772CFF" w:rsidRPr="00772CFF">
        <w:rPr>
          <w:rFonts w:ascii="Times New Roman" w:hAnsi="Times New Roman"/>
          <w:szCs w:val="24"/>
        </w:rPr>
        <w:t xml:space="preserve"> justice</w:t>
      </w:r>
      <w:r>
        <w:rPr>
          <w:rFonts w:ascii="Times New Roman" w:hAnsi="Times New Roman"/>
          <w:szCs w:val="24"/>
        </w:rPr>
        <w:t xml:space="preserve"> for victims</w:t>
      </w:r>
      <w:r w:rsidR="00772CFF" w:rsidRPr="00772CFF">
        <w:rPr>
          <w:rFonts w:ascii="Times New Roman" w:hAnsi="Times New Roman"/>
          <w:szCs w:val="24"/>
        </w:rPr>
        <w:t>.</w:t>
      </w:r>
      <w:r w:rsidR="007940D2">
        <w:rPr>
          <w:rFonts w:ascii="Times New Roman" w:hAnsi="Times New Roman"/>
          <w:szCs w:val="24"/>
        </w:rPr>
        <w:t xml:space="preserve"> </w:t>
      </w:r>
      <w:r w:rsidR="00772CFF" w:rsidRPr="00772CFF">
        <w:rPr>
          <w:rFonts w:ascii="Times New Roman" w:hAnsi="Times New Roman"/>
          <w:szCs w:val="24"/>
        </w:rPr>
        <w:t>If we go by Goldstone’s words, “</w:t>
      </w:r>
      <w:r w:rsidR="00772CFF" w:rsidRPr="00691AEB">
        <w:rPr>
          <w:rFonts w:ascii="Times New Roman" w:hAnsi="Times New Roman"/>
          <w:szCs w:val="24"/>
        </w:rPr>
        <w:t>the fairness of any criminal justice system must be judged by acquittals and not by convictions […]Acquittals do not necessarily follow from any inadequacies in the office of the prosecutor</w:t>
      </w:r>
      <w:r w:rsidR="00772CFF" w:rsidRPr="00772CFF">
        <w:rPr>
          <w:rFonts w:ascii="Times New Roman" w:hAnsi="Times New Roman"/>
          <w:szCs w:val="24"/>
        </w:rPr>
        <w:t>. ”</w:t>
      </w:r>
      <w:r w:rsidR="00772CFF" w:rsidRPr="00772CFF">
        <w:rPr>
          <w:rFonts w:ascii="Times New Roman" w:hAnsi="Times New Roman"/>
          <w:szCs w:val="24"/>
          <w:vertAlign w:val="superscript"/>
        </w:rPr>
        <w:footnoteReference w:id="420"/>
      </w:r>
      <w:r w:rsidR="00772CFF" w:rsidRPr="00772CFF">
        <w:rPr>
          <w:rFonts w:ascii="Times New Roman" w:hAnsi="Times New Roman"/>
          <w:szCs w:val="24"/>
        </w:rPr>
        <w:t xml:space="preserve"> From the first lap of Goldstone’s words, arguably,</w:t>
      </w:r>
      <w:r w:rsidR="00B371E2">
        <w:rPr>
          <w:rFonts w:ascii="Times New Roman" w:hAnsi="Times New Roman"/>
          <w:szCs w:val="24"/>
        </w:rPr>
        <w:t xml:space="preserve"> </w:t>
      </w:r>
      <w:r w:rsidR="00772CFF" w:rsidRPr="00772CFF">
        <w:rPr>
          <w:rFonts w:ascii="Times New Roman" w:hAnsi="Times New Roman"/>
          <w:szCs w:val="24"/>
        </w:rPr>
        <w:t>based on insufficient evidence to prove the original charges against Katanga, the Chamber could have acquitted him.</w:t>
      </w:r>
    </w:p>
    <w:p w14:paraId="75B44A8B" w14:textId="5628E2CE" w:rsidR="00772CFF" w:rsidRPr="00772CFF" w:rsidRDefault="00772CFF" w:rsidP="005867AA">
      <w:pPr>
        <w:spacing w:line="480" w:lineRule="auto"/>
        <w:jc w:val="both"/>
        <w:rPr>
          <w:rFonts w:ascii="Times New Roman" w:hAnsi="Times New Roman"/>
          <w:szCs w:val="24"/>
        </w:rPr>
      </w:pPr>
      <w:r w:rsidRPr="00772CFF">
        <w:rPr>
          <w:rFonts w:ascii="Times New Roman" w:hAnsi="Times New Roman"/>
          <w:szCs w:val="24"/>
        </w:rPr>
        <w:lastRenderedPageBreak/>
        <w:t>On the other hand,  the submission in the last lap is flawed.</w:t>
      </w:r>
      <w:r w:rsidR="00923452">
        <w:rPr>
          <w:rFonts w:ascii="Times New Roman" w:hAnsi="Times New Roman"/>
          <w:szCs w:val="24"/>
        </w:rPr>
        <w:t xml:space="preserve"> </w:t>
      </w:r>
      <w:r w:rsidRPr="00772CFF">
        <w:rPr>
          <w:rFonts w:ascii="Times New Roman" w:hAnsi="Times New Roman"/>
          <w:szCs w:val="24"/>
        </w:rPr>
        <w:t>It is the responsibility of the Prosecutor to gather evidence. Presumably</w:t>
      </w:r>
      <w:r w:rsidR="00923452">
        <w:rPr>
          <w:rFonts w:ascii="Times New Roman" w:hAnsi="Times New Roman"/>
          <w:szCs w:val="24"/>
        </w:rPr>
        <w:t>,</w:t>
      </w:r>
      <w:r w:rsidRPr="00772CFF">
        <w:rPr>
          <w:rFonts w:ascii="Times New Roman" w:hAnsi="Times New Roman"/>
          <w:szCs w:val="24"/>
        </w:rPr>
        <w:t xml:space="preserve"> where there is no sufficient evidence, he could have been released on </w:t>
      </w:r>
      <w:r w:rsidR="00923452">
        <w:rPr>
          <w:rFonts w:ascii="Times New Roman" w:hAnsi="Times New Roman"/>
          <w:szCs w:val="24"/>
        </w:rPr>
        <w:t xml:space="preserve">the </w:t>
      </w:r>
      <w:r w:rsidRPr="00772CFF">
        <w:rPr>
          <w:rFonts w:ascii="Times New Roman" w:hAnsi="Times New Roman"/>
          <w:szCs w:val="24"/>
        </w:rPr>
        <w:t xml:space="preserve">presumption of innocence. However, it is not reasonable for an accused to be released based on inadequacy in the </w:t>
      </w:r>
      <w:r w:rsidR="00FC5BD9">
        <w:rPr>
          <w:rFonts w:ascii="Times New Roman" w:hAnsi="Times New Roman"/>
          <w:szCs w:val="24"/>
        </w:rPr>
        <w:t>prosecutor's Office</w:t>
      </w:r>
      <w:r w:rsidR="00F617F7">
        <w:rPr>
          <w:rFonts w:ascii="Times New Roman" w:hAnsi="Times New Roman"/>
          <w:szCs w:val="24"/>
        </w:rPr>
        <w:t>.</w:t>
      </w:r>
      <w:r w:rsidR="00923452">
        <w:rPr>
          <w:rFonts w:ascii="Times New Roman" w:hAnsi="Times New Roman"/>
          <w:szCs w:val="24"/>
        </w:rPr>
        <w:t xml:space="preserve"> </w:t>
      </w:r>
      <w:r w:rsidR="00F617F7">
        <w:rPr>
          <w:rFonts w:ascii="Times New Roman" w:hAnsi="Times New Roman"/>
          <w:szCs w:val="24"/>
        </w:rPr>
        <w:t>What is the fate of victims</w:t>
      </w:r>
      <w:r w:rsidRPr="00772CFF">
        <w:rPr>
          <w:rFonts w:ascii="Times New Roman" w:hAnsi="Times New Roman"/>
          <w:szCs w:val="24"/>
        </w:rPr>
        <w:t>?</w:t>
      </w:r>
    </w:p>
    <w:p w14:paraId="209CAA7D" w14:textId="7DCC286D" w:rsidR="00792B15" w:rsidRDefault="006F53BA" w:rsidP="005867AA">
      <w:pPr>
        <w:spacing w:line="480" w:lineRule="auto"/>
        <w:jc w:val="both"/>
        <w:rPr>
          <w:rFonts w:ascii="Times New Roman" w:hAnsi="Times New Roman"/>
          <w:szCs w:val="24"/>
        </w:rPr>
      </w:pPr>
      <w:r w:rsidRPr="00772CFF">
        <w:rPr>
          <w:rFonts w:ascii="Times New Roman" w:hAnsi="Times New Roman"/>
          <w:szCs w:val="24"/>
        </w:rPr>
        <w:t xml:space="preserve">While one could argue that this legal characterisation of the </w:t>
      </w:r>
      <w:r w:rsidR="00923452">
        <w:rPr>
          <w:rFonts w:ascii="Times New Roman" w:hAnsi="Times New Roman"/>
          <w:szCs w:val="24"/>
        </w:rPr>
        <w:t>facts</w:t>
      </w:r>
      <w:r w:rsidRPr="00772CFF">
        <w:rPr>
          <w:rFonts w:ascii="Times New Roman" w:hAnsi="Times New Roman"/>
          <w:szCs w:val="24"/>
        </w:rPr>
        <w:t xml:space="preserve"> impacted </w:t>
      </w:r>
      <w:r w:rsidR="00AA2F5D">
        <w:rPr>
          <w:rFonts w:ascii="Times New Roman" w:hAnsi="Times New Roman"/>
          <w:szCs w:val="24"/>
        </w:rPr>
        <w:t xml:space="preserve">Katanga’s rights to a fair trial, Whiting’s </w:t>
      </w:r>
      <w:r w:rsidRPr="00772CFF">
        <w:rPr>
          <w:rFonts w:ascii="Times New Roman" w:hAnsi="Times New Roman"/>
          <w:szCs w:val="24"/>
        </w:rPr>
        <w:t>opinion</w:t>
      </w:r>
      <w:r w:rsidR="00AA2F5D">
        <w:rPr>
          <w:rFonts w:ascii="Times New Roman" w:hAnsi="Times New Roman"/>
          <w:szCs w:val="24"/>
        </w:rPr>
        <w:t xml:space="preserve"> is contrary</w:t>
      </w:r>
      <w:r w:rsidRPr="00772CFF">
        <w:rPr>
          <w:rFonts w:ascii="Times New Roman" w:hAnsi="Times New Roman"/>
          <w:szCs w:val="24"/>
        </w:rPr>
        <w:t>.</w:t>
      </w:r>
      <w:r w:rsidR="00923452">
        <w:rPr>
          <w:rFonts w:ascii="Times New Roman" w:hAnsi="Times New Roman"/>
          <w:szCs w:val="24"/>
        </w:rPr>
        <w:t xml:space="preserve"> </w:t>
      </w:r>
      <w:r w:rsidRPr="00772CFF">
        <w:rPr>
          <w:rFonts w:ascii="Times New Roman" w:hAnsi="Times New Roman"/>
          <w:szCs w:val="24"/>
        </w:rPr>
        <w:t xml:space="preserve">Whiting </w:t>
      </w:r>
      <w:r w:rsidR="00703791">
        <w:rPr>
          <w:rFonts w:ascii="Times New Roman" w:hAnsi="Times New Roman"/>
          <w:szCs w:val="24"/>
        </w:rPr>
        <w:t>contend</w:t>
      </w:r>
      <w:r w:rsidRPr="00772CFF">
        <w:rPr>
          <w:rFonts w:ascii="Times New Roman" w:hAnsi="Times New Roman"/>
          <w:szCs w:val="24"/>
        </w:rPr>
        <w:t xml:space="preserve">s that the legal </w:t>
      </w:r>
      <w:r w:rsidR="00703791">
        <w:rPr>
          <w:rFonts w:ascii="Times New Roman" w:hAnsi="Times New Roman"/>
          <w:szCs w:val="24"/>
        </w:rPr>
        <w:t>descrip</w:t>
      </w:r>
      <w:r w:rsidRPr="00772CFF">
        <w:rPr>
          <w:rFonts w:ascii="Times New Roman" w:hAnsi="Times New Roman"/>
          <w:szCs w:val="24"/>
        </w:rPr>
        <w:t>tion of facts and the change of Katanga’s mode of Liability had no impact on Katanga’s conviction.</w:t>
      </w:r>
      <w:r w:rsidR="00792B15">
        <w:rPr>
          <w:rFonts w:ascii="Times New Roman" w:hAnsi="Times New Roman"/>
          <w:szCs w:val="24"/>
        </w:rPr>
        <w:t xml:space="preserve"> </w:t>
      </w:r>
      <w:r w:rsidR="0012272D">
        <w:rPr>
          <w:rFonts w:ascii="Times New Roman" w:hAnsi="Times New Roman"/>
          <w:szCs w:val="24"/>
        </w:rPr>
        <w:t>According to Vos, if Katanga had been tried under the original charges drafted by the Prosecutor and the initial mode of liability</w:t>
      </w:r>
      <w:r w:rsidRPr="00772CFF">
        <w:rPr>
          <w:rFonts w:ascii="Times New Roman" w:hAnsi="Times New Roman"/>
          <w:szCs w:val="24"/>
        </w:rPr>
        <w:t>, the charged mode of liability could not warrant a conviction for the crimes committed by Katanga.</w:t>
      </w:r>
      <w:r w:rsidR="00923452">
        <w:rPr>
          <w:rFonts w:ascii="Times New Roman" w:hAnsi="Times New Roman"/>
          <w:szCs w:val="24"/>
        </w:rPr>
        <w:t xml:space="preserve"> </w:t>
      </w:r>
      <w:r w:rsidR="00703791">
        <w:rPr>
          <w:rFonts w:ascii="Times New Roman" w:hAnsi="Times New Roman"/>
          <w:szCs w:val="24"/>
        </w:rPr>
        <w:t>T</w:t>
      </w:r>
      <w:r w:rsidRPr="00772CFF">
        <w:rPr>
          <w:rFonts w:ascii="Times New Roman" w:hAnsi="Times New Roman"/>
          <w:szCs w:val="24"/>
        </w:rPr>
        <w:t>he TC had to change the liability to fit the charges</w:t>
      </w:r>
      <w:r w:rsidR="0012272D">
        <w:rPr>
          <w:rFonts w:ascii="Times New Roman" w:hAnsi="Times New Roman"/>
          <w:szCs w:val="24"/>
        </w:rPr>
        <w:t xml:space="preserve"> while giving</w:t>
      </w:r>
      <w:r w:rsidRPr="00772CFF">
        <w:rPr>
          <w:rFonts w:ascii="Times New Roman" w:hAnsi="Times New Roman"/>
          <w:szCs w:val="24"/>
        </w:rPr>
        <w:t xml:space="preserve"> the Defence notice and opportunity to be heard.</w:t>
      </w:r>
      <w:r w:rsidRPr="00772CFF">
        <w:rPr>
          <w:rFonts w:ascii="Times New Roman" w:hAnsi="Times New Roman"/>
          <w:szCs w:val="24"/>
          <w:vertAlign w:val="superscript"/>
        </w:rPr>
        <w:footnoteReference w:id="421"/>
      </w:r>
      <w:r w:rsidRPr="00772CFF">
        <w:rPr>
          <w:rFonts w:ascii="Times New Roman" w:hAnsi="Times New Roman"/>
          <w:szCs w:val="24"/>
        </w:rPr>
        <w:t>Whiting aver</w:t>
      </w:r>
      <w:r w:rsidR="00923452">
        <w:rPr>
          <w:rFonts w:ascii="Times New Roman" w:hAnsi="Times New Roman"/>
          <w:szCs w:val="24"/>
        </w:rPr>
        <w:t>s</w:t>
      </w:r>
      <w:r w:rsidRPr="00772CFF">
        <w:rPr>
          <w:rFonts w:ascii="Times New Roman" w:hAnsi="Times New Roman"/>
          <w:szCs w:val="24"/>
        </w:rPr>
        <w:t xml:space="preserve"> that the Defence was aware that it was within the </w:t>
      </w:r>
      <w:r w:rsidR="00703791">
        <w:rPr>
          <w:rFonts w:ascii="Times New Roman" w:hAnsi="Times New Roman"/>
          <w:szCs w:val="24"/>
        </w:rPr>
        <w:t>TC's prerogative</w:t>
      </w:r>
      <w:r w:rsidRPr="00772CFF">
        <w:rPr>
          <w:rFonts w:ascii="Times New Roman" w:hAnsi="Times New Roman"/>
          <w:szCs w:val="24"/>
        </w:rPr>
        <w:t xml:space="preserve"> to use this approach.</w:t>
      </w:r>
      <w:r w:rsidRPr="00772CFF">
        <w:rPr>
          <w:rFonts w:ascii="Times New Roman" w:hAnsi="Times New Roman"/>
          <w:szCs w:val="24"/>
          <w:vertAlign w:val="superscript"/>
        </w:rPr>
        <w:footnoteReference w:id="422"/>
      </w:r>
      <w:r w:rsidRPr="00772CFF">
        <w:rPr>
          <w:rFonts w:ascii="Times New Roman" w:hAnsi="Times New Roman"/>
          <w:szCs w:val="24"/>
        </w:rPr>
        <w:t>Whiting’s argument seemed flawed because the Prosecutor ha</w:t>
      </w:r>
      <w:r w:rsidR="009F414D">
        <w:rPr>
          <w:rFonts w:ascii="Times New Roman" w:hAnsi="Times New Roman"/>
          <w:szCs w:val="24"/>
        </w:rPr>
        <w:t>d</w:t>
      </w:r>
      <w:r w:rsidRPr="00772CFF">
        <w:rPr>
          <w:rFonts w:ascii="Times New Roman" w:hAnsi="Times New Roman"/>
          <w:szCs w:val="24"/>
        </w:rPr>
        <w:t xml:space="preserve"> the exclusive power to draft and amend charges</w:t>
      </w:r>
      <w:r w:rsidR="00923452">
        <w:rPr>
          <w:rFonts w:ascii="Times New Roman" w:hAnsi="Times New Roman"/>
          <w:szCs w:val="24"/>
        </w:rPr>
        <w:t>;</w:t>
      </w:r>
      <w:r w:rsidRPr="00772CFF">
        <w:rPr>
          <w:rFonts w:ascii="Times New Roman" w:hAnsi="Times New Roman"/>
          <w:szCs w:val="24"/>
        </w:rPr>
        <w:t xml:space="preserve"> the change effected by TC is equal to hijacking the Prosecutor’s power. The AC’s decision in the legal re-</w:t>
      </w:r>
      <w:r w:rsidRPr="00772CFF">
        <w:rPr>
          <w:rFonts w:ascii="Times New Roman" w:hAnsi="Times New Roman"/>
          <w:szCs w:val="24"/>
        </w:rPr>
        <w:lastRenderedPageBreak/>
        <w:t>characterisation of facts in the Lubanga case stressed that the Prosecutor has the sole responsibility to draft and amend charges.</w:t>
      </w:r>
    </w:p>
    <w:p w14:paraId="63FD6EAB" w14:textId="558B3964" w:rsidR="004046B0" w:rsidRPr="004046B0" w:rsidRDefault="004046B0" w:rsidP="00A44B61">
      <w:pPr>
        <w:pStyle w:val="Heading3"/>
      </w:pPr>
      <w:bookmarkStart w:id="29" w:name="_Toc60235807"/>
      <w:r>
        <w:t>2.7.3</w:t>
      </w:r>
      <w:r w:rsidRPr="004046B0">
        <w:t xml:space="preserve">The victims </w:t>
      </w:r>
      <w:r w:rsidR="00281F76">
        <w:t xml:space="preserve">status </w:t>
      </w:r>
      <w:r w:rsidRPr="004046B0">
        <w:t xml:space="preserve">before the initiation of </w:t>
      </w:r>
      <w:r>
        <w:t xml:space="preserve">the </w:t>
      </w:r>
      <w:r w:rsidRPr="004046B0">
        <w:t>investigation</w:t>
      </w:r>
      <w:bookmarkEnd w:id="29"/>
    </w:p>
    <w:p w14:paraId="7CF41483" w14:textId="433D0F5A" w:rsidR="004046B0" w:rsidRDefault="004046B0" w:rsidP="004046B0">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The Prosecutor is responsible to the victim,</w:t>
      </w:r>
      <w:r>
        <w:rPr>
          <w:rStyle w:val="FootnoteReference"/>
          <w:rFonts w:ascii="Times New Roman" w:eastAsia="Cambria" w:hAnsi="Times New Roman"/>
          <w:szCs w:val="24"/>
          <w:lang w:eastAsia="ja-JP"/>
        </w:rPr>
        <w:footnoteReference w:id="423"/>
      </w:r>
      <w:r>
        <w:rPr>
          <w:rFonts w:ascii="Times New Roman" w:eastAsia="Cambria" w:hAnsi="Times New Roman"/>
          <w:szCs w:val="24"/>
          <w:lang w:eastAsia="ja-JP"/>
        </w:rPr>
        <w:t xml:space="preserve"> the international community</w:t>
      </w:r>
      <w:r>
        <w:rPr>
          <w:rStyle w:val="FootnoteReference"/>
          <w:rFonts w:ascii="Times New Roman" w:eastAsia="Cambria" w:hAnsi="Times New Roman"/>
          <w:szCs w:val="24"/>
          <w:lang w:eastAsia="ja-JP"/>
        </w:rPr>
        <w:footnoteReference w:id="424"/>
      </w:r>
      <w:r>
        <w:rPr>
          <w:rFonts w:ascii="Times New Roman" w:eastAsia="Cambria" w:hAnsi="Times New Roman"/>
          <w:szCs w:val="24"/>
          <w:lang w:eastAsia="ja-JP"/>
        </w:rPr>
        <w:t xml:space="preserve"> and the accused.</w:t>
      </w:r>
      <w:r>
        <w:rPr>
          <w:rStyle w:val="FootnoteReference"/>
          <w:rFonts w:ascii="Times New Roman" w:eastAsia="Cambria" w:hAnsi="Times New Roman"/>
          <w:szCs w:val="24"/>
          <w:lang w:eastAsia="ja-JP"/>
        </w:rPr>
        <w:footnoteReference w:id="425"/>
      </w:r>
      <w:r>
        <w:rPr>
          <w:rFonts w:ascii="Times New Roman" w:eastAsia="Cambria" w:hAnsi="Times New Roman"/>
          <w:szCs w:val="24"/>
          <w:lang w:eastAsia="ja-JP"/>
        </w:rPr>
        <w:t xml:space="preserve">Therefore, on the </w:t>
      </w:r>
      <w:r w:rsidR="00703791">
        <w:rPr>
          <w:rFonts w:ascii="Times New Roman" w:eastAsia="Cambria" w:hAnsi="Times New Roman"/>
          <w:szCs w:val="24"/>
          <w:lang w:eastAsia="ja-JP"/>
        </w:rPr>
        <w:t>prosecutor's request</w:t>
      </w:r>
      <w:r>
        <w:rPr>
          <w:rFonts w:ascii="Times New Roman" w:eastAsia="Cambria" w:hAnsi="Times New Roman"/>
          <w:szCs w:val="24"/>
          <w:lang w:eastAsia="ja-JP"/>
        </w:rPr>
        <w:t xml:space="preserve"> to initiate an investigation, Article 15(3) invites victims to make representations to the PTC. The PTC may consider these representations before </w:t>
      </w:r>
      <w:r w:rsidR="00703791">
        <w:rPr>
          <w:rFonts w:ascii="Times New Roman" w:eastAsia="Cambria" w:hAnsi="Times New Roman"/>
          <w:szCs w:val="24"/>
          <w:lang w:eastAsia="ja-JP"/>
        </w:rPr>
        <w:t>making</w:t>
      </w:r>
      <w:r>
        <w:rPr>
          <w:rFonts w:ascii="Times New Roman" w:eastAsia="Cambria" w:hAnsi="Times New Roman"/>
          <w:szCs w:val="24"/>
          <w:lang w:eastAsia="ja-JP"/>
        </w:rPr>
        <w:t xml:space="preserve"> decisions on the Prosecutor’s request to commence an investigation.</w:t>
      </w:r>
      <w:r>
        <w:rPr>
          <w:rStyle w:val="FootnoteReference"/>
          <w:rFonts w:ascii="Times New Roman" w:eastAsia="Cambria" w:hAnsi="Times New Roman"/>
          <w:szCs w:val="24"/>
          <w:lang w:eastAsia="ja-JP"/>
        </w:rPr>
        <w:footnoteReference w:id="426"/>
      </w:r>
      <w:r>
        <w:rPr>
          <w:rFonts w:ascii="Times New Roman" w:eastAsia="Cambria" w:hAnsi="Times New Roman"/>
          <w:szCs w:val="24"/>
          <w:lang w:eastAsia="ja-JP"/>
        </w:rPr>
        <w:t>The interpretation of this provision provides a platform for victim participation via the provision of information. Victims’ role at this stage is to provide information to assist the Prosecution in an investigation. This form of participation includes “submitting observations”  and “making representations” to the  Pre-Trial Chamber.</w:t>
      </w:r>
      <w:r>
        <w:rPr>
          <w:rStyle w:val="FootnoteReference"/>
          <w:rFonts w:ascii="Times New Roman" w:eastAsia="Cambria" w:hAnsi="Times New Roman"/>
          <w:szCs w:val="24"/>
          <w:lang w:eastAsia="ja-JP"/>
        </w:rPr>
        <w:footnoteReference w:id="427"/>
      </w:r>
      <w:r>
        <w:rPr>
          <w:rFonts w:ascii="Times New Roman" w:eastAsia="Cambria" w:hAnsi="Times New Roman"/>
          <w:szCs w:val="24"/>
          <w:lang w:eastAsia="ja-JP"/>
        </w:rPr>
        <w:t xml:space="preserve"> It appears victims’ empowerment under Article 15(3) is restricted compared to the umbrella provision of Article 68(3) of the Rome Statute, which seems to grant an extensive role for victim participation. </w:t>
      </w:r>
      <w:r w:rsidR="0090657A">
        <w:rPr>
          <w:rFonts w:ascii="Times New Roman" w:eastAsia="Cambria" w:hAnsi="Times New Roman"/>
          <w:szCs w:val="24"/>
          <w:lang w:eastAsia="ja-JP"/>
        </w:rPr>
        <w:t>Understandably,</w:t>
      </w:r>
      <w:r>
        <w:rPr>
          <w:rFonts w:ascii="Times New Roman" w:eastAsia="Cambria" w:hAnsi="Times New Roman"/>
          <w:szCs w:val="24"/>
          <w:lang w:eastAsia="ja-JP"/>
        </w:rPr>
        <w:t xml:space="preserve"> article 15 intends to limit </w:t>
      </w:r>
      <w:r w:rsidR="000E1E20">
        <w:rPr>
          <w:rFonts w:ascii="Times New Roman" w:eastAsia="Cambria" w:hAnsi="Times New Roman"/>
          <w:szCs w:val="24"/>
          <w:lang w:eastAsia="ja-JP"/>
        </w:rPr>
        <w:t>victims' role</w:t>
      </w:r>
      <w:r>
        <w:rPr>
          <w:rFonts w:ascii="Times New Roman" w:eastAsia="Cambria" w:hAnsi="Times New Roman"/>
          <w:szCs w:val="24"/>
          <w:lang w:eastAsia="ja-JP"/>
        </w:rPr>
        <w:t>s before the PTC authorises the in</w:t>
      </w:r>
      <w:r w:rsidR="00703791">
        <w:rPr>
          <w:rFonts w:ascii="Times New Roman" w:eastAsia="Cambria" w:hAnsi="Times New Roman"/>
          <w:szCs w:val="24"/>
          <w:lang w:eastAsia="ja-JP"/>
        </w:rPr>
        <w:t>vestigation's initi</w:t>
      </w:r>
      <w:r>
        <w:rPr>
          <w:rFonts w:ascii="Times New Roman" w:eastAsia="Cambria" w:hAnsi="Times New Roman"/>
          <w:szCs w:val="24"/>
          <w:lang w:eastAsia="ja-JP"/>
        </w:rPr>
        <w:t xml:space="preserve">ation. Regulation 50(1) grants victims a time limit of 30 days to make representations after the </w:t>
      </w:r>
      <w:r w:rsidR="00703791">
        <w:rPr>
          <w:rFonts w:ascii="Times New Roman" w:eastAsia="Cambria" w:hAnsi="Times New Roman"/>
          <w:szCs w:val="24"/>
          <w:lang w:eastAsia="ja-JP"/>
        </w:rPr>
        <w:t>prosecutor's notice</w:t>
      </w:r>
      <w:r>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428"/>
      </w:r>
      <w:r>
        <w:rPr>
          <w:rFonts w:ascii="Times New Roman" w:eastAsia="Cambria" w:hAnsi="Times New Roman"/>
          <w:szCs w:val="24"/>
          <w:lang w:eastAsia="ja-JP"/>
        </w:rPr>
        <w:t xml:space="preserve">Victims engagement at this level is low, but it </w:t>
      </w:r>
      <w:r w:rsidR="0090657A">
        <w:rPr>
          <w:rFonts w:ascii="Times New Roman" w:eastAsia="Cambria" w:hAnsi="Times New Roman"/>
          <w:szCs w:val="24"/>
          <w:lang w:eastAsia="ja-JP"/>
        </w:rPr>
        <w:t>secures</w:t>
      </w:r>
      <w:r>
        <w:rPr>
          <w:rFonts w:ascii="Times New Roman" w:eastAsia="Cambria" w:hAnsi="Times New Roman"/>
          <w:szCs w:val="24"/>
          <w:lang w:eastAsia="ja-JP"/>
        </w:rPr>
        <w:t xml:space="preserve"> </w:t>
      </w:r>
      <w:r w:rsidR="0090657A">
        <w:rPr>
          <w:rFonts w:ascii="Times New Roman" w:eastAsia="Cambria" w:hAnsi="Times New Roman"/>
          <w:szCs w:val="24"/>
          <w:lang w:eastAsia="ja-JP"/>
        </w:rPr>
        <w:t>their</w:t>
      </w:r>
      <w:r>
        <w:rPr>
          <w:rFonts w:ascii="Times New Roman" w:eastAsia="Cambria" w:hAnsi="Times New Roman"/>
          <w:szCs w:val="24"/>
          <w:lang w:eastAsia="ja-JP"/>
        </w:rPr>
        <w:t xml:space="preserve"> sense of belonging. There is no evidence to suggest that victims were allowed to participate </w:t>
      </w:r>
      <w:r>
        <w:rPr>
          <w:rFonts w:ascii="Times New Roman" w:eastAsia="Cambria" w:hAnsi="Times New Roman"/>
          <w:szCs w:val="24"/>
          <w:lang w:eastAsia="ja-JP"/>
        </w:rPr>
        <w:lastRenderedPageBreak/>
        <w:t xml:space="preserve">before the authorisation of an investigation in the Lubanga and Katanga case. One reasonable explanation for this is that Article 15(3) </w:t>
      </w:r>
      <w:r w:rsidR="0090657A">
        <w:rPr>
          <w:rFonts w:ascii="Times New Roman" w:eastAsia="Cambria" w:hAnsi="Times New Roman"/>
          <w:szCs w:val="24"/>
          <w:lang w:eastAsia="ja-JP"/>
        </w:rPr>
        <w:t>does not apply</w:t>
      </w:r>
      <w:r>
        <w:rPr>
          <w:rFonts w:ascii="Times New Roman" w:eastAsia="Cambria" w:hAnsi="Times New Roman"/>
          <w:szCs w:val="24"/>
          <w:lang w:eastAsia="ja-JP"/>
        </w:rPr>
        <w:t xml:space="preserve"> to investigations initiated on Referral by the Security Council or State. Article 15(3) </w:t>
      </w:r>
      <w:r w:rsidR="0090657A">
        <w:rPr>
          <w:rFonts w:ascii="Times New Roman" w:eastAsia="Cambria" w:hAnsi="Times New Roman"/>
          <w:szCs w:val="24"/>
          <w:lang w:eastAsia="ja-JP"/>
        </w:rPr>
        <w:t>applies</w:t>
      </w:r>
      <w:r>
        <w:rPr>
          <w:rFonts w:ascii="Times New Roman" w:eastAsia="Cambria" w:hAnsi="Times New Roman"/>
          <w:szCs w:val="24"/>
          <w:lang w:eastAsia="ja-JP"/>
        </w:rPr>
        <w:t xml:space="preserve"> to investigations which are commenced by the Prosecutor proprio motu- which explains the absence of victim participation before the authorisation of an investigation.</w:t>
      </w:r>
    </w:p>
    <w:p w14:paraId="7BE435E2" w14:textId="77777777" w:rsidR="004046B0" w:rsidRDefault="004046B0" w:rsidP="005867AA">
      <w:pPr>
        <w:spacing w:line="480" w:lineRule="auto"/>
        <w:jc w:val="both"/>
        <w:rPr>
          <w:rFonts w:ascii="Times New Roman" w:hAnsi="Times New Roman"/>
          <w:szCs w:val="24"/>
        </w:rPr>
      </w:pPr>
    </w:p>
    <w:p w14:paraId="26175D2D" w14:textId="7CAF998C" w:rsidR="004046B0" w:rsidRPr="004046B0" w:rsidRDefault="004046B0" w:rsidP="00A44B61">
      <w:pPr>
        <w:pStyle w:val="Heading3"/>
      </w:pPr>
      <w:bookmarkStart w:id="30" w:name="_Toc60235808"/>
      <w:r>
        <w:t>2.7.4</w:t>
      </w:r>
      <w:r w:rsidR="00A53707">
        <w:t xml:space="preserve"> </w:t>
      </w:r>
      <w:r w:rsidRPr="004046B0">
        <w:t>Victim and participation during the investigation</w:t>
      </w:r>
      <w:bookmarkEnd w:id="30"/>
    </w:p>
    <w:p w14:paraId="16A8FB19" w14:textId="57FAE650" w:rsidR="00BC2D7E" w:rsidRDefault="0090657A" w:rsidP="005867AA">
      <w:pPr>
        <w:spacing w:line="480" w:lineRule="auto"/>
        <w:jc w:val="both"/>
        <w:rPr>
          <w:rFonts w:ascii="Times New Roman" w:hAnsi="Times New Roman"/>
          <w:szCs w:val="24"/>
        </w:rPr>
      </w:pPr>
      <w:r>
        <w:rPr>
          <w:rFonts w:ascii="Times New Roman" w:hAnsi="Times New Roman"/>
          <w:szCs w:val="24"/>
        </w:rPr>
        <w:t>T</w:t>
      </w:r>
      <w:r w:rsidR="008E5F64">
        <w:rPr>
          <w:rFonts w:ascii="Times New Roman" w:hAnsi="Times New Roman"/>
          <w:szCs w:val="24"/>
        </w:rPr>
        <w:t xml:space="preserve">he following section shall assess the </w:t>
      </w:r>
      <w:r w:rsidR="000E1E20">
        <w:rPr>
          <w:rFonts w:ascii="Times New Roman" w:hAnsi="Times New Roman"/>
          <w:szCs w:val="24"/>
        </w:rPr>
        <w:t>prosecution's role</w:t>
      </w:r>
      <w:r w:rsidR="00F604C3">
        <w:rPr>
          <w:rFonts w:ascii="Times New Roman" w:hAnsi="Times New Roman"/>
          <w:szCs w:val="24"/>
        </w:rPr>
        <w:t xml:space="preserve"> a</w:t>
      </w:r>
      <w:r w:rsidR="00703791">
        <w:rPr>
          <w:rFonts w:ascii="Times New Roman" w:hAnsi="Times New Roman"/>
          <w:szCs w:val="24"/>
        </w:rPr>
        <w:t>nd</w:t>
      </w:r>
      <w:r w:rsidR="00F604C3">
        <w:rPr>
          <w:rFonts w:ascii="Times New Roman" w:hAnsi="Times New Roman"/>
          <w:szCs w:val="24"/>
        </w:rPr>
        <w:t xml:space="preserve"> </w:t>
      </w:r>
      <w:r w:rsidR="000E1E20">
        <w:rPr>
          <w:rFonts w:ascii="Times New Roman" w:hAnsi="Times New Roman"/>
          <w:szCs w:val="24"/>
        </w:rPr>
        <w:t>victims' rights and interest</w:t>
      </w:r>
      <w:r w:rsidR="00F604C3">
        <w:rPr>
          <w:rFonts w:ascii="Times New Roman" w:hAnsi="Times New Roman"/>
          <w:szCs w:val="24"/>
        </w:rPr>
        <w:t>s</w:t>
      </w:r>
      <w:r w:rsidR="008E5F64">
        <w:rPr>
          <w:rFonts w:ascii="Times New Roman" w:hAnsi="Times New Roman"/>
          <w:szCs w:val="24"/>
        </w:rPr>
        <w:t xml:space="preserve"> during the investigation stage.</w:t>
      </w:r>
      <w:r w:rsidR="00537A17">
        <w:rPr>
          <w:rFonts w:ascii="Times New Roman" w:hAnsi="Times New Roman"/>
          <w:szCs w:val="24"/>
        </w:rPr>
        <w:t xml:space="preserve"> </w:t>
      </w:r>
      <w:r w:rsidR="002211CF">
        <w:rPr>
          <w:rFonts w:ascii="Times New Roman" w:hAnsi="Times New Roman"/>
          <w:szCs w:val="24"/>
        </w:rPr>
        <w:t xml:space="preserve">Article 58 grants the PTC </w:t>
      </w:r>
      <w:r w:rsidR="00BC2D7E">
        <w:rPr>
          <w:rFonts w:ascii="Times New Roman" w:hAnsi="Times New Roman"/>
          <w:szCs w:val="24"/>
        </w:rPr>
        <w:t xml:space="preserve">the power to </w:t>
      </w:r>
      <w:r w:rsidR="002211CF">
        <w:rPr>
          <w:rFonts w:ascii="Times New Roman" w:hAnsi="Times New Roman"/>
          <w:szCs w:val="24"/>
        </w:rPr>
        <w:t xml:space="preserve">consider whether to issue an arrest warrant to the Prosecutor. Article 58(2)(b) </w:t>
      </w:r>
      <w:r w:rsidR="00BC2D7E">
        <w:rPr>
          <w:rFonts w:ascii="Times New Roman" w:hAnsi="Times New Roman"/>
          <w:szCs w:val="24"/>
        </w:rPr>
        <w:t>stipulates that the Prosecutor should specify the particular crimes which justify the application for an arrest warrant. The PTC may endorse the arrest warrant provided there are reasonable grounds to believe the suspect committed that crimes.</w:t>
      </w:r>
      <w:r w:rsidR="00BC2D7E">
        <w:rPr>
          <w:rStyle w:val="FootnoteReference"/>
          <w:rFonts w:ascii="Times New Roman" w:hAnsi="Times New Roman"/>
          <w:szCs w:val="24"/>
        </w:rPr>
        <w:footnoteReference w:id="429"/>
      </w:r>
      <w:r w:rsidR="00BC2D7E">
        <w:rPr>
          <w:rFonts w:ascii="Times New Roman" w:hAnsi="Times New Roman"/>
          <w:szCs w:val="24"/>
        </w:rPr>
        <w:t xml:space="preserve"> At this phase, presumably, the role of the PTC seems to be supervisory.</w:t>
      </w:r>
    </w:p>
    <w:p w14:paraId="354537C8" w14:textId="1FB03F6A" w:rsidR="00975263" w:rsidRDefault="00BC2D7E" w:rsidP="005867AA">
      <w:pPr>
        <w:spacing w:line="480" w:lineRule="auto"/>
        <w:jc w:val="both"/>
        <w:rPr>
          <w:rFonts w:ascii="Times New Roman" w:hAnsi="Times New Roman"/>
          <w:szCs w:val="24"/>
        </w:rPr>
      </w:pPr>
      <w:r>
        <w:rPr>
          <w:rFonts w:ascii="Times New Roman" w:hAnsi="Times New Roman"/>
          <w:szCs w:val="24"/>
        </w:rPr>
        <w:t>At the commencement of investigations by the Prosecution, the PTC may request the victims to present their views and concerns.</w:t>
      </w:r>
      <w:r>
        <w:rPr>
          <w:rStyle w:val="FootnoteReference"/>
          <w:rFonts w:ascii="Times New Roman" w:hAnsi="Times New Roman"/>
          <w:szCs w:val="24"/>
        </w:rPr>
        <w:footnoteReference w:id="430"/>
      </w:r>
      <w:r w:rsidR="00537A17">
        <w:rPr>
          <w:rFonts w:ascii="Times New Roman" w:hAnsi="Times New Roman"/>
          <w:szCs w:val="24"/>
        </w:rPr>
        <w:t xml:space="preserve">The role of victims at the investigation stage is not </w:t>
      </w:r>
      <w:r w:rsidR="0090657A">
        <w:rPr>
          <w:rFonts w:ascii="Times New Roman" w:hAnsi="Times New Roman"/>
          <w:szCs w:val="24"/>
        </w:rPr>
        <w:t>specific</w:t>
      </w:r>
      <w:r w:rsidR="00537A17">
        <w:rPr>
          <w:rFonts w:ascii="Times New Roman" w:hAnsi="Times New Roman"/>
          <w:szCs w:val="24"/>
        </w:rPr>
        <w:t xml:space="preserve">. This uncertainty questions the place of the victims’ rights and interests at the investigation stage. This stage encompasses the pre-trial phase /situation phase as the investigation stage intends to unravel the </w:t>
      </w:r>
      <w:r w:rsidR="00703791">
        <w:rPr>
          <w:rFonts w:ascii="Times New Roman" w:hAnsi="Times New Roman"/>
          <w:szCs w:val="24"/>
        </w:rPr>
        <w:t>perpetrator's identity</w:t>
      </w:r>
      <w:r w:rsidR="00537A17">
        <w:rPr>
          <w:rFonts w:ascii="Times New Roman" w:hAnsi="Times New Roman"/>
          <w:szCs w:val="24"/>
        </w:rPr>
        <w:t xml:space="preserve">. There is no </w:t>
      </w:r>
      <w:r w:rsidR="00537A17">
        <w:rPr>
          <w:rFonts w:ascii="Times New Roman" w:hAnsi="Times New Roman"/>
          <w:szCs w:val="24"/>
        </w:rPr>
        <w:lastRenderedPageBreak/>
        <w:t xml:space="preserve">express statutory provision for victim participation during the investigation stage. Hence, the identity of victims, as well as their role during the investigation, may be limited. The recognition of victims at this stage is unsettled. Since </w:t>
      </w:r>
      <w:r w:rsidR="00703791">
        <w:rPr>
          <w:rFonts w:ascii="Times New Roman" w:hAnsi="Times New Roman"/>
          <w:szCs w:val="24"/>
        </w:rPr>
        <w:t>victims' identity</w:t>
      </w:r>
      <w:r w:rsidR="00537A17">
        <w:rPr>
          <w:rFonts w:ascii="Times New Roman" w:hAnsi="Times New Roman"/>
          <w:szCs w:val="24"/>
        </w:rPr>
        <w:t xml:space="preserve"> is s</w:t>
      </w:r>
      <w:r w:rsidR="002C4B17">
        <w:rPr>
          <w:rFonts w:ascii="Times New Roman" w:hAnsi="Times New Roman"/>
          <w:szCs w:val="24"/>
        </w:rPr>
        <w:t>k</w:t>
      </w:r>
      <w:r w:rsidR="00537A17">
        <w:rPr>
          <w:rFonts w:ascii="Times New Roman" w:hAnsi="Times New Roman"/>
          <w:szCs w:val="24"/>
        </w:rPr>
        <w:t xml:space="preserve">etchy at this stage, </w:t>
      </w:r>
      <w:r w:rsidR="002C4B17">
        <w:rPr>
          <w:rFonts w:ascii="Times New Roman" w:hAnsi="Times New Roman"/>
          <w:szCs w:val="24"/>
        </w:rPr>
        <w:t>it is</w:t>
      </w:r>
      <w:r w:rsidR="00537A17">
        <w:rPr>
          <w:rFonts w:ascii="Times New Roman" w:hAnsi="Times New Roman"/>
          <w:szCs w:val="24"/>
        </w:rPr>
        <w:t xml:space="preserve"> expedient to give </w:t>
      </w:r>
      <w:proofErr w:type="spellStart"/>
      <w:r w:rsidR="00537A17">
        <w:rPr>
          <w:rFonts w:ascii="Times New Roman" w:hAnsi="Times New Roman"/>
          <w:szCs w:val="24"/>
        </w:rPr>
        <w:t>victims</w:t>
      </w:r>
      <w:proofErr w:type="spellEnd"/>
      <w:r w:rsidR="00537A17">
        <w:rPr>
          <w:rFonts w:ascii="Times New Roman" w:hAnsi="Times New Roman"/>
          <w:szCs w:val="24"/>
        </w:rPr>
        <w:t xml:space="preserve"> rights</w:t>
      </w:r>
      <w:r w:rsidR="0090657A">
        <w:rPr>
          <w:rFonts w:ascii="Times New Roman" w:hAnsi="Times New Roman"/>
          <w:szCs w:val="24"/>
        </w:rPr>
        <w:t xml:space="preserve"> and</w:t>
      </w:r>
      <w:r w:rsidR="002C4B17">
        <w:rPr>
          <w:rFonts w:ascii="Times New Roman" w:hAnsi="Times New Roman"/>
          <w:szCs w:val="24"/>
        </w:rPr>
        <w:t xml:space="preserve"> explore their interests </w:t>
      </w:r>
      <w:r w:rsidR="00537A17">
        <w:rPr>
          <w:rFonts w:ascii="Times New Roman" w:hAnsi="Times New Roman"/>
          <w:szCs w:val="24"/>
        </w:rPr>
        <w:t xml:space="preserve">in </w:t>
      </w:r>
      <w:r w:rsidR="002C4B17">
        <w:rPr>
          <w:rFonts w:ascii="Times New Roman" w:hAnsi="Times New Roman"/>
          <w:szCs w:val="24"/>
        </w:rPr>
        <w:t xml:space="preserve">the </w:t>
      </w:r>
      <w:r w:rsidR="00537A17">
        <w:rPr>
          <w:rFonts w:ascii="Times New Roman" w:hAnsi="Times New Roman"/>
          <w:szCs w:val="24"/>
        </w:rPr>
        <w:t xml:space="preserve">investigation. </w:t>
      </w:r>
    </w:p>
    <w:p w14:paraId="42B54CB4" w14:textId="0F39663B" w:rsidR="00AF44FE" w:rsidRDefault="004633BD" w:rsidP="00CF5550">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At the heart of criminal investigations is the Prosecution with exclusive power to conduct investigations and determine which crimes should be prosecuted. It is observed in most domestic jurisdictions, that victims are involved in criminal investigations.</w:t>
      </w:r>
      <w:r w:rsidR="009F5BEF">
        <w:rPr>
          <w:rStyle w:val="FootnoteReference"/>
          <w:rFonts w:ascii="Times New Roman" w:eastAsia="Cambria" w:hAnsi="Times New Roman"/>
          <w:szCs w:val="24"/>
          <w:lang w:eastAsia="ja-JP"/>
        </w:rPr>
        <w:footnoteReference w:id="431"/>
      </w:r>
      <w:r w:rsidR="00C219B5">
        <w:rPr>
          <w:rFonts w:ascii="Times New Roman" w:eastAsia="Cambria" w:hAnsi="Times New Roman"/>
          <w:szCs w:val="24"/>
          <w:lang w:eastAsia="ja-JP"/>
        </w:rPr>
        <w:t xml:space="preserve"> Many a time, when the victim reports a crime to the police</w:t>
      </w:r>
      <w:r w:rsidR="00432A3F">
        <w:rPr>
          <w:rFonts w:ascii="Times New Roman" w:eastAsia="Cambria" w:hAnsi="Times New Roman"/>
          <w:szCs w:val="24"/>
          <w:lang w:eastAsia="ja-JP"/>
        </w:rPr>
        <w:t xml:space="preserve">, the state commences an investigation. </w:t>
      </w:r>
      <w:r w:rsidR="00C219B5">
        <w:rPr>
          <w:rFonts w:ascii="Times New Roman" w:eastAsia="Cambria" w:hAnsi="Times New Roman"/>
          <w:szCs w:val="24"/>
          <w:lang w:eastAsia="ja-JP"/>
        </w:rPr>
        <w:t xml:space="preserve">From this point, the victim becomes engaged and receive information on the progress of such an investigation. </w:t>
      </w:r>
      <w:r w:rsidR="009F5BEF">
        <w:rPr>
          <w:rFonts w:ascii="Times New Roman" w:eastAsia="Cambria" w:hAnsi="Times New Roman"/>
          <w:szCs w:val="24"/>
          <w:lang w:eastAsia="ja-JP"/>
        </w:rPr>
        <w:t>Victims cooperation during investigation and prosecution enhances their engagement and empowerment.</w:t>
      </w:r>
      <w:r w:rsidR="00432A3F">
        <w:rPr>
          <w:rFonts w:ascii="Times New Roman" w:eastAsia="Cambria" w:hAnsi="Times New Roman"/>
          <w:szCs w:val="24"/>
          <w:lang w:eastAsia="ja-JP"/>
        </w:rPr>
        <w:t xml:space="preserve"> One implication of victims’ involvement in domestic jurisdiction is that they have a more recognised role as information providers</w:t>
      </w:r>
      <w:r w:rsidR="00C7774E">
        <w:rPr>
          <w:rFonts w:ascii="Times New Roman" w:eastAsia="Cambria" w:hAnsi="Times New Roman"/>
          <w:szCs w:val="24"/>
          <w:lang w:eastAsia="ja-JP"/>
        </w:rPr>
        <w:t xml:space="preserve">-their primary role includes </w:t>
      </w:r>
      <w:r w:rsidR="00703791">
        <w:rPr>
          <w:rFonts w:ascii="Times New Roman" w:eastAsia="Cambria" w:hAnsi="Times New Roman"/>
          <w:szCs w:val="24"/>
          <w:lang w:eastAsia="ja-JP"/>
        </w:rPr>
        <w:t>identifying</w:t>
      </w:r>
      <w:r w:rsidR="00C7774E">
        <w:rPr>
          <w:rFonts w:ascii="Times New Roman" w:eastAsia="Cambria" w:hAnsi="Times New Roman"/>
          <w:szCs w:val="24"/>
          <w:lang w:eastAsia="ja-JP"/>
        </w:rPr>
        <w:t xml:space="preserve"> offenders.</w:t>
      </w:r>
      <w:r w:rsidR="00432A3F">
        <w:rPr>
          <w:rFonts w:ascii="Times New Roman" w:eastAsia="Cambria" w:hAnsi="Times New Roman"/>
          <w:szCs w:val="24"/>
          <w:lang w:eastAsia="ja-JP"/>
        </w:rPr>
        <w:t xml:space="preserve"> </w:t>
      </w:r>
      <w:r w:rsidR="00AF44FE">
        <w:rPr>
          <w:rFonts w:ascii="Times New Roman" w:eastAsia="Cambria" w:hAnsi="Times New Roman"/>
          <w:szCs w:val="24"/>
          <w:lang w:eastAsia="ja-JP"/>
        </w:rPr>
        <w:t xml:space="preserve"> </w:t>
      </w:r>
      <w:r w:rsidR="00C219B5">
        <w:rPr>
          <w:rFonts w:ascii="Times New Roman" w:eastAsia="Cambria" w:hAnsi="Times New Roman"/>
          <w:szCs w:val="24"/>
          <w:lang w:eastAsia="ja-JP"/>
        </w:rPr>
        <w:t xml:space="preserve">It is worthy of mention that the Rome Statute does not grant victims the power to report or make referrals </w:t>
      </w:r>
      <w:r w:rsidR="00281F76">
        <w:rPr>
          <w:rFonts w:ascii="Times New Roman" w:eastAsia="Cambria" w:hAnsi="Times New Roman"/>
          <w:szCs w:val="24"/>
          <w:lang w:eastAsia="ja-JP"/>
        </w:rPr>
        <w:t>to investigate</w:t>
      </w:r>
      <w:r w:rsidR="00C219B5">
        <w:rPr>
          <w:rFonts w:ascii="Times New Roman" w:eastAsia="Cambria" w:hAnsi="Times New Roman"/>
          <w:szCs w:val="24"/>
          <w:lang w:eastAsia="ja-JP"/>
        </w:rPr>
        <w:t xml:space="preserve"> the situation at the ICC.</w:t>
      </w:r>
      <w:r>
        <w:rPr>
          <w:rFonts w:ascii="Times New Roman" w:eastAsia="Cambria" w:hAnsi="Times New Roman"/>
          <w:szCs w:val="24"/>
          <w:lang w:eastAsia="ja-JP"/>
        </w:rPr>
        <w:t xml:space="preserve"> We should also bear in mind that there are substantial differences in criminal investigations at the local jurisdictions and international level.</w:t>
      </w:r>
      <w:r w:rsidR="009F5BEF">
        <w:rPr>
          <w:rFonts w:ascii="Times New Roman" w:eastAsia="Cambria" w:hAnsi="Times New Roman"/>
          <w:szCs w:val="24"/>
          <w:lang w:eastAsia="ja-JP"/>
        </w:rPr>
        <w:t xml:space="preserve"> Perhaps, t</w:t>
      </w:r>
      <w:r w:rsidR="00C9625C">
        <w:rPr>
          <w:rFonts w:ascii="Times New Roman" w:eastAsia="Cambria" w:hAnsi="Times New Roman"/>
          <w:szCs w:val="24"/>
          <w:lang w:eastAsia="ja-JP"/>
        </w:rPr>
        <w:t>he absence of enforcement authority at the international level and the massive scale of crimes at the international level may restrict</w:t>
      </w:r>
      <w:r w:rsidR="009F5BEF">
        <w:rPr>
          <w:rFonts w:ascii="Times New Roman" w:eastAsia="Cambria" w:hAnsi="Times New Roman"/>
          <w:szCs w:val="24"/>
          <w:lang w:eastAsia="ja-JP"/>
        </w:rPr>
        <w:t xml:space="preserve"> victim </w:t>
      </w:r>
      <w:r w:rsidR="009F5BEF">
        <w:rPr>
          <w:rFonts w:ascii="Times New Roman" w:eastAsia="Cambria" w:hAnsi="Times New Roman"/>
          <w:szCs w:val="24"/>
          <w:lang w:eastAsia="ja-JP"/>
        </w:rPr>
        <w:lastRenderedPageBreak/>
        <w:t>participation in</w:t>
      </w:r>
      <w:r w:rsidR="00C9625C">
        <w:rPr>
          <w:rFonts w:ascii="Times New Roman" w:eastAsia="Cambria" w:hAnsi="Times New Roman"/>
          <w:szCs w:val="24"/>
          <w:lang w:eastAsia="ja-JP"/>
        </w:rPr>
        <w:t xml:space="preserve"> investigations</w:t>
      </w:r>
      <w:r w:rsidR="009F5BEF">
        <w:rPr>
          <w:rFonts w:ascii="Times New Roman" w:eastAsia="Cambria" w:hAnsi="Times New Roman"/>
          <w:szCs w:val="24"/>
          <w:lang w:eastAsia="ja-JP"/>
        </w:rPr>
        <w:t>.</w:t>
      </w:r>
      <w:r>
        <w:rPr>
          <w:rFonts w:ascii="Times New Roman" w:eastAsia="Cambria" w:hAnsi="Times New Roman"/>
          <w:szCs w:val="24"/>
          <w:lang w:eastAsia="ja-JP"/>
        </w:rPr>
        <w:t xml:space="preserve"> </w:t>
      </w:r>
      <w:r w:rsidR="004D6BBA">
        <w:rPr>
          <w:rFonts w:ascii="Times New Roman" w:eastAsia="Cambria" w:hAnsi="Times New Roman"/>
          <w:szCs w:val="24"/>
          <w:lang w:eastAsia="ja-JP"/>
        </w:rPr>
        <w:t>V</w:t>
      </w:r>
      <w:r>
        <w:rPr>
          <w:rFonts w:ascii="Times New Roman" w:eastAsia="Cambria" w:hAnsi="Times New Roman"/>
          <w:szCs w:val="24"/>
          <w:lang w:eastAsia="ja-JP"/>
        </w:rPr>
        <w:t>ictims’ cooperation in criminal investigations</w:t>
      </w:r>
      <w:r w:rsidR="004D6BBA">
        <w:rPr>
          <w:rFonts w:ascii="Times New Roman" w:eastAsia="Cambria" w:hAnsi="Times New Roman"/>
          <w:szCs w:val="24"/>
          <w:lang w:eastAsia="ja-JP"/>
        </w:rPr>
        <w:t xml:space="preserve"> may foster accurate and effective investigations.</w:t>
      </w:r>
    </w:p>
    <w:p w14:paraId="4AD48B1B" w14:textId="56E965D8" w:rsidR="00C7774E" w:rsidRDefault="00C7774E" w:rsidP="00CF5550">
      <w:pPr>
        <w:spacing w:after="0" w:line="480" w:lineRule="auto"/>
        <w:jc w:val="both"/>
        <w:rPr>
          <w:rFonts w:ascii="Times New Roman" w:eastAsia="Cambria" w:hAnsi="Times New Roman"/>
          <w:szCs w:val="24"/>
          <w:lang w:eastAsia="ja-JP"/>
        </w:rPr>
      </w:pPr>
    </w:p>
    <w:p w14:paraId="003EE42C" w14:textId="604F7208" w:rsidR="00A352E7" w:rsidRDefault="00B152CF" w:rsidP="00CF5550">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Therefore, given that </w:t>
      </w:r>
      <w:r w:rsidR="00C7774E">
        <w:rPr>
          <w:rFonts w:ascii="Times New Roman" w:eastAsia="Cambria" w:hAnsi="Times New Roman"/>
          <w:szCs w:val="24"/>
          <w:lang w:eastAsia="ja-JP"/>
        </w:rPr>
        <w:t>Victims’ cooperation with the prosecutor</w:t>
      </w:r>
      <w:r>
        <w:rPr>
          <w:rFonts w:ascii="Times New Roman" w:eastAsia="Cambria" w:hAnsi="Times New Roman"/>
          <w:szCs w:val="24"/>
          <w:lang w:eastAsia="ja-JP"/>
        </w:rPr>
        <w:t>,</w:t>
      </w:r>
      <w:r w:rsidR="00C7774E">
        <w:rPr>
          <w:rFonts w:ascii="Times New Roman" w:eastAsia="Cambria" w:hAnsi="Times New Roman"/>
          <w:szCs w:val="24"/>
          <w:lang w:eastAsia="ja-JP"/>
        </w:rPr>
        <w:t xml:space="preserve"> </w:t>
      </w:r>
      <w:r>
        <w:rPr>
          <w:rFonts w:ascii="Times New Roman" w:eastAsia="Cambria" w:hAnsi="Times New Roman"/>
          <w:szCs w:val="24"/>
          <w:lang w:eastAsia="ja-JP"/>
        </w:rPr>
        <w:t xml:space="preserve">especially concerning investigations </w:t>
      </w:r>
      <w:r w:rsidR="00C7774E">
        <w:rPr>
          <w:rFonts w:ascii="Times New Roman" w:eastAsia="Cambria" w:hAnsi="Times New Roman"/>
          <w:szCs w:val="24"/>
          <w:lang w:eastAsia="ja-JP"/>
        </w:rPr>
        <w:t>and testimony.</w:t>
      </w:r>
      <w:r w:rsidR="00C7774E">
        <w:rPr>
          <w:rStyle w:val="FootnoteReference"/>
          <w:rFonts w:ascii="Times New Roman" w:eastAsia="Cambria" w:hAnsi="Times New Roman"/>
          <w:szCs w:val="24"/>
          <w:lang w:eastAsia="ja-JP"/>
        </w:rPr>
        <w:footnoteReference w:id="432"/>
      </w:r>
      <w:r>
        <w:rPr>
          <w:rFonts w:ascii="Times New Roman" w:eastAsia="Cambria" w:hAnsi="Times New Roman"/>
          <w:szCs w:val="24"/>
          <w:lang w:eastAsia="ja-JP"/>
        </w:rPr>
        <w:t>The Prosecutor represents the inter</w:t>
      </w:r>
      <w:r w:rsidR="00703791">
        <w:rPr>
          <w:rFonts w:ascii="Times New Roman" w:eastAsia="Cambria" w:hAnsi="Times New Roman"/>
          <w:szCs w:val="24"/>
          <w:lang w:eastAsia="ja-JP"/>
        </w:rPr>
        <w:t>national community's interests and</w:t>
      </w:r>
      <w:r>
        <w:rPr>
          <w:rFonts w:ascii="Times New Roman" w:eastAsia="Cambria" w:hAnsi="Times New Roman"/>
          <w:szCs w:val="24"/>
          <w:lang w:eastAsia="ja-JP"/>
        </w:rPr>
        <w:t xml:space="preserve"> owes the offender a right to a fair trial. An effective and objective investigation should be at the forefront. This analysis explains the independence of the victims from the prosecutor. V</w:t>
      </w:r>
      <w:r w:rsidR="004D6BBA">
        <w:rPr>
          <w:rFonts w:ascii="Times New Roman" w:eastAsia="Cambria" w:hAnsi="Times New Roman"/>
          <w:szCs w:val="24"/>
          <w:lang w:eastAsia="ja-JP"/>
        </w:rPr>
        <w:t>ictims’ participation may question the objectivity of the investigations.</w:t>
      </w:r>
      <w:r w:rsidR="00432A3F">
        <w:rPr>
          <w:rFonts w:ascii="Times New Roman" w:eastAsia="Cambria" w:hAnsi="Times New Roman"/>
          <w:szCs w:val="24"/>
          <w:lang w:eastAsia="ja-JP"/>
        </w:rPr>
        <w:t xml:space="preserve"> </w:t>
      </w:r>
      <w:r w:rsidR="00AF44FE">
        <w:rPr>
          <w:rFonts w:ascii="Times New Roman" w:eastAsia="Cambria" w:hAnsi="Times New Roman"/>
          <w:szCs w:val="24"/>
          <w:lang w:eastAsia="ja-JP"/>
        </w:rPr>
        <w:t xml:space="preserve">The identity of victims at the investigation </w:t>
      </w:r>
      <w:r>
        <w:rPr>
          <w:rFonts w:ascii="Times New Roman" w:eastAsia="Cambria" w:hAnsi="Times New Roman"/>
          <w:szCs w:val="24"/>
          <w:lang w:eastAsia="ja-JP"/>
        </w:rPr>
        <w:t>is not</w:t>
      </w:r>
      <w:r w:rsidR="00A352E7">
        <w:rPr>
          <w:rFonts w:ascii="Times New Roman" w:eastAsia="Cambria" w:hAnsi="Times New Roman"/>
          <w:szCs w:val="24"/>
          <w:lang w:eastAsia="ja-JP"/>
        </w:rPr>
        <w:t xml:space="preserve"> yet </w:t>
      </w:r>
      <w:r>
        <w:rPr>
          <w:rFonts w:ascii="Times New Roman" w:eastAsia="Cambria" w:hAnsi="Times New Roman"/>
          <w:szCs w:val="24"/>
          <w:lang w:eastAsia="ja-JP"/>
        </w:rPr>
        <w:t>settled.</w:t>
      </w:r>
    </w:p>
    <w:p w14:paraId="47D41953" w14:textId="77777777" w:rsidR="001F76DB" w:rsidRDefault="001F76DB" w:rsidP="00CF5550">
      <w:pPr>
        <w:spacing w:after="0" w:line="480" w:lineRule="auto"/>
        <w:jc w:val="both"/>
        <w:rPr>
          <w:rFonts w:ascii="Times New Roman" w:eastAsia="Cambria" w:hAnsi="Times New Roman"/>
          <w:szCs w:val="24"/>
          <w:lang w:eastAsia="ja-JP"/>
        </w:rPr>
      </w:pPr>
    </w:p>
    <w:p w14:paraId="5ED76602" w14:textId="2B35BE59" w:rsidR="00CF5550" w:rsidRDefault="00CF5550" w:rsidP="00CF5550">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It seems the PTC is more inquisitorial than the TC, especially </w:t>
      </w:r>
      <w:r w:rsidR="00703791">
        <w:rPr>
          <w:rFonts w:ascii="Times New Roman" w:eastAsia="Cambria" w:hAnsi="Times New Roman"/>
          <w:szCs w:val="24"/>
          <w:lang w:eastAsia="ja-JP"/>
        </w:rPr>
        <w:t>concerning</w:t>
      </w:r>
      <w:r>
        <w:rPr>
          <w:rFonts w:ascii="Times New Roman" w:eastAsia="Cambria" w:hAnsi="Times New Roman"/>
          <w:szCs w:val="24"/>
          <w:lang w:eastAsia="ja-JP"/>
        </w:rPr>
        <w:t xml:space="preserve"> the confirmation of charges</w:t>
      </w:r>
      <w:r w:rsidR="00146136">
        <w:rPr>
          <w:rFonts w:ascii="Times New Roman" w:eastAsia="Cambria" w:hAnsi="Times New Roman"/>
          <w:szCs w:val="24"/>
          <w:lang w:eastAsia="ja-JP"/>
        </w:rPr>
        <w:t>-the PTC is involved in truth-finding with active judges in this phase</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433"/>
      </w:r>
      <w:r>
        <w:rPr>
          <w:rFonts w:ascii="Times New Roman" w:eastAsia="Cambria" w:hAnsi="Times New Roman"/>
          <w:szCs w:val="24"/>
          <w:lang w:eastAsia="ja-JP"/>
        </w:rPr>
        <w:t xml:space="preserve"> </w:t>
      </w:r>
      <w:r w:rsidR="00703791">
        <w:rPr>
          <w:rFonts w:ascii="Times New Roman" w:eastAsia="Cambria" w:hAnsi="Times New Roman"/>
          <w:szCs w:val="24"/>
          <w:lang w:eastAsia="ja-JP"/>
        </w:rPr>
        <w:t>With its roots in civil law traditions, the inquisitorial criminal procedure</w:t>
      </w:r>
      <w:r>
        <w:rPr>
          <w:rFonts w:ascii="Times New Roman" w:eastAsia="Cambria" w:hAnsi="Times New Roman"/>
          <w:szCs w:val="24"/>
          <w:lang w:eastAsia="ja-JP"/>
        </w:rPr>
        <w:t xml:space="preserve"> grants extensive rights and </w:t>
      </w:r>
      <w:r w:rsidR="00281F76">
        <w:rPr>
          <w:rFonts w:ascii="Times New Roman" w:eastAsia="Cambria" w:hAnsi="Times New Roman"/>
          <w:szCs w:val="24"/>
          <w:lang w:eastAsia="ja-JP"/>
        </w:rPr>
        <w:t>victims role</w:t>
      </w:r>
      <w:r>
        <w:rPr>
          <w:rFonts w:ascii="Times New Roman" w:eastAsia="Cambria" w:hAnsi="Times New Roman"/>
          <w:szCs w:val="24"/>
          <w:lang w:eastAsia="ja-JP"/>
        </w:rPr>
        <w:t xml:space="preserve">s. Although one may infer that the </w:t>
      </w:r>
      <w:r w:rsidR="00703791">
        <w:rPr>
          <w:rFonts w:ascii="Times New Roman" w:eastAsia="Cambria" w:hAnsi="Times New Roman"/>
          <w:szCs w:val="24"/>
          <w:lang w:eastAsia="ja-JP"/>
        </w:rPr>
        <w:t>ICC's criminal procedure</w:t>
      </w:r>
      <w:r>
        <w:rPr>
          <w:rFonts w:ascii="Times New Roman" w:eastAsia="Cambria" w:hAnsi="Times New Roman"/>
          <w:szCs w:val="24"/>
          <w:lang w:eastAsia="ja-JP"/>
        </w:rPr>
        <w:t xml:space="preserve"> is mixed,</w:t>
      </w:r>
      <w:r w:rsidR="00F22A6E">
        <w:rPr>
          <w:rFonts w:ascii="Times New Roman" w:eastAsia="Cambria" w:hAnsi="Times New Roman"/>
          <w:szCs w:val="24"/>
          <w:lang w:eastAsia="ja-JP"/>
        </w:rPr>
        <w:t xml:space="preserve"> </w:t>
      </w:r>
      <w:r>
        <w:rPr>
          <w:rFonts w:ascii="Times New Roman" w:eastAsia="Cambria" w:hAnsi="Times New Roman"/>
          <w:szCs w:val="24"/>
          <w:lang w:eastAsia="ja-JP"/>
        </w:rPr>
        <w:t>arguably,</w:t>
      </w:r>
      <w:r w:rsidRPr="00380111">
        <w:rPr>
          <w:rFonts w:ascii="Times New Roman" w:eastAsia="Cambria" w:hAnsi="Times New Roman"/>
          <w:szCs w:val="24"/>
          <w:lang w:eastAsia="ja-JP"/>
        </w:rPr>
        <w:t xml:space="preserve"> </w:t>
      </w:r>
      <w:r w:rsidR="0090657A">
        <w:rPr>
          <w:rFonts w:ascii="Times New Roman" w:eastAsia="Cambria" w:hAnsi="Times New Roman"/>
          <w:szCs w:val="24"/>
          <w:lang w:eastAsia="ja-JP"/>
        </w:rPr>
        <w:t>i</w:t>
      </w:r>
      <w:r w:rsidRPr="006E622A">
        <w:rPr>
          <w:rFonts w:ascii="Times New Roman" w:eastAsia="Cambria" w:hAnsi="Times New Roman"/>
          <w:szCs w:val="24"/>
          <w:lang w:eastAsia="ja-JP"/>
        </w:rPr>
        <w:t xml:space="preserve">t appears that the ICC is </w:t>
      </w:r>
      <w:r w:rsidR="00703791">
        <w:rPr>
          <w:rFonts w:ascii="Times New Roman" w:eastAsia="Cambria" w:hAnsi="Times New Roman"/>
          <w:szCs w:val="24"/>
          <w:lang w:eastAsia="ja-JP"/>
        </w:rPr>
        <w:t>main</w:t>
      </w:r>
      <w:r w:rsidRPr="006E622A">
        <w:rPr>
          <w:rFonts w:ascii="Times New Roman" w:eastAsia="Cambria" w:hAnsi="Times New Roman"/>
          <w:szCs w:val="24"/>
          <w:lang w:eastAsia="ja-JP"/>
        </w:rPr>
        <w:t>ly adversarial than inquisitorial.</w:t>
      </w:r>
      <w:r w:rsidR="0090657A">
        <w:rPr>
          <w:rFonts w:ascii="Times New Roman" w:eastAsia="Cambria" w:hAnsi="Times New Roman"/>
          <w:szCs w:val="24"/>
          <w:lang w:eastAsia="ja-JP"/>
        </w:rPr>
        <w:t xml:space="preserve"> B</w:t>
      </w:r>
      <w:r>
        <w:rPr>
          <w:rFonts w:ascii="Times New Roman" w:eastAsia="Cambria" w:hAnsi="Times New Roman"/>
          <w:szCs w:val="24"/>
          <w:lang w:eastAsia="ja-JP"/>
        </w:rPr>
        <w:t>ecause of the limitations on the exercise of victims’ rights.</w:t>
      </w:r>
      <w:r w:rsidRPr="00D132CF">
        <w:rPr>
          <w:rFonts w:ascii="Times New Roman" w:eastAsia="Cambria" w:hAnsi="Times New Roman"/>
          <w:szCs w:val="24"/>
          <w:lang w:eastAsia="ja-JP"/>
        </w:rPr>
        <w:t xml:space="preserve"> </w:t>
      </w:r>
      <w:r>
        <w:rPr>
          <w:rFonts w:ascii="Times New Roman" w:eastAsia="Cambria" w:hAnsi="Times New Roman"/>
          <w:szCs w:val="24"/>
          <w:lang w:eastAsia="ja-JP"/>
        </w:rPr>
        <w:t>As was mentioned in the introduction, the victims are third parties in the proceedings.</w:t>
      </w:r>
    </w:p>
    <w:p w14:paraId="05B22DF4" w14:textId="77777777" w:rsidR="00832267" w:rsidRDefault="00832267" w:rsidP="00CF5550">
      <w:pPr>
        <w:spacing w:after="0" w:line="480" w:lineRule="auto"/>
        <w:jc w:val="both"/>
        <w:rPr>
          <w:rFonts w:ascii="Times New Roman" w:eastAsia="Cambria" w:hAnsi="Times New Roman"/>
          <w:szCs w:val="24"/>
          <w:lang w:eastAsia="ja-JP"/>
        </w:rPr>
      </w:pPr>
    </w:p>
    <w:p w14:paraId="32134EC0" w14:textId="186B626F" w:rsidR="00CF5550" w:rsidRDefault="00CF5550" w:rsidP="00CF5550">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lastRenderedPageBreak/>
        <w:t>One could argue that the provis</w:t>
      </w:r>
      <w:r>
        <w:rPr>
          <w:rFonts w:ascii="Times New Roman" w:eastAsia="Cambria" w:hAnsi="Times New Roman"/>
          <w:szCs w:val="24"/>
          <w:lang w:eastAsia="ja-JP"/>
        </w:rPr>
        <w:t>i</w:t>
      </w:r>
      <w:r w:rsidRPr="006E622A">
        <w:rPr>
          <w:rFonts w:ascii="Times New Roman" w:eastAsia="Cambria" w:hAnsi="Times New Roman"/>
          <w:szCs w:val="24"/>
          <w:lang w:eastAsia="ja-JP"/>
        </w:rPr>
        <w:t>on and availability of rights for victims are instruments require</w:t>
      </w:r>
      <w:r>
        <w:rPr>
          <w:rFonts w:ascii="Times New Roman" w:eastAsia="Cambria" w:hAnsi="Times New Roman"/>
          <w:szCs w:val="24"/>
          <w:lang w:eastAsia="ja-JP"/>
        </w:rPr>
        <w:t>d to enhance their voice and acc</w:t>
      </w:r>
      <w:r w:rsidRPr="006E622A">
        <w:rPr>
          <w:rFonts w:ascii="Times New Roman" w:eastAsia="Cambria" w:hAnsi="Times New Roman"/>
          <w:szCs w:val="24"/>
          <w:lang w:eastAsia="ja-JP"/>
        </w:rPr>
        <w:t>ess to justice.</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However, one drawback is that the exercise of these rights </w:t>
      </w:r>
      <w:r>
        <w:rPr>
          <w:rFonts w:ascii="Times New Roman" w:eastAsia="Cambria" w:hAnsi="Times New Roman"/>
          <w:szCs w:val="24"/>
          <w:lang w:eastAsia="ja-JP"/>
        </w:rPr>
        <w:t>is</w:t>
      </w:r>
      <w:r w:rsidRPr="006E622A">
        <w:rPr>
          <w:rFonts w:ascii="Times New Roman" w:eastAsia="Cambria" w:hAnsi="Times New Roman"/>
          <w:szCs w:val="24"/>
          <w:lang w:eastAsia="ja-JP"/>
        </w:rPr>
        <w:t xml:space="preserve"> not absolute.</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They need to be exercised in consideration of the fair trial rights of the accused.</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This underscores the restriction placed on </w:t>
      </w:r>
      <w:proofErr w:type="spellStart"/>
      <w:r w:rsidRPr="006E622A">
        <w:rPr>
          <w:rFonts w:ascii="Times New Roman" w:eastAsia="Cambria" w:hAnsi="Times New Roman"/>
          <w:szCs w:val="24"/>
          <w:lang w:eastAsia="ja-JP"/>
        </w:rPr>
        <w:t>victims</w:t>
      </w:r>
      <w:proofErr w:type="spellEnd"/>
      <w:r w:rsidRPr="006E622A">
        <w:rPr>
          <w:rFonts w:ascii="Times New Roman" w:eastAsia="Cambria" w:hAnsi="Times New Roman"/>
          <w:szCs w:val="24"/>
          <w:lang w:eastAsia="ja-JP"/>
        </w:rPr>
        <w:t xml:space="preserve"> rights at the ICC.</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These rights are seen as empowerment for victims but do they empower victims in </w:t>
      </w:r>
      <w:r>
        <w:rPr>
          <w:rFonts w:ascii="Times New Roman" w:eastAsia="Cambria" w:hAnsi="Times New Roman"/>
          <w:szCs w:val="24"/>
          <w:lang w:eastAsia="ja-JP"/>
        </w:rPr>
        <w:t xml:space="preserve">the </w:t>
      </w:r>
      <w:r w:rsidRPr="006E622A">
        <w:rPr>
          <w:rFonts w:ascii="Times New Roman" w:eastAsia="Cambria" w:hAnsi="Times New Roman"/>
          <w:szCs w:val="24"/>
          <w:lang w:eastAsia="ja-JP"/>
        </w:rPr>
        <w:t>criminal justice system</w:t>
      </w:r>
      <w:r w:rsidR="00F22A6E">
        <w:rPr>
          <w:rFonts w:ascii="Times New Roman" w:eastAsia="Cambria" w:hAnsi="Times New Roman"/>
          <w:szCs w:val="24"/>
          <w:lang w:eastAsia="ja-JP"/>
        </w:rPr>
        <w:t>,</w:t>
      </w:r>
      <w:r w:rsidRPr="006E622A">
        <w:rPr>
          <w:rFonts w:ascii="Times New Roman" w:eastAsia="Cambria" w:hAnsi="Times New Roman"/>
          <w:szCs w:val="24"/>
          <w:lang w:eastAsia="ja-JP"/>
        </w:rPr>
        <w:t xml:space="preserve"> or is it just a means to an end?</w:t>
      </w:r>
    </w:p>
    <w:p w14:paraId="627EE3A7" w14:textId="38F066A5" w:rsidR="00CF5550" w:rsidRDefault="00CF5550" w:rsidP="00CF5550">
      <w:pPr>
        <w:spacing w:after="0" w:line="480" w:lineRule="auto"/>
        <w:jc w:val="both"/>
        <w:rPr>
          <w:rFonts w:ascii="Times New Roman" w:eastAsia="Cambria" w:hAnsi="Times New Roman"/>
          <w:szCs w:val="24"/>
          <w:lang w:eastAsia="ja-JP"/>
        </w:rPr>
      </w:pPr>
    </w:p>
    <w:p w14:paraId="52B1C9DB" w14:textId="68FBCF9B" w:rsidR="00CF5550" w:rsidRPr="006E622A" w:rsidRDefault="00CF5550" w:rsidP="00CF5550">
      <w:pPr>
        <w:spacing w:after="0" w:line="480" w:lineRule="auto"/>
        <w:jc w:val="both"/>
        <w:rPr>
          <w:rFonts w:ascii="Times New Roman" w:hAnsi="Times New Roman"/>
          <w:szCs w:val="24"/>
        </w:rPr>
      </w:pPr>
      <w:r w:rsidRPr="006E622A">
        <w:rPr>
          <w:rFonts w:ascii="Times New Roman" w:hAnsi="Times New Roman"/>
          <w:szCs w:val="24"/>
        </w:rPr>
        <w:t>The Statute, Rules and Regulations are silent about the standard of proof to be applied in evaluating vic</w:t>
      </w:r>
      <w:r>
        <w:rPr>
          <w:rFonts w:ascii="Times New Roman" w:hAnsi="Times New Roman"/>
          <w:szCs w:val="24"/>
        </w:rPr>
        <w:t xml:space="preserve">tims’ applications. </w:t>
      </w:r>
      <w:r w:rsidR="0090657A">
        <w:rPr>
          <w:rFonts w:ascii="Times New Roman" w:hAnsi="Times New Roman"/>
          <w:szCs w:val="24"/>
        </w:rPr>
        <w:t>The</w:t>
      </w:r>
      <w:r>
        <w:rPr>
          <w:rFonts w:ascii="Times New Roman" w:hAnsi="Times New Roman"/>
          <w:szCs w:val="24"/>
        </w:rPr>
        <w:t xml:space="preserve"> TC</w:t>
      </w:r>
      <w:r w:rsidR="0090657A">
        <w:rPr>
          <w:rFonts w:ascii="Times New Roman" w:hAnsi="Times New Roman"/>
          <w:szCs w:val="24"/>
        </w:rPr>
        <w:t xml:space="preserve"> ruled that </w:t>
      </w:r>
      <w:r>
        <w:rPr>
          <w:rFonts w:ascii="Times New Roman" w:hAnsi="Times New Roman"/>
          <w:szCs w:val="24"/>
        </w:rPr>
        <w:t xml:space="preserve">prima facie credible grounds </w:t>
      </w:r>
      <w:r w:rsidR="00281F76">
        <w:rPr>
          <w:rFonts w:ascii="Times New Roman" w:hAnsi="Times New Roman"/>
          <w:szCs w:val="24"/>
        </w:rPr>
        <w:t>are sufficient in assessing victims' application for an applicant who has suffered harm due to</w:t>
      </w:r>
      <w:r w:rsidRPr="006E622A">
        <w:rPr>
          <w:rFonts w:ascii="Times New Roman" w:hAnsi="Times New Roman"/>
          <w:szCs w:val="24"/>
        </w:rPr>
        <w:t xml:space="preserve"> </w:t>
      </w:r>
      <w:r>
        <w:rPr>
          <w:rFonts w:ascii="Times New Roman" w:hAnsi="Times New Roman"/>
          <w:szCs w:val="24"/>
        </w:rPr>
        <w:t xml:space="preserve">a </w:t>
      </w:r>
      <w:r w:rsidRPr="006E622A">
        <w:rPr>
          <w:rFonts w:ascii="Times New Roman" w:hAnsi="Times New Roman"/>
          <w:szCs w:val="24"/>
        </w:rPr>
        <w:t xml:space="preserve">crime committed within the </w:t>
      </w:r>
      <w:r w:rsidR="0022485D">
        <w:rPr>
          <w:rFonts w:ascii="Times New Roman" w:hAnsi="Times New Roman"/>
          <w:szCs w:val="24"/>
        </w:rPr>
        <w:t>Court's jurisdiction a</w:t>
      </w:r>
      <w:r w:rsidRPr="006E622A">
        <w:rPr>
          <w:rFonts w:ascii="Times New Roman" w:hAnsi="Times New Roman"/>
          <w:szCs w:val="24"/>
        </w:rPr>
        <w:t>t the Pre-trial stage, the facts and issues are sketchy and less detailed. As such, it would be far</w:t>
      </w:r>
      <w:r>
        <w:rPr>
          <w:rFonts w:ascii="Times New Roman" w:hAnsi="Times New Roman"/>
          <w:szCs w:val="24"/>
        </w:rPr>
        <w:t>-</w:t>
      </w:r>
      <w:r w:rsidRPr="006E622A">
        <w:rPr>
          <w:rFonts w:ascii="Times New Roman" w:hAnsi="Times New Roman"/>
          <w:szCs w:val="24"/>
        </w:rPr>
        <w:t>reaching to use a ‘substantive assessment’ i</w:t>
      </w:r>
      <w:r>
        <w:rPr>
          <w:rFonts w:ascii="Times New Roman" w:hAnsi="Times New Roman"/>
          <w:szCs w:val="24"/>
        </w:rPr>
        <w:t>n evaluating the credibility/</w:t>
      </w:r>
      <w:r w:rsidRPr="006E622A">
        <w:rPr>
          <w:rFonts w:ascii="Times New Roman" w:hAnsi="Times New Roman"/>
          <w:szCs w:val="24"/>
        </w:rPr>
        <w:t>reliability of victims’ application at this stage.</w:t>
      </w:r>
      <w:r w:rsidRPr="006E622A">
        <w:rPr>
          <w:rFonts w:ascii="Times New Roman" w:hAnsi="Times New Roman"/>
          <w:szCs w:val="24"/>
          <w:vertAlign w:val="superscript"/>
        </w:rPr>
        <w:footnoteReference w:id="434"/>
      </w:r>
      <w:r w:rsidRPr="006E622A">
        <w:rPr>
          <w:rFonts w:ascii="Times New Roman" w:hAnsi="Times New Roman"/>
          <w:szCs w:val="24"/>
        </w:rPr>
        <w:t xml:space="preserve">On the other hand, </w:t>
      </w:r>
      <w:r>
        <w:rPr>
          <w:rFonts w:ascii="Times New Roman" w:hAnsi="Times New Roman"/>
          <w:szCs w:val="24"/>
        </w:rPr>
        <w:t xml:space="preserve">a </w:t>
      </w:r>
      <w:r w:rsidRPr="006E622A">
        <w:rPr>
          <w:rFonts w:ascii="Times New Roman" w:hAnsi="Times New Roman"/>
          <w:szCs w:val="24"/>
        </w:rPr>
        <w:t>substantive assessment would be needed i</w:t>
      </w:r>
      <w:r>
        <w:rPr>
          <w:rFonts w:ascii="Times New Roman" w:hAnsi="Times New Roman"/>
          <w:szCs w:val="24"/>
        </w:rPr>
        <w:t>n evaluating the credibility/</w:t>
      </w:r>
      <w:r w:rsidRPr="006E622A">
        <w:rPr>
          <w:rFonts w:ascii="Times New Roman" w:hAnsi="Times New Roman"/>
          <w:szCs w:val="24"/>
        </w:rPr>
        <w:t>reliability of victims’ application at the trial stage.</w:t>
      </w:r>
      <w:r>
        <w:rPr>
          <w:rFonts w:ascii="Times New Roman" w:hAnsi="Times New Roman"/>
          <w:szCs w:val="24"/>
        </w:rPr>
        <w:t xml:space="preserve"> </w:t>
      </w:r>
      <w:r w:rsidRPr="006E622A">
        <w:rPr>
          <w:rFonts w:ascii="Times New Roman" w:hAnsi="Times New Roman"/>
          <w:szCs w:val="24"/>
        </w:rPr>
        <w:t xml:space="preserve">The reason being that there are </w:t>
      </w:r>
      <w:r w:rsidR="00435D09">
        <w:rPr>
          <w:rFonts w:ascii="Times New Roman" w:hAnsi="Times New Roman"/>
          <w:szCs w:val="24"/>
        </w:rPr>
        <w:t xml:space="preserve">inadequate </w:t>
      </w:r>
      <w:r w:rsidRPr="006E622A">
        <w:rPr>
          <w:rFonts w:ascii="Times New Roman" w:hAnsi="Times New Roman"/>
          <w:szCs w:val="24"/>
        </w:rPr>
        <w:t>detailed facts and issues on grounds for consideration.</w:t>
      </w:r>
    </w:p>
    <w:p w14:paraId="0999CA2D" w14:textId="77777777" w:rsidR="00CF5550" w:rsidRPr="006E622A" w:rsidRDefault="00CF5550" w:rsidP="00CF5550">
      <w:pPr>
        <w:spacing w:after="0" w:line="480" w:lineRule="auto"/>
        <w:jc w:val="both"/>
        <w:rPr>
          <w:rFonts w:ascii="Times New Roman" w:hAnsi="Times New Roman"/>
          <w:szCs w:val="24"/>
        </w:rPr>
      </w:pPr>
    </w:p>
    <w:p w14:paraId="6BEDDE3C" w14:textId="0CC3266E" w:rsidR="00CF5550" w:rsidRDefault="00CF5550" w:rsidP="00CF5550">
      <w:pPr>
        <w:spacing w:after="0" w:line="480" w:lineRule="auto"/>
        <w:jc w:val="both"/>
        <w:rPr>
          <w:rFonts w:ascii="Times New Roman" w:hAnsi="Times New Roman"/>
          <w:szCs w:val="24"/>
        </w:rPr>
      </w:pPr>
      <w:r w:rsidRPr="006E622A">
        <w:rPr>
          <w:rFonts w:ascii="Times New Roman" w:hAnsi="Times New Roman"/>
          <w:szCs w:val="24"/>
        </w:rPr>
        <w:t>The victim application came up in the DRC Situation. The</w:t>
      </w:r>
      <w:r w:rsidR="0090657A">
        <w:rPr>
          <w:rFonts w:ascii="Times New Roman" w:hAnsi="Times New Roman"/>
          <w:szCs w:val="24"/>
        </w:rPr>
        <w:t xml:space="preserve"> PTC had to determine </w:t>
      </w:r>
      <w:r w:rsidRPr="006E622A">
        <w:rPr>
          <w:rFonts w:ascii="Times New Roman" w:hAnsi="Times New Roman"/>
          <w:szCs w:val="24"/>
        </w:rPr>
        <w:t xml:space="preserve">whether </w:t>
      </w:r>
      <w:r>
        <w:rPr>
          <w:rFonts w:ascii="Times New Roman" w:hAnsi="Times New Roman"/>
          <w:szCs w:val="24"/>
        </w:rPr>
        <w:t xml:space="preserve">a </w:t>
      </w:r>
      <w:r w:rsidRPr="006E622A">
        <w:rPr>
          <w:rFonts w:ascii="Times New Roman" w:hAnsi="Times New Roman"/>
          <w:szCs w:val="24"/>
        </w:rPr>
        <w:t>victim ha</w:t>
      </w:r>
      <w:r>
        <w:rPr>
          <w:rFonts w:ascii="Times New Roman" w:hAnsi="Times New Roman"/>
          <w:szCs w:val="24"/>
        </w:rPr>
        <w:t>s</w:t>
      </w:r>
      <w:r w:rsidRPr="006E622A">
        <w:rPr>
          <w:rFonts w:ascii="Times New Roman" w:hAnsi="Times New Roman"/>
          <w:szCs w:val="24"/>
        </w:rPr>
        <w:t xml:space="preserve"> a right to participate during </w:t>
      </w:r>
      <w:r>
        <w:rPr>
          <w:rFonts w:ascii="Times New Roman" w:hAnsi="Times New Roman"/>
          <w:szCs w:val="24"/>
        </w:rPr>
        <w:t xml:space="preserve">the </w:t>
      </w:r>
      <w:r w:rsidRPr="006E622A">
        <w:rPr>
          <w:rFonts w:ascii="Times New Roman" w:hAnsi="Times New Roman"/>
          <w:szCs w:val="24"/>
        </w:rPr>
        <w:t>investigation of a situation.</w:t>
      </w:r>
      <w:r w:rsidRPr="006E622A">
        <w:rPr>
          <w:rFonts w:ascii="Times New Roman" w:hAnsi="Times New Roman"/>
          <w:szCs w:val="24"/>
          <w:vertAlign w:val="superscript"/>
        </w:rPr>
        <w:footnoteReference w:id="435"/>
      </w:r>
      <w:r w:rsidRPr="006E622A">
        <w:rPr>
          <w:rFonts w:ascii="Times New Roman" w:hAnsi="Times New Roman"/>
          <w:szCs w:val="24"/>
        </w:rPr>
        <w:t xml:space="preserve">Mr Sidiki </w:t>
      </w:r>
      <w:proofErr w:type="spellStart"/>
      <w:r w:rsidRPr="006E622A">
        <w:rPr>
          <w:rFonts w:ascii="Times New Roman" w:hAnsi="Times New Roman"/>
          <w:szCs w:val="24"/>
        </w:rPr>
        <w:t>Kaba</w:t>
      </w:r>
      <w:proofErr w:type="spellEnd"/>
      <w:r w:rsidRPr="006E622A">
        <w:rPr>
          <w:rFonts w:ascii="Times New Roman" w:hAnsi="Times New Roman"/>
          <w:szCs w:val="24"/>
        </w:rPr>
        <w:t xml:space="preserve"> submitted applications for </w:t>
      </w:r>
      <w:r w:rsidR="00281F76">
        <w:rPr>
          <w:rFonts w:ascii="Times New Roman" w:hAnsi="Times New Roman"/>
          <w:szCs w:val="24"/>
        </w:rPr>
        <w:t>victims' participation</w:t>
      </w:r>
      <w:r w:rsidRPr="006E622A">
        <w:rPr>
          <w:rFonts w:ascii="Times New Roman" w:hAnsi="Times New Roman"/>
          <w:szCs w:val="24"/>
        </w:rPr>
        <w:t xml:space="preserve"> labelled VPRS 1.VPRS 2,</w:t>
      </w:r>
      <w:r>
        <w:rPr>
          <w:rFonts w:ascii="Times New Roman" w:hAnsi="Times New Roman"/>
          <w:szCs w:val="24"/>
        </w:rPr>
        <w:t xml:space="preserve"> </w:t>
      </w:r>
      <w:r w:rsidRPr="006E622A">
        <w:rPr>
          <w:rFonts w:ascii="Times New Roman" w:hAnsi="Times New Roman"/>
          <w:szCs w:val="24"/>
        </w:rPr>
        <w:lastRenderedPageBreak/>
        <w:t>VPRS 3,</w:t>
      </w:r>
      <w:r>
        <w:rPr>
          <w:rFonts w:ascii="Times New Roman" w:hAnsi="Times New Roman"/>
          <w:szCs w:val="24"/>
        </w:rPr>
        <w:t xml:space="preserve"> </w:t>
      </w:r>
      <w:r w:rsidRPr="006E622A">
        <w:rPr>
          <w:rFonts w:ascii="Times New Roman" w:hAnsi="Times New Roman"/>
          <w:szCs w:val="24"/>
        </w:rPr>
        <w:t>VPRS 4,</w:t>
      </w:r>
      <w:r>
        <w:rPr>
          <w:rFonts w:ascii="Times New Roman" w:hAnsi="Times New Roman"/>
          <w:szCs w:val="24"/>
        </w:rPr>
        <w:t xml:space="preserve"> </w:t>
      </w:r>
      <w:r w:rsidRPr="006E622A">
        <w:rPr>
          <w:rFonts w:ascii="Times New Roman" w:hAnsi="Times New Roman"/>
          <w:szCs w:val="24"/>
        </w:rPr>
        <w:t>VPRS 5,</w:t>
      </w:r>
      <w:r>
        <w:rPr>
          <w:rFonts w:ascii="Times New Roman" w:hAnsi="Times New Roman"/>
          <w:szCs w:val="24"/>
        </w:rPr>
        <w:t xml:space="preserve"> </w:t>
      </w:r>
      <w:r w:rsidRPr="006E622A">
        <w:rPr>
          <w:rFonts w:ascii="Times New Roman" w:hAnsi="Times New Roman"/>
          <w:szCs w:val="24"/>
        </w:rPr>
        <w:t>VPRS 6.</w:t>
      </w:r>
      <w:r w:rsidRPr="006E622A">
        <w:rPr>
          <w:rFonts w:ascii="Times New Roman" w:hAnsi="Times New Roman"/>
          <w:szCs w:val="24"/>
          <w:vertAlign w:val="superscript"/>
        </w:rPr>
        <w:footnoteReference w:id="436"/>
      </w:r>
      <w:r w:rsidRPr="006E622A">
        <w:rPr>
          <w:rFonts w:ascii="Times New Roman" w:hAnsi="Times New Roman"/>
          <w:szCs w:val="24"/>
        </w:rPr>
        <w:t>The President appointed Emmanuel Daoud as their legal representatives. In their response, the OTP filed a motion opposing the victim applications. He argued that it was too early for victims to get involved in the proceedings;</w:t>
      </w:r>
      <w:r>
        <w:rPr>
          <w:rFonts w:ascii="Times New Roman" w:hAnsi="Times New Roman"/>
          <w:szCs w:val="24"/>
        </w:rPr>
        <w:t xml:space="preserve"> </w:t>
      </w:r>
      <w:r w:rsidRPr="006E622A">
        <w:rPr>
          <w:rFonts w:ascii="Times New Roman" w:hAnsi="Times New Roman"/>
          <w:szCs w:val="24"/>
        </w:rPr>
        <w:t>investigation.</w:t>
      </w:r>
    </w:p>
    <w:p w14:paraId="1F73A55A" w14:textId="77777777" w:rsidR="00CF5550" w:rsidRDefault="00CF5550" w:rsidP="00CF5550">
      <w:pPr>
        <w:spacing w:after="0" w:line="480" w:lineRule="auto"/>
        <w:jc w:val="both"/>
        <w:rPr>
          <w:rFonts w:ascii="Times New Roman" w:hAnsi="Times New Roman"/>
          <w:szCs w:val="24"/>
        </w:rPr>
      </w:pPr>
    </w:p>
    <w:p w14:paraId="329B236C" w14:textId="3BA806FB" w:rsidR="00CF5550" w:rsidRPr="006E622A" w:rsidRDefault="00CF5550" w:rsidP="00CF5550">
      <w:pPr>
        <w:spacing w:after="0" w:line="480" w:lineRule="auto"/>
        <w:jc w:val="both"/>
        <w:rPr>
          <w:rFonts w:ascii="Times New Roman" w:hAnsi="Times New Roman"/>
          <w:szCs w:val="24"/>
        </w:rPr>
      </w:pPr>
      <w:r w:rsidRPr="006E622A">
        <w:rPr>
          <w:rFonts w:ascii="Times New Roman" w:hAnsi="Times New Roman"/>
          <w:szCs w:val="24"/>
        </w:rPr>
        <w:t xml:space="preserve">Furthermore, he posited that the Statute did not intend victims to take part in the proceedings at such an early stage. </w:t>
      </w:r>
      <w:r>
        <w:rPr>
          <w:rFonts w:ascii="Times New Roman" w:hAnsi="Times New Roman"/>
          <w:szCs w:val="24"/>
        </w:rPr>
        <w:t>The Prosecutor noted</w:t>
      </w:r>
      <w:r w:rsidRPr="006E622A">
        <w:rPr>
          <w:rFonts w:ascii="Times New Roman" w:hAnsi="Times New Roman"/>
          <w:szCs w:val="24"/>
        </w:rPr>
        <w:t xml:space="preserve"> that only victim participation </w:t>
      </w:r>
      <w:r w:rsidR="0090657A">
        <w:rPr>
          <w:rFonts w:ascii="Times New Roman" w:hAnsi="Times New Roman"/>
          <w:szCs w:val="24"/>
        </w:rPr>
        <w:t>under</w:t>
      </w:r>
      <w:r w:rsidRPr="006E622A">
        <w:rPr>
          <w:rFonts w:ascii="Times New Roman" w:hAnsi="Times New Roman"/>
          <w:szCs w:val="24"/>
        </w:rPr>
        <w:t xml:space="preserve"> proceedings in Article 15(3), </w:t>
      </w:r>
      <w:r w:rsidR="0090657A">
        <w:rPr>
          <w:rFonts w:ascii="Times New Roman" w:hAnsi="Times New Roman"/>
          <w:szCs w:val="24"/>
        </w:rPr>
        <w:t>was</w:t>
      </w:r>
      <w:r w:rsidRPr="006E622A">
        <w:rPr>
          <w:rFonts w:ascii="Times New Roman" w:hAnsi="Times New Roman"/>
          <w:szCs w:val="24"/>
        </w:rPr>
        <w:t xml:space="preserve"> permitted at the investigation stage. As such, any other form of </w:t>
      </w:r>
      <w:r w:rsidR="00435D09">
        <w:rPr>
          <w:rFonts w:ascii="Times New Roman" w:hAnsi="Times New Roman"/>
          <w:szCs w:val="24"/>
        </w:rPr>
        <w:t>involvement</w:t>
      </w:r>
      <w:r w:rsidRPr="006E622A">
        <w:rPr>
          <w:rFonts w:ascii="Times New Roman" w:hAnsi="Times New Roman"/>
          <w:szCs w:val="24"/>
        </w:rPr>
        <w:t xml:space="preserve"> except the one set out in Article 15(3) would undermine the objectivity of the proceedings and the </w:t>
      </w:r>
      <w:r w:rsidR="00281F76">
        <w:rPr>
          <w:rFonts w:ascii="Times New Roman" w:hAnsi="Times New Roman"/>
          <w:szCs w:val="24"/>
        </w:rPr>
        <w:t>OTP’s office's integrity</w:t>
      </w:r>
      <w:r w:rsidRPr="006E622A">
        <w:rPr>
          <w:rFonts w:ascii="Times New Roman" w:hAnsi="Times New Roman"/>
          <w:szCs w:val="24"/>
        </w:rPr>
        <w:t>.</w:t>
      </w:r>
      <w:r w:rsidRPr="006E622A">
        <w:rPr>
          <w:rFonts w:ascii="Times New Roman" w:hAnsi="Times New Roman"/>
          <w:szCs w:val="24"/>
          <w:vertAlign w:val="superscript"/>
        </w:rPr>
        <w:footnoteReference w:id="437"/>
      </w:r>
      <w:r w:rsidRPr="006E622A">
        <w:rPr>
          <w:rFonts w:ascii="Times New Roman" w:hAnsi="Times New Roman"/>
          <w:szCs w:val="24"/>
        </w:rPr>
        <w:t>The ad</w:t>
      </w:r>
      <w:r>
        <w:rPr>
          <w:rFonts w:ascii="Times New Roman" w:hAnsi="Times New Roman"/>
          <w:szCs w:val="24"/>
        </w:rPr>
        <w:t xml:space="preserve"> </w:t>
      </w:r>
      <w:r w:rsidRPr="006E622A">
        <w:rPr>
          <w:rFonts w:ascii="Times New Roman" w:hAnsi="Times New Roman"/>
          <w:szCs w:val="24"/>
        </w:rPr>
        <w:t>hoc defen</w:t>
      </w:r>
      <w:r>
        <w:rPr>
          <w:rFonts w:ascii="Times New Roman" w:hAnsi="Times New Roman"/>
          <w:szCs w:val="24"/>
        </w:rPr>
        <w:t>c</w:t>
      </w:r>
      <w:r w:rsidRPr="006E622A">
        <w:rPr>
          <w:rFonts w:ascii="Times New Roman" w:hAnsi="Times New Roman"/>
          <w:szCs w:val="24"/>
        </w:rPr>
        <w:t xml:space="preserve">e counsel(no suspect or identifiable perpetrator) filed its observations. </w:t>
      </w:r>
      <w:r w:rsidRPr="006E622A">
        <w:rPr>
          <w:rFonts w:ascii="Times New Roman" w:hAnsi="Times New Roman"/>
          <w:szCs w:val="24"/>
          <w:vertAlign w:val="superscript"/>
        </w:rPr>
        <w:footnoteReference w:id="438"/>
      </w:r>
      <w:r w:rsidRPr="006E622A">
        <w:rPr>
          <w:rFonts w:ascii="Times New Roman" w:hAnsi="Times New Roman"/>
          <w:szCs w:val="24"/>
        </w:rPr>
        <w:t xml:space="preserve"> </w:t>
      </w:r>
    </w:p>
    <w:p w14:paraId="04AAA2C8" w14:textId="77777777" w:rsidR="00CF5550" w:rsidRPr="006E622A" w:rsidRDefault="00CF5550" w:rsidP="00CF5550">
      <w:pPr>
        <w:spacing w:after="0" w:line="480" w:lineRule="auto"/>
        <w:jc w:val="both"/>
        <w:rPr>
          <w:rFonts w:ascii="Times New Roman" w:hAnsi="Times New Roman"/>
          <w:szCs w:val="24"/>
        </w:rPr>
      </w:pPr>
    </w:p>
    <w:p w14:paraId="21337D25" w14:textId="6C0C9DBE" w:rsidR="00CF5550" w:rsidRPr="006E622A" w:rsidRDefault="00C447A0" w:rsidP="00CF5550">
      <w:pPr>
        <w:spacing w:after="0" w:line="480" w:lineRule="auto"/>
        <w:jc w:val="both"/>
        <w:rPr>
          <w:rFonts w:ascii="Times New Roman" w:hAnsi="Times New Roman"/>
          <w:szCs w:val="24"/>
        </w:rPr>
      </w:pPr>
      <w:r>
        <w:rPr>
          <w:rFonts w:ascii="Times New Roman" w:hAnsi="Times New Roman"/>
          <w:szCs w:val="24"/>
        </w:rPr>
        <w:t xml:space="preserve">By using the </w:t>
      </w:r>
      <w:r w:rsidRPr="006E622A">
        <w:rPr>
          <w:rFonts w:ascii="Times New Roman" w:hAnsi="Times New Roman"/>
          <w:szCs w:val="24"/>
        </w:rPr>
        <w:t>terminological and contextual approach</w:t>
      </w:r>
      <w:r>
        <w:rPr>
          <w:rFonts w:ascii="Times New Roman" w:hAnsi="Times New Roman"/>
          <w:szCs w:val="24"/>
        </w:rPr>
        <w:t>,</w:t>
      </w:r>
      <w:r w:rsidR="00CF5550">
        <w:rPr>
          <w:rFonts w:ascii="Times New Roman" w:hAnsi="Times New Roman"/>
          <w:szCs w:val="24"/>
        </w:rPr>
        <w:t xml:space="preserve"> </w:t>
      </w:r>
      <w:r w:rsidR="00CF5550" w:rsidRPr="006E622A">
        <w:rPr>
          <w:rFonts w:ascii="Times New Roman" w:hAnsi="Times New Roman"/>
          <w:szCs w:val="24"/>
        </w:rPr>
        <w:t>the PTC analysed</w:t>
      </w:r>
      <w:r w:rsidR="00507736">
        <w:rPr>
          <w:rFonts w:ascii="Times New Roman" w:hAnsi="Times New Roman"/>
          <w:szCs w:val="24"/>
        </w:rPr>
        <w:t xml:space="preserve"> the position of victims</w:t>
      </w:r>
      <w:r>
        <w:rPr>
          <w:rFonts w:ascii="Times New Roman" w:hAnsi="Times New Roman"/>
          <w:szCs w:val="24"/>
        </w:rPr>
        <w:t xml:space="preserve">. </w:t>
      </w:r>
      <w:r w:rsidR="00CF5550" w:rsidRPr="006E622A">
        <w:rPr>
          <w:rFonts w:ascii="Times New Roman" w:hAnsi="Times New Roman"/>
          <w:szCs w:val="24"/>
        </w:rPr>
        <w:t>With each approach, the judges considered if victims c</w:t>
      </w:r>
      <w:r>
        <w:rPr>
          <w:rFonts w:ascii="Times New Roman" w:hAnsi="Times New Roman"/>
          <w:szCs w:val="24"/>
        </w:rPr>
        <w:t>ould</w:t>
      </w:r>
      <w:r w:rsidR="00CF5550" w:rsidRPr="006E622A">
        <w:rPr>
          <w:rFonts w:ascii="Times New Roman" w:hAnsi="Times New Roman"/>
          <w:szCs w:val="24"/>
        </w:rPr>
        <w:t xml:space="preserve"> participate </w:t>
      </w:r>
      <w:r w:rsidR="00CF5550">
        <w:rPr>
          <w:rFonts w:ascii="Times New Roman" w:hAnsi="Times New Roman"/>
          <w:szCs w:val="24"/>
        </w:rPr>
        <w:t>before</w:t>
      </w:r>
      <w:r w:rsidR="00CF5550" w:rsidRPr="006E622A">
        <w:rPr>
          <w:rFonts w:ascii="Times New Roman" w:hAnsi="Times New Roman"/>
          <w:szCs w:val="24"/>
        </w:rPr>
        <w:t xml:space="preserve"> the identification of a suspect.</w:t>
      </w:r>
      <w:r w:rsidR="00CF5550">
        <w:rPr>
          <w:rFonts w:ascii="Times New Roman" w:hAnsi="Times New Roman"/>
          <w:szCs w:val="24"/>
        </w:rPr>
        <w:t xml:space="preserve"> </w:t>
      </w:r>
      <w:r w:rsidR="00CF5550" w:rsidRPr="006E622A">
        <w:rPr>
          <w:rFonts w:ascii="Times New Roman" w:hAnsi="Times New Roman"/>
          <w:szCs w:val="24"/>
        </w:rPr>
        <w:t xml:space="preserve">The Court found that the Statute and </w:t>
      </w:r>
      <w:r w:rsidR="00281F76">
        <w:rPr>
          <w:rFonts w:ascii="Times New Roman" w:hAnsi="Times New Roman"/>
          <w:szCs w:val="24"/>
        </w:rPr>
        <w:t>rules allow</w:t>
      </w:r>
      <w:r w:rsidR="00CF5550" w:rsidRPr="006E622A">
        <w:rPr>
          <w:rFonts w:ascii="Times New Roman" w:hAnsi="Times New Roman"/>
          <w:szCs w:val="24"/>
        </w:rPr>
        <w:t xml:space="preserve"> victims to participate </w:t>
      </w:r>
      <w:r w:rsidR="00CF5550">
        <w:rPr>
          <w:rFonts w:ascii="Times New Roman" w:hAnsi="Times New Roman"/>
          <w:szCs w:val="24"/>
        </w:rPr>
        <w:t>in</w:t>
      </w:r>
      <w:r w:rsidR="00CF5550" w:rsidRPr="006E622A">
        <w:rPr>
          <w:rFonts w:ascii="Times New Roman" w:hAnsi="Times New Roman"/>
          <w:szCs w:val="24"/>
        </w:rPr>
        <w:t xml:space="preserve"> the early stages of participation.</w:t>
      </w:r>
      <w:r w:rsidR="00CF5550">
        <w:rPr>
          <w:rFonts w:ascii="Times New Roman" w:hAnsi="Times New Roman"/>
          <w:szCs w:val="24"/>
        </w:rPr>
        <w:t xml:space="preserve"> </w:t>
      </w:r>
      <w:r w:rsidR="00CF5550" w:rsidRPr="006E622A">
        <w:rPr>
          <w:rFonts w:ascii="Times New Roman" w:hAnsi="Times New Roman"/>
          <w:szCs w:val="24"/>
        </w:rPr>
        <w:t>Additionally, the Court held that the term ‘proceedings’ encompass the investigation, pre-trial and trial stage.</w:t>
      </w:r>
      <w:r w:rsidR="00CF5550">
        <w:rPr>
          <w:rFonts w:ascii="Times New Roman" w:hAnsi="Times New Roman"/>
          <w:szCs w:val="24"/>
        </w:rPr>
        <w:t xml:space="preserve"> </w:t>
      </w:r>
      <w:r w:rsidR="00CF5550" w:rsidRPr="006E622A">
        <w:rPr>
          <w:rFonts w:ascii="Times New Roman" w:hAnsi="Times New Roman"/>
          <w:szCs w:val="24"/>
        </w:rPr>
        <w:t xml:space="preserve">Hence proceedings </w:t>
      </w:r>
      <w:r w:rsidR="00CF5550">
        <w:rPr>
          <w:rFonts w:ascii="Times New Roman" w:hAnsi="Times New Roman"/>
          <w:szCs w:val="24"/>
        </w:rPr>
        <w:t>are</w:t>
      </w:r>
      <w:r w:rsidR="00CF5550" w:rsidRPr="006E622A">
        <w:rPr>
          <w:rFonts w:ascii="Times New Roman" w:hAnsi="Times New Roman"/>
          <w:szCs w:val="24"/>
        </w:rPr>
        <w:t xml:space="preserve"> not restricted to court proceedings</w:t>
      </w:r>
      <w:r w:rsidR="00281F76">
        <w:rPr>
          <w:rFonts w:ascii="Times New Roman" w:hAnsi="Times New Roman"/>
          <w:szCs w:val="24"/>
        </w:rPr>
        <w:t>. T</w:t>
      </w:r>
      <w:r w:rsidR="00CF5550" w:rsidRPr="006E622A">
        <w:rPr>
          <w:rFonts w:ascii="Times New Roman" w:hAnsi="Times New Roman"/>
          <w:szCs w:val="24"/>
        </w:rPr>
        <w:t xml:space="preserve">his rejected the Prosecutor’s </w:t>
      </w:r>
      <w:r w:rsidR="00CF5550" w:rsidRPr="006E622A">
        <w:rPr>
          <w:rFonts w:ascii="Times New Roman" w:hAnsi="Times New Roman"/>
          <w:szCs w:val="24"/>
        </w:rPr>
        <w:lastRenderedPageBreak/>
        <w:t xml:space="preserve">argument- the Court acknowledged that although article 68(3) is classified under the </w:t>
      </w:r>
      <w:r w:rsidR="00281F76">
        <w:rPr>
          <w:rFonts w:ascii="Times New Roman" w:hAnsi="Times New Roman"/>
          <w:szCs w:val="24"/>
        </w:rPr>
        <w:t>statute's trial section</w:t>
      </w:r>
      <w:r w:rsidR="00CF5550" w:rsidRPr="006E622A">
        <w:rPr>
          <w:rFonts w:ascii="Times New Roman" w:hAnsi="Times New Roman"/>
          <w:szCs w:val="24"/>
        </w:rPr>
        <w:t>, this does not limit its application to trial proceedings only.</w:t>
      </w:r>
    </w:p>
    <w:p w14:paraId="4F54A78B" w14:textId="77777777" w:rsidR="00CF5550" w:rsidRPr="006E622A" w:rsidRDefault="00CF5550" w:rsidP="00CF5550">
      <w:pPr>
        <w:spacing w:after="0"/>
        <w:jc w:val="both"/>
        <w:rPr>
          <w:rFonts w:ascii="Times New Roman" w:hAnsi="Times New Roman"/>
          <w:szCs w:val="24"/>
        </w:rPr>
      </w:pPr>
    </w:p>
    <w:p w14:paraId="60378A2D" w14:textId="6016F4C4" w:rsidR="00CF5550" w:rsidRPr="006E622A" w:rsidRDefault="00CF5550" w:rsidP="00CF5550">
      <w:pPr>
        <w:spacing w:after="0" w:line="480" w:lineRule="auto"/>
        <w:jc w:val="both"/>
        <w:rPr>
          <w:rFonts w:ascii="Times New Roman" w:hAnsi="Times New Roman"/>
          <w:szCs w:val="24"/>
        </w:rPr>
      </w:pPr>
      <w:r w:rsidRPr="006E622A">
        <w:rPr>
          <w:rFonts w:ascii="Times New Roman" w:hAnsi="Times New Roman"/>
          <w:szCs w:val="24"/>
        </w:rPr>
        <w:t>Besides, the TC has noted that appearing as a victim before the court is voluntary.</w:t>
      </w:r>
      <w:r>
        <w:rPr>
          <w:rFonts w:ascii="Times New Roman" w:hAnsi="Times New Roman"/>
          <w:szCs w:val="24"/>
        </w:rPr>
        <w:t xml:space="preserve"> </w:t>
      </w:r>
      <w:r w:rsidRPr="006E622A">
        <w:rPr>
          <w:rFonts w:ascii="Times New Roman" w:hAnsi="Times New Roman"/>
          <w:szCs w:val="24"/>
        </w:rPr>
        <w:t>Victim participants are independent of the Prosecutor as well as the defence.</w:t>
      </w:r>
      <w:r w:rsidRPr="006E622A">
        <w:rPr>
          <w:rFonts w:ascii="Times New Roman" w:hAnsi="Times New Roman"/>
          <w:szCs w:val="24"/>
          <w:vertAlign w:val="superscript"/>
        </w:rPr>
        <w:footnoteReference w:id="439"/>
      </w:r>
      <w:r w:rsidRPr="006E622A">
        <w:rPr>
          <w:rFonts w:ascii="Times New Roman" w:hAnsi="Times New Roman"/>
          <w:szCs w:val="24"/>
        </w:rPr>
        <w:t>They pursue their interests independent of the parties.</w:t>
      </w:r>
      <w:r>
        <w:rPr>
          <w:rFonts w:ascii="Times New Roman" w:hAnsi="Times New Roman"/>
          <w:szCs w:val="24"/>
        </w:rPr>
        <w:t xml:space="preserve"> </w:t>
      </w:r>
      <w:r w:rsidRPr="006E622A">
        <w:rPr>
          <w:rFonts w:ascii="Times New Roman" w:hAnsi="Times New Roman"/>
          <w:szCs w:val="24"/>
        </w:rPr>
        <w:t>Although, they may work with the Prosecutor during investigation or trial.</w:t>
      </w:r>
      <w:r>
        <w:rPr>
          <w:rFonts w:ascii="Times New Roman" w:hAnsi="Times New Roman"/>
          <w:szCs w:val="24"/>
        </w:rPr>
        <w:t xml:space="preserve"> </w:t>
      </w:r>
      <w:r w:rsidRPr="006E622A">
        <w:rPr>
          <w:rFonts w:ascii="Times New Roman" w:hAnsi="Times New Roman"/>
          <w:szCs w:val="24"/>
        </w:rPr>
        <w:t>Th</w:t>
      </w:r>
      <w:r w:rsidR="003A7EDD">
        <w:rPr>
          <w:rFonts w:ascii="Times New Roman" w:hAnsi="Times New Roman"/>
          <w:szCs w:val="24"/>
        </w:rPr>
        <w:t>eir cooperation with the Prosecution</w:t>
      </w:r>
      <w:r w:rsidRPr="006E622A">
        <w:rPr>
          <w:rFonts w:ascii="Times New Roman" w:hAnsi="Times New Roman"/>
          <w:szCs w:val="24"/>
        </w:rPr>
        <w:t xml:space="preserve"> does not mean their role is subsumed under the Prosecutor.</w:t>
      </w:r>
      <w:r>
        <w:rPr>
          <w:rFonts w:ascii="Times New Roman" w:hAnsi="Times New Roman"/>
          <w:szCs w:val="24"/>
        </w:rPr>
        <w:t xml:space="preserve"> </w:t>
      </w:r>
      <w:r w:rsidRPr="006E622A">
        <w:rPr>
          <w:rFonts w:ascii="Times New Roman" w:hAnsi="Times New Roman"/>
          <w:szCs w:val="24"/>
        </w:rPr>
        <w:t>They are not an ally of the prosecutor or assistant prosecutor</w:t>
      </w:r>
      <w:r>
        <w:rPr>
          <w:rFonts w:ascii="Times New Roman" w:hAnsi="Times New Roman"/>
          <w:szCs w:val="24"/>
        </w:rPr>
        <w:t>s</w:t>
      </w:r>
      <w:r w:rsidR="00C447A0">
        <w:rPr>
          <w:rStyle w:val="FootnoteReference"/>
          <w:rFonts w:ascii="Times New Roman" w:hAnsi="Times New Roman"/>
          <w:szCs w:val="24"/>
        </w:rPr>
        <w:footnoteReference w:id="440"/>
      </w:r>
      <w:r w:rsidRPr="006E622A">
        <w:rPr>
          <w:rFonts w:ascii="Times New Roman" w:hAnsi="Times New Roman"/>
          <w:szCs w:val="24"/>
        </w:rPr>
        <w:t>.</w:t>
      </w:r>
      <w:r>
        <w:rPr>
          <w:rFonts w:ascii="Times New Roman" w:hAnsi="Times New Roman"/>
          <w:szCs w:val="24"/>
        </w:rPr>
        <w:t xml:space="preserve"> </w:t>
      </w:r>
      <w:r w:rsidRPr="006E622A">
        <w:rPr>
          <w:rFonts w:ascii="Times New Roman" w:hAnsi="Times New Roman"/>
          <w:szCs w:val="24"/>
        </w:rPr>
        <w:t xml:space="preserve">Rather, the Statute and Rules grant them </w:t>
      </w:r>
      <w:r>
        <w:rPr>
          <w:rFonts w:ascii="Times New Roman" w:hAnsi="Times New Roman"/>
          <w:szCs w:val="24"/>
        </w:rPr>
        <w:t xml:space="preserve">an </w:t>
      </w:r>
      <w:r w:rsidRPr="006E622A">
        <w:rPr>
          <w:rFonts w:ascii="Times New Roman" w:hAnsi="Times New Roman"/>
          <w:szCs w:val="24"/>
        </w:rPr>
        <w:t>independent voice and role in the proceedings.</w:t>
      </w:r>
    </w:p>
    <w:p w14:paraId="4DBCBDB5" w14:textId="77777777" w:rsidR="00CF5550" w:rsidRPr="006E622A" w:rsidRDefault="00CF5550" w:rsidP="00CF5550">
      <w:pPr>
        <w:spacing w:after="0"/>
        <w:jc w:val="both"/>
        <w:rPr>
          <w:rFonts w:ascii="Times New Roman" w:hAnsi="Times New Roman"/>
          <w:szCs w:val="24"/>
        </w:rPr>
      </w:pPr>
    </w:p>
    <w:p w14:paraId="5CC6AF08" w14:textId="77777777" w:rsidR="00CF5550" w:rsidRPr="006E622A" w:rsidRDefault="00CF5550" w:rsidP="00CF5550">
      <w:pPr>
        <w:spacing w:after="0"/>
        <w:jc w:val="both"/>
        <w:rPr>
          <w:rFonts w:ascii="Times New Roman" w:hAnsi="Times New Roman"/>
          <w:szCs w:val="24"/>
        </w:rPr>
      </w:pPr>
      <w:r w:rsidRPr="006E622A">
        <w:rPr>
          <w:rFonts w:ascii="Times New Roman" w:hAnsi="Times New Roman"/>
          <w:szCs w:val="24"/>
        </w:rPr>
        <w:t xml:space="preserve">Therefore, </w:t>
      </w:r>
      <w:r>
        <w:rPr>
          <w:rFonts w:ascii="Times New Roman" w:hAnsi="Times New Roman"/>
          <w:szCs w:val="24"/>
        </w:rPr>
        <w:t>the</w:t>
      </w:r>
      <w:r w:rsidRPr="006E622A">
        <w:rPr>
          <w:rFonts w:ascii="Times New Roman" w:hAnsi="Times New Roman"/>
          <w:szCs w:val="24"/>
        </w:rPr>
        <w:t xml:space="preserve"> victims</w:t>
      </w:r>
      <w:r>
        <w:rPr>
          <w:rFonts w:ascii="Times New Roman" w:hAnsi="Times New Roman"/>
          <w:szCs w:val="24"/>
        </w:rPr>
        <w:t>'</w:t>
      </w:r>
      <w:r w:rsidRPr="006E622A">
        <w:rPr>
          <w:rFonts w:ascii="Times New Roman" w:hAnsi="Times New Roman"/>
          <w:szCs w:val="24"/>
        </w:rPr>
        <w:t xml:space="preserve"> role in the trial include :</w:t>
      </w:r>
    </w:p>
    <w:p w14:paraId="4D359D6C" w14:textId="77777777" w:rsidR="00CF5550" w:rsidRPr="00961153" w:rsidRDefault="00CF5550" w:rsidP="00CF5550">
      <w:pPr>
        <w:numPr>
          <w:ilvl w:val="0"/>
          <w:numId w:val="4"/>
        </w:numPr>
        <w:spacing w:after="0" w:line="480" w:lineRule="auto"/>
        <w:contextualSpacing/>
        <w:jc w:val="both"/>
        <w:rPr>
          <w:rFonts w:ascii="Times New Roman" w:hAnsi="Times New Roman"/>
          <w:szCs w:val="24"/>
        </w:rPr>
      </w:pPr>
      <w:r w:rsidRPr="00961153">
        <w:rPr>
          <w:rFonts w:ascii="Times New Roman" w:hAnsi="Times New Roman"/>
          <w:szCs w:val="24"/>
        </w:rPr>
        <w:t>making opening and closing statements;</w:t>
      </w:r>
    </w:p>
    <w:p w14:paraId="1CE51812" w14:textId="77777777" w:rsidR="00CF5550" w:rsidRPr="00961153" w:rsidRDefault="00CF5550" w:rsidP="00CF5550">
      <w:pPr>
        <w:numPr>
          <w:ilvl w:val="0"/>
          <w:numId w:val="4"/>
        </w:numPr>
        <w:spacing w:after="0" w:line="480" w:lineRule="auto"/>
        <w:contextualSpacing/>
        <w:jc w:val="both"/>
        <w:rPr>
          <w:rFonts w:ascii="Times New Roman" w:hAnsi="Times New Roman"/>
          <w:szCs w:val="24"/>
        </w:rPr>
      </w:pPr>
      <w:r w:rsidRPr="00961153">
        <w:rPr>
          <w:rFonts w:ascii="Times New Roman" w:hAnsi="Times New Roman"/>
          <w:szCs w:val="24"/>
        </w:rPr>
        <w:t>consulting the record of proceedings;</w:t>
      </w:r>
    </w:p>
    <w:p w14:paraId="1BD92A3B" w14:textId="77777777" w:rsidR="00CF5550" w:rsidRPr="00961153" w:rsidRDefault="00CF5550" w:rsidP="00CF5550">
      <w:pPr>
        <w:numPr>
          <w:ilvl w:val="0"/>
          <w:numId w:val="4"/>
        </w:numPr>
        <w:spacing w:after="0" w:line="480" w:lineRule="auto"/>
        <w:contextualSpacing/>
        <w:jc w:val="both"/>
        <w:rPr>
          <w:rFonts w:ascii="Times New Roman" w:hAnsi="Times New Roman"/>
          <w:szCs w:val="24"/>
        </w:rPr>
      </w:pPr>
      <w:r w:rsidRPr="00961153">
        <w:rPr>
          <w:rFonts w:ascii="Times New Roman" w:hAnsi="Times New Roman"/>
          <w:szCs w:val="24"/>
        </w:rPr>
        <w:t>receiving notification of all public filings and those confidential filings that affect their personal interests;</w:t>
      </w:r>
    </w:p>
    <w:p w14:paraId="7535DC0B" w14:textId="77777777" w:rsidR="00CF5550" w:rsidRPr="00961153" w:rsidRDefault="00CF5550" w:rsidP="00CF5550">
      <w:pPr>
        <w:numPr>
          <w:ilvl w:val="0"/>
          <w:numId w:val="4"/>
        </w:numPr>
        <w:spacing w:after="0" w:line="480" w:lineRule="auto"/>
        <w:contextualSpacing/>
        <w:jc w:val="both"/>
        <w:rPr>
          <w:rFonts w:ascii="Times New Roman" w:hAnsi="Times New Roman"/>
          <w:szCs w:val="24"/>
        </w:rPr>
      </w:pPr>
      <w:r w:rsidRPr="00961153">
        <w:rPr>
          <w:rFonts w:ascii="Times New Roman" w:hAnsi="Times New Roman"/>
          <w:szCs w:val="24"/>
        </w:rPr>
        <w:t>tendering and examining evidence if the Chamber feels it will assist in determining the truth,</w:t>
      </w:r>
      <w:r>
        <w:rPr>
          <w:rFonts w:ascii="Times New Roman" w:hAnsi="Times New Roman"/>
          <w:szCs w:val="24"/>
        </w:rPr>
        <w:t xml:space="preserve"> </w:t>
      </w:r>
      <w:r w:rsidRPr="00961153">
        <w:rPr>
          <w:rFonts w:ascii="Times New Roman" w:hAnsi="Times New Roman"/>
          <w:szCs w:val="24"/>
        </w:rPr>
        <w:t>otherwise known as seeking leave for the submission of evidence and;</w:t>
      </w:r>
    </w:p>
    <w:p w14:paraId="2E477E32" w14:textId="013FAD77" w:rsidR="00CF5550" w:rsidRDefault="00CF5550" w:rsidP="00CF5550">
      <w:pPr>
        <w:numPr>
          <w:ilvl w:val="0"/>
          <w:numId w:val="4"/>
        </w:numPr>
        <w:spacing w:after="0" w:line="480" w:lineRule="auto"/>
        <w:contextualSpacing/>
        <w:jc w:val="both"/>
        <w:rPr>
          <w:rFonts w:ascii="Times New Roman" w:hAnsi="Times New Roman"/>
          <w:szCs w:val="24"/>
        </w:rPr>
      </w:pPr>
      <w:r w:rsidRPr="00961153">
        <w:rPr>
          <w:rFonts w:ascii="Times New Roman" w:hAnsi="Times New Roman"/>
          <w:szCs w:val="24"/>
        </w:rPr>
        <w:lastRenderedPageBreak/>
        <w:t xml:space="preserve">legal representatives can attend and participate in </w:t>
      </w:r>
      <w:r>
        <w:rPr>
          <w:rFonts w:ascii="Times New Roman" w:hAnsi="Times New Roman"/>
          <w:szCs w:val="24"/>
        </w:rPr>
        <w:t xml:space="preserve">the </w:t>
      </w:r>
      <w:r w:rsidRPr="00961153">
        <w:rPr>
          <w:rFonts w:ascii="Times New Roman" w:hAnsi="Times New Roman"/>
          <w:szCs w:val="24"/>
        </w:rPr>
        <w:t>proceeding</w:t>
      </w:r>
      <w:r>
        <w:rPr>
          <w:rFonts w:ascii="Times New Roman" w:hAnsi="Times New Roman"/>
          <w:szCs w:val="24"/>
        </w:rPr>
        <w:t>s</w:t>
      </w:r>
      <w:r w:rsidRPr="00961153">
        <w:rPr>
          <w:rFonts w:ascii="Times New Roman" w:hAnsi="Times New Roman"/>
          <w:szCs w:val="24"/>
        </w:rPr>
        <w:t>,</w:t>
      </w:r>
      <w:r>
        <w:rPr>
          <w:rFonts w:ascii="Times New Roman" w:hAnsi="Times New Roman"/>
          <w:szCs w:val="24"/>
        </w:rPr>
        <w:t xml:space="preserve"> </w:t>
      </w:r>
      <w:r w:rsidRPr="00961153">
        <w:rPr>
          <w:rFonts w:ascii="Times New Roman" w:hAnsi="Times New Roman"/>
          <w:szCs w:val="24"/>
        </w:rPr>
        <w:t>question witnesses experts and the accused.</w:t>
      </w:r>
      <w:r w:rsidRPr="00961153">
        <w:rPr>
          <w:rFonts w:ascii="Times New Roman" w:hAnsi="Times New Roman"/>
          <w:szCs w:val="24"/>
          <w:vertAlign w:val="superscript"/>
        </w:rPr>
        <w:footnoteReference w:id="441"/>
      </w:r>
    </w:p>
    <w:p w14:paraId="02EE6F33" w14:textId="102C9727" w:rsidR="003A7EDD" w:rsidRDefault="003A7EDD" w:rsidP="003A7EDD">
      <w:pPr>
        <w:spacing w:after="0" w:line="480" w:lineRule="auto"/>
        <w:contextualSpacing/>
        <w:jc w:val="both"/>
        <w:rPr>
          <w:rFonts w:ascii="Times New Roman" w:hAnsi="Times New Roman"/>
          <w:szCs w:val="24"/>
        </w:rPr>
      </w:pPr>
    </w:p>
    <w:p w14:paraId="280FDAC4" w14:textId="34B5171A" w:rsidR="00C447A0" w:rsidRDefault="00157BCC" w:rsidP="00CF5550">
      <w:pPr>
        <w:spacing w:after="0" w:line="480" w:lineRule="auto"/>
        <w:jc w:val="both"/>
        <w:rPr>
          <w:rFonts w:ascii="Times New Roman" w:hAnsi="Times New Roman"/>
          <w:szCs w:val="24"/>
        </w:rPr>
      </w:pPr>
      <w:r>
        <w:rPr>
          <w:rFonts w:ascii="Times New Roman" w:hAnsi="Times New Roman"/>
          <w:szCs w:val="24"/>
        </w:rPr>
        <w:t>The confirmation of charges is an integral part of the Pre-Trial stage.</w:t>
      </w:r>
      <w:r w:rsidR="000E76BB">
        <w:rPr>
          <w:rFonts w:ascii="Times New Roman" w:hAnsi="Times New Roman"/>
          <w:szCs w:val="24"/>
        </w:rPr>
        <w:t xml:space="preserve"> </w:t>
      </w:r>
      <w:r>
        <w:rPr>
          <w:rFonts w:ascii="Times New Roman" w:hAnsi="Times New Roman"/>
          <w:szCs w:val="24"/>
        </w:rPr>
        <w:t>There are restrictions on victims’ rights at this phase because they cannot t</w:t>
      </w:r>
      <w:r w:rsidR="000E76BB">
        <w:rPr>
          <w:rFonts w:ascii="Times New Roman" w:hAnsi="Times New Roman"/>
          <w:szCs w:val="24"/>
        </w:rPr>
        <w:t>e</w:t>
      </w:r>
      <w:r>
        <w:rPr>
          <w:rFonts w:ascii="Times New Roman" w:hAnsi="Times New Roman"/>
          <w:szCs w:val="24"/>
        </w:rPr>
        <w:t>nder new evidence</w:t>
      </w:r>
      <w:r w:rsidR="000E76BB">
        <w:rPr>
          <w:rFonts w:ascii="Times New Roman" w:hAnsi="Times New Roman"/>
          <w:szCs w:val="24"/>
        </w:rPr>
        <w:t>,</w:t>
      </w:r>
      <w:r>
        <w:rPr>
          <w:rFonts w:ascii="Times New Roman" w:hAnsi="Times New Roman"/>
          <w:szCs w:val="24"/>
        </w:rPr>
        <w:t xml:space="preserve"> nor can they access Prosecution’s case.</w:t>
      </w:r>
      <w:r>
        <w:rPr>
          <w:rStyle w:val="FootnoteReference"/>
          <w:rFonts w:ascii="Times New Roman" w:hAnsi="Times New Roman"/>
          <w:szCs w:val="24"/>
        </w:rPr>
        <w:footnoteReference w:id="442"/>
      </w:r>
      <w:r>
        <w:rPr>
          <w:rFonts w:ascii="Times New Roman" w:hAnsi="Times New Roman"/>
          <w:szCs w:val="24"/>
        </w:rPr>
        <w:t xml:space="preserve"> </w:t>
      </w:r>
      <w:r w:rsidR="000E76BB">
        <w:rPr>
          <w:rFonts w:ascii="Times New Roman" w:hAnsi="Times New Roman"/>
          <w:szCs w:val="24"/>
        </w:rPr>
        <w:t>The scope of the confirmation of charges is limited to the determination of the availability of sufficient evidence to establish substantial grounds to believe that the suspects are criminally responsible for the crimes contained in the charging document.</w:t>
      </w:r>
      <w:r w:rsidR="000E76BB">
        <w:rPr>
          <w:rStyle w:val="FootnoteReference"/>
          <w:rFonts w:ascii="Times New Roman" w:hAnsi="Times New Roman"/>
          <w:szCs w:val="24"/>
        </w:rPr>
        <w:footnoteReference w:id="443"/>
      </w:r>
      <w:r w:rsidR="000E76BB">
        <w:rPr>
          <w:rFonts w:ascii="Times New Roman" w:hAnsi="Times New Roman"/>
          <w:szCs w:val="24"/>
        </w:rPr>
        <w:t xml:space="preserve"> </w:t>
      </w:r>
      <w:r w:rsidR="00C447A0">
        <w:rPr>
          <w:rFonts w:ascii="Times New Roman" w:hAnsi="Times New Roman"/>
          <w:szCs w:val="24"/>
        </w:rPr>
        <w:t>Victims interests lie in the</w:t>
      </w:r>
      <w:r w:rsidR="000E76BB">
        <w:rPr>
          <w:rFonts w:ascii="Times New Roman" w:hAnsi="Times New Roman"/>
          <w:szCs w:val="24"/>
        </w:rPr>
        <w:t xml:space="preserve"> confirmation of charges</w:t>
      </w:r>
      <w:r w:rsidR="00C447A0">
        <w:rPr>
          <w:rFonts w:ascii="Times New Roman" w:hAnsi="Times New Roman"/>
          <w:szCs w:val="24"/>
        </w:rPr>
        <w:t xml:space="preserve"> because it</w:t>
      </w:r>
      <w:r w:rsidR="000E76BB">
        <w:rPr>
          <w:rFonts w:ascii="Times New Roman" w:hAnsi="Times New Roman"/>
          <w:szCs w:val="24"/>
        </w:rPr>
        <w:t xml:space="preserve"> is necessary </w:t>
      </w:r>
      <w:r w:rsidR="0022485D">
        <w:rPr>
          <w:rFonts w:ascii="Times New Roman" w:hAnsi="Times New Roman"/>
          <w:szCs w:val="24"/>
        </w:rPr>
        <w:t>to commence</w:t>
      </w:r>
      <w:r w:rsidR="000E76BB">
        <w:rPr>
          <w:rFonts w:ascii="Times New Roman" w:hAnsi="Times New Roman"/>
          <w:szCs w:val="24"/>
        </w:rPr>
        <w:t xml:space="preserve"> the </w:t>
      </w:r>
      <w:r w:rsidR="00281F76">
        <w:rPr>
          <w:rFonts w:ascii="Times New Roman" w:hAnsi="Times New Roman"/>
          <w:szCs w:val="24"/>
        </w:rPr>
        <w:t>suspect's trial</w:t>
      </w:r>
      <w:r w:rsidR="00C447A0">
        <w:rPr>
          <w:rFonts w:ascii="Times New Roman" w:hAnsi="Times New Roman"/>
          <w:szCs w:val="24"/>
        </w:rPr>
        <w:t xml:space="preserve">. </w:t>
      </w:r>
      <w:r w:rsidR="000E76BB">
        <w:rPr>
          <w:rFonts w:ascii="Times New Roman" w:hAnsi="Times New Roman"/>
          <w:szCs w:val="24"/>
        </w:rPr>
        <w:t xml:space="preserve">The victims </w:t>
      </w:r>
      <w:r w:rsidR="00281F76">
        <w:rPr>
          <w:rFonts w:ascii="Times New Roman" w:hAnsi="Times New Roman"/>
          <w:szCs w:val="24"/>
        </w:rPr>
        <w:t>must</w:t>
      </w:r>
      <w:r w:rsidR="000E76BB">
        <w:rPr>
          <w:rFonts w:ascii="Times New Roman" w:hAnsi="Times New Roman"/>
          <w:szCs w:val="24"/>
        </w:rPr>
        <w:t xml:space="preserve"> prove that their interests are affected by the crimes stated in the Prosecution’s charging document. </w:t>
      </w:r>
      <w:r w:rsidR="00CF5550" w:rsidRPr="006E622A">
        <w:rPr>
          <w:rFonts w:ascii="Times New Roman" w:hAnsi="Times New Roman"/>
          <w:szCs w:val="24"/>
        </w:rPr>
        <w:t>On confirmation of charges, the PTC found that victims would be able to participate during the hearing for the accused/suspect-Thomas Lubanga.</w:t>
      </w:r>
      <w:r w:rsidR="00CF5550">
        <w:rPr>
          <w:rFonts w:ascii="Times New Roman" w:hAnsi="Times New Roman"/>
          <w:szCs w:val="24"/>
        </w:rPr>
        <w:t xml:space="preserve"> </w:t>
      </w:r>
      <w:r w:rsidR="00CF5550" w:rsidRPr="006E622A">
        <w:rPr>
          <w:rFonts w:ascii="Times New Roman" w:hAnsi="Times New Roman"/>
          <w:szCs w:val="24"/>
        </w:rPr>
        <w:t>This participation includes making opening and closing statements.</w:t>
      </w:r>
    </w:p>
    <w:p w14:paraId="247B8374" w14:textId="77777777" w:rsidR="00281F76" w:rsidRDefault="00281F76" w:rsidP="00CF5550">
      <w:pPr>
        <w:spacing w:after="0" w:line="480" w:lineRule="auto"/>
        <w:jc w:val="both"/>
        <w:rPr>
          <w:rFonts w:ascii="Times New Roman" w:hAnsi="Times New Roman"/>
          <w:szCs w:val="24"/>
          <w:vertAlign w:val="superscript"/>
        </w:rPr>
      </w:pPr>
    </w:p>
    <w:p w14:paraId="1B3C4876" w14:textId="660086AB" w:rsidR="00CF5550" w:rsidRPr="006E622A" w:rsidRDefault="00CF5550" w:rsidP="00CF5550">
      <w:pPr>
        <w:spacing w:after="0" w:line="480" w:lineRule="auto"/>
        <w:jc w:val="both"/>
        <w:rPr>
          <w:rFonts w:ascii="Times New Roman" w:hAnsi="Times New Roman"/>
          <w:szCs w:val="24"/>
        </w:rPr>
      </w:pPr>
      <w:r w:rsidRPr="006E622A">
        <w:rPr>
          <w:rFonts w:ascii="Times New Roman" w:hAnsi="Times New Roman"/>
          <w:szCs w:val="24"/>
        </w:rPr>
        <w:t xml:space="preserve">Nonetheless, the Chamber </w:t>
      </w:r>
      <w:r w:rsidR="00C447A0">
        <w:rPr>
          <w:rFonts w:ascii="Times New Roman" w:hAnsi="Times New Roman"/>
          <w:szCs w:val="24"/>
        </w:rPr>
        <w:t>restricted</w:t>
      </w:r>
      <w:r w:rsidRPr="006E622A">
        <w:rPr>
          <w:rFonts w:ascii="Times New Roman" w:hAnsi="Times New Roman"/>
          <w:szCs w:val="24"/>
        </w:rPr>
        <w:t xml:space="preserve"> victims participation on the grounds of anonymity.</w:t>
      </w:r>
      <w:r>
        <w:rPr>
          <w:rFonts w:ascii="Times New Roman" w:hAnsi="Times New Roman"/>
          <w:szCs w:val="24"/>
        </w:rPr>
        <w:t xml:space="preserve"> </w:t>
      </w:r>
      <w:r w:rsidRPr="006E622A">
        <w:rPr>
          <w:rFonts w:ascii="Times New Roman" w:hAnsi="Times New Roman"/>
          <w:szCs w:val="24"/>
        </w:rPr>
        <w:t>As a result of security and protective measures,  victims</w:t>
      </w:r>
      <w:r>
        <w:rPr>
          <w:rFonts w:ascii="Times New Roman" w:hAnsi="Times New Roman"/>
          <w:szCs w:val="24"/>
        </w:rPr>
        <w:t xml:space="preserve"> a/001/06,</w:t>
      </w:r>
      <w:r w:rsidRPr="006E622A">
        <w:rPr>
          <w:rFonts w:ascii="Times New Roman" w:hAnsi="Times New Roman"/>
          <w:szCs w:val="24"/>
        </w:rPr>
        <w:t xml:space="preserve"> a/0002/06 and a/003/06 </w:t>
      </w:r>
      <w:r w:rsidR="00C447A0">
        <w:rPr>
          <w:rFonts w:ascii="Times New Roman" w:hAnsi="Times New Roman"/>
          <w:szCs w:val="24"/>
        </w:rPr>
        <w:t xml:space="preserve">participated </w:t>
      </w:r>
      <w:r w:rsidRPr="006E622A">
        <w:rPr>
          <w:rFonts w:ascii="Times New Roman" w:hAnsi="Times New Roman"/>
          <w:szCs w:val="24"/>
        </w:rPr>
        <w:t xml:space="preserve">anonymously. </w:t>
      </w:r>
      <w:r>
        <w:rPr>
          <w:rFonts w:ascii="Times New Roman" w:hAnsi="Times New Roman"/>
          <w:szCs w:val="24"/>
        </w:rPr>
        <w:t xml:space="preserve"> </w:t>
      </w:r>
      <w:r w:rsidRPr="006E622A">
        <w:rPr>
          <w:rFonts w:ascii="Times New Roman" w:hAnsi="Times New Roman"/>
          <w:szCs w:val="24"/>
        </w:rPr>
        <w:t xml:space="preserve">Given their anonymous participation, the Chamber ruled that they would not </w:t>
      </w:r>
      <w:r w:rsidR="00281F76">
        <w:rPr>
          <w:rFonts w:ascii="Times New Roman" w:hAnsi="Times New Roman"/>
          <w:szCs w:val="24"/>
        </w:rPr>
        <w:t>question witnesses and</w:t>
      </w:r>
      <w:r>
        <w:rPr>
          <w:rFonts w:ascii="Times New Roman" w:hAnsi="Times New Roman"/>
          <w:szCs w:val="24"/>
        </w:rPr>
        <w:t xml:space="preserve"> </w:t>
      </w:r>
      <w:r w:rsidRPr="006E622A">
        <w:rPr>
          <w:rFonts w:ascii="Times New Roman" w:hAnsi="Times New Roman"/>
          <w:szCs w:val="24"/>
        </w:rPr>
        <w:t>add any points or facts of evidence.</w:t>
      </w:r>
      <w:r>
        <w:rPr>
          <w:rFonts w:ascii="Times New Roman" w:hAnsi="Times New Roman"/>
          <w:szCs w:val="24"/>
        </w:rPr>
        <w:t xml:space="preserve"> </w:t>
      </w:r>
      <w:r w:rsidR="00C447A0">
        <w:rPr>
          <w:rFonts w:ascii="Times New Roman" w:hAnsi="Times New Roman"/>
          <w:szCs w:val="24"/>
        </w:rPr>
        <w:lastRenderedPageBreak/>
        <w:t>To protect th</w:t>
      </w:r>
      <w:r w:rsidR="00C447A0" w:rsidRPr="006E622A">
        <w:rPr>
          <w:rFonts w:ascii="Times New Roman" w:hAnsi="Times New Roman"/>
          <w:szCs w:val="24"/>
        </w:rPr>
        <w:t>e rights of the accused</w:t>
      </w:r>
      <w:r w:rsidR="00C447A0">
        <w:rPr>
          <w:rFonts w:ascii="Times New Roman" w:hAnsi="Times New Roman"/>
          <w:szCs w:val="24"/>
        </w:rPr>
        <w:t>,</w:t>
      </w:r>
      <w:r w:rsidR="00C447A0" w:rsidRPr="006E622A">
        <w:rPr>
          <w:rFonts w:ascii="Times New Roman" w:hAnsi="Times New Roman"/>
          <w:szCs w:val="24"/>
        </w:rPr>
        <w:t xml:space="preserve"> </w:t>
      </w:r>
      <w:r w:rsidR="00C447A0">
        <w:rPr>
          <w:rFonts w:ascii="Times New Roman" w:hAnsi="Times New Roman"/>
          <w:szCs w:val="24"/>
        </w:rPr>
        <w:t xml:space="preserve">the Chamber moderated the degree of participation given the </w:t>
      </w:r>
      <w:r w:rsidR="00281F76">
        <w:rPr>
          <w:rFonts w:ascii="Times New Roman" w:hAnsi="Times New Roman"/>
          <w:szCs w:val="24"/>
        </w:rPr>
        <w:t>parties' inability</w:t>
      </w:r>
      <w:r w:rsidR="00C447A0">
        <w:rPr>
          <w:rFonts w:ascii="Times New Roman" w:hAnsi="Times New Roman"/>
          <w:szCs w:val="24"/>
        </w:rPr>
        <w:t xml:space="preserve"> to verify their identities</w:t>
      </w:r>
      <w:r w:rsidRPr="006E622A">
        <w:rPr>
          <w:rFonts w:ascii="Times New Roman" w:hAnsi="Times New Roman"/>
          <w:szCs w:val="24"/>
        </w:rPr>
        <w:t>.</w:t>
      </w:r>
      <w:r>
        <w:rPr>
          <w:rStyle w:val="FootnoteReference"/>
          <w:rFonts w:ascii="Times New Roman" w:hAnsi="Times New Roman"/>
          <w:szCs w:val="24"/>
        </w:rPr>
        <w:footnoteReference w:id="444"/>
      </w:r>
      <w:r>
        <w:rPr>
          <w:rFonts w:ascii="Times New Roman" w:hAnsi="Times New Roman"/>
          <w:szCs w:val="24"/>
        </w:rPr>
        <w:t xml:space="preserve"> A check towards the </w:t>
      </w:r>
      <w:r w:rsidR="00C447A0">
        <w:rPr>
          <w:rFonts w:ascii="Times New Roman" w:hAnsi="Times New Roman"/>
          <w:szCs w:val="24"/>
        </w:rPr>
        <w:t>plausible</w:t>
      </w:r>
      <w:r>
        <w:rPr>
          <w:rFonts w:ascii="Times New Roman" w:hAnsi="Times New Roman"/>
          <w:szCs w:val="24"/>
        </w:rPr>
        <w:t xml:space="preserve"> </w:t>
      </w:r>
      <w:r w:rsidRPr="006E622A">
        <w:rPr>
          <w:rFonts w:ascii="Times New Roman" w:hAnsi="Times New Roman"/>
          <w:szCs w:val="24"/>
        </w:rPr>
        <w:t>prevent</w:t>
      </w:r>
      <w:r>
        <w:rPr>
          <w:rFonts w:ascii="Times New Roman" w:hAnsi="Times New Roman"/>
          <w:szCs w:val="24"/>
        </w:rPr>
        <w:t xml:space="preserve">ion against </w:t>
      </w:r>
      <w:r w:rsidRPr="006E622A">
        <w:rPr>
          <w:rFonts w:ascii="Times New Roman" w:hAnsi="Times New Roman"/>
          <w:szCs w:val="24"/>
        </w:rPr>
        <w:t>the falsification of evidence from sources that cannot be verified.</w:t>
      </w:r>
      <w:r>
        <w:rPr>
          <w:rFonts w:ascii="Times New Roman" w:hAnsi="Times New Roman"/>
          <w:szCs w:val="24"/>
        </w:rPr>
        <w:t xml:space="preserve"> This restriction filters potential discrepancies, which might arise due to unidentified victims in the trial process.</w:t>
      </w:r>
    </w:p>
    <w:p w14:paraId="72B48FCF" w14:textId="77777777" w:rsidR="00CF5550" w:rsidRPr="006E622A" w:rsidRDefault="00CF5550" w:rsidP="00CF5550">
      <w:pPr>
        <w:spacing w:after="0" w:line="480" w:lineRule="auto"/>
        <w:jc w:val="both"/>
        <w:rPr>
          <w:rFonts w:ascii="Times New Roman" w:hAnsi="Times New Roman"/>
          <w:szCs w:val="24"/>
        </w:rPr>
      </w:pPr>
    </w:p>
    <w:p w14:paraId="44773F47" w14:textId="47F7DE8D" w:rsidR="00AB1794" w:rsidRDefault="00C447A0" w:rsidP="00AB1794">
      <w:pPr>
        <w:spacing w:after="0" w:line="480" w:lineRule="auto"/>
        <w:jc w:val="both"/>
        <w:rPr>
          <w:rFonts w:ascii="Times New Roman" w:hAnsi="Times New Roman"/>
          <w:szCs w:val="24"/>
        </w:rPr>
      </w:pPr>
      <w:r>
        <w:rPr>
          <w:rFonts w:ascii="Times New Roman" w:hAnsi="Times New Roman"/>
          <w:szCs w:val="24"/>
        </w:rPr>
        <w:t xml:space="preserve">The </w:t>
      </w:r>
      <w:r w:rsidR="00CF5550" w:rsidRPr="006E622A">
        <w:rPr>
          <w:rFonts w:ascii="Times New Roman" w:hAnsi="Times New Roman"/>
          <w:szCs w:val="24"/>
        </w:rPr>
        <w:t>TC held that ‘victims’</w:t>
      </w:r>
      <w:r w:rsidR="00CF5550">
        <w:rPr>
          <w:rFonts w:ascii="Times New Roman" w:hAnsi="Times New Roman"/>
          <w:szCs w:val="24"/>
        </w:rPr>
        <w:t xml:space="preserve"> </w:t>
      </w:r>
      <w:r w:rsidR="00CF5550" w:rsidRPr="006E622A">
        <w:rPr>
          <w:rFonts w:ascii="Times New Roman" w:hAnsi="Times New Roman"/>
          <w:szCs w:val="24"/>
        </w:rPr>
        <w:t xml:space="preserve">are individuals who have suffered harm from any crime </w:t>
      </w:r>
      <w:r w:rsidR="00281F76">
        <w:rPr>
          <w:rFonts w:ascii="Times New Roman" w:hAnsi="Times New Roman"/>
          <w:szCs w:val="24"/>
        </w:rPr>
        <w:t>that falls within the Court's jurisdiction</w:t>
      </w:r>
      <w:r w:rsidR="00CF5550" w:rsidRPr="006E622A">
        <w:rPr>
          <w:rFonts w:ascii="Times New Roman" w:hAnsi="Times New Roman"/>
          <w:szCs w:val="24"/>
        </w:rPr>
        <w:t>.</w:t>
      </w:r>
      <w:r w:rsidR="00CF5550">
        <w:rPr>
          <w:rFonts w:ascii="Times New Roman" w:hAnsi="Times New Roman"/>
          <w:szCs w:val="24"/>
        </w:rPr>
        <w:t xml:space="preserve"> </w:t>
      </w:r>
      <w:r w:rsidR="00CF5550" w:rsidRPr="006E622A">
        <w:rPr>
          <w:rFonts w:ascii="Times New Roman" w:hAnsi="Times New Roman"/>
          <w:szCs w:val="24"/>
        </w:rPr>
        <w:t>With this definition, ‘any crime’ grants a non</w:t>
      </w:r>
      <w:r w:rsidR="00CF5550">
        <w:rPr>
          <w:rFonts w:ascii="Times New Roman" w:hAnsi="Times New Roman"/>
          <w:szCs w:val="24"/>
        </w:rPr>
        <w:t>-</w:t>
      </w:r>
      <w:r w:rsidR="00CF5550" w:rsidRPr="006E622A">
        <w:rPr>
          <w:rFonts w:ascii="Times New Roman" w:hAnsi="Times New Roman"/>
          <w:szCs w:val="24"/>
        </w:rPr>
        <w:t>restrictive approach regardless of the c</w:t>
      </w:r>
      <w:r w:rsidR="00281F76">
        <w:rPr>
          <w:rFonts w:ascii="Times New Roman" w:hAnsi="Times New Roman"/>
          <w:szCs w:val="24"/>
        </w:rPr>
        <w:t>harging document cou</w:t>
      </w:r>
      <w:r w:rsidR="00CF5550" w:rsidRPr="006E622A">
        <w:rPr>
          <w:rFonts w:ascii="Times New Roman" w:hAnsi="Times New Roman"/>
          <w:szCs w:val="24"/>
        </w:rPr>
        <w:t>nt.</w:t>
      </w:r>
      <w:r w:rsidR="00CF5550" w:rsidRPr="006E622A">
        <w:rPr>
          <w:rFonts w:ascii="Times New Roman" w:hAnsi="Times New Roman"/>
          <w:szCs w:val="24"/>
          <w:vertAlign w:val="superscript"/>
        </w:rPr>
        <w:footnoteReference w:id="445"/>
      </w:r>
      <w:r w:rsidR="00CF5550">
        <w:rPr>
          <w:rFonts w:ascii="Times New Roman" w:hAnsi="Times New Roman"/>
          <w:szCs w:val="24"/>
        </w:rPr>
        <w:t>This ruling</w:t>
      </w:r>
      <w:r w:rsidR="00CF5550" w:rsidRPr="006E622A">
        <w:rPr>
          <w:rFonts w:ascii="Times New Roman" w:hAnsi="Times New Roman"/>
          <w:szCs w:val="24"/>
        </w:rPr>
        <w:t xml:space="preserve"> includes victims of crimes which were not committed by the suspect or accused on trial. Besides, the Majority ruled that victim participants could lead evidence</w:t>
      </w:r>
      <w:r w:rsidR="00281F76">
        <w:rPr>
          <w:rFonts w:ascii="Times New Roman" w:hAnsi="Times New Roman"/>
          <w:szCs w:val="24"/>
        </w:rPr>
        <w:t>.</w:t>
      </w:r>
      <w:r w:rsidR="00CF5550" w:rsidRPr="006E622A">
        <w:rPr>
          <w:rFonts w:ascii="Times New Roman" w:hAnsi="Times New Roman"/>
          <w:szCs w:val="24"/>
        </w:rPr>
        <w:t xml:space="preserve"> Surprisingly, Judge </w:t>
      </w:r>
      <w:proofErr w:type="spellStart"/>
      <w:r w:rsidR="00CF5550" w:rsidRPr="006E622A">
        <w:rPr>
          <w:rFonts w:ascii="Times New Roman" w:hAnsi="Times New Roman"/>
          <w:szCs w:val="24"/>
        </w:rPr>
        <w:t>Blattman</w:t>
      </w:r>
      <w:proofErr w:type="spellEnd"/>
      <w:r w:rsidR="00CF5550" w:rsidRPr="006E622A">
        <w:rPr>
          <w:rFonts w:ascii="Times New Roman" w:hAnsi="Times New Roman"/>
          <w:szCs w:val="24"/>
        </w:rPr>
        <w:t xml:space="preserve"> in her minority</w:t>
      </w:r>
      <w:r w:rsidR="00CF5550">
        <w:rPr>
          <w:rFonts w:ascii="Times New Roman" w:hAnsi="Times New Roman"/>
          <w:szCs w:val="24"/>
        </w:rPr>
        <w:t>(dissenting)</w:t>
      </w:r>
      <w:r w:rsidR="00CF5550" w:rsidRPr="006E622A">
        <w:rPr>
          <w:rFonts w:ascii="Times New Roman" w:hAnsi="Times New Roman"/>
          <w:szCs w:val="24"/>
        </w:rPr>
        <w:t xml:space="preserve"> opinion</w:t>
      </w:r>
      <w:r w:rsidR="00281F76">
        <w:rPr>
          <w:rFonts w:ascii="Times New Roman" w:hAnsi="Times New Roman"/>
          <w:szCs w:val="24"/>
        </w:rPr>
        <w:t xml:space="preserve"> opined that victims' broad definition</w:t>
      </w:r>
      <w:r w:rsidR="00CF5550" w:rsidRPr="006E622A">
        <w:rPr>
          <w:rFonts w:ascii="Times New Roman" w:hAnsi="Times New Roman"/>
          <w:szCs w:val="24"/>
        </w:rPr>
        <w:t xml:space="preserve"> relays an ‘impre</w:t>
      </w:r>
      <w:r w:rsidR="00CF5550">
        <w:rPr>
          <w:rFonts w:ascii="Times New Roman" w:hAnsi="Times New Roman"/>
          <w:szCs w:val="24"/>
        </w:rPr>
        <w:t xml:space="preserve">cise definition of </w:t>
      </w:r>
      <w:proofErr w:type="spellStart"/>
      <w:r w:rsidR="00CF5550">
        <w:rPr>
          <w:rFonts w:ascii="Times New Roman" w:hAnsi="Times New Roman"/>
          <w:szCs w:val="24"/>
        </w:rPr>
        <w:t>victims</w:t>
      </w:r>
      <w:r>
        <w:rPr>
          <w:rFonts w:ascii="Times New Roman" w:hAnsi="Times New Roman"/>
          <w:szCs w:val="24"/>
        </w:rPr>
        <w:t>.</w:t>
      </w:r>
      <w:r w:rsidR="00CF5550">
        <w:rPr>
          <w:rFonts w:ascii="Times New Roman" w:hAnsi="Times New Roman"/>
          <w:szCs w:val="24"/>
        </w:rPr>
        <w:t>’Therefore</w:t>
      </w:r>
      <w:proofErr w:type="spellEnd"/>
      <w:r w:rsidR="00CF5550">
        <w:rPr>
          <w:rFonts w:ascii="Times New Roman" w:hAnsi="Times New Roman"/>
          <w:szCs w:val="24"/>
        </w:rPr>
        <w:t>, it</w:t>
      </w:r>
      <w:r w:rsidR="00CF5550" w:rsidRPr="006E622A">
        <w:rPr>
          <w:rFonts w:ascii="Times New Roman" w:hAnsi="Times New Roman"/>
          <w:szCs w:val="24"/>
        </w:rPr>
        <w:t xml:space="preserve"> is believed to endanger the rights of the accused.</w:t>
      </w:r>
      <w:r w:rsidR="00CF5550" w:rsidRPr="006E622A">
        <w:rPr>
          <w:rFonts w:ascii="Times New Roman" w:hAnsi="Times New Roman"/>
          <w:szCs w:val="24"/>
          <w:vertAlign w:val="superscript"/>
        </w:rPr>
        <w:footnoteReference w:id="446"/>
      </w:r>
      <w:r w:rsidR="00AB1794" w:rsidRPr="00AB1794">
        <w:rPr>
          <w:rFonts w:ascii="Times New Roman" w:hAnsi="Times New Roman"/>
          <w:szCs w:val="24"/>
        </w:rPr>
        <w:t xml:space="preserve"> </w:t>
      </w:r>
      <w:r w:rsidR="00AB1794" w:rsidRPr="006E622A">
        <w:rPr>
          <w:rFonts w:ascii="Times New Roman" w:hAnsi="Times New Roman"/>
          <w:szCs w:val="24"/>
        </w:rPr>
        <w:t xml:space="preserve">This </w:t>
      </w:r>
      <w:r w:rsidR="00AB1794">
        <w:rPr>
          <w:rFonts w:ascii="Times New Roman" w:hAnsi="Times New Roman"/>
          <w:szCs w:val="24"/>
        </w:rPr>
        <w:t xml:space="preserve">interpretation </w:t>
      </w:r>
      <w:r w:rsidR="00AB1794" w:rsidRPr="006E622A">
        <w:rPr>
          <w:rFonts w:ascii="Times New Roman" w:hAnsi="Times New Roman"/>
          <w:szCs w:val="24"/>
        </w:rPr>
        <w:t xml:space="preserve">ensures that the accused is held responsible for crimes he allegedly committed in contrast to ‘any crime within the </w:t>
      </w:r>
      <w:r w:rsidR="00281F76">
        <w:rPr>
          <w:rFonts w:ascii="Times New Roman" w:hAnsi="Times New Roman"/>
          <w:szCs w:val="24"/>
        </w:rPr>
        <w:t>Court's jurisdiction</w:t>
      </w:r>
      <w:r w:rsidR="00AB1794">
        <w:rPr>
          <w:rFonts w:ascii="Times New Roman" w:hAnsi="Times New Roman"/>
          <w:szCs w:val="24"/>
        </w:rPr>
        <w:t>.</w:t>
      </w:r>
      <w:r w:rsidR="00AB1794" w:rsidRPr="006E622A">
        <w:rPr>
          <w:rFonts w:ascii="Times New Roman" w:hAnsi="Times New Roman"/>
          <w:szCs w:val="24"/>
        </w:rPr>
        <w:t>’</w:t>
      </w:r>
      <w:r w:rsidR="00AB1794">
        <w:rPr>
          <w:rFonts w:ascii="Times New Roman" w:hAnsi="Times New Roman"/>
          <w:szCs w:val="24"/>
        </w:rPr>
        <w:t xml:space="preserve"> </w:t>
      </w:r>
      <w:r w:rsidR="00AB1794" w:rsidRPr="006E622A">
        <w:rPr>
          <w:rFonts w:ascii="Times New Roman" w:hAnsi="Times New Roman"/>
          <w:szCs w:val="24"/>
        </w:rPr>
        <w:t>The ‘any crime’ tag may be very vague,</w:t>
      </w:r>
      <w:r w:rsidR="00AB1794">
        <w:rPr>
          <w:rFonts w:ascii="Times New Roman" w:hAnsi="Times New Roman"/>
          <w:szCs w:val="24"/>
        </w:rPr>
        <w:t xml:space="preserve"> </w:t>
      </w:r>
      <w:r w:rsidR="00AB1794" w:rsidRPr="006E622A">
        <w:rPr>
          <w:rFonts w:ascii="Times New Roman" w:hAnsi="Times New Roman"/>
          <w:szCs w:val="24"/>
        </w:rPr>
        <w:t>rather</w:t>
      </w:r>
      <w:r w:rsidR="00AB1794">
        <w:rPr>
          <w:rFonts w:ascii="Times New Roman" w:hAnsi="Times New Roman"/>
          <w:szCs w:val="24"/>
        </w:rPr>
        <w:t xml:space="preserve"> than being specific. A possible explanation is that a vague description of the crimes could potentially result in challenges </w:t>
      </w:r>
      <w:r w:rsidR="00AB1794" w:rsidRPr="006E622A">
        <w:rPr>
          <w:rFonts w:ascii="Times New Roman" w:hAnsi="Times New Roman"/>
          <w:szCs w:val="24"/>
        </w:rPr>
        <w:t>that may arise from the inability to find nexus between the victims, crimes committed and the accused. ‘Any crime within the Court’s’ jurisdiction’</w:t>
      </w:r>
      <w:r w:rsidR="00AB1794">
        <w:rPr>
          <w:rFonts w:ascii="Times New Roman" w:hAnsi="Times New Roman"/>
          <w:szCs w:val="24"/>
        </w:rPr>
        <w:t xml:space="preserve"> </w:t>
      </w:r>
      <w:r w:rsidR="00AB1794" w:rsidRPr="006E622A">
        <w:rPr>
          <w:rFonts w:ascii="Times New Roman" w:hAnsi="Times New Roman"/>
          <w:szCs w:val="24"/>
        </w:rPr>
        <w:t xml:space="preserve">will be broad, </w:t>
      </w:r>
      <w:r w:rsidR="00AB1794" w:rsidRPr="006E622A">
        <w:rPr>
          <w:rFonts w:ascii="Times New Roman" w:hAnsi="Times New Roman"/>
          <w:szCs w:val="24"/>
        </w:rPr>
        <w:lastRenderedPageBreak/>
        <w:t>especially where the accused on trial is not responsible for the alleged crime committed.</w:t>
      </w:r>
      <w:r w:rsidR="00AB1794">
        <w:rPr>
          <w:rFonts w:ascii="Times New Roman" w:hAnsi="Times New Roman"/>
          <w:szCs w:val="24"/>
        </w:rPr>
        <w:t xml:space="preserve"> </w:t>
      </w:r>
      <w:r w:rsidR="00AB1794" w:rsidRPr="006E622A">
        <w:rPr>
          <w:rFonts w:ascii="Times New Roman" w:hAnsi="Times New Roman"/>
          <w:szCs w:val="24"/>
        </w:rPr>
        <w:t>This will create a gap</w:t>
      </w:r>
      <w:r w:rsidR="00AB1794">
        <w:rPr>
          <w:rFonts w:ascii="Times New Roman" w:hAnsi="Times New Roman"/>
          <w:szCs w:val="24"/>
        </w:rPr>
        <w:t>,</w:t>
      </w:r>
      <w:r w:rsidR="00AB1794" w:rsidRPr="006E622A">
        <w:rPr>
          <w:rFonts w:ascii="Times New Roman" w:hAnsi="Times New Roman"/>
          <w:szCs w:val="24"/>
        </w:rPr>
        <w:t xml:space="preserve"> and it may also threaten the fair trial rights of the accused.</w:t>
      </w:r>
    </w:p>
    <w:p w14:paraId="6F41F467" w14:textId="77777777" w:rsidR="00AB1794" w:rsidRDefault="00AB1794" w:rsidP="00CF5550">
      <w:pPr>
        <w:spacing w:after="0" w:line="480" w:lineRule="auto"/>
        <w:jc w:val="both"/>
        <w:rPr>
          <w:rFonts w:ascii="Times New Roman" w:hAnsi="Times New Roman"/>
          <w:szCs w:val="24"/>
        </w:rPr>
      </w:pPr>
    </w:p>
    <w:p w14:paraId="13FDFA34" w14:textId="2166BF23" w:rsidR="00CF5550" w:rsidRDefault="00CF5550" w:rsidP="00CF5550">
      <w:pPr>
        <w:spacing w:after="0" w:line="480" w:lineRule="auto"/>
        <w:jc w:val="both"/>
        <w:rPr>
          <w:rFonts w:ascii="Times New Roman" w:hAnsi="Times New Roman"/>
          <w:szCs w:val="24"/>
        </w:rPr>
      </w:pPr>
      <w:r w:rsidRPr="006E622A">
        <w:rPr>
          <w:rFonts w:ascii="Times New Roman" w:hAnsi="Times New Roman"/>
          <w:szCs w:val="24"/>
        </w:rPr>
        <w:t xml:space="preserve">On appeal brought by the </w:t>
      </w:r>
      <w:r>
        <w:rPr>
          <w:rFonts w:ascii="Times New Roman" w:hAnsi="Times New Roman"/>
          <w:szCs w:val="24"/>
        </w:rPr>
        <w:t>Defence against the decision,  t</w:t>
      </w:r>
      <w:r w:rsidRPr="006E622A">
        <w:rPr>
          <w:rFonts w:ascii="Times New Roman" w:hAnsi="Times New Roman"/>
          <w:szCs w:val="24"/>
        </w:rPr>
        <w:t xml:space="preserve">he Appeal Chamber overruled the </w:t>
      </w:r>
      <w:r w:rsidR="00281F76">
        <w:rPr>
          <w:rFonts w:ascii="Times New Roman" w:hAnsi="Times New Roman"/>
          <w:szCs w:val="24"/>
        </w:rPr>
        <w:t>TC's conclusion</w:t>
      </w:r>
      <w:r w:rsidRPr="006E622A">
        <w:rPr>
          <w:rFonts w:ascii="Times New Roman" w:hAnsi="Times New Roman"/>
          <w:szCs w:val="24"/>
        </w:rPr>
        <w:t xml:space="preserve"> and found that for victim participation, ‘victims’ are persons who have suffered harm either directly or indirectly from the counts in the charging document.</w:t>
      </w:r>
      <w:r w:rsidRPr="006E622A">
        <w:rPr>
          <w:rFonts w:ascii="Times New Roman" w:hAnsi="Times New Roman"/>
          <w:szCs w:val="24"/>
          <w:vertAlign w:val="superscript"/>
        </w:rPr>
        <w:footnoteReference w:id="447"/>
      </w:r>
      <w:r>
        <w:rPr>
          <w:rFonts w:ascii="Times New Roman" w:hAnsi="Times New Roman"/>
          <w:szCs w:val="24"/>
        </w:rPr>
        <w:t>I</w:t>
      </w:r>
      <w:r w:rsidRPr="006E622A">
        <w:rPr>
          <w:rFonts w:ascii="Times New Roman" w:hAnsi="Times New Roman"/>
          <w:szCs w:val="24"/>
        </w:rPr>
        <w:t>t a</w:t>
      </w:r>
      <w:r>
        <w:rPr>
          <w:rFonts w:ascii="Times New Roman" w:hAnsi="Times New Roman"/>
          <w:szCs w:val="24"/>
        </w:rPr>
        <w:t xml:space="preserve">ffirmed that victims could lead </w:t>
      </w:r>
      <w:r w:rsidRPr="006E622A">
        <w:rPr>
          <w:rFonts w:ascii="Times New Roman" w:hAnsi="Times New Roman"/>
          <w:szCs w:val="24"/>
        </w:rPr>
        <w:t xml:space="preserve">evidence. </w:t>
      </w:r>
      <w:r w:rsidR="00281F76">
        <w:rPr>
          <w:rFonts w:ascii="Times New Roman" w:hAnsi="Times New Roman"/>
          <w:szCs w:val="24"/>
        </w:rPr>
        <w:t>According to Article 69(3), the AC found that victims have the right to adduce evidence on the Chamber's request</w:t>
      </w:r>
      <w:r w:rsidRPr="006E622A">
        <w:rPr>
          <w:rFonts w:ascii="Times New Roman" w:hAnsi="Times New Roman"/>
          <w:szCs w:val="24"/>
        </w:rPr>
        <w:t>, whenever it considers it necessary for the determination of the truth</w:t>
      </w:r>
      <w:r>
        <w:rPr>
          <w:rFonts w:ascii="Times New Roman" w:hAnsi="Times New Roman"/>
          <w:szCs w:val="24"/>
        </w:rPr>
        <w:t>.</w:t>
      </w:r>
      <w:r w:rsidRPr="006E622A">
        <w:rPr>
          <w:rFonts w:ascii="Times New Roman" w:hAnsi="Times New Roman"/>
          <w:szCs w:val="24"/>
        </w:rPr>
        <w:t xml:space="preserve"> </w:t>
      </w:r>
      <w:r w:rsidRPr="006E622A">
        <w:rPr>
          <w:rFonts w:ascii="Times New Roman" w:hAnsi="Times New Roman"/>
          <w:szCs w:val="24"/>
          <w:vertAlign w:val="superscript"/>
        </w:rPr>
        <w:footnoteReference w:id="448"/>
      </w:r>
      <w:r w:rsidRPr="006E622A">
        <w:rPr>
          <w:rFonts w:ascii="Times New Roman" w:hAnsi="Times New Roman"/>
          <w:szCs w:val="24"/>
        </w:rPr>
        <w:t xml:space="preserve">The </w:t>
      </w:r>
      <w:r w:rsidR="00281F76">
        <w:rPr>
          <w:rFonts w:ascii="Times New Roman" w:hAnsi="Times New Roman"/>
          <w:szCs w:val="24"/>
        </w:rPr>
        <w:t>AC's decision restricts qualified victims to individuals who</w:t>
      </w:r>
      <w:r w:rsidRPr="006E622A">
        <w:rPr>
          <w:rFonts w:ascii="Times New Roman" w:hAnsi="Times New Roman"/>
          <w:szCs w:val="24"/>
        </w:rPr>
        <w:t xml:space="preserve"> have suffered harm as a result of crimes listed in the</w:t>
      </w:r>
      <w:r>
        <w:rPr>
          <w:rFonts w:ascii="Times New Roman" w:hAnsi="Times New Roman"/>
          <w:szCs w:val="24"/>
        </w:rPr>
        <w:t xml:space="preserve"> charges. </w:t>
      </w:r>
    </w:p>
    <w:p w14:paraId="11745610" w14:textId="77777777" w:rsidR="00CF5550" w:rsidRDefault="00CF5550" w:rsidP="00CF5550">
      <w:pPr>
        <w:spacing w:after="0" w:line="480" w:lineRule="auto"/>
        <w:jc w:val="both"/>
        <w:rPr>
          <w:rFonts w:ascii="Times New Roman" w:hAnsi="Times New Roman"/>
          <w:szCs w:val="24"/>
        </w:rPr>
      </w:pPr>
    </w:p>
    <w:p w14:paraId="37166DFE" w14:textId="353610CB" w:rsidR="00CF5550" w:rsidRDefault="00CF5550" w:rsidP="00CF5550">
      <w:pPr>
        <w:spacing w:after="0" w:line="480" w:lineRule="auto"/>
        <w:jc w:val="both"/>
        <w:rPr>
          <w:rFonts w:ascii="Times New Roman" w:hAnsi="Times New Roman"/>
          <w:szCs w:val="24"/>
        </w:rPr>
      </w:pPr>
      <w:r>
        <w:rPr>
          <w:rFonts w:ascii="Times New Roman" w:hAnsi="Times New Roman"/>
          <w:szCs w:val="24"/>
        </w:rPr>
        <w:t>With Judge Pikis and J</w:t>
      </w:r>
      <w:r w:rsidRPr="006E622A">
        <w:rPr>
          <w:rFonts w:ascii="Times New Roman" w:hAnsi="Times New Roman"/>
          <w:szCs w:val="24"/>
        </w:rPr>
        <w:t>udge Kirsch</w:t>
      </w:r>
      <w:r>
        <w:rPr>
          <w:rFonts w:ascii="Times New Roman" w:hAnsi="Times New Roman"/>
          <w:szCs w:val="24"/>
        </w:rPr>
        <w:t xml:space="preserve"> dissenting,</w:t>
      </w:r>
      <w:r w:rsidRPr="006E622A">
        <w:rPr>
          <w:rFonts w:ascii="Times New Roman" w:hAnsi="Times New Roman"/>
          <w:szCs w:val="24"/>
        </w:rPr>
        <w:t xml:space="preserve"> Judge Kirsch opined that victims c</w:t>
      </w:r>
      <w:r>
        <w:rPr>
          <w:rFonts w:ascii="Times New Roman" w:hAnsi="Times New Roman"/>
          <w:szCs w:val="24"/>
        </w:rPr>
        <w:t xml:space="preserve">ould </w:t>
      </w:r>
      <w:r w:rsidRPr="006E622A">
        <w:rPr>
          <w:rFonts w:ascii="Times New Roman" w:hAnsi="Times New Roman"/>
          <w:szCs w:val="24"/>
        </w:rPr>
        <w:t xml:space="preserve">not lead evidence before the Court because they are not </w:t>
      </w:r>
      <w:r w:rsidR="00281F76">
        <w:rPr>
          <w:rFonts w:ascii="Times New Roman" w:hAnsi="Times New Roman"/>
          <w:szCs w:val="24"/>
        </w:rPr>
        <w:t>obligated</w:t>
      </w:r>
      <w:r w:rsidRPr="006E622A">
        <w:rPr>
          <w:rFonts w:ascii="Times New Roman" w:hAnsi="Times New Roman"/>
          <w:szCs w:val="24"/>
        </w:rPr>
        <w:t xml:space="preserve"> to make </w:t>
      </w:r>
      <w:r>
        <w:rPr>
          <w:rFonts w:ascii="Times New Roman" w:hAnsi="Times New Roman"/>
          <w:szCs w:val="24"/>
        </w:rPr>
        <w:t xml:space="preserve">a </w:t>
      </w:r>
      <w:r w:rsidRPr="006E622A">
        <w:rPr>
          <w:rFonts w:ascii="Times New Roman" w:hAnsi="Times New Roman"/>
          <w:szCs w:val="24"/>
        </w:rPr>
        <w:t>disclosure.</w:t>
      </w:r>
      <w:r w:rsidRPr="006E622A">
        <w:rPr>
          <w:rFonts w:ascii="Times New Roman" w:hAnsi="Times New Roman"/>
          <w:szCs w:val="24"/>
          <w:vertAlign w:val="superscript"/>
        </w:rPr>
        <w:footnoteReference w:id="449"/>
      </w:r>
      <w:r w:rsidRPr="006E622A">
        <w:rPr>
          <w:rFonts w:ascii="Times New Roman" w:hAnsi="Times New Roman"/>
          <w:szCs w:val="24"/>
        </w:rPr>
        <w:t>This is based on the fact that they are not full parties to the trial. Judge Pikis observed that the Statute exclusively permits the parties</w:t>
      </w:r>
      <w:r w:rsidR="00AB1794">
        <w:rPr>
          <w:rFonts w:ascii="Times New Roman" w:hAnsi="Times New Roman"/>
          <w:szCs w:val="24"/>
        </w:rPr>
        <w:t xml:space="preserve"> the </w:t>
      </w:r>
      <w:r w:rsidRPr="006E622A">
        <w:rPr>
          <w:rFonts w:ascii="Times New Roman" w:hAnsi="Times New Roman"/>
          <w:szCs w:val="24"/>
        </w:rPr>
        <w:t xml:space="preserve">Prosecutor and </w:t>
      </w:r>
      <w:r w:rsidRPr="006E622A">
        <w:rPr>
          <w:rFonts w:ascii="Times New Roman" w:hAnsi="Times New Roman"/>
          <w:szCs w:val="24"/>
        </w:rPr>
        <w:lastRenderedPageBreak/>
        <w:t>Defence</w:t>
      </w:r>
      <w:r w:rsidR="00AB1794">
        <w:rPr>
          <w:rFonts w:ascii="Times New Roman" w:hAnsi="Times New Roman"/>
          <w:szCs w:val="24"/>
        </w:rPr>
        <w:t xml:space="preserve"> </w:t>
      </w:r>
      <w:r w:rsidRPr="006E622A">
        <w:rPr>
          <w:rFonts w:ascii="Times New Roman" w:hAnsi="Times New Roman"/>
          <w:szCs w:val="24"/>
        </w:rPr>
        <w:t>to</w:t>
      </w:r>
      <w:r>
        <w:rPr>
          <w:rFonts w:ascii="Times New Roman" w:hAnsi="Times New Roman"/>
          <w:szCs w:val="24"/>
        </w:rPr>
        <w:t xml:space="preserve"> </w:t>
      </w:r>
      <w:r w:rsidRPr="006E622A">
        <w:rPr>
          <w:rFonts w:ascii="Times New Roman" w:hAnsi="Times New Roman"/>
          <w:szCs w:val="24"/>
        </w:rPr>
        <w:t>challenge the charges.</w:t>
      </w:r>
      <w:r>
        <w:rPr>
          <w:rFonts w:ascii="Times New Roman" w:hAnsi="Times New Roman"/>
          <w:szCs w:val="24"/>
        </w:rPr>
        <w:t xml:space="preserve"> </w:t>
      </w:r>
      <w:r w:rsidRPr="006E622A">
        <w:rPr>
          <w:rFonts w:ascii="Times New Roman" w:hAnsi="Times New Roman"/>
          <w:szCs w:val="24"/>
        </w:rPr>
        <w:t>As such, the victim-participant</w:t>
      </w:r>
      <w:r>
        <w:rPr>
          <w:rFonts w:ascii="Times New Roman" w:hAnsi="Times New Roman"/>
          <w:szCs w:val="24"/>
        </w:rPr>
        <w:t>s were</w:t>
      </w:r>
      <w:r w:rsidRPr="006E622A">
        <w:rPr>
          <w:rFonts w:ascii="Times New Roman" w:hAnsi="Times New Roman"/>
          <w:szCs w:val="24"/>
        </w:rPr>
        <w:t xml:space="preserve"> not allowed to contend the charges.</w:t>
      </w:r>
      <w:r w:rsidRPr="006E622A">
        <w:rPr>
          <w:rFonts w:ascii="Times New Roman" w:hAnsi="Times New Roman"/>
          <w:szCs w:val="24"/>
          <w:vertAlign w:val="superscript"/>
        </w:rPr>
        <w:footnoteReference w:id="450"/>
      </w:r>
      <w:r w:rsidRPr="006E622A">
        <w:rPr>
          <w:rFonts w:ascii="Times New Roman" w:hAnsi="Times New Roman"/>
          <w:szCs w:val="24"/>
        </w:rPr>
        <w:t xml:space="preserve">  </w:t>
      </w:r>
    </w:p>
    <w:p w14:paraId="72867C5E" w14:textId="77777777" w:rsidR="00CF5550" w:rsidRPr="006E622A" w:rsidRDefault="00CF5550" w:rsidP="00CF5550">
      <w:pPr>
        <w:spacing w:after="0" w:line="480" w:lineRule="auto"/>
        <w:jc w:val="both"/>
        <w:rPr>
          <w:rFonts w:ascii="Times New Roman" w:hAnsi="Times New Roman"/>
          <w:szCs w:val="24"/>
        </w:rPr>
      </w:pPr>
    </w:p>
    <w:p w14:paraId="2C5E0CD9" w14:textId="448A1F62" w:rsidR="00CF5550" w:rsidRDefault="00CF5550" w:rsidP="00CF5550">
      <w:pPr>
        <w:spacing w:after="0" w:line="480" w:lineRule="auto"/>
        <w:jc w:val="both"/>
        <w:rPr>
          <w:rFonts w:ascii="Times New Roman" w:hAnsi="Times New Roman"/>
          <w:szCs w:val="24"/>
        </w:rPr>
      </w:pPr>
      <w:r>
        <w:rPr>
          <w:rFonts w:ascii="Times New Roman" w:hAnsi="Times New Roman"/>
          <w:szCs w:val="24"/>
        </w:rPr>
        <w:t>Turning now to the context within which modalities of participation is permissible, the PTC  determined that by rule 85, it is expedient to grant victims procedural status to applicants who qualify under the RPE, a status outside judicial proceedings.</w:t>
      </w:r>
      <w:r>
        <w:rPr>
          <w:rStyle w:val="FootnoteReference"/>
          <w:rFonts w:ascii="Times New Roman" w:hAnsi="Times New Roman"/>
          <w:szCs w:val="24"/>
        </w:rPr>
        <w:footnoteReference w:id="451"/>
      </w:r>
      <w:r>
        <w:rPr>
          <w:rFonts w:ascii="Times New Roman" w:hAnsi="Times New Roman"/>
          <w:szCs w:val="24"/>
        </w:rPr>
        <w:t>The single judge referred to the earlier decision of the PTC on 17 January 2006.</w:t>
      </w:r>
      <w:r>
        <w:rPr>
          <w:rStyle w:val="FootnoteReference"/>
          <w:rFonts w:ascii="Times New Roman" w:hAnsi="Times New Roman"/>
          <w:szCs w:val="24"/>
        </w:rPr>
        <w:footnoteReference w:id="452"/>
      </w:r>
      <w:r>
        <w:rPr>
          <w:rFonts w:ascii="Times New Roman" w:hAnsi="Times New Roman"/>
          <w:szCs w:val="24"/>
        </w:rPr>
        <w:t xml:space="preserve"> This decision stated the need to accord victim procedural status at the investigative stage because </w:t>
      </w:r>
      <w:r w:rsidR="00281F76">
        <w:rPr>
          <w:rFonts w:ascii="Times New Roman" w:hAnsi="Times New Roman"/>
          <w:szCs w:val="24"/>
        </w:rPr>
        <w:t>victims' personal interest</w:t>
      </w:r>
      <w:r>
        <w:rPr>
          <w:rFonts w:ascii="Times New Roman" w:hAnsi="Times New Roman"/>
          <w:szCs w:val="24"/>
        </w:rPr>
        <w:t xml:space="preserve">s are affected in general during this phase. It is noted that </w:t>
      </w:r>
      <w:r w:rsidR="00281F76">
        <w:rPr>
          <w:rFonts w:ascii="Times New Roman" w:hAnsi="Times New Roman"/>
          <w:szCs w:val="24"/>
        </w:rPr>
        <w:t>victims' participation at this stage may lead to clarification of facts to punish the perpetrators of crimes and</w:t>
      </w:r>
      <w:r>
        <w:rPr>
          <w:rFonts w:ascii="Times New Roman" w:hAnsi="Times New Roman"/>
          <w:szCs w:val="24"/>
        </w:rPr>
        <w:t xml:space="preserve"> seek reparations.</w:t>
      </w:r>
      <w:r>
        <w:rPr>
          <w:rStyle w:val="FootnoteReference"/>
          <w:rFonts w:ascii="Times New Roman" w:hAnsi="Times New Roman"/>
          <w:szCs w:val="24"/>
        </w:rPr>
        <w:footnoteReference w:id="453"/>
      </w:r>
      <w:r>
        <w:rPr>
          <w:rFonts w:ascii="Times New Roman" w:hAnsi="Times New Roman"/>
          <w:szCs w:val="24"/>
        </w:rPr>
        <w:t xml:space="preserve"> Also, the PTC pointed out the fact that victims ‘presentation of views and concerns to the ‘ongoing investigation’ is required because it is “at this stage that the persons allegedly responsible for the crimes from which they suffered must be identified as the first step </w:t>
      </w:r>
      <w:r w:rsidRPr="00383B4A">
        <w:rPr>
          <w:rFonts w:ascii="Times New Roman" w:hAnsi="Times New Roman"/>
          <w:szCs w:val="24"/>
        </w:rPr>
        <w:t>towards their indictment[…]”</w:t>
      </w:r>
      <w:r w:rsidRPr="00383B4A">
        <w:rPr>
          <w:rStyle w:val="FootnoteReference"/>
          <w:rFonts w:ascii="Times New Roman" w:hAnsi="Times New Roman"/>
          <w:szCs w:val="24"/>
        </w:rPr>
        <w:footnoteReference w:id="454"/>
      </w:r>
      <w:r w:rsidRPr="00383B4A">
        <w:rPr>
          <w:rFonts w:ascii="Times New Roman" w:hAnsi="Times New Roman"/>
          <w:szCs w:val="24"/>
        </w:rPr>
        <w:t>The PTC ruled that victim participants would be permitted to participate in proceedings</w:t>
      </w:r>
      <w:r w:rsidR="006C59E3">
        <w:rPr>
          <w:rFonts w:ascii="Times New Roman" w:hAnsi="Times New Roman"/>
          <w:szCs w:val="24"/>
        </w:rPr>
        <w:t xml:space="preserve"> by</w:t>
      </w:r>
      <w:r w:rsidRPr="00383B4A">
        <w:rPr>
          <w:rFonts w:ascii="Times New Roman" w:hAnsi="Times New Roman"/>
          <w:szCs w:val="24"/>
        </w:rPr>
        <w:t xml:space="preserve"> presenting their views and concerns and</w:t>
      </w:r>
      <w:r w:rsidR="006C59E3">
        <w:rPr>
          <w:rFonts w:ascii="Times New Roman" w:hAnsi="Times New Roman"/>
          <w:szCs w:val="24"/>
        </w:rPr>
        <w:t>,</w:t>
      </w:r>
      <w:r w:rsidRPr="00383B4A">
        <w:rPr>
          <w:rFonts w:ascii="Times New Roman" w:hAnsi="Times New Roman"/>
          <w:szCs w:val="24"/>
        </w:rPr>
        <w:t xml:space="preserve"> to file documents </w:t>
      </w:r>
      <w:r w:rsidRPr="00383B4A">
        <w:rPr>
          <w:rFonts w:ascii="Times New Roman" w:hAnsi="Times New Roman"/>
          <w:szCs w:val="24"/>
        </w:rPr>
        <w:lastRenderedPageBreak/>
        <w:t>concerning the ongoing investigation of the situation, provided their personal inter</w:t>
      </w:r>
      <w:r>
        <w:rPr>
          <w:rFonts w:ascii="Times New Roman" w:hAnsi="Times New Roman"/>
          <w:szCs w:val="24"/>
        </w:rPr>
        <w:t>e</w:t>
      </w:r>
      <w:r w:rsidRPr="00383B4A">
        <w:rPr>
          <w:rFonts w:ascii="Times New Roman" w:hAnsi="Times New Roman"/>
          <w:szCs w:val="24"/>
        </w:rPr>
        <w:t>sts are affected.</w:t>
      </w:r>
      <w:r w:rsidRPr="00383B4A">
        <w:rPr>
          <w:rStyle w:val="FootnoteReference"/>
          <w:rFonts w:ascii="Times New Roman" w:hAnsi="Times New Roman"/>
          <w:szCs w:val="24"/>
        </w:rPr>
        <w:footnoteReference w:id="455"/>
      </w:r>
      <w:r w:rsidRPr="00383B4A">
        <w:rPr>
          <w:rFonts w:ascii="Times New Roman" w:hAnsi="Times New Roman"/>
          <w:szCs w:val="24"/>
        </w:rPr>
        <w:t xml:space="preserve">According to the PTC, the stage of investigation into a situation is deemed appropriate </w:t>
      </w:r>
      <w:r w:rsidR="006C59E3">
        <w:rPr>
          <w:rFonts w:ascii="Times New Roman" w:hAnsi="Times New Roman"/>
          <w:szCs w:val="24"/>
        </w:rPr>
        <w:t>for</w:t>
      </w:r>
      <w:r w:rsidRPr="00383B4A">
        <w:rPr>
          <w:rFonts w:ascii="Times New Roman" w:hAnsi="Times New Roman"/>
          <w:szCs w:val="24"/>
        </w:rPr>
        <w:t xml:space="preserve"> the proceedings.</w:t>
      </w:r>
    </w:p>
    <w:p w14:paraId="2F1FAD7C" w14:textId="77777777" w:rsidR="00CF5550" w:rsidRPr="00383B4A" w:rsidRDefault="00CF5550" w:rsidP="00CF5550">
      <w:pPr>
        <w:spacing w:after="0" w:line="480" w:lineRule="auto"/>
        <w:jc w:val="both"/>
        <w:rPr>
          <w:rFonts w:ascii="Times New Roman" w:hAnsi="Times New Roman"/>
          <w:szCs w:val="24"/>
        </w:rPr>
      </w:pPr>
    </w:p>
    <w:p w14:paraId="6D4F40EA" w14:textId="73542D88" w:rsidR="00CF5550" w:rsidRDefault="00CF5550" w:rsidP="00CF5550">
      <w:pPr>
        <w:spacing w:after="0" w:line="480" w:lineRule="auto"/>
        <w:jc w:val="both"/>
        <w:rPr>
          <w:rFonts w:ascii="Times New Roman" w:hAnsi="Times New Roman"/>
          <w:szCs w:val="24"/>
        </w:rPr>
      </w:pPr>
      <w:r w:rsidRPr="0002771D">
        <w:rPr>
          <w:rFonts w:ascii="Times New Roman" w:hAnsi="Times New Roman"/>
          <w:szCs w:val="24"/>
        </w:rPr>
        <w:t>On appeal, th</w:t>
      </w:r>
      <w:r>
        <w:rPr>
          <w:rFonts w:ascii="Times New Roman" w:hAnsi="Times New Roman"/>
          <w:szCs w:val="24"/>
        </w:rPr>
        <w:t xml:space="preserve">e Appeals Chamber reversed the </w:t>
      </w:r>
      <w:r w:rsidRPr="0002771D">
        <w:rPr>
          <w:rFonts w:ascii="Times New Roman" w:hAnsi="Times New Roman"/>
          <w:szCs w:val="24"/>
        </w:rPr>
        <w:t xml:space="preserve">PTC’s decision and held that  “participation can </w:t>
      </w:r>
      <w:r w:rsidR="00281F76">
        <w:rPr>
          <w:rFonts w:ascii="Times New Roman" w:hAnsi="Times New Roman"/>
          <w:szCs w:val="24"/>
        </w:rPr>
        <w:t>only occur</w:t>
      </w:r>
      <w:r w:rsidRPr="0002771D">
        <w:rPr>
          <w:rFonts w:ascii="Times New Roman" w:hAnsi="Times New Roman"/>
          <w:szCs w:val="24"/>
        </w:rPr>
        <w:t xml:space="preserve"> within the context of judicial proceedings”.</w:t>
      </w:r>
      <w:r w:rsidRPr="0002771D">
        <w:rPr>
          <w:rStyle w:val="FootnoteReference"/>
          <w:rFonts w:ascii="Times New Roman" w:hAnsi="Times New Roman"/>
          <w:szCs w:val="24"/>
        </w:rPr>
        <w:footnoteReference w:id="456"/>
      </w:r>
      <w:r w:rsidRPr="0002771D">
        <w:rPr>
          <w:rFonts w:ascii="Times New Roman" w:hAnsi="Times New Roman"/>
          <w:szCs w:val="24"/>
        </w:rPr>
        <w:t xml:space="preserve"> As such investigation was not considered judicial proceedings as it is a phase where the prosecutor </w:t>
      </w:r>
      <w:r w:rsidR="00AB1794">
        <w:rPr>
          <w:rFonts w:ascii="Times New Roman" w:hAnsi="Times New Roman"/>
          <w:szCs w:val="24"/>
        </w:rPr>
        <w:t>examines</w:t>
      </w:r>
      <w:r w:rsidRPr="0002771D">
        <w:rPr>
          <w:rFonts w:ascii="Times New Roman" w:hAnsi="Times New Roman"/>
          <w:szCs w:val="24"/>
        </w:rPr>
        <w:t xml:space="preserve"> the commission of crimes.</w:t>
      </w:r>
      <w:r w:rsidRPr="0002771D">
        <w:rPr>
          <w:rStyle w:val="FootnoteReference"/>
          <w:rFonts w:ascii="Times New Roman" w:hAnsi="Times New Roman"/>
          <w:szCs w:val="24"/>
        </w:rPr>
        <w:footnoteReference w:id="457"/>
      </w:r>
      <w:r w:rsidRPr="0002771D">
        <w:rPr>
          <w:rFonts w:ascii="Times New Roman" w:hAnsi="Times New Roman"/>
          <w:szCs w:val="24"/>
        </w:rPr>
        <w:t xml:space="preserve"> Furthermore, the AC determined that the PTC ex</w:t>
      </w:r>
      <w:r>
        <w:rPr>
          <w:rFonts w:ascii="Times New Roman" w:hAnsi="Times New Roman"/>
          <w:szCs w:val="24"/>
        </w:rPr>
        <w:t xml:space="preserve">ceeded its power </w:t>
      </w:r>
      <w:r w:rsidR="00AB1794">
        <w:rPr>
          <w:rFonts w:ascii="Times New Roman" w:hAnsi="Times New Roman"/>
          <w:szCs w:val="24"/>
        </w:rPr>
        <w:t>because</w:t>
      </w:r>
      <w:r w:rsidRPr="0002771D">
        <w:rPr>
          <w:rFonts w:ascii="Times New Roman" w:hAnsi="Times New Roman"/>
          <w:szCs w:val="24"/>
        </w:rPr>
        <w:t xml:space="preserve"> it cannot </w:t>
      </w:r>
      <w:r>
        <w:rPr>
          <w:rFonts w:ascii="Times New Roman" w:hAnsi="Times New Roman"/>
          <w:szCs w:val="24"/>
        </w:rPr>
        <w:t>grant victims the procedural stat</w:t>
      </w:r>
      <w:r w:rsidRPr="0002771D">
        <w:rPr>
          <w:rFonts w:ascii="Times New Roman" w:hAnsi="Times New Roman"/>
          <w:szCs w:val="24"/>
        </w:rPr>
        <w:t>us</w:t>
      </w:r>
      <w:r>
        <w:rPr>
          <w:rFonts w:ascii="Times New Roman" w:hAnsi="Times New Roman"/>
          <w:szCs w:val="24"/>
        </w:rPr>
        <w:t>,</w:t>
      </w:r>
      <w:r w:rsidRPr="0002771D">
        <w:rPr>
          <w:rFonts w:ascii="Times New Roman" w:hAnsi="Times New Roman"/>
          <w:szCs w:val="24"/>
        </w:rPr>
        <w:t xml:space="preserve"> which entailed a general right to participate in the investigation.</w:t>
      </w:r>
      <w:r w:rsidRPr="0002771D">
        <w:rPr>
          <w:rStyle w:val="FootnoteReference"/>
          <w:rFonts w:ascii="Times New Roman" w:hAnsi="Times New Roman"/>
          <w:szCs w:val="24"/>
        </w:rPr>
        <w:footnoteReference w:id="458"/>
      </w:r>
      <w:r>
        <w:rPr>
          <w:rFonts w:ascii="Times New Roman" w:hAnsi="Times New Roman"/>
          <w:szCs w:val="24"/>
        </w:rPr>
        <w:t xml:space="preserve"> The AC states:</w:t>
      </w:r>
    </w:p>
    <w:p w14:paraId="38C184A3" w14:textId="17F6082A" w:rsidR="00CF5550" w:rsidRPr="00AC4D40" w:rsidRDefault="00CF5550" w:rsidP="00CF5550">
      <w:pPr>
        <w:spacing w:after="0" w:line="480" w:lineRule="auto"/>
        <w:ind w:left="720"/>
        <w:jc w:val="both"/>
        <w:rPr>
          <w:rFonts w:ascii="Times New Roman" w:hAnsi="Times New Roman"/>
          <w:szCs w:val="24"/>
        </w:rPr>
      </w:pPr>
      <w:r w:rsidRPr="00D24A39">
        <w:rPr>
          <w:rStyle w:val="QuoteChar"/>
          <w:rFonts w:ascii="Times New Roman" w:hAnsi="Times New Roman"/>
          <w:i w:val="0"/>
        </w:rPr>
        <w:t>[...]authority for the conduct of investigations vests in the Prosecutor. Acknowledg</w:t>
      </w:r>
      <w:r w:rsidR="00D30347">
        <w:rPr>
          <w:rStyle w:val="QuoteChar"/>
          <w:rFonts w:ascii="Times New Roman" w:hAnsi="Times New Roman"/>
          <w:i w:val="0"/>
        </w:rPr>
        <w:t>e</w:t>
      </w:r>
      <w:r w:rsidRPr="00D24A39">
        <w:rPr>
          <w:rStyle w:val="QuoteChar"/>
          <w:rFonts w:ascii="Times New Roman" w:hAnsi="Times New Roman"/>
          <w:i w:val="0"/>
        </w:rPr>
        <w:t>ment by the Pre-Trial Chamber of a right to victims to participate</w:t>
      </w:r>
      <w:r>
        <w:rPr>
          <w:rStyle w:val="QuoteChar"/>
          <w:rFonts w:ascii="Times New Roman" w:hAnsi="Times New Roman"/>
          <w:i w:val="0"/>
        </w:rPr>
        <w:t xml:space="preserve"> </w:t>
      </w:r>
      <w:r w:rsidRPr="00D24A39">
        <w:rPr>
          <w:rStyle w:val="QuoteChar"/>
          <w:rFonts w:ascii="Times New Roman" w:hAnsi="Times New Roman"/>
          <w:i w:val="0"/>
        </w:rPr>
        <w:t>in the investigation would necessarily contravene the Statute by reading into it a power outside its ambit and remit</w:t>
      </w:r>
      <w:r w:rsidRPr="00AC4D40">
        <w:rPr>
          <w:rStyle w:val="QuoteChar"/>
        </w:rPr>
        <w:t>.”</w:t>
      </w:r>
      <w:r w:rsidRPr="00AC4D40">
        <w:rPr>
          <w:rFonts w:ascii="Times New Roman" w:hAnsi="Times New Roman"/>
          <w:szCs w:val="24"/>
        </w:rPr>
        <w:t xml:space="preserve"> </w:t>
      </w:r>
      <w:r>
        <w:rPr>
          <w:rStyle w:val="FootnoteReference"/>
          <w:rFonts w:ascii="Times New Roman" w:hAnsi="Times New Roman"/>
          <w:szCs w:val="24"/>
        </w:rPr>
        <w:footnoteReference w:id="459"/>
      </w:r>
    </w:p>
    <w:p w14:paraId="37BAF3DB" w14:textId="1A29DF4B" w:rsidR="006C59E3" w:rsidRDefault="006C59E3" w:rsidP="00CF5550">
      <w:pPr>
        <w:spacing w:after="0" w:line="480" w:lineRule="auto"/>
        <w:jc w:val="both"/>
        <w:rPr>
          <w:rFonts w:ascii="Times New Roman" w:hAnsi="Times New Roman"/>
          <w:szCs w:val="24"/>
        </w:rPr>
      </w:pPr>
    </w:p>
    <w:p w14:paraId="58AFB2D7" w14:textId="285A9828" w:rsidR="006C59E3" w:rsidRPr="003567CF" w:rsidRDefault="006C59E3" w:rsidP="006C59E3">
      <w:pPr>
        <w:spacing w:after="0" w:line="480" w:lineRule="auto"/>
        <w:jc w:val="both"/>
        <w:rPr>
          <w:rFonts w:ascii="Times New Roman" w:eastAsia="Cambria" w:hAnsi="Times New Roman"/>
          <w:szCs w:val="24"/>
        </w:rPr>
      </w:pPr>
      <w:r w:rsidRPr="003567CF">
        <w:rPr>
          <w:rFonts w:ascii="Times New Roman" w:eastAsia="Cambria" w:hAnsi="Times New Roman"/>
          <w:szCs w:val="24"/>
        </w:rPr>
        <w:lastRenderedPageBreak/>
        <w:t>Proceedings have been defined in Situation in the Democratic Republic of the Congo.</w:t>
      </w:r>
      <w:r w:rsidRPr="003567CF">
        <w:rPr>
          <w:rFonts w:ascii="Times New Roman" w:eastAsia="Cambria" w:hAnsi="Times New Roman"/>
          <w:szCs w:val="24"/>
          <w:vertAlign w:val="superscript"/>
        </w:rPr>
        <w:footnoteReference w:id="460"/>
      </w:r>
      <w:r w:rsidRPr="003567CF">
        <w:rPr>
          <w:rFonts w:ascii="Times New Roman" w:eastAsia="Cambria" w:hAnsi="Times New Roman"/>
          <w:szCs w:val="24"/>
        </w:rPr>
        <w:t xml:space="preserve"> </w:t>
      </w:r>
      <w:r w:rsidR="00281F76">
        <w:rPr>
          <w:rFonts w:ascii="Times New Roman" w:eastAsia="Cambria" w:hAnsi="Times New Roman"/>
          <w:szCs w:val="24"/>
        </w:rPr>
        <w:t>Before the Chamber, the main issue</w:t>
      </w:r>
      <w:r w:rsidRPr="003567CF">
        <w:rPr>
          <w:rFonts w:ascii="Times New Roman" w:eastAsia="Cambria" w:hAnsi="Times New Roman"/>
          <w:szCs w:val="24"/>
        </w:rPr>
        <w:t xml:space="preserve"> was to decide if ‘situation’ qualifies as ‘proceedings</w:t>
      </w:r>
      <w:r w:rsidR="00AB1794">
        <w:rPr>
          <w:rFonts w:ascii="Times New Roman" w:eastAsia="Cambria" w:hAnsi="Times New Roman"/>
          <w:szCs w:val="24"/>
        </w:rPr>
        <w:t>.</w:t>
      </w:r>
      <w:r w:rsidRPr="003567CF">
        <w:rPr>
          <w:rFonts w:ascii="Times New Roman" w:eastAsia="Cambria" w:hAnsi="Times New Roman"/>
          <w:szCs w:val="24"/>
        </w:rPr>
        <w:t>’</w:t>
      </w:r>
      <w:r w:rsidR="00AB1794">
        <w:rPr>
          <w:rFonts w:ascii="Times New Roman" w:eastAsia="Cambria" w:hAnsi="Times New Roman"/>
          <w:szCs w:val="24"/>
        </w:rPr>
        <w:t xml:space="preserve"> </w:t>
      </w:r>
      <w:r w:rsidRPr="003567CF">
        <w:rPr>
          <w:rFonts w:ascii="Times New Roman" w:eastAsia="Cambria" w:hAnsi="Times New Roman"/>
          <w:szCs w:val="24"/>
        </w:rPr>
        <w:t xml:space="preserve">Six persons applied to participate in the investigation of ‘situation’ in the DRC. The main issue for determination was whether an investigation of a situation falls under ‘proceedings’ as stated in article 68(3). The Prosecutor argued that investigation of a situation does not fall under ‘proceedings, because article 127(Part 13-final clauses) </w:t>
      </w:r>
      <w:r w:rsidR="00281F76">
        <w:rPr>
          <w:rFonts w:ascii="Times New Roman" w:eastAsia="Cambria" w:hAnsi="Times New Roman"/>
          <w:szCs w:val="24"/>
        </w:rPr>
        <w:t>distinguishes</w:t>
      </w:r>
      <w:r w:rsidRPr="003567CF">
        <w:rPr>
          <w:rFonts w:ascii="Times New Roman" w:eastAsia="Cambria" w:hAnsi="Times New Roman"/>
          <w:szCs w:val="24"/>
        </w:rPr>
        <w:t xml:space="preserve"> the terms ‘investigation’ and proceedings’.</w:t>
      </w:r>
      <w:r w:rsidRPr="003567CF">
        <w:rPr>
          <w:rFonts w:ascii="Times New Roman" w:eastAsia="Cambria" w:hAnsi="Times New Roman"/>
          <w:szCs w:val="24"/>
          <w:vertAlign w:val="superscript"/>
        </w:rPr>
        <w:footnoteReference w:id="461"/>
      </w:r>
      <w:r w:rsidRPr="003567CF">
        <w:rPr>
          <w:rFonts w:ascii="Times New Roman" w:eastAsia="Cambria" w:hAnsi="Times New Roman"/>
          <w:szCs w:val="24"/>
        </w:rPr>
        <w:t xml:space="preserve"> The PTC rejected the Prosecutor’s argument.</w:t>
      </w:r>
      <w:r>
        <w:rPr>
          <w:rFonts w:ascii="Times New Roman" w:eastAsia="Cambria" w:hAnsi="Times New Roman"/>
          <w:szCs w:val="24"/>
        </w:rPr>
        <w:t xml:space="preserve"> </w:t>
      </w:r>
      <w:r w:rsidRPr="003567CF">
        <w:rPr>
          <w:rFonts w:ascii="Times New Roman" w:eastAsia="Cambria" w:hAnsi="Times New Roman"/>
          <w:szCs w:val="24"/>
        </w:rPr>
        <w:t xml:space="preserve">The PTC reasoned that </w:t>
      </w:r>
      <w:r w:rsidR="00281F76">
        <w:rPr>
          <w:rFonts w:ascii="Times New Roman" w:eastAsia="Cambria" w:hAnsi="Times New Roman"/>
          <w:szCs w:val="24"/>
        </w:rPr>
        <w:t>many</w:t>
      </w:r>
      <w:r w:rsidRPr="003567CF">
        <w:rPr>
          <w:rFonts w:ascii="Times New Roman" w:eastAsia="Cambria" w:hAnsi="Times New Roman"/>
          <w:szCs w:val="24"/>
        </w:rPr>
        <w:t xml:space="preserve"> human rights court decisions have recognised and interpreted their conventions to grant victims participatory rights during the investigation stage of alleged human rights abuses.</w:t>
      </w:r>
      <w:r w:rsidRPr="003567CF">
        <w:rPr>
          <w:rFonts w:ascii="Times New Roman" w:eastAsia="Cambria" w:hAnsi="Times New Roman"/>
          <w:szCs w:val="24"/>
          <w:vertAlign w:val="superscript"/>
        </w:rPr>
        <w:footnoteReference w:id="462"/>
      </w:r>
      <w:r w:rsidRPr="003567CF">
        <w:rPr>
          <w:rFonts w:ascii="Times New Roman" w:eastAsia="Cambria" w:hAnsi="Times New Roman"/>
          <w:szCs w:val="24"/>
        </w:rPr>
        <w:t>The Chamber further stated that according to the teleological point of view, victims participation during the investigation is ‘consistent with the object and purpose of the victims' participation regime established by the drafters of the Statute”.</w:t>
      </w:r>
      <w:r w:rsidRPr="003567CF">
        <w:rPr>
          <w:rFonts w:ascii="Times New Roman" w:eastAsia="Cambria" w:hAnsi="Times New Roman"/>
          <w:szCs w:val="24"/>
          <w:vertAlign w:val="superscript"/>
        </w:rPr>
        <w:footnoteReference w:id="463"/>
      </w:r>
      <w:r w:rsidRPr="003567CF">
        <w:rPr>
          <w:rFonts w:ascii="Times New Roman" w:eastAsia="Cambria" w:hAnsi="Times New Roman"/>
          <w:szCs w:val="24"/>
        </w:rPr>
        <w:t xml:space="preserve"> As such, article 68(3) encompasses investigation proceedings, which means that the said victims can exercise their procedural rights pursuant to Article 68(3) of the Statute by :</w:t>
      </w:r>
    </w:p>
    <w:p w14:paraId="676CC3E3" w14:textId="77777777" w:rsidR="006C59E3" w:rsidRPr="003567CF" w:rsidRDefault="006C59E3" w:rsidP="006C59E3">
      <w:pPr>
        <w:numPr>
          <w:ilvl w:val="0"/>
          <w:numId w:val="2"/>
        </w:numPr>
        <w:spacing w:after="0" w:line="480" w:lineRule="auto"/>
        <w:contextualSpacing/>
        <w:jc w:val="both"/>
        <w:rPr>
          <w:rFonts w:ascii="Times New Roman" w:hAnsi="Times New Roman"/>
          <w:szCs w:val="24"/>
        </w:rPr>
      </w:pPr>
      <w:r w:rsidRPr="003567CF">
        <w:rPr>
          <w:rFonts w:ascii="Times New Roman" w:hAnsi="Times New Roman"/>
          <w:szCs w:val="24"/>
        </w:rPr>
        <w:t>presenting their views and concerns;</w:t>
      </w:r>
    </w:p>
    <w:p w14:paraId="52A3B6E0" w14:textId="77777777" w:rsidR="006C59E3" w:rsidRPr="003567CF" w:rsidRDefault="006C59E3" w:rsidP="006C59E3">
      <w:pPr>
        <w:numPr>
          <w:ilvl w:val="0"/>
          <w:numId w:val="2"/>
        </w:numPr>
        <w:spacing w:after="0" w:line="480" w:lineRule="auto"/>
        <w:contextualSpacing/>
        <w:jc w:val="both"/>
        <w:rPr>
          <w:rFonts w:ascii="Times New Roman" w:hAnsi="Times New Roman"/>
          <w:szCs w:val="24"/>
        </w:rPr>
      </w:pPr>
      <w:r w:rsidRPr="003567CF">
        <w:rPr>
          <w:rFonts w:ascii="Times New Roman" w:hAnsi="Times New Roman"/>
          <w:szCs w:val="24"/>
        </w:rPr>
        <w:t xml:space="preserve">File documents </w:t>
      </w:r>
    </w:p>
    <w:p w14:paraId="6DABA04A" w14:textId="77777777" w:rsidR="006C59E3" w:rsidRPr="003567CF" w:rsidRDefault="006C59E3" w:rsidP="006C59E3">
      <w:pPr>
        <w:numPr>
          <w:ilvl w:val="0"/>
          <w:numId w:val="2"/>
        </w:numPr>
        <w:spacing w:after="0" w:line="480" w:lineRule="auto"/>
        <w:contextualSpacing/>
        <w:jc w:val="both"/>
        <w:rPr>
          <w:rFonts w:ascii="Times New Roman" w:hAnsi="Times New Roman"/>
          <w:szCs w:val="24"/>
        </w:rPr>
      </w:pPr>
      <w:r w:rsidRPr="003567CF">
        <w:rPr>
          <w:rFonts w:ascii="Times New Roman" w:hAnsi="Times New Roman"/>
          <w:szCs w:val="24"/>
        </w:rPr>
        <w:t>Requesting the Pre-Trial Chamber to order specific measures.</w:t>
      </w:r>
      <w:r w:rsidRPr="003567CF">
        <w:rPr>
          <w:rFonts w:ascii="Times New Roman" w:hAnsi="Times New Roman"/>
          <w:szCs w:val="24"/>
          <w:vertAlign w:val="superscript"/>
        </w:rPr>
        <w:footnoteReference w:id="464"/>
      </w:r>
    </w:p>
    <w:p w14:paraId="6C312CD1" w14:textId="77777777" w:rsidR="006C59E3" w:rsidRPr="003567CF" w:rsidRDefault="006C59E3" w:rsidP="006C59E3">
      <w:pPr>
        <w:spacing w:line="480" w:lineRule="auto"/>
        <w:ind w:left="720"/>
        <w:contextualSpacing/>
        <w:jc w:val="both"/>
        <w:rPr>
          <w:rFonts w:ascii="Times New Roman" w:hAnsi="Times New Roman"/>
          <w:szCs w:val="24"/>
        </w:rPr>
      </w:pPr>
    </w:p>
    <w:p w14:paraId="35914A88" w14:textId="3BD923AD" w:rsidR="006C59E3" w:rsidRPr="003567CF" w:rsidRDefault="006C59E3" w:rsidP="006C59E3">
      <w:pPr>
        <w:spacing w:after="0" w:line="480" w:lineRule="auto"/>
        <w:jc w:val="both"/>
        <w:rPr>
          <w:rFonts w:ascii="Times New Roman" w:eastAsia="Cambria" w:hAnsi="Times New Roman"/>
          <w:szCs w:val="24"/>
          <w:lang w:eastAsia="ja-JP"/>
        </w:rPr>
      </w:pPr>
      <w:r w:rsidRPr="003567CF">
        <w:rPr>
          <w:rFonts w:ascii="Times New Roman" w:eastAsia="Cambria" w:hAnsi="Times New Roman"/>
          <w:szCs w:val="24"/>
          <w:lang w:eastAsia="ja-JP"/>
        </w:rPr>
        <w:t>Th</w:t>
      </w:r>
      <w:r w:rsidR="00281F76">
        <w:rPr>
          <w:rFonts w:ascii="Times New Roman" w:eastAsia="Cambria" w:hAnsi="Times New Roman"/>
          <w:szCs w:val="24"/>
          <w:lang w:eastAsia="ja-JP"/>
        </w:rPr>
        <w:t>is ruling's significance</w:t>
      </w:r>
      <w:r w:rsidRPr="003567CF">
        <w:rPr>
          <w:rFonts w:ascii="Times New Roman" w:eastAsia="Cambria" w:hAnsi="Times New Roman"/>
          <w:szCs w:val="24"/>
          <w:lang w:eastAsia="ja-JP"/>
        </w:rPr>
        <w:t xml:space="preserve"> reflects an inclusive platform for victims to get involved in both investigations and trials. Therefore, </w:t>
      </w:r>
      <w:r w:rsidR="00281F76">
        <w:rPr>
          <w:rFonts w:ascii="Times New Roman" w:eastAsia="Cambria" w:hAnsi="Times New Roman"/>
          <w:szCs w:val="24"/>
          <w:lang w:eastAsia="ja-JP"/>
        </w:rPr>
        <w:t>as enunciated in article 68(3), proceedings encompas</w:t>
      </w:r>
      <w:r w:rsidRPr="003567CF">
        <w:rPr>
          <w:rFonts w:ascii="Times New Roman" w:eastAsia="Cambria" w:hAnsi="Times New Roman"/>
          <w:szCs w:val="24"/>
          <w:lang w:eastAsia="ja-JP"/>
        </w:rPr>
        <w:t xml:space="preserve">s both </w:t>
      </w:r>
      <w:r w:rsidR="00281F76">
        <w:rPr>
          <w:rFonts w:ascii="Times New Roman" w:eastAsia="Cambria" w:hAnsi="Times New Roman"/>
          <w:szCs w:val="24"/>
          <w:lang w:eastAsia="ja-JP"/>
        </w:rPr>
        <w:t xml:space="preserve">the </w:t>
      </w:r>
      <w:r w:rsidRPr="003567CF">
        <w:rPr>
          <w:rFonts w:ascii="Times New Roman" w:eastAsia="Cambria" w:hAnsi="Times New Roman"/>
          <w:szCs w:val="24"/>
          <w:lang w:eastAsia="ja-JP"/>
        </w:rPr>
        <w:t xml:space="preserve">investigation </w:t>
      </w:r>
      <w:r w:rsidR="00281F76">
        <w:rPr>
          <w:rFonts w:ascii="Times New Roman" w:eastAsia="Cambria" w:hAnsi="Times New Roman"/>
          <w:szCs w:val="24"/>
          <w:lang w:eastAsia="ja-JP"/>
        </w:rPr>
        <w:t>and criminal trial stages</w:t>
      </w:r>
      <w:r w:rsidR="00EF2435">
        <w:rPr>
          <w:rFonts w:ascii="Times New Roman" w:eastAsia="Cambria" w:hAnsi="Times New Roman"/>
          <w:szCs w:val="24"/>
          <w:lang w:eastAsia="ja-JP"/>
        </w:rPr>
        <w:t>.</w:t>
      </w:r>
      <w:r w:rsidRPr="003567CF">
        <w:rPr>
          <w:rFonts w:ascii="Times New Roman" w:eastAsia="Cambria" w:hAnsi="Times New Roman"/>
          <w:szCs w:val="24"/>
          <w:lang w:eastAsia="ja-JP"/>
        </w:rPr>
        <w:t xml:space="preserve"> </w:t>
      </w:r>
      <w:r w:rsidR="004E5504">
        <w:rPr>
          <w:rFonts w:ascii="Times New Roman" w:eastAsia="Cambria" w:hAnsi="Times New Roman"/>
          <w:szCs w:val="24"/>
          <w:lang w:eastAsia="ja-JP"/>
        </w:rPr>
        <w:t>Also</w:t>
      </w:r>
      <w:r w:rsidRPr="003567CF">
        <w:rPr>
          <w:rFonts w:ascii="Times New Roman" w:eastAsia="Cambria" w:hAnsi="Times New Roman"/>
          <w:szCs w:val="24"/>
          <w:lang w:eastAsia="ja-JP"/>
        </w:rPr>
        <w:t xml:space="preserve">, as mentioned previously, </w:t>
      </w:r>
      <w:r w:rsidRPr="003567CF">
        <w:rPr>
          <w:rFonts w:ascii="Times New Roman" w:eastAsia="Cambria" w:hAnsi="Times New Roman"/>
          <w:szCs w:val="24"/>
        </w:rPr>
        <w:t xml:space="preserve">applicants must pass the personal interests test. For instance, the </w:t>
      </w:r>
      <w:r w:rsidR="00281F76">
        <w:rPr>
          <w:rFonts w:ascii="Times New Roman" w:eastAsia="Cambria" w:hAnsi="Times New Roman"/>
          <w:szCs w:val="24"/>
        </w:rPr>
        <w:t>TC's decision</w:t>
      </w:r>
      <w:r w:rsidRPr="003567CF">
        <w:rPr>
          <w:rFonts w:ascii="Times New Roman" w:eastAsia="Cambria" w:hAnsi="Times New Roman"/>
          <w:szCs w:val="24"/>
        </w:rPr>
        <w:t xml:space="preserve"> on 18 January reveals a seemingly ambiguous interpretation of victim participation regime.</w:t>
      </w:r>
      <w:r w:rsidRPr="003567CF">
        <w:rPr>
          <w:rFonts w:ascii="Times New Roman" w:eastAsia="Cambria" w:hAnsi="Times New Roman"/>
          <w:szCs w:val="24"/>
          <w:vertAlign w:val="superscript"/>
        </w:rPr>
        <w:footnoteReference w:id="465"/>
      </w:r>
      <w:r w:rsidRPr="003567CF">
        <w:rPr>
          <w:rFonts w:ascii="Times New Roman" w:eastAsia="Cambria" w:hAnsi="Times New Roman"/>
          <w:szCs w:val="24"/>
        </w:rPr>
        <w:t xml:space="preserve"> The TC held that the assessment of victim participation in proceedings should be regulated by personal interests test, </w:t>
      </w:r>
      <w:r w:rsidR="00281F76">
        <w:rPr>
          <w:rFonts w:ascii="Times New Roman" w:eastAsia="Cambria" w:hAnsi="Times New Roman"/>
          <w:szCs w:val="24"/>
        </w:rPr>
        <w:t>provided</w:t>
      </w:r>
      <w:r w:rsidRPr="003567CF">
        <w:rPr>
          <w:rFonts w:ascii="Times New Roman" w:eastAsia="Cambria" w:hAnsi="Times New Roman"/>
          <w:szCs w:val="24"/>
        </w:rPr>
        <w:t xml:space="preserve"> in article 68(3). Rule 85 and Article 68(3) are interdependent. Hence, they should be interpreted conjunctively. </w:t>
      </w:r>
      <w:r w:rsidR="00281F76">
        <w:rPr>
          <w:rFonts w:ascii="Times New Roman" w:eastAsia="Cambria" w:hAnsi="Times New Roman"/>
          <w:szCs w:val="24"/>
        </w:rPr>
        <w:t>This decision gives a broad interpretation of victims'</w:t>
      </w:r>
      <w:r w:rsidRPr="003567CF">
        <w:rPr>
          <w:rFonts w:ascii="Times New Roman" w:eastAsia="Cambria" w:hAnsi="Times New Roman"/>
          <w:szCs w:val="24"/>
        </w:rPr>
        <w:t xml:space="preserve"> participation as it does not make restrictions based on the connection between the harm suffered by the victims and the crime contained in the charges. </w:t>
      </w:r>
      <w:r w:rsidR="00281F76">
        <w:rPr>
          <w:rFonts w:ascii="Times New Roman" w:eastAsia="Cambria" w:hAnsi="Times New Roman"/>
          <w:szCs w:val="24"/>
        </w:rPr>
        <w:t xml:space="preserve">In his opinion, Judge </w:t>
      </w:r>
      <w:proofErr w:type="spellStart"/>
      <w:r w:rsidR="00281F76">
        <w:rPr>
          <w:rFonts w:ascii="Times New Roman" w:eastAsia="Cambria" w:hAnsi="Times New Roman"/>
          <w:szCs w:val="24"/>
        </w:rPr>
        <w:t>Blattman</w:t>
      </w:r>
      <w:proofErr w:type="spellEnd"/>
      <w:r w:rsidR="00281F76">
        <w:rPr>
          <w:rFonts w:ascii="Times New Roman" w:eastAsia="Cambria" w:hAnsi="Times New Roman"/>
          <w:szCs w:val="24"/>
        </w:rPr>
        <w:t xml:space="preserve"> dissented from the Majority decis</w:t>
      </w:r>
      <w:r w:rsidRPr="003567CF">
        <w:rPr>
          <w:rFonts w:ascii="Times New Roman" w:eastAsia="Cambria" w:hAnsi="Times New Roman"/>
          <w:szCs w:val="24"/>
        </w:rPr>
        <w:t xml:space="preserve">ion, ‘the over-inclusive and imprecise definition of victims’ would threaten or endanger the </w:t>
      </w:r>
      <w:r w:rsidR="007D7DBC">
        <w:rPr>
          <w:rFonts w:ascii="Times New Roman" w:eastAsia="Cambria" w:hAnsi="Times New Roman"/>
          <w:szCs w:val="24"/>
        </w:rPr>
        <w:t>accused's rights</w:t>
      </w:r>
      <w:r w:rsidRPr="003567CF">
        <w:rPr>
          <w:rFonts w:ascii="Times New Roman" w:eastAsia="Cambria" w:hAnsi="Times New Roman"/>
          <w:szCs w:val="24"/>
        </w:rPr>
        <w:t>.</w:t>
      </w:r>
      <w:r w:rsidRPr="003567CF">
        <w:rPr>
          <w:rFonts w:ascii="Times New Roman" w:eastAsia="Cambria" w:hAnsi="Times New Roman"/>
          <w:szCs w:val="24"/>
          <w:vertAlign w:val="superscript"/>
        </w:rPr>
        <w:footnoteReference w:id="466"/>
      </w:r>
      <w:r w:rsidRPr="003567CF">
        <w:rPr>
          <w:rFonts w:ascii="Times New Roman" w:eastAsia="Cambria" w:hAnsi="Times New Roman"/>
          <w:szCs w:val="24"/>
        </w:rPr>
        <w:t xml:space="preserve"> </w:t>
      </w:r>
    </w:p>
    <w:p w14:paraId="21E51FF2" w14:textId="77777777" w:rsidR="006C59E3" w:rsidRPr="003567CF" w:rsidRDefault="006C59E3" w:rsidP="006C59E3">
      <w:pPr>
        <w:spacing w:after="0" w:line="480" w:lineRule="auto"/>
        <w:jc w:val="both"/>
        <w:rPr>
          <w:rFonts w:ascii="Times New Roman" w:eastAsia="Cambria" w:hAnsi="Times New Roman"/>
          <w:szCs w:val="24"/>
        </w:rPr>
      </w:pPr>
    </w:p>
    <w:p w14:paraId="6E0746E6" w14:textId="0B691B6B" w:rsidR="006C59E3" w:rsidRPr="003567CF" w:rsidRDefault="006C59E3" w:rsidP="006C59E3">
      <w:pPr>
        <w:spacing w:after="0" w:line="480" w:lineRule="auto"/>
        <w:jc w:val="both"/>
        <w:rPr>
          <w:rFonts w:ascii="Times New Roman" w:eastAsia="Cambria" w:hAnsi="Times New Roman"/>
          <w:szCs w:val="24"/>
        </w:rPr>
      </w:pPr>
      <w:r w:rsidRPr="003567CF">
        <w:rPr>
          <w:rFonts w:ascii="Times New Roman" w:eastAsia="Cambria" w:hAnsi="Times New Roman"/>
          <w:szCs w:val="24"/>
        </w:rPr>
        <w:t xml:space="preserve">Surprisingly this decision was set aside </w:t>
      </w:r>
      <w:r w:rsidR="004E5504">
        <w:rPr>
          <w:rFonts w:ascii="Times New Roman" w:eastAsia="Cambria" w:hAnsi="Times New Roman"/>
          <w:szCs w:val="24"/>
        </w:rPr>
        <w:t>in</w:t>
      </w:r>
      <w:r w:rsidRPr="003567CF">
        <w:rPr>
          <w:rFonts w:ascii="Times New Roman" w:eastAsia="Cambria" w:hAnsi="Times New Roman"/>
          <w:szCs w:val="24"/>
        </w:rPr>
        <w:t xml:space="preserve"> the appeal brought by the defence.</w:t>
      </w:r>
      <w:r w:rsidRPr="003567CF">
        <w:rPr>
          <w:rFonts w:ascii="Times New Roman" w:eastAsia="Cambria" w:hAnsi="Times New Roman"/>
          <w:szCs w:val="24"/>
          <w:vertAlign w:val="superscript"/>
        </w:rPr>
        <w:footnoteReference w:id="467"/>
      </w:r>
      <w:r w:rsidRPr="003567CF">
        <w:rPr>
          <w:rFonts w:ascii="Times New Roman" w:eastAsia="Cambria" w:hAnsi="Times New Roman"/>
          <w:szCs w:val="24"/>
        </w:rPr>
        <w:t xml:space="preserve">The AC found </w:t>
      </w:r>
      <w:r w:rsidR="004E5504">
        <w:rPr>
          <w:rFonts w:ascii="Times New Roman" w:eastAsia="Cambria" w:hAnsi="Times New Roman"/>
          <w:szCs w:val="24"/>
        </w:rPr>
        <w:t xml:space="preserve">that application of </w:t>
      </w:r>
      <w:r w:rsidRPr="003567CF">
        <w:rPr>
          <w:rFonts w:ascii="Times New Roman" w:eastAsia="Cambria" w:hAnsi="Times New Roman"/>
          <w:szCs w:val="24"/>
        </w:rPr>
        <w:t>victim participation should be limited to victims of the situation or a case</w:t>
      </w:r>
      <w:r w:rsidR="004E5504">
        <w:rPr>
          <w:rFonts w:ascii="Times New Roman" w:eastAsia="Cambria" w:hAnsi="Times New Roman"/>
          <w:szCs w:val="24"/>
        </w:rPr>
        <w:t>.</w:t>
      </w:r>
      <w:r w:rsidRPr="003567CF">
        <w:rPr>
          <w:rFonts w:ascii="Times New Roman" w:eastAsia="Cambria" w:hAnsi="Times New Roman"/>
          <w:szCs w:val="24"/>
        </w:rPr>
        <w:t xml:space="preserve"> </w:t>
      </w:r>
      <w:r w:rsidR="004E5504">
        <w:rPr>
          <w:rFonts w:ascii="Times New Roman" w:eastAsia="Cambria" w:hAnsi="Times New Roman"/>
          <w:szCs w:val="24"/>
        </w:rPr>
        <w:t>R</w:t>
      </w:r>
      <w:r w:rsidRPr="003567CF">
        <w:rPr>
          <w:rFonts w:ascii="Times New Roman" w:eastAsia="Cambria" w:hAnsi="Times New Roman"/>
          <w:szCs w:val="24"/>
        </w:rPr>
        <w:t>ather than victims of any crime within the jurisdiction of the Court.</w:t>
      </w:r>
      <w:r>
        <w:rPr>
          <w:rFonts w:ascii="Times New Roman" w:eastAsia="Cambria" w:hAnsi="Times New Roman"/>
          <w:szCs w:val="24"/>
        </w:rPr>
        <w:t xml:space="preserve"> </w:t>
      </w:r>
      <w:r w:rsidR="00281F76">
        <w:rPr>
          <w:rFonts w:ascii="Times New Roman" w:eastAsia="Cambria" w:hAnsi="Times New Roman"/>
          <w:szCs w:val="24"/>
        </w:rPr>
        <w:t>The AC confirmed TC's decision</w:t>
      </w:r>
      <w:r w:rsidRPr="003567CF">
        <w:rPr>
          <w:rFonts w:ascii="Times New Roman" w:eastAsia="Cambria" w:hAnsi="Times New Roman"/>
          <w:szCs w:val="24"/>
        </w:rPr>
        <w:t xml:space="preserve"> to allow victim participants to submit evidence and </w:t>
      </w:r>
      <w:r w:rsidRPr="003567CF">
        <w:rPr>
          <w:rFonts w:ascii="Times New Roman" w:eastAsia="Cambria" w:hAnsi="Times New Roman"/>
          <w:szCs w:val="24"/>
        </w:rPr>
        <w:lastRenderedPageBreak/>
        <w:t>question witnesses.</w:t>
      </w:r>
      <w:r w:rsidRPr="003567CF">
        <w:rPr>
          <w:rFonts w:ascii="Times New Roman" w:eastAsia="Cambria" w:hAnsi="Times New Roman"/>
          <w:szCs w:val="24"/>
          <w:vertAlign w:val="superscript"/>
        </w:rPr>
        <w:footnoteReference w:id="468"/>
      </w:r>
      <w:r w:rsidRPr="003567CF">
        <w:rPr>
          <w:rFonts w:ascii="Times New Roman" w:eastAsia="Cambria" w:hAnsi="Times New Roman"/>
          <w:szCs w:val="24"/>
        </w:rPr>
        <w:t xml:space="preserve"> Judge Pikis, concurring with Judge Kirsch, stated that the Prosecutor and the accused as full parties to the case are the only parties with the rights to dispute the c</w:t>
      </w:r>
      <w:r w:rsidR="00281F76">
        <w:rPr>
          <w:rFonts w:ascii="Times New Roman" w:eastAsia="Cambria" w:hAnsi="Times New Roman"/>
          <w:szCs w:val="24"/>
        </w:rPr>
        <w:t>harges' content</w:t>
      </w:r>
      <w:r w:rsidRPr="003567CF">
        <w:rPr>
          <w:rFonts w:ascii="Times New Roman" w:eastAsia="Cambria" w:hAnsi="Times New Roman"/>
          <w:szCs w:val="24"/>
        </w:rPr>
        <w:t>.</w:t>
      </w:r>
      <w:r w:rsidRPr="003567CF">
        <w:rPr>
          <w:rFonts w:ascii="Times New Roman" w:eastAsia="Cambria" w:hAnsi="Times New Roman"/>
          <w:szCs w:val="24"/>
          <w:vertAlign w:val="superscript"/>
        </w:rPr>
        <w:footnoteReference w:id="469"/>
      </w:r>
      <w:r w:rsidRPr="003567CF">
        <w:rPr>
          <w:rFonts w:ascii="Times New Roman" w:eastAsia="Cambria" w:hAnsi="Times New Roman"/>
          <w:szCs w:val="24"/>
        </w:rPr>
        <w:t xml:space="preserve">In his words: </w:t>
      </w:r>
    </w:p>
    <w:p w14:paraId="2837EA68" w14:textId="0D77178D" w:rsidR="006C59E3" w:rsidRPr="00FE02AB" w:rsidRDefault="006C59E3" w:rsidP="006C59E3">
      <w:pPr>
        <w:pStyle w:val="Quote"/>
        <w:rPr>
          <w:rFonts w:ascii="Times New Roman" w:eastAsia="Cambria" w:hAnsi="Times New Roman"/>
          <w:i w:val="0"/>
        </w:rPr>
      </w:pPr>
      <w:r w:rsidRPr="003567CF">
        <w:rPr>
          <w:rStyle w:val="QuoteChar"/>
          <w:rFonts w:ascii="Times New Roman" w:eastAsia="Cambria" w:hAnsi="Times New Roman"/>
        </w:rPr>
        <w:t>“[</w:t>
      </w:r>
      <w:proofErr w:type="spellStart"/>
      <w:r w:rsidRPr="003567CF">
        <w:rPr>
          <w:rStyle w:val="QuoteChar"/>
          <w:rFonts w:ascii="Times New Roman" w:eastAsia="Cambria" w:hAnsi="Times New Roman"/>
        </w:rPr>
        <w:t>i</w:t>
      </w:r>
      <w:proofErr w:type="spellEnd"/>
      <w:r w:rsidRPr="003567CF">
        <w:rPr>
          <w:rStyle w:val="QuoteChar"/>
          <w:rFonts w:ascii="Times New Roman" w:eastAsia="Cambria" w:hAnsi="Times New Roman"/>
        </w:rPr>
        <w:t xml:space="preserve">]n an adversarial hearing the two sides are cast in the position of adversaries, in connection with the determination of the only issue raised before the Chamber, the guilt or innocence of the accused. The adversary of the accused is the Prosecutor and none other. The defendant cannot have more than one </w:t>
      </w:r>
      <w:r w:rsidRPr="003567CF">
        <w:rPr>
          <w:rFonts w:ascii="Times New Roman" w:eastAsia="Cambria" w:hAnsi="Times New Roman"/>
          <w:i w:val="0"/>
        </w:rPr>
        <w:t>accuser. It is not for the accused to prove his innocence. He is presumed to be innocent. The ultimate question is whether the Prosecution proved its case beyond</w:t>
      </w:r>
      <w:r>
        <w:rPr>
          <w:rFonts w:ascii="Times New Roman" w:eastAsia="Cambria" w:hAnsi="Times New Roman"/>
          <w:i w:val="0"/>
        </w:rPr>
        <w:t xml:space="preserve"> </w:t>
      </w:r>
      <w:r w:rsidR="004E5504">
        <w:rPr>
          <w:rFonts w:ascii="Times New Roman" w:eastAsia="Cambria" w:hAnsi="Times New Roman"/>
          <w:i w:val="0"/>
        </w:rPr>
        <w:t xml:space="preserve"> </w:t>
      </w:r>
      <w:r w:rsidRPr="003567CF">
        <w:rPr>
          <w:rFonts w:ascii="Times New Roman" w:eastAsia="Cambria" w:hAnsi="Times New Roman"/>
          <w:i w:val="0"/>
        </w:rPr>
        <w:t>reasonable doubt</w:t>
      </w:r>
      <w:r w:rsidRPr="0043694C">
        <w:rPr>
          <w:rFonts w:ascii="Times New Roman" w:eastAsia="Cambria" w:hAnsi="Times New Roman"/>
        </w:rPr>
        <w:t>.”</w:t>
      </w:r>
      <w:r w:rsidRPr="0043694C">
        <w:rPr>
          <w:rFonts w:ascii="Times New Roman" w:eastAsia="Cambria" w:hAnsi="Times New Roman"/>
          <w:vertAlign w:val="superscript"/>
        </w:rPr>
        <w:footnoteReference w:id="470"/>
      </w:r>
    </w:p>
    <w:p w14:paraId="04284D36" w14:textId="77777777" w:rsidR="006C59E3" w:rsidRPr="0089377A" w:rsidRDefault="006C59E3" w:rsidP="006C59E3">
      <w:pPr>
        <w:spacing w:after="0" w:line="480" w:lineRule="auto"/>
        <w:jc w:val="both"/>
        <w:rPr>
          <w:rFonts w:ascii="Times New Roman" w:eastAsia="Cambria" w:hAnsi="Times New Roman"/>
          <w:szCs w:val="24"/>
        </w:rPr>
      </w:pPr>
    </w:p>
    <w:p w14:paraId="1926B14A" w14:textId="07716410" w:rsidR="006C59E3" w:rsidRDefault="006C59E3" w:rsidP="006C59E3">
      <w:pPr>
        <w:spacing w:after="0" w:line="480" w:lineRule="auto"/>
        <w:jc w:val="both"/>
        <w:rPr>
          <w:rFonts w:ascii="Times New Roman" w:eastAsia="Cambria" w:hAnsi="Times New Roman"/>
          <w:szCs w:val="24"/>
        </w:rPr>
      </w:pPr>
      <w:r w:rsidRPr="00502587">
        <w:rPr>
          <w:rFonts w:ascii="Times New Roman" w:eastAsia="Cambria" w:hAnsi="Times New Roman"/>
          <w:szCs w:val="24"/>
        </w:rPr>
        <w:t>Judge Pikis’ opinion draws our attention to the nature of adversarial proceedings and its requirements.</w:t>
      </w:r>
      <w:r>
        <w:rPr>
          <w:rFonts w:ascii="Times New Roman" w:eastAsia="Cambria" w:hAnsi="Times New Roman"/>
          <w:szCs w:val="24"/>
        </w:rPr>
        <w:t xml:space="preserve"> </w:t>
      </w:r>
      <w:r w:rsidRPr="00502587">
        <w:rPr>
          <w:rFonts w:ascii="Times New Roman" w:eastAsia="Cambria" w:hAnsi="Times New Roman"/>
          <w:szCs w:val="24"/>
        </w:rPr>
        <w:t>The emphasis</w:t>
      </w:r>
      <w:r w:rsidR="00281F76">
        <w:rPr>
          <w:rFonts w:ascii="Times New Roman" w:eastAsia="Cambria" w:hAnsi="Times New Roman"/>
          <w:szCs w:val="24"/>
        </w:rPr>
        <w:t xml:space="preserve"> on disrupting the equality of arms if victims were permitted to tender evidence in the determination of truth explains that an extended role for victims could prejudice the </w:t>
      </w:r>
      <w:r w:rsidR="007D7DBC">
        <w:rPr>
          <w:rFonts w:ascii="Times New Roman" w:eastAsia="Cambria" w:hAnsi="Times New Roman"/>
          <w:szCs w:val="24"/>
        </w:rPr>
        <w:t>accused's rights</w:t>
      </w:r>
      <w:r w:rsidRPr="00502587">
        <w:rPr>
          <w:rFonts w:ascii="Times New Roman" w:eastAsia="Cambria" w:hAnsi="Times New Roman"/>
          <w:szCs w:val="24"/>
        </w:rPr>
        <w:t xml:space="preserve"> as he is supposedly against two accusers.</w:t>
      </w:r>
    </w:p>
    <w:p w14:paraId="0DB178FD" w14:textId="77777777" w:rsidR="000E1E20" w:rsidRPr="00502587" w:rsidRDefault="000E1E20" w:rsidP="006C59E3">
      <w:pPr>
        <w:spacing w:after="0" w:line="480" w:lineRule="auto"/>
        <w:jc w:val="both"/>
        <w:rPr>
          <w:rFonts w:ascii="Times New Roman" w:eastAsia="Cambria" w:hAnsi="Times New Roman"/>
          <w:szCs w:val="24"/>
        </w:rPr>
      </w:pPr>
    </w:p>
    <w:p w14:paraId="4B2C3140" w14:textId="59BA95BC" w:rsidR="00E71D9A" w:rsidRDefault="00E71D9A" w:rsidP="00CF5550">
      <w:pPr>
        <w:spacing w:after="0" w:line="480" w:lineRule="auto"/>
        <w:jc w:val="both"/>
        <w:rPr>
          <w:rFonts w:ascii="Times New Roman" w:hAnsi="Times New Roman"/>
          <w:szCs w:val="24"/>
        </w:rPr>
      </w:pPr>
      <w:proofErr w:type="spellStart"/>
      <w:r>
        <w:rPr>
          <w:rFonts w:ascii="Times New Roman" w:hAnsi="Times New Roman"/>
          <w:szCs w:val="24"/>
        </w:rPr>
        <w:t>Stahn</w:t>
      </w:r>
      <w:proofErr w:type="spellEnd"/>
      <w:r>
        <w:rPr>
          <w:rFonts w:ascii="Times New Roman" w:hAnsi="Times New Roman"/>
          <w:szCs w:val="24"/>
        </w:rPr>
        <w:t xml:space="preserve"> and </w:t>
      </w:r>
      <w:proofErr w:type="spellStart"/>
      <w:r>
        <w:rPr>
          <w:rFonts w:ascii="Times New Roman" w:hAnsi="Times New Roman"/>
          <w:szCs w:val="24"/>
        </w:rPr>
        <w:t>Olasolo</w:t>
      </w:r>
      <w:proofErr w:type="spellEnd"/>
      <w:r>
        <w:rPr>
          <w:rFonts w:ascii="Times New Roman" w:hAnsi="Times New Roman"/>
          <w:szCs w:val="24"/>
        </w:rPr>
        <w:t xml:space="preserve"> opine</w:t>
      </w:r>
      <w:r w:rsidRPr="00E71D9A">
        <w:rPr>
          <w:rFonts w:ascii="Times New Roman" w:hAnsi="Times New Roman"/>
          <w:szCs w:val="24"/>
        </w:rPr>
        <w:t xml:space="preserve"> </w:t>
      </w:r>
      <w:r>
        <w:rPr>
          <w:rFonts w:ascii="Times New Roman" w:hAnsi="Times New Roman"/>
          <w:szCs w:val="24"/>
        </w:rPr>
        <w:t>that victims role commences before the case phase.</w:t>
      </w:r>
      <w:r>
        <w:rPr>
          <w:rStyle w:val="FootnoteReference"/>
          <w:rFonts w:ascii="Times New Roman" w:hAnsi="Times New Roman"/>
          <w:szCs w:val="24"/>
        </w:rPr>
        <w:footnoteReference w:id="471"/>
      </w:r>
      <w:r>
        <w:rPr>
          <w:rFonts w:ascii="Times New Roman" w:hAnsi="Times New Roman"/>
          <w:szCs w:val="24"/>
        </w:rPr>
        <w:t xml:space="preserve"> Nevertheless, </w:t>
      </w:r>
      <w:r w:rsidR="004D773C">
        <w:rPr>
          <w:rFonts w:ascii="Times New Roman" w:hAnsi="Times New Roman"/>
          <w:szCs w:val="24"/>
        </w:rPr>
        <w:t xml:space="preserve">some interpretation of the provisions could compound the </w:t>
      </w:r>
      <w:r>
        <w:rPr>
          <w:rFonts w:ascii="Times New Roman" w:hAnsi="Times New Roman"/>
          <w:szCs w:val="24"/>
        </w:rPr>
        <w:t xml:space="preserve">role of victims </w:t>
      </w:r>
      <w:r>
        <w:rPr>
          <w:rFonts w:ascii="Times New Roman" w:hAnsi="Times New Roman"/>
          <w:szCs w:val="24"/>
        </w:rPr>
        <w:lastRenderedPageBreak/>
        <w:t>during the pre-trial phase.</w:t>
      </w:r>
      <w:r>
        <w:rPr>
          <w:rStyle w:val="FootnoteReference"/>
          <w:rFonts w:ascii="Times New Roman" w:hAnsi="Times New Roman"/>
          <w:szCs w:val="24"/>
        </w:rPr>
        <w:footnoteReference w:id="472"/>
      </w:r>
      <w:r w:rsidR="000539A7">
        <w:rPr>
          <w:rFonts w:ascii="Times New Roman" w:hAnsi="Times New Roman"/>
          <w:szCs w:val="24"/>
        </w:rPr>
        <w:t>These ambiguities make the determination of the scope of victim participation challenging for this phase.</w:t>
      </w:r>
      <w:r w:rsidR="000539A7">
        <w:rPr>
          <w:rStyle w:val="FootnoteReference"/>
          <w:rFonts w:ascii="Times New Roman" w:hAnsi="Times New Roman"/>
          <w:szCs w:val="24"/>
        </w:rPr>
        <w:footnoteReference w:id="473"/>
      </w:r>
      <w:r w:rsidR="000539A7">
        <w:rPr>
          <w:rFonts w:ascii="Times New Roman" w:hAnsi="Times New Roman"/>
          <w:szCs w:val="24"/>
        </w:rPr>
        <w:t xml:space="preserve"> The inconsistencies in the chambers’ rules reiterate the unsettled position of victims’ role before and during the investigations. It is recommended that victims should be granted participatory rights during investigations and pre-trial because this phase affects victims’ interests.</w:t>
      </w:r>
    </w:p>
    <w:p w14:paraId="164C4F1A" w14:textId="2BDC81B9" w:rsidR="00D95561" w:rsidRDefault="00D95561" w:rsidP="00CF5550">
      <w:pPr>
        <w:spacing w:after="0" w:line="480" w:lineRule="auto"/>
        <w:jc w:val="both"/>
        <w:rPr>
          <w:rFonts w:ascii="Times New Roman" w:hAnsi="Times New Roman"/>
          <w:szCs w:val="24"/>
        </w:rPr>
      </w:pPr>
    </w:p>
    <w:p w14:paraId="6A0F9F30" w14:textId="1BC5618D" w:rsidR="00CF5550" w:rsidRDefault="00D711D0" w:rsidP="00CF5550">
      <w:pPr>
        <w:spacing w:after="0" w:line="480" w:lineRule="auto"/>
        <w:jc w:val="both"/>
        <w:rPr>
          <w:rFonts w:ascii="Times New Roman" w:hAnsi="Times New Roman"/>
          <w:szCs w:val="24"/>
        </w:rPr>
      </w:pPr>
      <w:r>
        <w:rPr>
          <w:rFonts w:ascii="Times New Roman" w:hAnsi="Times New Roman"/>
          <w:szCs w:val="24"/>
        </w:rPr>
        <w:t xml:space="preserve">In the initial years, the victim participation regime has been described as ‘unworkable’ for the victims because </w:t>
      </w:r>
      <w:r w:rsidR="00D95561">
        <w:rPr>
          <w:rFonts w:ascii="Times New Roman" w:hAnsi="Times New Roman"/>
          <w:szCs w:val="24"/>
        </w:rPr>
        <w:t>judicial decisions were made based on concession rather than rights enshrined in the Rome Statute.</w:t>
      </w:r>
      <w:r w:rsidR="00D95561">
        <w:rPr>
          <w:rStyle w:val="FootnoteReference"/>
          <w:rFonts w:ascii="Times New Roman" w:hAnsi="Times New Roman"/>
          <w:szCs w:val="24"/>
        </w:rPr>
        <w:footnoteReference w:id="474"/>
      </w:r>
      <w:r>
        <w:rPr>
          <w:rFonts w:ascii="Times New Roman" w:hAnsi="Times New Roman"/>
          <w:szCs w:val="24"/>
        </w:rPr>
        <w:t xml:space="preserve"> Chung</w:t>
      </w:r>
      <w:r w:rsidR="00D95561">
        <w:rPr>
          <w:rFonts w:ascii="Times New Roman" w:hAnsi="Times New Roman"/>
          <w:szCs w:val="24"/>
        </w:rPr>
        <w:t xml:space="preserve"> argued that this approach ignores the compromises made at the Rome negotiations-an approach</w:t>
      </w:r>
      <w:r w:rsidR="00157BCC">
        <w:rPr>
          <w:rFonts w:ascii="Times New Roman" w:hAnsi="Times New Roman"/>
          <w:szCs w:val="24"/>
        </w:rPr>
        <w:t>,</w:t>
      </w:r>
      <w:r w:rsidR="00D95561">
        <w:rPr>
          <w:rFonts w:ascii="Times New Roman" w:hAnsi="Times New Roman"/>
          <w:szCs w:val="24"/>
        </w:rPr>
        <w:t xml:space="preserve"> which defeat the mandate of prosecuting the perpetrators of grave crimes.</w:t>
      </w:r>
      <w:r w:rsidR="004D773C">
        <w:rPr>
          <w:rStyle w:val="FootnoteReference"/>
          <w:rFonts w:ascii="Times New Roman" w:hAnsi="Times New Roman"/>
          <w:szCs w:val="24"/>
        </w:rPr>
        <w:footnoteReference w:id="475"/>
      </w:r>
      <w:r w:rsidR="004D773C">
        <w:rPr>
          <w:rFonts w:ascii="Times New Roman" w:hAnsi="Times New Roman"/>
          <w:szCs w:val="24"/>
        </w:rPr>
        <w:t>In the interpretation of victims participation, we should always keep in mind the ICC mandate.</w:t>
      </w:r>
    </w:p>
    <w:p w14:paraId="7E3C0CE6" w14:textId="5F33297E" w:rsidR="00D711D0" w:rsidRDefault="00D711D0" w:rsidP="00CF5550">
      <w:pPr>
        <w:spacing w:after="0" w:line="480" w:lineRule="auto"/>
        <w:jc w:val="both"/>
        <w:rPr>
          <w:rFonts w:ascii="Times New Roman" w:hAnsi="Times New Roman"/>
          <w:szCs w:val="24"/>
        </w:rPr>
      </w:pPr>
    </w:p>
    <w:p w14:paraId="48CBC015" w14:textId="446EADB6" w:rsidR="00D711D0" w:rsidRDefault="00D711D0" w:rsidP="00CF5550">
      <w:pPr>
        <w:spacing w:after="0" w:line="480" w:lineRule="auto"/>
        <w:jc w:val="both"/>
        <w:rPr>
          <w:rFonts w:ascii="Times New Roman" w:hAnsi="Times New Roman"/>
          <w:szCs w:val="24"/>
        </w:rPr>
      </w:pPr>
      <w:r>
        <w:rPr>
          <w:rFonts w:ascii="Times New Roman" w:hAnsi="Times New Roman"/>
          <w:szCs w:val="24"/>
        </w:rPr>
        <w:t>Perhaps the judges struggle with ascertaining the limits of the regime. Consequently, some judges may exceed the judicial role in a bid to exude the intention of the Statute and Regulations. Differing interpretations might connote judicial orientations or judicial activism. Thus, inconsistent rulings and decisions from the chambers mirror varying comprehension of the victim participation regime.</w:t>
      </w:r>
    </w:p>
    <w:p w14:paraId="4D5F28A0" w14:textId="77777777" w:rsidR="00157BCC" w:rsidRDefault="00157BCC" w:rsidP="00CF5550">
      <w:pPr>
        <w:spacing w:after="0" w:line="480" w:lineRule="auto"/>
        <w:jc w:val="both"/>
        <w:rPr>
          <w:rFonts w:ascii="Times New Roman" w:hAnsi="Times New Roman"/>
          <w:szCs w:val="24"/>
        </w:rPr>
      </w:pPr>
    </w:p>
    <w:p w14:paraId="745AE175" w14:textId="749A2C12" w:rsidR="00CF5550" w:rsidRPr="00815E20" w:rsidRDefault="00D711D0" w:rsidP="00CF5550">
      <w:pPr>
        <w:spacing w:after="0" w:line="480" w:lineRule="auto"/>
        <w:jc w:val="both"/>
        <w:rPr>
          <w:rFonts w:ascii="Times New Roman" w:eastAsia="Cambria" w:hAnsi="Times New Roman"/>
          <w:b/>
          <w:bCs/>
          <w:szCs w:val="24"/>
          <w:lang w:eastAsia="ja-JP"/>
        </w:rPr>
      </w:pPr>
      <w:r>
        <w:rPr>
          <w:rFonts w:ascii="Times New Roman" w:eastAsia="Cambria" w:hAnsi="Times New Roman"/>
          <w:szCs w:val="24"/>
          <w:lang w:eastAsia="ja-JP"/>
        </w:rPr>
        <w:lastRenderedPageBreak/>
        <w:t xml:space="preserve">That said, </w:t>
      </w:r>
      <w:r w:rsidR="00281F76">
        <w:rPr>
          <w:rFonts w:ascii="Times New Roman" w:eastAsia="Cambria" w:hAnsi="Times New Roman"/>
          <w:szCs w:val="24"/>
          <w:lang w:eastAsia="ja-JP"/>
        </w:rPr>
        <w:t>victims' procedural status emerges a set of procedural rights that ensure</w:t>
      </w:r>
      <w:r w:rsidR="00CF5550" w:rsidRPr="006E622A">
        <w:rPr>
          <w:rFonts w:ascii="Times New Roman" w:eastAsia="Cambria" w:hAnsi="Times New Roman"/>
          <w:szCs w:val="24"/>
          <w:lang w:eastAsia="ja-JP"/>
        </w:rPr>
        <w:t xml:space="preserve"> victims </w:t>
      </w:r>
      <w:r w:rsidR="004D773C">
        <w:rPr>
          <w:rFonts w:ascii="Times New Roman" w:eastAsia="Cambria" w:hAnsi="Times New Roman"/>
          <w:szCs w:val="24"/>
          <w:lang w:eastAsia="ja-JP"/>
        </w:rPr>
        <w:t>can</w:t>
      </w:r>
      <w:r w:rsidR="00CF5550" w:rsidRPr="006E622A">
        <w:rPr>
          <w:rFonts w:ascii="Times New Roman" w:eastAsia="Cambria" w:hAnsi="Times New Roman"/>
          <w:szCs w:val="24"/>
          <w:lang w:eastAsia="ja-JP"/>
        </w:rPr>
        <w:t xml:space="preserve"> participate and put forward their interests. These procedur</w:t>
      </w:r>
      <w:r w:rsidR="00CF5550">
        <w:rPr>
          <w:rFonts w:ascii="Times New Roman" w:eastAsia="Cambria" w:hAnsi="Times New Roman"/>
          <w:szCs w:val="24"/>
          <w:lang w:eastAsia="ja-JP"/>
        </w:rPr>
        <w:t>al rights encompass the pathway which</w:t>
      </w:r>
      <w:r w:rsidR="00CF5550" w:rsidRPr="006E622A">
        <w:rPr>
          <w:rFonts w:ascii="Times New Roman" w:eastAsia="Cambria" w:hAnsi="Times New Roman"/>
          <w:szCs w:val="24"/>
          <w:lang w:eastAsia="ja-JP"/>
        </w:rPr>
        <w:t xml:space="preserve"> enables them to fight for substantive claims.</w:t>
      </w:r>
      <w:r w:rsidR="00CF5550">
        <w:rPr>
          <w:rFonts w:ascii="Times New Roman" w:eastAsia="Cambria" w:hAnsi="Times New Roman"/>
          <w:szCs w:val="24"/>
          <w:lang w:eastAsia="ja-JP"/>
        </w:rPr>
        <w:t xml:space="preserve"> </w:t>
      </w:r>
      <w:r w:rsidR="00CF5550" w:rsidRPr="006E622A">
        <w:rPr>
          <w:rFonts w:ascii="Times New Roman" w:eastAsia="Cambria" w:hAnsi="Times New Roman"/>
          <w:szCs w:val="24"/>
          <w:lang w:eastAsia="ja-JP"/>
        </w:rPr>
        <w:t>The participation comes in different forms, which is also called modalities of participation.</w:t>
      </w:r>
      <w:r w:rsidR="00270305">
        <w:rPr>
          <w:rFonts w:ascii="Times New Roman" w:eastAsia="Cambria" w:hAnsi="Times New Roman"/>
          <w:szCs w:val="24"/>
          <w:lang w:eastAsia="ja-JP"/>
        </w:rPr>
        <w:t xml:space="preserve"> It falls within the volition of the Chamber to determine. The subsequent section will discuss the findings.</w:t>
      </w:r>
    </w:p>
    <w:p w14:paraId="5D882A5B" w14:textId="77777777" w:rsidR="00CF5550" w:rsidRDefault="00CF5550" w:rsidP="00CF5550">
      <w:pPr>
        <w:spacing w:after="0" w:line="480" w:lineRule="auto"/>
        <w:jc w:val="both"/>
        <w:rPr>
          <w:rFonts w:ascii="Times New Roman" w:eastAsia="Cambria" w:hAnsi="Times New Roman"/>
          <w:szCs w:val="24"/>
          <w:lang w:eastAsia="ja-JP"/>
        </w:rPr>
      </w:pPr>
    </w:p>
    <w:p w14:paraId="3B79BA3D" w14:textId="77777777" w:rsidR="00AA19D6" w:rsidRDefault="00975263" w:rsidP="00A44B61">
      <w:pPr>
        <w:pStyle w:val="Heading2"/>
      </w:pPr>
      <w:bookmarkStart w:id="31" w:name="_Toc60235809"/>
      <w:r>
        <w:t>2.8</w:t>
      </w:r>
      <w:r w:rsidR="00EC1CA1">
        <w:t xml:space="preserve"> Discussing findings</w:t>
      </w:r>
      <w:bookmarkEnd w:id="31"/>
    </w:p>
    <w:p w14:paraId="47EA940C" w14:textId="4E009748" w:rsidR="00A61D16" w:rsidRDefault="00AA19D6" w:rsidP="006C7534">
      <w:pPr>
        <w:spacing w:line="480" w:lineRule="auto"/>
        <w:jc w:val="both"/>
        <w:rPr>
          <w:rFonts w:ascii="Times New Roman" w:hAnsi="Times New Roman"/>
        </w:rPr>
      </w:pPr>
      <w:r w:rsidRPr="004D5821">
        <w:rPr>
          <w:rFonts w:ascii="Times New Roman" w:hAnsi="Times New Roman"/>
        </w:rPr>
        <w:t xml:space="preserve">This chapter set out </w:t>
      </w:r>
      <w:r w:rsidR="0036403E">
        <w:rPr>
          <w:rFonts w:ascii="Times New Roman" w:hAnsi="Times New Roman"/>
        </w:rPr>
        <w:t>to assess</w:t>
      </w:r>
      <w:r w:rsidRPr="004D5821">
        <w:rPr>
          <w:rFonts w:ascii="Times New Roman" w:hAnsi="Times New Roman"/>
        </w:rPr>
        <w:t xml:space="preserve"> the impact of prosecutorial</w:t>
      </w:r>
      <w:r w:rsidR="00792B15">
        <w:rPr>
          <w:rFonts w:ascii="Times New Roman" w:hAnsi="Times New Roman"/>
        </w:rPr>
        <w:t xml:space="preserve"> discretion on victims’ </w:t>
      </w:r>
      <w:r w:rsidRPr="004D5821">
        <w:rPr>
          <w:rFonts w:ascii="Times New Roman" w:hAnsi="Times New Roman"/>
        </w:rPr>
        <w:t xml:space="preserve"> rights</w:t>
      </w:r>
      <w:r w:rsidR="00792B15">
        <w:rPr>
          <w:rFonts w:ascii="Times New Roman" w:hAnsi="Times New Roman"/>
        </w:rPr>
        <w:t xml:space="preserve"> and interests</w:t>
      </w:r>
      <w:r w:rsidRPr="004D5821">
        <w:rPr>
          <w:rFonts w:ascii="Times New Roman" w:hAnsi="Times New Roman"/>
        </w:rPr>
        <w:t>.</w:t>
      </w:r>
      <w:r w:rsidR="00923452">
        <w:rPr>
          <w:rFonts w:ascii="Times New Roman" w:hAnsi="Times New Roman"/>
        </w:rPr>
        <w:t xml:space="preserve"> </w:t>
      </w:r>
      <w:r w:rsidR="006109E9">
        <w:rPr>
          <w:rFonts w:ascii="Times New Roman" w:hAnsi="Times New Roman"/>
        </w:rPr>
        <w:t xml:space="preserve">As mentioned in the literature review, broad prosecutorial </w:t>
      </w:r>
      <w:r w:rsidR="00D065C8">
        <w:rPr>
          <w:rFonts w:ascii="Times New Roman" w:hAnsi="Times New Roman"/>
        </w:rPr>
        <w:t>discretion may preclude</w:t>
      </w:r>
      <w:r w:rsidR="006109E9">
        <w:rPr>
          <w:rFonts w:ascii="Times New Roman" w:hAnsi="Times New Roman"/>
        </w:rPr>
        <w:t xml:space="preserve"> victims’ right to remedy.</w:t>
      </w:r>
      <w:r w:rsidR="006109E9">
        <w:rPr>
          <w:rStyle w:val="FootnoteReference"/>
          <w:rFonts w:ascii="Times New Roman" w:hAnsi="Times New Roman"/>
        </w:rPr>
        <w:footnoteReference w:id="476"/>
      </w:r>
      <w:r w:rsidR="00975263" w:rsidRPr="004D5821">
        <w:rPr>
          <w:rFonts w:ascii="Times New Roman" w:hAnsi="Times New Roman"/>
        </w:rPr>
        <w:t xml:space="preserve"> </w:t>
      </w:r>
      <w:r w:rsidR="00994085">
        <w:rPr>
          <w:rFonts w:ascii="Times New Roman" w:hAnsi="Times New Roman"/>
        </w:rPr>
        <w:t>The</w:t>
      </w:r>
      <w:r w:rsidR="00D065C8">
        <w:rPr>
          <w:rFonts w:ascii="Times New Roman" w:hAnsi="Times New Roman"/>
        </w:rPr>
        <w:t xml:space="preserve"> exercise of broad prosecutorial discretion starts from the preliminary </w:t>
      </w:r>
      <w:r w:rsidR="00994085">
        <w:rPr>
          <w:rFonts w:ascii="Times New Roman" w:hAnsi="Times New Roman"/>
        </w:rPr>
        <w:t>and investigation phase</w:t>
      </w:r>
      <w:r w:rsidR="00D065C8">
        <w:rPr>
          <w:rFonts w:ascii="Times New Roman" w:hAnsi="Times New Roman"/>
        </w:rPr>
        <w:t xml:space="preserve"> to prosecution</w:t>
      </w:r>
      <w:r w:rsidR="00994085">
        <w:rPr>
          <w:rFonts w:ascii="Times New Roman" w:hAnsi="Times New Roman"/>
        </w:rPr>
        <w:t xml:space="preserve">. Therefore, </w:t>
      </w:r>
      <w:r w:rsidR="00923452">
        <w:rPr>
          <w:rFonts w:ascii="Times New Roman" w:hAnsi="Times New Roman"/>
        </w:rPr>
        <w:t xml:space="preserve"> </w:t>
      </w:r>
      <w:r w:rsidR="00D065C8">
        <w:rPr>
          <w:rFonts w:ascii="Times New Roman" w:hAnsi="Times New Roman"/>
        </w:rPr>
        <w:t xml:space="preserve">the effects of prosecutorial discretion </w:t>
      </w:r>
      <w:r w:rsidR="00994085">
        <w:rPr>
          <w:rFonts w:ascii="Times New Roman" w:hAnsi="Times New Roman"/>
        </w:rPr>
        <w:t>transcend</w:t>
      </w:r>
      <w:r w:rsidR="00D065C8">
        <w:rPr>
          <w:rFonts w:ascii="Times New Roman" w:hAnsi="Times New Roman"/>
        </w:rPr>
        <w:t xml:space="preserve"> these phases</w:t>
      </w:r>
      <w:r w:rsidR="00994085">
        <w:rPr>
          <w:rFonts w:ascii="Times New Roman" w:hAnsi="Times New Roman"/>
        </w:rPr>
        <w:t xml:space="preserve"> to the trial. </w:t>
      </w:r>
      <w:r w:rsidR="00D065C8">
        <w:rPr>
          <w:rFonts w:ascii="Times New Roman" w:hAnsi="Times New Roman"/>
        </w:rPr>
        <w:t xml:space="preserve">The prosecutor has the discretion to select </w:t>
      </w:r>
      <w:r w:rsidR="00923452">
        <w:rPr>
          <w:rFonts w:ascii="Times New Roman" w:hAnsi="Times New Roman"/>
        </w:rPr>
        <w:t xml:space="preserve">a </w:t>
      </w:r>
      <w:r w:rsidR="00D065C8">
        <w:rPr>
          <w:rFonts w:ascii="Times New Roman" w:hAnsi="Times New Roman"/>
        </w:rPr>
        <w:t xml:space="preserve">situation for investigations and also select </w:t>
      </w:r>
      <w:r w:rsidR="00EE13C5">
        <w:rPr>
          <w:rFonts w:ascii="Times New Roman" w:hAnsi="Times New Roman"/>
        </w:rPr>
        <w:t xml:space="preserve">potential </w:t>
      </w:r>
      <w:r w:rsidR="00D065C8">
        <w:rPr>
          <w:rFonts w:ascii="Times New Roman" w:hAnsi="Times New Roman"/>
        </w:rPr>
        <w:t>cases from situations.</w:t>
      </w:r>
      <w:r w:rsidR="00994085">
        <w:rPr>
          <w:rFonts w:ascii="Times New Roman" w:hAnsi="Times New Roman"/>
        </w:rPr>
        <w:t xml:space="preserve"> </w:t>
      </w:r>
      <w:r w:rsidR="00C22CA7">
        <w:rPr>
          <w:rFonts w:ascii="Times New Roman" w:hAnsi="Times New Roman"/>
        </w:rPr>
        <w:t>The impact of prosecutorial discretion is shown in alleged crimes the prosecutor chose to investigate a</w:t>
      </w:r>
      <w:r w:rsidR="0036403E">
        <w:rPr>
          <w:rFonts w:ascii="Times New Roman" w:hAnsi="Times New Roman"/>
        </w:rPr>
        <w:t>nd</w:t>
      </w:r>
      <w:r w:rsidR="00C22CA7">
        <w:rPr>
          <w:rFonts w:ascii="Times New Roman" w:hAnsi="Times New Roman"/>
        </w:rPr>
        <w:t xml:space="preserve"> the charges contained in the charging document.</w:t>
      </w:r>
      <w:r w:rsidR="00923452">
        <w:rPr>
          <w:rFonts w:ascii="Times New Roman" w:hAnsi="Times New Roman"/>
        </w:rPr>
        <w:t xml:space="preserve"> </w:t>
      </w:r>
      <w:r w:rsidR="00A61D16">
        <w:rPr>
          <w:rFonts w:ascii="Times New Roman" w:hAnsi="Times New Roman"/>
        </w:rPr>
        <w:t>For the Lubanga case, the Prosecutor restricted the charges to the conscription and enlistment of children under 15 years and</w:t>
      </w:r>
      <w:r w:rsidR="00A11652">
        <w:rPr>
          <w:rFonts w:ascii="Times New Roman" w:hAnsi="Times New Roman"/>
        </w:rPr>
        <w:t xml:space="preserve"> used</w:t>
      </w:r>
      <w:r w:rsidR="00A61D16">
        <w:rPr>
          <w:rFonts w:ascii="Times New Roman" w:hAnsi="Times New Roman"/>
        </w:rPr>
        <w:t xml:space="preserve"> them to participate actively in hostilities.</w:t>
      </w:r>
      <w:r w:rsidR="00C06F1F">
        <w:rPr>
          <w:rFonts w:ascii="Times New Roman" w:hAnsi="Times New Roman"/>
        </w:rPr>
        <w:t xml:space="preserve"> </w:t>
      </w:r>
    </w:p>
    <w:p w14:paraId="110EDD01" w14:textId="78DF86F0" w:rsidR="00994085" w:rsidRPr="0090470D" w:rsidRDefault="00A61D16" w:rsidP="00994085">
      <w:pPr>
        <w:spacing w:line="480" w:lineRule="auto"/>
        <w:jc w:val="both"/>
        <w:rPr>
          <w:rFonts w:ascii="Times New Roman" w:hAnsi="Times New Roman"/>
          <w:szCs w:val="24"/>
        </w:rPr>
      </w:pPr>
      <w:r>
        <w:rPr>
          <w:rFonts w:ascii="Times New Roman" w:hAnsi="Times New Roman"/>
        </w:rPr>
        <w:lastRenderedPageBreak/>
        <w:t xml:space="preserve">While it is found that the PTC </w:t>
      </w:r>
      <w:r w:rsidR="00FF2314">
        <w:rPr>
          <w:rFonts w:ascii="Times New Roman" w:hAnsi="Times New Roman"/>
        </w:rPr>
        <w:t>can check the decision of the prosecutor not to prosecute</w:t>
      </w:r>
      <w:r w:rsidR="00AE6629">
        <w:rPr>
          <w:rFonts w:ascii="Times New Roman" w:hAnsi="Times New Roman"/>
        </w:rPr>
        <w:t>, t</w:t>
      </w:r>
      <w:r w:rsidR="00FF2314">
        <w:rPr>
          <w:rFonts w:ascii="Times New Roman" w:hAnsi="Times New Roman"/>
        </w:rPr>
        <w:t>h</w:t>
      </w:r>
      <w:r w:rsidR="00AE6629">
        <w:rPr>
          <w:rFonts w:ascii="Times New Roman" w:hAnsi="Times New Roman"/>
        </w:rPr>
        <w:t>e check</w:t>
      </w:r>
      <w:r w:rsidR="00FF2314">
        <w:rPr>
          <w:rFonts w:ascii="Times New Roman" w:hAnsi="Times New Roman"/>
        </w:rPr>
        <w:t xml:space="preserve"> is mainly in terms of judicial review</w:t>
      </w:r>
      <w:r w:rsidR="00994085">
        <w:rPr>
          <w:rFonts w:ascii="Times New Roman" w:hAnsi="Times New Roman"/>
        </w:rPr>
        <w:t>. The Prosecutor is empowered to frame charges which will be subject to confirmation by the PTC. It is within the exclusive power of the prosecutor to draft charges. Nevertheless, contention arises as to the power of the Prosecutor concerning the modification and amendment of charges</w:t>
      </w:r>
      <w:r w:rsidR="00994085" w:rsidRPr="004D5821">
        <w:rPr>
          <w:rFonts w:ascii="Times New Roman" w:hAnsi="Times New Roman"/>
        </w:rPr>
        <w:t>.</w:t>
      </w:r>
      <w:r w:rsidR="00994085">
        <w:rPr>
          <w:rFonts w:ascii="Times New Roman" w:hAnsi="Times New Roman"/>
        </w:rPr>
        <w:t xml:space="preserve"> Surprisingly, the Katanga and Lubanga cases delivered divergent rulings on the p</w:t>
      </w:r>
      <w:r w:rsidR="0036403E">
        <w:rPr>
          <w:rFonts w:ascii="Times New Roman" w:hAnsi="Times New Roman"/>
        </w:rPr>
        <w:t>rosecutor's powers</w:t>
      </w:r>
      <w:r w:rsidR="00994085">
        <w:rPr>
          <w:rFonts w:ascii="Times New Roman" w:hAnsi="Times New Roman"/>
        </w:rPr>
        <w:t xml:space="preserve"> regarding the </w:t>
      </w:r>
      <w:r w:rsidR="0036403E">
        <w:rPr>
          <w:rFonts w:ascii="Times New Roman" w:hAnsi="Times New Roman"/>
        </w:rPr>
        <w:t>revis</w:t>
      </w:r>
      <w:r w:rsidR="00994085">
        <w:rPr>
          <w:rFonts w:ascii="Times New Roman" w:hAnsi="Times New Roman"/>
        </w:rPr>
        <w:t>ion or amendment of charges.</w:t>
      </w:r>
      <w:r w:rsidR="00994085" w:rsidRPr="00994085">
        <w:rPr>
          <w:rFonts w:ascii="Times New Roman" w:hAnsi="Times New Roman"/>
          <w:szCs w:val="24"/>
        </w:rPr>
        <w:t xml:space="preserve"> </w:t>
      </w:r>
      <w:r w:rsidR="00994085">
        <w:rPr>
          <w:rFonts w:ascii="Times New Roman" w:hAnsi="Times New Roman"/>
          <w:szCs w:val="24"/>
        </w:rPr>
        <w:t xml:space="preserve">The different outcomes in the legal characterisation of facts for both cases reveal </w:t>
      </w:r>
      <w:r w:rsidR="0036403E">
        <w:rPr>
          <w:rFonts w:ascii="Times New Roman" w:hAnsi="Times New Roman"/>
          <w:szCs w:val="24"/>
        </w:rPr>
        <w:t>some judges' activism</w:t>
      </w:r>
      <w:r w:rsidR="00994085">
        <w:rPr>
          <w:rFonts w:ascii="Times New Roman" w:hAnsi="Times New Roman"/>
          <w:szCs w:val="24"/>
        </w:rPr>
        <w:t xml:space="preserve"> in granting victims a more expansive role by challenging the status quo. The court decisions contribute towards the development of jurisprudence at the ICC.</w:t>
      </w:r>
    </w:p>
    <w:p w14:paraId="0D3E5AB1" w14:textId="7A476264" w:rsidR="00A61D16" w:rsidRPr="00FF2314" w:rsidRDefault="00AE6629" w:rsidP="006C7534">
      <w:pPr>
        <w:spacing w:line="480" w:lineRule="auto"/>
        <w:jc w:val="both"/>
        <w:rPr>
          <w:rFonts w:ascii="Times New Roman" w:hAnsi="Times New Roman"/>
          <w:b/>
        </w:rPr>
      </w:pPr>
      <w:r>
        <w:rPr>
          <w:rFonts w:ascii="Times New Roman" w:hAnsi="Times New Roman"/>
        </w:rPr>
        <w:t xml:space="preserve">Article 15 demonstrates the </w:t>
      </w:r>
      <w:r w:rsidR="0036403E">
        <w:rPr>
          <w:rFonts w:ascii="Times New Roman" w:hAnsi="Times New Roman"/>
        </w:rPr>
        <w:t>victims' power</w:t>
      </w:r>
      <w:r>
        <w:rPr>
          <w:rFonts w:ascii="Times New Roman" w:hAnsi="Times New Roman"/>
        </w:rPr>
        <w:t xml:space="preserve"> to ‘make representations’ in response to the Prosecutions’ decision to suspend investigations or not to prosecute. Arguably, it is reasoned that  Article 15(3) entrenches a form of </w:t>
      </w:r>
      <w:r w:rsidR="00926295">
        <w:rPr>
          <w:rFonts w:ascii="Times New Roman" w:hAnsi="Times New Roman"/>
        </w:rPr>
        <w:t xml:space="preserve">a </w:t>
      </w:r>
      <w:r>
        <w:rPr>
          <w:rFonts w:ascii="Times New Roman" w:hAnsi="Times New Roman"/>
        </w:rPr>
        <w:t>participation</w:t>
      </w:r>
      <w:r w:rsidR="00926295">
        <w:rPr>
          <w:rFonts w:ascii="Times New Roman" w:hAnsi="Times New Roman"/>
        </w:rPr>
        <w:t>-a restrictive approach to participation</w:t>
      </w:r>
      <w:r w:rsidR="0036403E">
        <w:rPr>
          <w:rFonts w:ascii="Times New Roman" w:hAnsi="Times New Roman"/>
        </w:rPr>
        <w:t>. It could be that an indiscreet approach to participation could jeopardise the investigations at this phase</w:t>
      </w:r>
      <w:r w:rsidR="00926295">
        <w:rPr>
          <w:rFonts w:ascii="Times New Roman" w:hAnsi="Times New Roman"/>
        </w:rPr>
        <w:t>. Nevertheless,</w:t>
      </w:r>
      <w:r w:rsidR="00994085">
        <w:rPr>
          <w:rFonts w:ascii="Times New Roman" w:hAnsi="Times New Roman"/>
        </w:rPr>
        <w:t xml:space="preserve"> victim involvement</w:t>
      </w:r>
      <w:r w:rsidR="00926295">
        <w:rPr>
          <w:rFonts w:ascii="Times New Roman" w:hAnsi="Times New Roman"/>
        </w:rPr>
        <w:t xml:space="preserve"> is required based on their interests, in the investigation and initiation of prosecution. Such participation is streamlined restrictively</w:t>
      </w:r>
      <w:r w:rsidR="00CD673C">
        <w:rPr>
          <w:rFonts w:ascii="Times New Roman" w:hAnsi="Times New Roman"/>
        </w:rPr>
        <w:t xml:space="preserve"> by the Rome Statute. </w:t>
      </w:r>
      <w:r w:rsidR="00874355">
        <w:rPr>
          <w:rFonts w:ascii="Times New Roman" w:hAnsi="Times New Roman"/>
        </w:rPr>
        <w:t xml:space="preserve">In a similar vein, the </w:t>
      </w:r>
      <w:r w:rsidR="0036403E">
        <w:rPr>
          <w:rFonts w:ascii="Times New Roman" w:hAnsi="Times New Roman"/>
        </w:rPr>
        <w:t xml:space="preserve">Prosecutor’s exercise of power </w:t>
      </w:r>
      <w:r w:rsidR="00874355">
        <w:rPr>
          <w:rFonts w:ascii="Times New Roman" w:hAnsi="Times New Roman"/>
        </w:rPr>
        <w:t xml:space="preserve">may restrict victims’ inclusion and active </w:t>
      </w:r>
      <w:r w:rsidR="0036403E">
        <w:rPr>
          <w:rFonts w:ascii="Times New Roman" w:hAnsi="Times New Roman"/>
        </w:rPr>
        <w:t>involvement in</w:t>
      </w:r>
      <w:r w:rsidR="00994085">
        <w:rPr>
          <w:rFonts w:ascii="Times New Roman" w:hAnsi="Times New Roman"/>
        </w:rPr>
        <w:t xml:space="preserve"> the early stage</w:t>
      </w:r>
      <w:r w:rsidR="00874355">
        <w:rPr>
          <w:rFonts w:ascii="Times New Roman" w:hAnsi="Times New Roman"/>
        </w:rPr>
        <w:t xml:space="preserve">. </w:t>
      </w:r>
      <w:r w:rsidR="00CD673C">
        <w:rPr>
          <w:rFonts w:ascii="Times New Roman" w:hAnsi="Times New Roman"/>
        </w:rPr>
        <w:t>Perhaps, a more encompassing approach to participation could be made by the judges via interpretation or decision-making.</w:t>
      </w:r>
    </w:p>
    <w:p w14:paraId="58D561F4" w14:textId="52B843F1" w:rsidR="003E513A" w:rsidRPr="0090470D" w:rsidRDefault="00994085" w:rsidP="00792B15">
      <w:pPr>
        <w:spacing w:line="480" w:lineRule="auto"/>
        <w:jc w:val="both"/>
        <w:rPr>
          <w:rFonts w:ascii="Times New Roman" w:hAnsi="Times New Roman"/>
          <w:szCs w:val="24"/>
        </w:rPr>
      </w:pPr>
      <w:r>
        <w:rPr>
          <w:rFonts w:ascii="Times New Roman" w:hAnsi="Times New Roman"/>
          <w:szCs w:val="24"/>
        </w:rPr>
        <w:t>Some of the</w:t>
      </w:r>
      <w:r w:rsidR="0033496A" w:rsidRPr="0090470D">
        <w:rPr>
          <w:rFonts w:ascii="Times New Roman" w:hAnsi="Times New Roman"/>
          <w:szCs w:val="24"/>
        </w:rPr>
        <w:t xml:space="preserve"> activities by the Prosecutor</w:t>
      </w:r>
      <w:r w:rsidR="00320BA0" w:rsidRPr="0090470D">
        <w:rPr>
          <w:rFonts w:ascii="Times New Roman" w:hAnsi="Times New Roman"/>
          <w:szCs w:val="24"/>
        </w:rPr>
        <w:t xml:space="preserve"> undeniably</w:t>
      </w:r>
      <w:r w:rsidR="0033496A" w:rsidRPr="0090470D">
        <w:rPr>
          <w:rFonts w:ascii="Times New Roman" w:hAnsi="Times New Roman"/>
          <w:szCs w:val="24"/>
        </w:rPr>
        <w:t xml:space="preserve"> filters </w:t>
      </w:r>
      <w:r w:rsidR="00320BA0" w:rsidRPr="0090470D">
        <w:rPr>
          <w:rFonts w:ascii="Times New Roman" w:hAnsi="Times New Roman"/>
          <w:szCs w:val="24"/>
        </w:rPr>
        <w:t>victims and separates them into qualified and not qualified</w:t>
      </w:r>
      <w:r w:rsidR="008D2848" w:rsidRPr="0090470D">
        <w:rPr>
          <w:rFonts w:ascii="Times New Roman" w:hAnsi="Times New Roman"/>
          <w:szCs w:val="24"/>
        </w:rPr>
        <w:t>.</w:t>
      </w:r>
      <w:r w:rsidR="00BC40EE" w:rsidRPr="0090470D">
        <w:rPr>
          <w:rFonts w:ascii="Times New Roman" w:hAnsi="Times New Roman"/>
          <w:szCs w:val="24"/>
        </w:rPr>
        <w:t xml:space="preserve"> </w:t>
      </w:r>
      <w:r w:rsidR="002250A4" w:rsidRPr="0090470D">
        <w:rPr>
          <w:rFonts w:ascii="Times New Roman" w:hAnsi="Times New Roman"/>
          <w:szCs w:val="24"/>
        </w:rPr>
        <w:t>This finding</w:t>
      </w:r>
      <w:r w:rsidR="00BC40EE" w:rsidRPr="0090470D">
        <w:rPr>
          <w:rFonts w:ascii="Times New Roman" w:hAnsi="Times New Roman"/>
          <w:szCs w:val="24"/>
        </w:rPr>
        <w:t xml:space="preserve"> </w:t>
      </w:r>
      <w:r w:rsidR="002250A4" w:rsidRPr="0090470D">
        <w:rPr>
          <w:rFonts w:ascii="Times New Roman" w:hAnsi="Times New Roman"/>
          <w:szCs w:val="24"/>
        </w:rPr>
        <w:t>support</w:t>
      </w:r>
      <w:r w:rsidR="00923452">
        <w:rPr>
          <w:rFonts w:ascii="Times New Roman" w:hAnsi="Times New Roman"/>
          <w:szCs w:val="24"/>
        </w:rPr>
        <w:t>s</w:t>
      </w:r>
      <w:r w:rsidR="002250A4" w:rsidRPr="0090470D">
        <w:rPr>
          <w:rFonts w:ascii="Times New Roman" w:hAnsi="Times New Roman"/>
          <w:szCs w:val="24"/>
        </w:rPr>
        <w:t xml:space="preserve"> the previous study of </w:t>
      </w:r>
      <w:proofErr w:type="spellStart"/>
      <w:r w:rsidR="002250A4" w:rsidRPr="0090470D">
        <w:rPr>
          <w:rFonts w:ascii="Times New Roman" w:hAnsi="Times New Roman"/>
          <w:szCs w:val="24"/>
        </w:rPr>
        <w:t>Aptel</w:t>
      </w:r>
      <w:proofErr w:type="spellEnd"/>
      <w:r w:rsidR="00923452">
        <w:rPr>
          <w:rFonts w:ascii="Times New Roman" w:hAnsi="Times New Roman"/>
          <w:szCs w:val="24"/>
        </w:rPr>
        <w:t>,</w:t>
      </w:r>
      <w:r w:rsidR="002250A4" w:rsidRPr="0090470D">
        <w:rPr>
          <w:rFonts w:ascii="Times New Roman" w:hAnsi="Times New Roman"/>
          <w:szCs w:val="24"/>
        </w:rPr>
        <w:t xml:space="preserve"> </w:t>
      </w:r>
      <w:r w:rsidR="002250A4" w:rsidRPr="0090470D">
        <w:rPr>
          <w:rFonts w:ascii="Times New Roman" w:hAnsi="Times New Roman"/>
          <w:szCs w:val="24"/>
        </w:rPr>
        <w:lastRenderedPageBreak/>
        <w:t>which links the exercise of prosecutorial discretion with victims’ access to remedy.</w:t>
      </w:r>
      <w:r w:rsidR="002250A4" w:rsidRPr="0090470D">
        <w:rPr>
          <w:rStyle w:val="FootnoteReference"/>
          <w:rFonts w:ascii="Times New Roman" w:hAnsi="Times New Roman"/>
          <w:szCs w:val="24"/>
        </w:rPr>
        <w:footnoteReference w:id="477"/>
      </w:r>
      <w:r w:rsidR="00BC2490" w:rsidRPr="0090470D">
        <w:rPr>
          <w:rFonts w:ascii="Times New Roman" w:hAnsi="Times New Roman"/>
          <w:szCs w:val="24"/>
        </w:rPr>
        <w:t xml:space="preserve"> </w:t>
      </w:r>
      <w:r w:rsidR="00320BA0" w:rsidRPr="0090470D">
        <w:rPr>
          <w:rFonts w:ascii="Times New Roman" w:hAnsi="Times New Roman"/>
          <w:szCs w:val="24"/>
        </w:rPr>
        <w:t>Notably, the Lubanga case found that victims harm must be charge-based.</w:t>
      </w:r>
      <w:r w:rsidR="0004374D" w:rsidRPr="0090470D">
        <w:rPr>
          <w:rStyle w:val="FootnoteReference"/>
          <w:rFonts w:ascii="Times New Roman" w:hAnsi="Times New Roman"/>
          <w:szCs w:val="24"/>
        </w:rPr>
        <w:footnoteReference w:id="478"/>
      </w:r>
      <w:r w:rsidR="0004374D" w:rsidRPr="0090470D">
        <w:rPr>
          <w:rFonts w:ascii="Times New Roman" w:hAnsi="Times New Roman"/>
          <w:szCs w:val="24"/>
        </w:rPr>
        <w:t xml:space="preserve">This </w:t>
      </w:r>
      <w:r w:rsidR="007F17E2" w:rsidRPr="0090470D">
        <w:rPr>
          <w:rFonts w:ascii="Times New Roman" w:hAnsi="Times New Roman"/>
          <w:szCs w:val="24"/>
        </w:rPr>
        <w:t>decision creates a connection between victims and the charges.</w:t>
      </w:r>
    </w:p>
    <w:p w14:paraId="0D1BA097" w14:textId="32302306" w:rsidR="00AE1017" w:rsidRDefault="00481D41" w:rsidP="00792B15">
      <w:pPr>
        <w:spacing w:line="480" w:lineRule="auto"/>
        <w:jc w:val="both"/>
        <w:rPr>
          <w:rFonts w:ascii="Times New Roman" w:hAnsi="Times New Roman"/>
          <w:szCs w:val="24"/>
        </w:rPr>
      </w:pPr>
      <w:r w:rsidRPr="0090470D">
        <w:rPr>
          <w:rFonts w:ascii="Times New Roman" w:hAnsi="Times New Roman"/>
          <w:szCs w:val="24"/>
        </w:rPr>
        <w:t>It is somewhat surprising that some of the prosecutor’s interests overlap with some victims’ interests.</w:t>
      </w:r>
      <w:r w:rsidR="00923452">
        <w:rPr>
          <w:rFonts w:ascii="Times New Roman" w:hAnsi="Times New Roman"/>
          <w:szCs w:val="24"/>
        </w:rPr>
        <w:t xml:space="preserve"> </w:t>
      </w:r>
      <w:r w:rsidRPr="0090470D">
        <w:rPr>
          <w:rFonts w:ascii="Times New Roman" w:hAnsi="Times New Roman"/>
          <w:szCs w:val="24"/>
        </w:rPr>
        <w:t xml:space="preserve">However, while there are observed differences between </w:t>
      </w:r>
      <w:r w:rsidR="00923452">
        <w:rPr>
          <w:rFonts w:ascii="Times New Roman" w:hAnsi="Times New Roman"/>
          <w:szCs w:val="24"/>
        </w:rPr>
        <w:t xml:space="preserve">the </w:t>
      </w:r>
      <w:r w:rsidRPr="0090470D">
        <w:rPr>
          <w:rFonts w:ascii="Times New Roman" w:hAnsi="Times New Roman"/>
          <w:szCs w:val="24"/>
        </w:rPr>
        <w:t>prosecutor’s interests and victims’ interests</w:t>
      </w:r>
      <w:r w:rsidR="00923452">
        <w:rPr>
          <w:rFonts w:ascii="Times New Roman" w:hAnsi="Times New Roman"/>
          <w:szCs w:val="24"/>
        </w:rPr>
        <w:t>, t</w:t>
      </w:r>
      <w:r w:rsidRPr="0090470D">
        <w:rPr>
          <w:rFonts w:ascii="Times New Roman" w:hAnsi="Times New Roman"/>
          <w:szCs w:val="24"/>
        </w:rPr>
        <w:t>hese differences reiterate the independence of victims’ role from the prosecutor’s role.</w:t>
      </w:r>
      <w:r w:rsidRPr="0090470D">
        <w:rPr>
          <w:rStyle w:val="FootnoteReference"/>
          <w:rFonts w:ascii="Times New Roman" w:hAnsi="Times New Roman"/>
          <w:szCs w:val="24"/>
        </w:rPr>
        <w:footnoteReference w:id="479"/>
      </w:r>
      <w:r w:rsidR="001D1EE2" w:rsidRPr="0090470D">
        <w:rPr>
          <w:rFonts w:ascii="Times New Roman" w:hAnsi="Times New Roman"/>
          <w:szCs w:val="24"/>
        </w:rPr>
        <w:t>Nevertheless</w:t>
      </w:r>
      <w:r w:rsidR="001927E3">
        <w:rPr>
          <w:rFonts w:ascii="Times New Roman" w:hAnsi="Times New Roman"/>
          <w:szCs w:val="24"/>
        </w:rPr>
        <w:t>, these</w:t>
      </w:r>
      <w:r w:rsidR="008F2FE1" w:rsidRPr="0090470D">
        <w:rPr>
          <w:rFonts w:ascii="Times New Roman" w:hAnsi="Times New Roman"/>
          <w:szCs w:val="24"/>
        </w:rPr>
        <w:t xml:space="preserve"> overlapping roles </w:t>
      </w:r>
      <w:r w:rsidR="001927E3">
        <w:rPr>
          <w:rFonts w:ascii="Times New Roman" w:hAnsi="Times New Roman"/>
          <w:szCs w:val="24"/>
        </w:rPr>
        <w:t xml:space="preserve">include </w:t>
      </w:r>
      <w:r w:rsidR="00A11652">
        <w:rPr>
          <w:rFonts w:ascii="Times New Roman" w:hAnsi="Times New Roman"/>
          <w:szCs w:val="24"/>
        </w:rPr>
        <w:t>presenting</w:t>
      </w:r>
      <w:r w:rsidR="008F2FE1" w:rsidRPr="0090470D">
        <w:rPr>
          <w:rFonts w:ascii="Times New Roman" w:hAnsi="Times New Roman"/>
          <w:szCs w:val="24"/>
        </w:rPr>
        <w:t xml:space="preserve"> evidence </w:t>
      </w:r>
      <w:r w:rsidR="0036403E">
        <w:rPr>
          <w:rFonts w:ascii="Times New Roman" w:hAnsi="Times New Roman"/>
          <w:szCs w:val="24"/>
        </w:rPr>
        <w:t>to determine</w:t>
      </w:r>
      <w:r w:rsidR="008F2FE1" w:rsidRPr="0090470D">
        <w:rPr>
          <w:rFonts w:ascii="Times New Roman" w:hAnsi="Times New Roman"/>
          <w:szCs w:val="24"/>
        </w:rPr>
        <w:t xml:space="preserve"> </w:t>
      </w:r>
      <w:r w:rsidR="0036403E">
        <w:rPr>
          <w:rFonts w:ascii="Times New Roman" w:hAnsi="Times New Roman"/>
          <w:szCs w:val="24"/>
        </w:rPr>
        <w:t xml:space="preserve">the </w:t>
      </w:r>
      <w:r w:rsidR="008F2FE1" w:rsidRPr="0090470D">
        <w:rPr>
          <w:rFonts w:ascii="Times New Roman" w:hAnsi="Times New Roman"/>
          <w:szCs w:val="24"/>
        </w:rPr>
        <w:t>truth</w:t>
      </w:r>
      <w:r w:rsidR="00DD66D5">
        <w:rPr>
          <w:rFonts w:ascii="Times New Roman" w:hAnsi="Times New Roman"/>
          <w:szCs w:val="24"/>
        </w:rPr>
        <w:t xml:space="preserve">—the </w:t>
      </w:r>
      <w:r w:rsidR="001D1EE2" w:rsidRPr="0090470D">
        <w:rPr>
          <w:rFonts w:ascii="Times New Roman" w:hAnsi="Times New Roman"/>
          <w:szCs w:val="24"/>
        </w:rPr>
        <w:t xml:space="preserve">Determination of the </w:t>
      </w:r>
      <w:r w:rsidR="003A7920">
        <w:rPr>
          <w:rFonts w:ascii="Times New Roman" w:hAnsi="Times New Roman"/>
          <w:szCs w:val="24"/>
        </w:rPr>
        <w:t>accused's guilt or innocence</w:t>
      </w:r>
      <w:r w:rsidR="002B10C7" w:rsidRPr="0090470D">
        <w:rPr>
          <w:rFonts w:ascii="Times New Roman" w:hAnsi="Times New Roman"/>
          <w:szCs w:val="24"/>
        </w:rPr>
        <w:t xml:space="preserve"> and questioning witnesses.</w:t>
      </w:r>
      <w:r w:rsidR="00DD66D5">
        <w:rPr>
          <w:rStyle w:val="FootnoteReference"/>
          <w:rFonts w:ascii="Times New Roman" w:hAnsi="Times New Roman"/>
          <w:szCs w:val="24"/>
        </w:rPr>
        <w:footnoteReference w:id="480"/>
      </w:r>
      <w:r w:rsidR="00923452">
        <w:rPr>
          <w:rFonts w:ascii="Times New Roman" w:hAnsi="Times New Roman"/>
          <w:szCs w:val="24"/>
        </w:rPr>
        <w:t xml:space="preserve"> </w:t>
      </w:r>
      <w:r w:rsidR="002B10C7" w:rsidRPr="0090470D">
        <w:rPr>
          <w:rFonts w:ascii="Times New Roman" w:hAnsi="Times New Roman"/>
          <w:szCs w:val="24"/>
        </w:rPr>
        <w:t>Regarding victims, their roles in the c</w:t>
      </w:r>
      <w:r w:rsidR="00AA19D6" w:rsidRPr="0090470D">
        <w:rPr>
          <w:rFonts w:ascii="Times New Roman" w:hAnsi="Times New Roman"/>
          <w:szCs w:val="24"/>
        </w:rPr>
        <w:t xml:space="preserve">riminal proceedings </w:t>
      </w:r>
      <w:r w:rsidR="00DD66D5">
        <w:rPr>
          <w:rFonts w:ascii="Times New Roman" w:hAnsi="Times New Roman"/>
          <w:szCs w:val="24"/>
        </w:rPr>
        <w:t>are</w:t>
      </w:r>
      <w:r w:rsidR="00AA19D6" w:rsidRPr="0090470D">
        <w:rPr>
          <w:rFonts w:ascii="Times New Roman" w:hAnsi="Times New Roman"/>
          <w:szCs w:val="24"/>
        </w:rPr>
        <w:t xml:space="preserve"> determined</w:t>
      </w:r>
      <w:r w:rsidR="002B10C7" w:rsidRPr="0090470D">
        <w:rPr>
          <w:rFonts w:ascii="Times New Roman" w:hAnsi="Times New Roman"/>
          <w:szCs w:val="24"/>
        </w:rPr>
        <w:t xml:space="preserve"> by their personal interests.</w:t>
      </w:r>
      <w:r w:rsidR="002B10C7" w:rsidRPr="0090470D">
        <w:rPr>
          <w:rStyle w:val="FootnoteReference"/>
          <w:rFonts w:ascii="Times New Roman" w:hAnsi="Times New Roman"/>
          <w:szCs w:val="24"/>
        </w:rPr>
        <w:footnoteReference w:id="481"/>
      </w:r>
      <w:r w:rsidR="001927E3">
        <w:rPr>
          <w:rFonts w:ascii="Times New Roman" w:hAnsi="Times New Roman"/>
          <w:szCs w:val="24"/>
        </w:rPr>
        <w:t xml:space="preserve">Prosecutorial </w:t>
      </w:r>
      <w:r w:rsidR="0036403E">
        <w:rPr>
          <w:rFonts w:ascii="Times New Roman" w:hAnsi="Times New Roman"/>
          <w:szCs w:val="24"/>
        </w:rPr>
        <w:t>function</w:t>
      </w:r>
      <w:r w:rsidR="001927E3">
        <w:rPr>
          <w:rFonts w:ascii="Times New Roman" w:hAnsi="Times New Roman"/>
          <w:szCs w:val="24"/>
        </w:rPr>
        <w:t>s also reflect their interests.</w:t>
      </w:r>
    </w:p>
    <w:p w14:paraId="0096F6D2" w14:textId="6101FBB2" w:rsidR="00DD66D5" w:rsidRPr="0090470D" w:rsidRDefault="00994085" w:rsidP="00792B15">
      <w:pPr>
        <w:spacing w:line="480" w:lineRule="auto"/>
        <w:jc w:val="both"/>
        <w:rPr>
          <w:rFonts w:ascii="Times New Roman" w:hAnsi="Times New Roman"/>
          <w:szCs w:val="24"/>
        </w:rPr>
      </w:pPr>
      <w:r>
        <w:rPr>
          <w:rFonts w:ascii="Times New Roman" w:hAnsi="Times New Roman"/>
          <w:szCs w:val="24"/>
        </w:rPr>
        <w:t>T</w:t>
      </w:r>
      <w:r w:rsidR="00DD66D5">
        <w:rPr>
          <w:rFonts w:ascii="Times New Roman" w:hAnsi="Times New Roman"/>
          <w:szCs w:val="24"/>
        </w:rPr>
        <w:t>he</w:t>
      </w:r>
      <w:r>
        <w:rPr>
          <w:rFonts w:ascii="Times New Roman" w:hAnsi="Times New Roman"/>
          <w:szCs w:val="24"/>
        </w:rPr>
        <w:t xml:space="preserve"> </w:t>
      </w:r>
      <w:r w:rsidR="00DD66D5">
        <w:rPr>
          <w:rFonts w:ascii="Times New Roman" w:hAnsi="Times New Roman"/>
          <w:szCs w:val="24"/>
        </w:rPr>
        <w:t>investigation and pre-trial phase</w:t>
      </w:r>
      <w:r>
        <w:rPr>
          <w:rFonts w:ascii="Times New Roman" w:hAnsi="Times New Roman"/>
          <w:szCs w:val="24"/>
        </w:rPr>
        <w:t xml:space="preserve"> demonstrate </w:t>
      </w:r>
      <w:r w:rsidR="00DD66D5">
        <w:rPr>
          <w:rFonts w:ascii="Times New Roman" w:hAnsi="Times New Roman"/>
          <w:szCs w:val="24"/>
        </w:rPr>
        <w:t>that victims are concerned with obtaining recognition to exert influence</w:t>
      </w:r>
      <w:r w:rsidR="001E40C5">
        <w:rPr>
          <w:rFonts w:ascii="Times New Roman" w:hAnsi="Times New Roman"/>
          <w:szCs w:val="24"/>
        </w:rPr>
        <w:t xml:space="preserve"> because t</w:t>
      </w:r>
      <w:r w:rsidR="00DD66D5">
        <w:rPr>
          <w:rFonts w:ascii="Times New Roman" w:hAnsi="Times New Roman"/>
          <w:szCs w:val="24"/>
        </w:rPr>
        <w:t>he identity of the perpetrator(s)</w:t>
      </w:r>
      <w:r w:rsidR="001E40C5">
        <w:rPr>
          <w:rFonts w:ascii="Times New Roman" w:hAnsi="Times New Roman"/>
          <w:szCs w:val="24"/>
        </w:rPr>
        <w:t xml:space="preserve"> remains </w:t>
      </w:r>
      <w:r w:rsidR="00DD66D5">
        <w:rPr>
          <w:rFonts w:ascii="Times New Roman" w:hAnsi="Times New Roman"/>
          <w:szCs w:val="24"/>
        </w:rPr>
        <w:t>unknown</w:t>
      </w:r>
      <w:r w:rsidR="001E40C5">
        <w:rPr>
          <w:rFonts w:ascii="Times New Roman" w:hAnsi="Times New Roman"/>
          <w:szCs w:val="24"/>
        </w:rPr>
        <w:t>, and their interests lie in investigations</w:t>
      </w:r>
      <w:r w:rsidR="00DD66D5">
        <w:rPr>
          <w:rFonts w:ascii="Times New Roman" w:hAnsi="Times New Roman"/>
          <w:szCs w:val="24"/>
        </w:rPr>
        <w:t>.</w:t>
      </w:r>
      <w:r w:rsidR="00ED5CEE">
        <w:rPr>
          <w:rFonts w:ascii="Times New Roman" w:hAnsi="Times New Roman"/>
          <w:szCs w:val="24"/>
        </w:rPr>
        <w:t xml:space="preserve"> The situation </w:t>
      </w:r>
      <w:r w:rsidR="0036403E">
        <w:rPr>
          <w:rFonts w:ascii="Times New Roman" w:hAnsi="Times New Roman"/>
          <w:szCs w:val="24"/>
        </w:rPr>
        <w:t>contrasts with</w:t>
      </w:r>
      <w:r w:rsidR="00ED5CEE">
        <w:rPr>
          <w:rFonts w:ascii="Times New Roman" w:hAnsi="Times New Roman"/>
          <w:szCs w:val="24"/>
        </w:rPr>
        <w:t xml:space="preserve"> </w:t>
      </w:r>
      <w:r w:rsidR="00ED5CEE">
        <w:rPr>
          <w:rFonts w:ascii="Times New Roman" w:hAnsi="Times New Roman"/>
          <w:szCs w:val="24"/>
        </w:rPr>
        <w:lastRenderedPageBreak/>
        <w:t xml:space="preserve">what is applicable in some domestic jurisdictions where the victim triggers the investigation. </w:t>
      </w:r>
      <w:r w:rsidR="00DD66D5">
        <w:rPr>
          <w:rFonts w:ascii="Times New Roman" w:hAnsi="Times New Roman"/>
          <w:szCs w:val="24"/>
        </w:rPr>
        <w:t xml:space="preserve"> </w:t>
      </w:r>
    </w:p>
    <w:p w14:paraId="45A7CD82" w14:textId="77777777" w:rsidR="0042660C" w:rsidRPr="0090470D" w:rsidRDefault="00975263" w:rsidP="00A44B61">
      <w:pPr>
        <w:pStyle w:val="Heading2"/>
      </w:pPr>
      <w:bookmarkStart w:id="32" w:name="_Toc60235810"/>
      <w:r w:rsidRPr="0090470D">
        <w:t>2.9</w:t>
      </w:r>
      <w:r w:rsidR="00F67010" w:rsidRPr="0090470D">
        <w:t>.</w:t>
      </w:r>
      <w:r w:rsidR="0042660C" w:rsidRPr="0090470D">
        <w:t>Conclusion</w:t>
      </w:r>
      <w:r w:rsidR="00A83774">
        <w:t>.</w:t>
      </w:r>
      <w:bookmarkEnd w:id="32"/>
    </w:p>
    <w:p w14:paraId="5183C66C" w14:textId="3F73028C" w:rsidR="00F25CBA" w:rsidRDefault="00F25CBA" w:rsidP="003F11DE">
      <w:pPr>
        <w:spacing w:line="480" w:lineRule="auto"/>
        <w:jc w:val="both"/>
        <w:rPr>
          <w:rFonts w:ascii="Times New Roman" w:hAnsi="Times New Roman"/>
          <w:szCs w:val="24"/>
        </w:rPr>
      </w:pPr>
      <w:r w:rsidRPr="0090470D">
        <w:rPr>
          <w:rFonts w:ascii="Times New Roman" w:hAnsi="Times New Roman"/>
          <w:szCs w:val="24"/>
        </w:rPr>
        <w:t xml:space="preserve">The first question in this thesis was to identify </w:t>
      </w:r>
      <w:r w:rsidR="0036403E">
        <w:rPr>
          <w:rFonts w:ascii="Times New Roman" w:hAnsi="Times New Roman"/>
          <w:szCs w:val="24"/>
        </w:rPr>
        <w:t>prosecutorial discretion's impact</w:t>
      </w:r>
      <w:r w:rsidRPr="0090470D">
        <w:rPr>
          <w:rFonts w:ascii="Times New Roman" w:hAnsi="Times New Roman"/>
          <w:szCs w:val="24"/>
        </w:rPr>
        <w:t xml:space="preserve"> on victims’ </w:t>
      </w:r>
      <w:r w:rsidR="004367F5">
        <w:rPr>
          <w:rFonts w:ascii="Times New Roman" w:hAnsi="Times New Roman"/>
          <w:szCs w:val="24"/>
        </w:rPr>
        <w:t>rights and interests</w:t>
      </w:r>
      <w:r w:rsidRPr="0090470D">
        <w:rPr>
          <w:rFonts w:ascii="Times New Roman" w:hAnsi="Times New Roman"/>
          <w:szCs w:val="24"/>
        </w:rPr>
        <w:t>.</w:t>
      </w:r>
      <w:r w:rsidR="00923452">
        <w:rPr>
          <w:rFonts w:ascii="Times New Roman" w:hAnsi="Times New Roman"/>
          <w:szCs w:val="24"/>
        </w:rPr>
        <w:t xml:space="preserve"> </w:t>
      </w:r>
      <w:r w:rsidR="00D36611">
        <w:rPr>
          <w:rFonts w:ascii="Times New Roman" w:hAnsi="Times New Roman"/>
          <w:szCs w:val="24"/>
        </w:rPr>
        <w:t>In addressing the first research question, t</w:t>
      </w:r>
      <w:r w:rsidR="00C37D62">
        <w:rPr>
          <w:rFonts w:ascii="Times New Roman" w:hAnsi="Times New Roman"/>
          <w:szCs w:val="24"/>
        </w:rPr>
        <w:t>h</w:t>
      </w:r>
      <w:r w:rsidR="00377768" w:rsidRPr="0090470D">
        <w:rPr>
          <w:rFonts w:ascii="Times New Roman" w:hAnsi="Times New Roman"/>
          <w:szCs w:val="24"/>
        </w:rPr>
        <w:t>e transcripts w</w:t>
      </w:r>
      <w:r w:rsidR="00923452">
        <w:rPr>
          <w:rFonts w:ascii="Times New Roman" w:hAnsi="Times New Roman"/>
          <w:szCs w:val="24"/>
        </w:rPr>
        <w:t>ere</w:t>
      </w:r>
      <w:r w:rsidR="00377768" w:rsidRPr="0090470D">
        <w:rPr>
          <w:rFonts w:ascii="Times New Roman" w:hAnsi="Times New Roman"/>
          <w:szCs w:val="24"/>
        </w:rPr>
        <w:t xml:space="preserve"> analysed for findings.</w:t>
      </w:r>
    </w:p>
    <w:p w14:paraId="558134E4" w14:textId="37E2BF6B" w:rsidR="00994085" w:rsidRDefault="00994085" w:rsidP="00994085">
      <w:pPr>
        <w:spacing w:line="480" w:lineRule="auto"/>
        <w:jc w:val="both"/>
        <w:rPr>
          <w:rFonts w:ascii="Times New Roman" w:hAnsi="Times New Roman"/>
        </w:rPr>
      </w:pPr>
      <w:r w:rsidRPr="001F1590">
        <w:rPr>
          <w:rFonts w:ascii="Times New Roman" w:hAnsi="Times New Roman"/>
        </w:rPr>
        <w:t xml:space="preserve">The charges, which is a </w:t>
      </w:r>
      <w:r w:rsidR="003A7920">
        <w:rPr>
          <w:rFonts w:ascii="Times New Roman" w:hAnsi="Times New Roman"/>
        </w:rPr>
        <w:t>Prosecutor’s product</w:t>
      </w:r>
      <w:r>
        <w:rPr>
          <w:rFonts w:ascii="Times New Roman" w:hAnsi="Times New Roman"/>
        </w:rPr>
        <w:t>,</w:t>
      </w:r>
      <w:r w:rsidRPr="001F1590">
        <w:rPr>
          <w:rFonts w:ascii="Times New Roman" w:hAnsi="Times New Roman"/>
        </w:rPr>
        <w:t xml:space="preserve"> </w:t>
      </w:r>
      <w:r w:rsidR="0036403E">
        <w:rPr>
          <w:rFonts w:ascii="Times New Roman" w:hAnsi="Times New Roman"/>
        </w:rPr>
        <w:t>can shape</w:t>
      </w:r>
      <w:r w:rsidRPr="001F1590">
        <w:rPr>
          <w:rFonts w:ascii="Times New Roman" w:hAnsi="Times New Roman"/>
        </w:rPr>
        <w:t xml:space="preserve"> the truth, whether partial or whole truth.</w:t>
      </w:r>
      <w:r>
        <w:rPr>
          <w:rFonts w:ascii="Times New Roman" w:hAnsi="Times New Roman"/>
        </w:rPr>
        <w:t xml:space="preserve"> </w:t>
      </w:r>
      <w:r w:rsidRPr="001F1590">
        <w:rPr>
          <w:rFonts w:ascii="Times New Roman" w:hAnsi="Times New Roman"/>
        </w:rPr>
        <w:t>The content of the charging document can potentially restrict victims’ i</w:t>
      </w:r>
      <w:r>
        <w:rPr>
          <w:rFonts w:ascii="Times New Roman" w:hAnsi="Times New Roman"/>
        </w:rPr>
        <w:t>nterests or access to justice. This may inadvertently influence the categories of victims or the number of victims linked to the charges.</w:t>
      </w:r>
    </w:p>
    <w:p w14:paraId="51214689" w14:textId="0600F705" w:rsidR="00994085" w:rsidRPr="0090470D" w:rsidRDefault="00994085" w:rsidP="00994085">
      <w:pPr>
        <w:spacing w:line="480" w:lineRule="auto"/>
        <w:jc w:val="both"/>
        <w:rPr>
          <w:rFonts w:ascii="Times New Roman" w:hAnsi="Times New Roman"/>
          <w:szCs w:val="24"/>
        </w:rPr>
      </w:pPr>
      <w:r>
        <w:rPr>
          <w:rFonts w:ascii="Times New Roman" w:hAnsi="Times New Roman"/>
          <w:szCs w:val="24"/>
        </w:rPr>
        <w:t>The inconsistent ruling on the extent of participation demonstrates some of the judges attempt to accede to victims’ request.</w:t>
      </w:r>
      <w:r w:rsidR="00B75990">
        <w:rPr>
          <w:rFonts w:ascii="Times New Roman" w:hAnsi="Times New Roman"/>
          <w:szCs w:val="24"/>
        </w:rPr>
        <w:t xml:space="preserve"> </w:t>
      </w:r>
      <w:r>
        <w:rPr>
          <w:rFonts w:ascii="Times New Roman" w:hAnsi="Times New Roman"/>
          <w:szCs w:val="24"/>
        </w:rPr>
        <w:t>The different outcome</w:t>
      </w:r>
      <w:r w:rsidR="00B75990">
        <w:rPr>
          <w:rFonts w:ascii="Times New Roman" w:hAnsi="Times New Roman"/>
          <w:szCs w:val="24"/>
        </w:rPr>
        <w:t>s</w:t>
      </w:r>
      <w:r>
        <w:rPr>
          <w:rFonts w:ascii="Times New Roman" w:hAnsi="Times New Roman"/>
          <w:szCs w:val="24"/>
        </w:rPr>
        <w:t xml:space="preserve"> in the legal characterisation of facts for both cases reveal </w:t>
      </w:r>
      <w:r w:rsidR="003A7920">
        <w:rPr>
          <w:rFonts w:ascii="Times New Roman" w:hAnsi="Times New Roman"/>
          <w:szCs w:val="24"/>
        </w:rPr>
        <w:t>some judges' activism</w:t>
      </w:r>
      <w:r>
        <w:rPr>
          <w:rFonts w:ascii="Times New Roman" w:hAnsi="Times New Roman"/>
          <w:szCs w:val="24"/>
        </w:rPr>
        <w:t xml:space="preserve"> in granting victims a more expansive role by challenging the status quo. The court decisions contribute towards the development of jurisprudence at the ICC.</w:t>
      </w:r>
    </w:p>
    <w:p w14:paraId="4760010A" w14:textId="12C878AD" w:rsidR="003F11DE" w:rsidRPr="0090470D" w:rsidRDefault="00A37DA6" w:rsidP="00474D70">
      <w:pPr>
        <w:spacing w:line="480" w:lineRule="auto"/>
        <w:jc w:val="both"/>
        <w:rPr>
          <w:rFonts w:ascii="Times New Roman" w:hAnsi="Times New Roman"/>
          <w:szCs w:val="24"/>
        </w:rPr>
      </w:pPr>
      <w:r>
        <w:rPr>
          <w:rFonts w:ascii="Times New Roman" w:hAnsi="Times New Roman"/>
          <w:szCs w:val="24"/>
        </w:rPr>
        <w:t xml:space="preserve">The broad prosecutorial discretion is probably a consequence of the </w:t>
      </w:r>
      <w:r w:rsidR="0036403E">
        <w:rPr>
          <w:rFonts w:ascii="Times New Roman" w:hAnsi="Times New Roman"/>
          <w:szCs w:val="24"/>
        </w:rPr>
        <w:t>delegates' compromise</w:t>
      </w:r>
      <w:r>
        <w:rPr>
          <w:rFonts w:ascii="Times New Roman" w:hAnsi="Times New Roman"/>
          <w:szCs w:val="24"/>
        </w:rPr>
        <w:t xml:space="preserve"> at the Rome negotiations.</w:t>
      </w:r>
      <w:r w:rsidR="00C5127A">
        <w:rPr>
          <w:rStyle w:val="FootnoteReference"/>
          <w:rFonts w:ascii="Times New Roman" w:hAnsi="Times New Roman"/>
          <w:szCs w:val="24"/>
        </w:rPr>
        <w:footnoteReference w:id="482"/>
      </w:r>
      <w:r>
        <w:rPr>
          <w:rFonts w:ascii="Times New Roman" w:hAnsi="Times New Roman"/>
          <w:szCs w:val="24"/>
        </w:rPr>
        <w:t xml:space="preserve"> </w:t>
      </w:r>
      <w:r w:rsidR="00923452">
        <w:rPr>
          <w:rFonts w:ascii="Times New Roman" w:hAnsi="Times New Roman"/>
          <w:szCs w:val="24"/>
        </w:rPr>
        <w:t>However,</w:t>
      </w:r>
      <w:r w:rsidR="003325C2">
        <w:rPr>
          <w:rFonts w:ascii="Times New Roman" w:hAnsi="Times New Roman"/>
          <w:szCs w:val="24"/>
        </w:rPr>
        <w:t xml:space="preserve"> the PTC has the power to check </w:t>
      </w:r>
      <w:r w:rsidR="003325C2">
        <w:rPr>
          <w:rFonts w:ascii="Times New Roman" w:hAnsi="Times New Roman"/>
          <w:szCs w:val="24"/>
        </w:rPr>
        <w:lastRenderedPageBreak/>
        <w:t>prosecutorial discretion n</w:t>
      </w:r>
      <w:r w:rsidR="003F11DE">
        <w:rPr>
          <w:rFonts w:ascii="Times New Roman" w:hAnsi="Times New Roman"/>
          <w:szCs w:val="24"/>
        </w:rPr>
        <w:t xml:space="preserve">ot to prosecute. </w:t>
      </w:r>
      <w:r w:rsidR="003F11DE" w:rsidRPr="0090470D">
        <w:rPr>
          <w:rFonts w:ascii="Times New Roman" w:hAnsi="Times New Roman"/>
          <w:szCs w:val="24"/>
        </w:rPr>
        <w:t>This chapter has shown that the PTC</w:t>
      </w:r>
      <w:r w:rsidR="007B2B8E">
        <w:rPr>
          <w:rFonts w:ascii="Times New Roman" w:hAnsi="Times New Roman"/>
          <w:szCs w:val="24"/>
        </w:rPr>
        <w:t>,</w:t>
      </w:r>
      <w:r w:rsidR="003F11DE" w:rsidRPr="0090470D">
        <w:rPr>
          <w:rFonts w:ascii="Times New Roman" w:hAnsi="Times New Roman"/>
          <w:szCs w:val="24"/>
        </w:rPr>
        <w:t xml:space="preserve"> to some extent</w:t>
      </w:r>
      <w:r w:rsidR="007B2B8E">
        <w:rPr>
          <w:rFonts w:ascii="Times New Roman" w:hAnsi="Times New Roman"/>
          <w:szCs w:val="24"/>
        </w:rPr>
        <w:t>,</w:t>
      </w:r>
      <w:r w:rsidR="003F11DE" w:rsidRPr="0090470D">
        <w:rPr>
          <w:rFonts w:ascii="Times New Roman" w:hAnsi="Times New Roman"/>
          <w:szCs w:val="24"/>
        </w:rPr>
        <w:t xml:space="preserve"> can scrutinise the decision of the Prosecutor not to initiate investigations</w:t>
      </w:r>
      <w:r w:rsidR="007B2B8E">
        <w:rPr>
          <w:rFonts w:ascii="Times New Roman" w:hAnsi="Times New Roman"/>
          <w:szCs w:val="24"/>
        </w:rPr>
        <w:t>. Still,</w:t>
      </w:r>
      <w:r w:rsidR="003F11DE" w:rsidRPr="0090470D">
        <w:rPr>
          <w:rFonts w:ascii="Times New Roman" w:hAnsi="Times New Roman"/>
          <w:szCs w:val="24"/>
        </w:rPr>
        <w:t xml:space="preserve"> it appears the Prosecutor has </w:t>
      </w:r>
      <w:r w:rsidR="00923452">
        <w:rPr>
          <w:rFonts w:ascii="Times New Roman" w:hAnsi="Times New Roman"/>
          <w:szCs w:val="24"/>
        </w:rPr>
        <w:t>the upper hand</w:t>
      </w:r>
      <w:r w:rsidR="003F11DE">
        <w:rPr>
          <w:rFonts w:ascii="Times New Roman" w:hAnsi="Times New Roman"/>
          <w:szCs w:val="24"/>
        </w:rPr>
        <w:t xml:space="preserve"> although, the outcome of the</w:t>
      </w:r>
      <w:r w:rsidR="003F11DE" w:rsidRPr="0090470D">
        <w:rPr>
          <w:rFonts w:ascii="Times New Roman" w:hAnsi="Times New Roman"/>
          <w:szCs w:val="24"/>
        </w:rPr>
        <w:t xml:space="preserve"> Rome negotiations </w:t>
      </w:r>
      <w:r w:rsidR="003F11DE">
        <w:rPr>
          <w:rFonts w:ascii="Times New Roman" w:hAnsi="Times New Roman"/>
          <w:szCs w:val="24"/>
        </w:rPr>
        <w:t xml:space="preserve">granted the Prosecutor </w:t>
      </w:r>
      <w:r w:rsidR="00B75990">
        <w:rPr>
          <w:rFonts w:ascii="Times New Roman" w:hAnsi="Times New Roman"/>
          <w:szCs w:val="24"/>
        </w:rPr>
        <w:t xml:space="preserve">wide-ranging </w:t>
      </w:r>
      <w:r w:rsidR="003F11DE" w:rsidRPr="0090470D">
        <w:rPr>
          <w:rFonts w:ascii="Times New Roman" w:hAnsi="Times New Roman"/>
          <w:szCs w:val="24"/>
        </w:rPr>
        <w:t>powers, regardless,</w:t>
      </w:r>
      <w:r w:rsidR="00923452">
        <w:rPr>
          <w:rFonts w:ascii="Times New Roman" w:hAnsi="Times New Roman"/>
          <w:szCs w:val="24"/>
        </w:rPr>
        <w:t xml:space="preserve"> </w:t>
      </w:r>
      <w:r w:rsidR="003F11DE" w:rsidRPr="0090470D">
        <w:rPr>
          <w:rFonts w:ascii="Times New Roman" w:hAnsi="Times New Roman"/>
          <w:szCs w:val="24"/>
        </w:rPr>
        <w:t>this disc</w:t>
      </w:r>
      <w:r w:rsidR="003F11DE">
        <w:rPr>
          <w:rFonts w:ascii="Times New Roman" w:hAnsi="Times New Roman"/>
          <w:szCs w:val="24"/>
        </w:rPr>
        <w:t>retionary powers is subject to</w:t>
      </w:r>
      <w:r w:rsidR="003F11DE" w:rsidRPr="0090470D">
        <w:rPr>
          <w:rFonts w:ascii="Times New Roman" w:hAnsi="Times New Roman"/>
          <w:szCs w:val="24"/>
        </w:rPr>
        <w:t xml:space="preserve"> check</w:t>
      </w:r>
      <w:r w:rsidR="003F11DE">
        <w:rPr>
          <w:rFonts w:ascii="Times New Roman" w:hAnsi="Times New Roman"/>
          <w:szCs w:val="24"/>
        </w:rPr>
        <w:t>s</w:t>
      </w:r>
      <w:r w:rsidR="003F11DE" w:rsidRPr="0090470D">
        <w:rPr>
          <w:rFonts w:ascii="Times New Roman" w:hAnsi="Times New Roman"/>
          <w:szCs w:val="24"/>
        </w:rPr>
        <w:t xml:space="preserve"> and balance</w:t>
      </w:r>
      <w:r w:rsidR="003F11DE">
        <w:rPr>
          <w:rFonts w:ascii="Times New Roman" w:hAnsi="Times New Roman"/>
          <w:szCs w:val="24"/>
        </w:rPr>
        <w:t>s</w:t>
      </w:r>
      <w:r w:rsidR="003F11DE" w:rsidRPr="0090470D">
        <w:rPr>
          <w:rFonts w:ascii="Times New Roman" w:hAnsi="Times New Roman"/>
          <w:szCs w:val="24"/>
        </w:rPr>
        <w:t xml:space="preserve"> by the PTC. It seems the PTC’s use of the checks and balances cannot </w:t>
      </w:r>
      <w:r w:rsidR="005400B2">
        <w:rPr>
          <w:rFonts w:ascii="Times New Roman" w:hAnsi="Times New Roman"/>
          <w:szCs w:val="24"/>
        </w:rPr>
        <w:t>entire</w:t>
      </w:r>
      <w:r w:rsidR="008F46DD">
        <w:rPr>
          <w:rFonts w:ascii="Times New Roman" w:hAnsi="Times New Roman"/>
          <w:szCs w:val="24"/>
        </w:rPr>
        <w:t>ly</w:t>
      </w:r>
      <w:r w:rsidR="003F11DE" w:rsidRPr="0090470D">
        <w:rPr>
          <w:rFonts w:ascii="Times New Roman" w:hAnsi="Times New Roman"/>
          <w:szCs w:val="24"/>
        </w:rPr>
        <w:t xml:space="preserve"> curtail the prosecutor’s power in this regard.</w:t>
      </w:r>
    </w:p>
    <w:p w14:paraId="4914B460" w14:textId="6E1126CC" w:rsidR="003F11DE" w:rsidRDefault="00926858" w:rsidP="00474D70">
      <w:pPr>
        <w:spacing w:line="480" w:lineRule="auto"/>
        <w:jc w:val="both"/>
        <w:rPr>
          <w:rFonts w:ascii="Times New Roman" w:hAnsi="Times New Roman"/>
          <w:szCs w:val="24"/>
        </w:rPr>
      </w:pPr>
      <w:r>
        <w:rPr>
          <w:rFonts w:ascii="Times New Roman" w:hAnsi="Times New Roman"/>
          <w:szCs w:val="24"/>
        </w:rPr>
        <w:t xml:space="preserve">It has been shown that victims are interested in recognition at this early phase because their status is not settled nor acknowledged given investigation. </w:t>
      </w:r>
      <w:r w:rsidR="006A55AD" w:rsidRPr="0090470D">
        <w:rPr>
          <w:rFonts w:ascii="Times New Roman" w:hAnsi="Times New Roman"/>
          <w:szCs w:val="24"/>
        </w:rPr>
        <w:t xml:space="preserve"> </w:t>
      </w:r>
      <w:r w:rsidR="00691B3F">
        <w:rPr>
          <w:rFonts w:ascii="Times New Roman" w:hAnsi="Times New Roman"/>
          <w:szCs w:val="24"/>
        </w:rPr>
        <w:t>When the Prosecutor determines the scope of the trial via filt</w:t>
      </w:r>
      <w:r w:rsidR="00230C45">
        <w:rPr>
          <w:rFonts w:ascii="Times New Roman" w:hAnsi="Times New Roman"/>
          <w:szCs w:val="24"/>
        </w:rPr>
        <w:t xml:space="preserve">ering of cases from situations and </w:t>
      </w:r>
      <w:r w:rsidR="00691B3F">
        <w:rPr>
          <w:rFonts w:ascii="Times New Roman" w:hAnsi="Times New Roman"/>
          <w:szCs w:val="24"/>
        </w:rPr>
        <w:t>framing of</w:t>
      </w:r>
      <w:r w:rsidR="00230C45">
        <w:rPr>
          <w:rFonts w:ascii="Times New Roman" w:hAnsi="Times New Roman"/>
          <w:szCs w:val="24"/>
        </w:rPr>
        <w:t xml:space="preserve"> charges, </w:t>
      </w:r>
      <w:r w:rsidR="002753BA" w:rsidRPr="0090470D">
        <w:rPr>
          <w:rFonts w:ascii="Times New Roman" w:hAnsi="Times New Roman"/>
          <w:szCs w:val="24"/>
        </w:rPr>
        <w:t xml:space="preserve">the exercise of </w:t>
      </w:r>
      <w:r w:rsidR="00230C45">
        <w:rPr>
          <w:rFonts w:ascii="Times New Roman" w:hAnsi="Times New Roman"/>
          <w:szCs w:val="24"/>
        </w:rPr>
        <w:t xml:space="preserve">these roles </w:t>
      </w:r>
      <w:r w:rsidR="002753BA" w:rsidRPr="0090470D">
        <w:rPr>
          <w:rFonts w:ascii="Times New Roman" w:hAnsi="Times New Roman"/>
          <w:szCs w:val="24"/>
        </w:rPr>
        <w:t>may intentionally or inadvertently affect victims’ access to justice.</w:t>
      </w:r>
      <w:r w:rsidR="00923452">
        <w:rPr>
          <w:rFonts w:ascii="Times New Roman" w:hAnsi="Times New Roman"/>
          <w:szCs w:val="24"/>
        </w:rPr>
        <w:t xml:space="preserve"> </w:t>
      </w:r>
      <w:r w:rsidR="00CC3DDF">
        <w:rPr>
          <w:rFonts w:ascii="Times New Roman" w:hAnsi="Times New Roman"/>
          <w:szCs w:val="24"/>
        </w:rPr>
        <w:t xml:space="preserve">While some victims may obtain justice </w:t>
      </w:r>
      <w:r w:rsidR="007B2B8E">
        <w:rPr>
          <w:rFonts w:ascii="Times New Roman" w:hAnsi="Times New Roman"/>
          <w:szCs w:val="24"/>
        </w:rPr>
        <w:t>through</w:t>
      </w:r>
      <w:r w:rsidR="00CC3DDF">
        <w:rPr>
          <w:rFonts w:ascii="Times New Roman" w:hAnsi="Times New Roman"/>
          <w:szCs w:val="24"/>
        </w:rPr>
        <w:t xml:space="preserve"> criminal prosecution, some victims may fall into the i</w:t>
      </w:r>
      <w:r w:rsidR="0036403E">
        <w:rPr>
          <w:rFonts w:ascii="Times New Roman" w:hAnsi="Times New Roman"/>
          <w:szCs w:val="24"/>
        </w:rPr>
        <w:t>nvestigation phase's impunity gap</w:t>
      </w:r>
      <w:r>
        <w:rPr>
          <w:rFonts w:ascii="Times New Roman" w:hAnsi="Times New Roman"/>
          <w:szCs w:val="24"/>
        </w:rPr>
        <w:t>.</w:t>
      </w:r>
      <w:r w:rsidR="00C72F79">
        <w:rPr>
          <w:rFonts w:ascii="Times New Roman" w:hAnsi="Times New Roman"/>
          <w:szCs w:val="24"/>
        </w:rPr>
        <w:t xml:space="preserve"> </w:t>
      </w:r>
      <w:r>
        <w:rPr>
          <w:rFonts w:ascii="Times New Roman" w:hAnsi="Times New Roman"/>
          <w:szCs w:val="24"/>
        </w:rPr>
        <w:t xml:space="preserve">Consequently, the exercise of the prosecutor’s discretion may </w:t>
      </w:r>
      <w:r w:rsidR="00C72F79">
        <w:rPr>
          <w:rFonts w:ascii="Times New Roman" w:hAnsi="Times New Roman"/>
          <w:szCs w:val="24"/>
        </w:rPr>
        <w:t>preclude them from progressing at this phase.</w:t>
      </w:r>
    </w:p>
    <w:p w14:paraId="3A589540" w14:textId="7681F593" w:rsidR="006A55AD" w:rsidRPr="0090470D" w:rsidRDefault="0036403E" w:rsidP="00474D70">
      <w:pPr>
        <w:spacing w:line="480" w:lineRule="auto"/>
        <w:jc w:val="both"/>
        <w:rPr>
          <w:rFonts w:ascii="Times New Roman" w:hAnsi="Times New Roman"/>
          <w:szCs w:val="24"/>
        </w:rPr>
      </w:pPr>
      <w:r>
        <w:rPr>
          <w:rFonts w:ascii="Times New Roman" w:hAnsi="Times New Roman"/>
          <w:szCs w:val="24"/>
        </w:rPr>
        <w:t xml:space="preserve">As the </w:t>
      </w:r>
      <w:r w:rsidR="003A7920">
        <w:rPr>
          <w:rFonts w:ascii="Times New Roman" w:hAnsi="Times New Roman"/>
          <w:szCs w:val="24"/>
        </w:rPr>
        <w:t>court's ‘gatekeeper’</w:t>
      </w:r>
      <w:r>
        <w:rPr>
          <w:rFonts w:ascii="Times New Roman" w:hAnsi="Times New Roman"/>
          <w:szCs w:val="24"/>
        </w:rPr>
        <w:t>, the Prosecutor</w:t>
      </w:r>
      <w:r w:rsidR="002753BA" w:rsidRPr="0090470D">
        <w:rPr>
          <w:rFonts w:ascii="Times New Roman" w:hAnsi="Times New Roman"/>
          <w:szCs w:val="24"/>
        </w:rPr>
        <w:t xml:space="preserve"> </w:t>
      </w:r>
      <w:r w:rsidR="006A55AD" w:rsidRPr="0090470D">
        <w:rPr>
          <w:rFonts w:ascii="Times New Roman" w:hAnsi="Times New Roman"/>
          <w:szCs w:val="24"/>
        </w:rPr>
        <w:t>represents the inter</w:t>
      </w:r>
      <w:r w:rsidR="003A7920">
        <w:rPr>
          <w:rFonts w:ascii="Times New Roman" w:hAnsi="Times New Roman"/>
          <w:szCs w:val="24"/>
        </w:rPr>
        <w:t>national community's interests</w:t>
      </w:r>
      <w:r w:rsidR="006A55AD" w:rsidRPr="0090470D">
        <w:rPr>
          <w:rFonts w:ascii="Times New Roman" w:hAnsi="Times New Roman"/>
          <w:szCs w:val="24"/>
        </w:rPr>
        <w:t xml:space="preserve"> while </w:t>
      </w:r>
      <w:r w:rsidR="00F25CBA" w:rsidRPr="0090470D">
        <w:rPr>
          <w:rFonts w:ascii="Times New Roman" w:hAnsi="Times New Roman"/>
          <w:szCs w:val="24"/>
        </w:rPr>
        <w:t>the</w:t>
      </w:r>
      <w:r w:rsidR="008D7AA0">
        <w:rPr>
          <w:rFonts w:ascii="Times New Roman" w:hAnsi="Times New Roman"/>
          <w:szCs w:val="24"/>
        </w:rPr>
        <w:t>ir personal interests propel the victim</w:t>
      </w:r>
      <w:r w:rsidR="00F25CBA" w:rsidRPr="0090470D">
        <w:rPr>
          <w:rFonts w:ascii="Times New Roman" w:hAnsi="Times New Roman"/>
          <w:szCs w:val="24"/>
        </w:rPr>
        <w:t>s.</w:t>
      </w:r>
      <w:r w:rsidR="00F25CBA" w:rsidRPr="0090470D">
        <w:rPr>
          <w:rStyle w:val="FootnoteReference"/>
          <w:rFonts w:ascii="Times New Roman" w:hAnsi="Times New Roman"/>
          <w:szCs w:val="24"/>
        </w:rPr>
        <w:footnoteReference w:id="483"/>
      </w:r>
      <w:r w:rsidR="002753BA" w:rsidRPr="0090470D">
        <w:rPr>
          <w:rFonts w:ascii="Times New Roman" w:hAnsi="Times New Roman"/>
          <w:szCs w:val="24"/>
        </w:rPr>
        <w:t xml:space="preserve"> While they both perform distinct roles, there are ti</w:t>
      </w:r>
      <w:r w:rsidR="003B46D6">
        <w:rPr>
          <w:rFonts w:ascii="Times New Roman" w:hAnsi="Times New Roman"/>
          <w:szCs w:val="24"/>
        </w:rPr>
        <w:t>mes in which their</w:t>
      </w:r>
      <w:r w:rsidR="002753BA" w:rsidRPr="0090470D">
        <w:rPr>
          <w:rFonts w:ascii="Times New Roman" w:hAnsi="Times New Roman"/>
          <w:szCs w:val="24"/>
        </w:rPr>
        <w:t xml:space="preserve"> </w:t>
      </w:r>
      <w:r w:rsidR="008D7AA0">
        <w:rPr>
          <w:rFonts w:ascii="Times New Roman" w:hAnsi="Times New Roman"/>
          <w:szCs w:val="24"/>
        </w:rPr>
        <w:t>function</w:t>
      </w:r>
      <w:r w:rsidR="002753BA" w:rsidRPr="0090470D">
        <w:rPr>
          <w:rFonts w:ascii="Times New Roman" w:hAnsi="Times New Roman"/>
          <w:szCs w:val="24"/>
        </w:rPr>
        <w:t>s overlap.</w:t>
      </w:r>
      <w:r w:rsidR="00923452">
        <w:rPr>
          <w:rFonts w:ascii="Times New Roman" w:hAnsi="Times New Roman"/>
          <w:szCs w:val="24"/>
        </w:rPr>
        <w:t xml:space="preserve"> </w:t>
      </w:r>
      <w:r w:rsidR="00CC3DDF">
        <w:rPr>
          <w:rFonts w:ascii="Times New Roman" w:hAnsi="Times New Roman"/>
          <w:szCs w:val="24"/>
        </w:rPr>
        <w:t xml:space="preserve">This overlap is not unconnected to the </w:t>
      </w:r>
      <w:r w:rsidR="006F498A">
        <w:rPr>
          <w:rFonts w:ascii="Times New Roman" w:hAnsi="Times New Roman"/>
          <w:szCs w:val="24"/>
        </w:rPr>
        <w:t>position of victims during the proceedings.</w:t>
      </w:r>
      <w:r w:rsidR="00923452">
        <w:rPr>
          <w:rFonts w:ascii="Times New Roman" w:hAnsi="Times New Roman"/>
          <w:szCs w:val="24"/>
        </w:rPr>
        <w:t xml:space="preserve"> </w:t>
      </w:r>
      <w:r w:rsidR="006F498A">
        <w:rPr>
          <w:rFonts w:ascii="Times New Roman" w:hAnsi="Times New Roman"/>
          <w:szCs w:val="24"/>
        </w:rPr>
        <w:t xml:space="preserve">Victims’ interest intersects with </w:t>
      </w:r>
      <w:r w:rsidR="00923452">
        <w:rPr>
          <w:rFonts w:ascii="Times New Roman" w:hAnsi="Times New Roman"/>
          <w:szCs w:val="24"/>
        </w:rPr>
        <w:t xml:space="preserve">the </w:t>
      </w:r>
      <w:r>
        <w:rPr>
          <w:rFonts w:ascii="Times New Roman" w:hAnsi="Times New Roman"/>
          <w:szCs w:val="24"/>
        </w:rPr>
        <w:t>prosecutor's interests</w:t>
      </w:r>
      <w:r w:rsidR="006F498A">
        <w:rPr>
          <w:rFonts w:ascii="Times New Roman" w:hAnsi="Times New Roman"/>
          <w:szCs w:val="24"/>
        </w:rPr>
        <w:t>, especially in the determination of truth and justice.</w:t>
      </w:r>
      <w:r w:rsidR="008D7AA0">
        <w:rPr>
          <w:rFonts w:ascii="Times New Roman" w:hAnsi="Times New Roman"/>
          <w:szCs w:val="24"/>
        </w:rPr>
        <w:t xml:space="preserve"> At this phase, the court must strike a balance between these interests </w:t>
      </w:r>
    </w:p>
    <w:p w14:paraId="0CB3C72D" w14:textId="2FDA1E0F" w:rsidR="008D7AA0" w:rsidRPr="00772CFF" w:rsidRDefault="008D7AA0" w:rsidP="008D7AA0">
      <w:pPr>
        <w:spacing w:line="480" w:lineRule="auto"/>
        <w:jc w:val="both"/>
        <w:rPr>
          <w:rFonts w:ascii="Times New Roman" w:hAnsi="Times New Roman"/>
          <w:szCs w:val="24"/>
        </w:rPr>
      </w:pPr>
      <w:bookmarkStart w:id="33" w:name="_Hlk56608964"/>
      <w:r w:rsidRPr="0090470D">
        <w:rPr>
          <w:rFonts w:ascii="Times New Roman" w:hAnsi="Times New Roman"/>
          <w:szCs w:val="24"/>
        </w:rPr>
        <w:lastRenderedPageBreak/>
        <w:t xml:space="preserve">It has been established that the  Prosecutor has </w:t>
      </w:r>
      <w:r>
        <w:rPr>
          <w:rFonts w:ascii="Times New Roman" w:hAnsi="Times New Roman"/>
          <w:szCs w:val="24"/>
        </w:rPr>
        <w:t>sweeping</w:t>
      </w:r>
      <w:r w:rsidRPr="0090470D">
        <w:rPr>
          <w:rFonts w:ascii="Times New Roman" w:hAnsi="Times New Roman"/>
          <w:szCs w:val="24"/>
        </w:rPr>
        <w:t xml:space="preserve"> discretionary powers which </w:t>
      </w:r>
      <w:r>
        <w:rPr>
          <w:rFonts w:ascii="Times New Roman" w:hAnsi="Times New Roman"/>
          <w:szCs w:val="24"/>
        </w:rPr>
        <w:t>are</w:t>
      </w:r>
      <w:r w:rsidRPr="0090470D">
        <w:rPr>
          <w:rFonts w:ascii="Times New Roman" w:hAnsi="Times New Roman"/>
          <w:szCs w:val="24"/>
        </w:rPr>
        <w:t xml:space="preserve"> not well regulated provided he acts </w:t>
      </w:r>
      <w:r>
        <w:rPr>
          <w:rFonts w:ascii="Times New Roman" w:hAnsi="Times New Roman"/>
          <w:szCs w:val="24"/>
        </w:rPr>
        <w:t>within his mandate</w:t>
      </w:r>
      <w:r w:rsidRPr="0090470D">
        <w:rPr>
          <w:rFonts w:ascii="Times New Roman" w:hAnsi="Times New Roman"/>
          <w:szCs w:val="24"/>
        </w:rPr>
        <w:t>.</w:t>
      </w:r>
      <w:r>
        <w:rPr>
          <w:rFonts w:ascii="Times New Roman" w:hAnsi="Times New Roman"/>
          <w:szCs w:val="24"/>
        </w:rPr>
        <w:t xml:space="preserve"> </w:t>
      </w:r>
      <w:r w:rsidRPr="0090470D">
        <w:rPr>
          <w:rFonts w:ascii="Times New Roman" w:hAnsi="Times New Roman"/>
          <w:szCs w:val="24"/>
        </w:rPr>
        <w:t>Th</w:t>
      </w:r>
      <w:r w:rsidR="00B75990">
        <w:rPr>
          <w:rFonts w:ascii="Times New Roman" w:hAnsi="Times New Roman"/>
          <w:szCs w:val="24"/>
        </w:rPr>
        <w:t>ese unlimited powers encompass about</w:t>
      </w:r>
      <w:r w:rsidRPr="0090470D">
        <w:rPr>
          <w:rFonts w:ascii="Times New Roman" w:hAnsi="Times New Roman"/>
          <w:szCs w:val="24"/>
        </w:rPr>
        <w:t xml:space="preserve"> temporal, jurisdictional, material and personal competence.</w:t>
      </w:r>
      <w:r w:rsidRPr="0090470D">
        <w:rPr>
          <w:rFonts w:ascii="Times New Roman" w:hAnsi="Times New Roman"/>
          <w:szCs w:val="24"/>
          <w:vertAlign w:val="superscript"/>
        </w:rPr>
        <w:footnoteReference w:id="484"/>
      </w:r>
      <w:bookmarkEnd w:id="33"/>
      <w:r>
        <w:rPr>
          <w:rFonts w:ascii="Times New Roman" w:hAnsi="Times New Roman"/>
          <w:szCs w:val="24"/>
        </w:rPr>
        <w:t xml:space="preserve"> </w:t>
      </w:r>
      <w:proofErr w:type="spellStart"/>
      <w:r>
        <w:rPr>
          <w:rFonts w:ascii="Times New Roman" w:hAnsi="Times New Roman"/>
          <w:szCs w:val="24"/>
        </w:rPr>
        <w:t>Aptel</w:t>
      </w:r>
      <w:proofErr w:type="spellEnd"/>
      <w:r>
        <w:rPr>
          <w:rFonts w:ascii="Times New Roman" w:hAnsi="Times New Roman"/>
          <w:szCs w:val="24"/>
        </w:rPr>
        <w:t xml:space="preserve"> asserts that in </w:t>
      </w:r>
      <w:r w:rsidR="0036403E">
        <w:rPr>
          <w:rFonts w:ascii="Times New Roman" w:hAnsi="Times New Roman"/>
          <w:szCs w:val="24"/>
        </w:rPr>
        <w:t>selecting</w:t>
      </w:r>
      <w:r>
        <w:rPr>
          <w:rFonts w:ascii="Times New Roman" w:hAnsi="Times New Roman"/>
          <w:szCs w:val="24"/>
        </w:rPr>
        <w:t xml:space="preserve"> situations and cases, the Prosecutor does not consider credible evidence; instead, he</w:t>
      </w:r>
      <w:r w:rsidR="005400B2">
        <w:rPr>
          <w:rFonts w:ascii="Times New Roman" w:hAnsi="Times New Roman"/>
          <w:szCs w:val="24"/>
        </w:rPr>
        <w:t xml:space="preserve"> evaluates</w:t>
      </w:r>
      <w:r>
        <w:rPr>
          <w:rFonts w:ascii="Times New Roman" w:hAnsi="Times New Roman"/>
          <w:szCs w:val="24"/>
        </w:rPr>
        <w:t xml:space="preserve"> the gravity and interests of justice.</w:t>
      </w:r>
      <w:r>
        <w:rPr>
          <w:rStyle w:val="FootnoteReference"/>
          <w:rFonts w:ascii="Times New Roman" w:hAnsi="Times New Roman"/>
          <w:szCs w:val="24"/>
        </w:rPr>
        <w:footnoteReference w:id="485"/>
      </w:r>
      <w:r>
        <w:rPr>
          <w:rFonts w:ascii="Times New Roman" w:hAnsi="Times New Roman"/>
          <w:szCs w:val="24"/>
        </w:rPr>
        <w:t xml:space="preserve"> </w:t>
      </w:r>
      <w:r w:rsidRPr="00772CFF">
        <w:rPr>
          <w:rFonts w:ascii="Times New Roman" w:hAnsi="Times New Roman"/>
          <w:szCs w:val="24"/>
        </w:rPr>
        <w:t>This further enhances the powers of the Prosecutor because these concepts are not well defined in the Statute.</w:t>
      </w:r>
      <w:r w:rsidRPr="00772CFF">
        <w:rPr>
          <w:rFonts w:ascii="Times New Roman" w:hAnsi="Times New Roman"/>
          <w:szCs w:val="24"/>
          <w:vertAlign w:val="superscript"/>
        </w:rPr>
        <w:footnoteReference w:id="486"/>
      </w:r>
      <w:r>
        <w:rPr>
          <w:rFonts w:ascii="Times New Roman" w:hAnsi="Times New Roman"/>
          <w:szCs w:val="24"/>
        </w:rPr>
        <w:t xml:space="preserve"> </w:t>
      </w:r>
      <w:r w:rsidR="00786FD9">
        <w:rPr>
          <w:rFonts w:ascii="Times New Roman" w:hAnsi="Times New Roman"/>
          <w:szCs w:val="24"/>
        </w:rPr>
        <w:t>Most times, the challenges of obtaining sufficient evidence is the basis for acquittal. The OTP must enhance his strategy on investigation and evidence gathering.</w:t>
      </w:r>
    </w:p>
    <w:p w14:paraId="0F986DA6" w14:textId="33AF9637" w:rsidR="003279CE" w:rsidRDefault="0042660C" w:rsidP="00260ADE">
      <w:pPr>
        <w:spacing w:line="480" w:lineRule="auto"/>
        <w:jc w:val="both"/>
        <w:rPr>
          <w:rFonts w:ascii="Times New Roman" w:hAnsi="Times New Roman"/>
          <w:szCs w:val="24"/>
        </w:rPr>
      </w:pPr>
      <w:r w:rsidRPr="00772CFF">
        <w:rPr>
          <w:rFonts w:ascii="Times New Roman" w:hAnsi="Times New Roman"/>
          <w:szCs w:val="24"/>
        </w:rPr>
        <w:t>These take</w:t>
      </w:r>
      <w:r w:rsidR="005F0F76">
        <w:rPr>
          <w:rFonts w:ascii="Times New Roman" w:hAnsi="Times New Roman"/>
          <w:szCs w:val="24"/>
        </w:rPr>
        <w:t>n together sugges</w:t>
      </w:r>
      <w:r w:rsidR="00251EA4">
        <w:rPr>
          <w:rFonts w:ascii="Times New Roman" w:hAnsi="Times New Roman"/>
          <w:szCs w:val="24"/>
        </w:rPr>
        <w:t>t that the charging document</w:t>
      </w:r>
      <w:r w:rsidR="005F0F76">
        <w:rPr>
          <w:rFonts w:ascii="Times New Roman" w:hAnsi="Times New Roman"/>
          <w:szCs w:val="24"/>
        </w:rPr>
        <w:t xml:space="preserve"> </w:t>
      </w:r>
      <w:r w:rsidR="003A7920">
        <w:rPr>
          <w:rFonts w:ascii="Times New Roman" w:hAnsi="Times New Roman"/>
          <w:szCs w:val="24"/>
        </w:rPr>
        <w:t>significantly influences</w:t>
      </w:r>
      <w:r w:rsidR="005F0F76">
        <w:rPr>
          <w:rFonts w:ascii="Times New Roman" w:hAnsi="Times New Roman"/>
          <w:szCs w:val="24"/>
        </w:rPr>
        <w:t xml:space="preserve"> victims</w:t>
      </w:r>
      <w:r w:rsidR="0036403E">
        <w:rPr>
          <w:rFonts w:ascii="Times New Roman" w:hAnsi="Times New Roman"/>
          <w:szCs w:val="24"/>
        </w:rPr>
        <w:t>' rights and interests due to the prosecutor's vast discretionary powers</w:t>
      </w:r>
      <w:r w:rsidRPr="00772CFF">
        <w:rPr>
          <w:rFonts w:ascii="Times New Roman" w:hAnsi="Times New Roman"/>
          <w:szCs w:val="24"/>
        </w:rPr>
        <w:t>.</w:t>
      </w:r>
      <w:r w:rsidR="00E4501A">
        <w:rPr>
          <w:rFonts w:ascii="Times New Roman" w:hAnsi="Times New Roman"/>
          <w:szCs w:val="24"/>
        </w:rPr>
        <w:t xml:space="preserve"> </w:t>
      </w:r>
      <w:proofErr w:type="spellStart"/>
      <w:r w:rsidR="00E4501A">
        <w:rPr>
          <w:rFonts w:ascii="Times New Roman" w:hAnsi="Times New Roman"/>
          <w:szCs w:val="24"/>
        </w:rPr>
        <w:t>Some times</w:t>
      </w:r>
      <w:proofErr w:type="spellEnd"/>
      <w:r w:rsidR="00E4501A">
        <w:rPr>
          <w:rFonts w:ascii="Times New Roman" w:hAnsi="Times New Roman"/>
          <w:szCs w:val="24"/>
        </w:rPr>
        <w:t>, the charging document may contain partial truth.</w:t>
      </w:r>
      <w:r w:rsidR="00923452">
        <w:rPr>
          <w:rFonts w:ascii="Times New Roman" w:hAnsi="Times New Roman"/>
          <w:szCs w:val="24"/>
        </w:rPr>
        <w:t xml:space="preserve"> </w:t>
      </w:r>
      <w:r w:rsidR="00251EA4">
        <w:rPr>
          <w:rFonts w:ascii="Times New Roman" w:hAnsi="Times New Roman"/>
          <w:szCs w:val="24"/>
        </w:rPr>
        <w:t xml:space="preserve">While the decision is within the </w:t>
      </w:r>
      <w:r w:rsidR="0036403E">
        <w:rPr>
          <w:rFonts w:ascii="Times New Roman" w:hAnsi="Times New Roman"/>
          <w:szCs w:val="24"/>
        </w:rPr>
        <w:t>judges' power</w:t>
      </w:r>
      <w:r w:rsidR="00251EA4">
        <w:rPr>
          <w:rFonts w:ascii="Times New Roman" w:hAnsi="Times New Roman"/>
          <w:szCs w:val="24"/>
        </w:rPr>
        <w:t>, as illustrated in the Lubanga case, they cannot exceed the c</w:t>
      </w:r>
      <w:r w:rsidR="003A7920">
        <w:rPr>
          <w:rFonts w:ascii="Times New Roman" w:hAnsi="Times New Roman"/>
          <w:szCs w:val="24"/>
        </w:rPr>
        <w:t>harges' content</w:t>
      </w:r>
      <w:r w:rsidR="00251EA4">
        <w:rPr>
          <w:rFonts w:ascii="Times New Roman" w:hAnsi="Times New Roman"/>
          <w:szCs w:val="24"/>
        </w:rPr>
        <w:t>.</w:t>
      </w:r>
      <w:r w:rsidR="00251EA4">
        <w:rPr>
          <w:rStyle w:val="FootnoteReference"/>
          <w:rFonts w:ascii="Times New Roman" w:hAnsi="Times New Roman"/>
          <w:szCs w:val="24"/>
        </w:rPr>
        <w:footnoteReference w:id="487"/>
      </w:r>
      <w:r w:rsidR="005F0F76">
        <w:rPr>
          <w:rFonts w:ascii="Times New Roman" w:hAnsi="Times New Roman"/>
          <w:szCs w:val="24"/>
        </w:rPr>
        <w:t xml:space="preserve"> </w:t>
      </w:r>
      <w:r w:rsidRPr="00772CFF">
        <w:rPr>
          <w:rFonts w:ascii="Times New Roman" w:hAnsi="Times New Roman"/>
          <w:szCs w:val="24"/>
        </w:rPr>
        <w:t>Unfortunately, the ICC</w:t>
      </w:r>
      <w:r w:rsidR="005F0F76">
        <w:rPr>
          <w:rFonts w:ascii="Times New Roman" w:hAnsi="Times New Roman"/>
          <w:szCs w:val="24"/>
        </w:rPr>
        <w:t xml:space="preserve"> is also restricted in criminal prosecution </w:t>
      </w:r>
      <w:r w:rsidR="003279CE">
        <w:rPr>
          <w:rFonts w:ascii="Times New Roman" w:hAnsi="Times New Roman"/>
          <w:szCs w:val="24"/>
        </w:rPr>
        <w:t xml:space="preserve">as </w:t>
      </w:r>
      <w:r w:rsidR="00E4501A">
        <w:rPr>
          <w:rFonts w:ascii="Times New Roman" w:hAnsi="Times New Roman"/>
          <w:szCs w:val="24"/>
        </w:rPr>
        <w:t>it</w:t>
      </w:r>
      <w:r w:rsidR="003279CE">
        <w:rPr>
          <w:rFonts w:ascii="Times New Roman" w:hAnsi="Times New Roman"/>
          <w:szCs w:val="24"/>
        </w:rPr>
        <w:t xml:space="preserve"> </w:t>
      </w:r>
      <w:r w:rsidRPr="00772CFF">
        <w:rPr>
          <w:rFonts w:ascii="Times New Roman" w:hAnsi="Times New Roman"/>
          <w:szCs w:val="24"/>
        </w:rPr>
        <w:t>cannot try all the perpetrators because it will slow do</w:t>
      </w:r>
      <w:r w:rsidR="003279CE">
        <w:rPr>
          <w:rFonts w:ascii="Times New Roman" w:hAnsi="Times New Roman"/>
          <w:szCs w:val="24"/>
        </w:rPr>
        <w:t xml:space="preserve">wn the </w:t>
      </w:r>
      <w:r w:rsidR="0036403E">
        <w:rPr>
          <w:rFonts w:ascii="Times New Roman" w:hAnsi="Times New Roman"/>
          <w:szCs w:val="24"/>
        </w:rPr>
        <w:t>Court's efficiency</w:t>
      </w:r>
      <w:r w:rsidR="003279CE">
        <w:rPr>
          <w:rFonts w:ascii="Times New Roman" w:hAnsi="Times New Roman"/>
          <w:szCs w:val="24"/>
        </w:rPr>
        <w:t>.</w:t>
      </w:r>
    </w:p>
    <w:p w14:paraId="65B325BC" w14:textId="6D1FBFD4" w:rsidR="00F01F51" w:rsidRDefault="00260ADE" w:rsidP="00F01F51">
      <w:pPr>
        <w:spacing w:line="480" w:lineRule="auto"/>
        <w:jc w:val="both"/>
        <w:rPr>
          <w:rFonts w:ascii="Times New Roman" w:hAnsi="Times New Roman"/>
          <w:szCs w:val="24"/>
        </w:rPr>
      </w:pPr>
      <w:r>
        <w:rPr>
          <w:rFonts w:ascii="Times New Roman" w:hAnsi="Times New Roman"/>
          <w:szCs w:val="24"/>
        </w:rPr>
        <w:lastRenderedPageBreak/>
        <w:t>So far, this chapter has discussed the influence of prosecutorial discretion on victims’ rights and interests.</w:t>
      </w:r>
      <w:r w:rsidR="00923452">
        <w:rPr>
          <w:rFonts w:ascii="Times New Roman" w:hAnsi="Times New Roman"/>
          <w:szCs w:val="24"/>
        </w:rPr>
        <w:t xml:space="preserve"> </w:t>
      </w:r>
      <w:r w:rsidR="00B43C53">
        <w:rPr>
          <w:rFonts w:ascii="Times New Roman" w:hAnsi="Times New Roman"/>
          <w:szCs w:val="24"/>
        </w:rPr>
        <w:t xml:space="preserve">The next chapter </w:t>
      </w:r>
      <w:r w:rsidR="006A79C9">
        <w:rPr>
          <w:rFonts w:ascii="Times New Roman" w:hAnsi="Times New Roman"/>
          <w:szCs w:val="24"/>
        </w:rPr>
        <w:t>will</w:t>
      </w:r>
      <w:r w:rsidR="00B43C53">
        <w:rPr>
          <w:rFonts w:ascii="Times New Roman" w:hAnsi="Times New Roman"/>
          <w:szCs w:val="24"/>
        </w:rPr>
        <w:t xml:space="preserve"> critically </w:t>
      </w:r>
      <w:r w:rsidR="006A79C9">
        <w:rPr>
          <w:rFonts w:ascii="Times New Roman" w:hAnsi="Times New Roman"/>
          <w:szCs w:val="24"/>
        </w:rPr>
        <w:t>analyse</w:t>
      </w:r>
      <w:r>
        <w:rPr>
          <w:rFonts w:ascii="Times New Roman" w:hAnsi="Times New Roman"/>
          <w:szCs w:val="24"/>
        </w:rPr>
        <w:t xml:space="preserve"> </w:t>
      </w:r>
      <w:r w:rsidR="00AD2858">
        <w:rPr>
          <w:rFonts w:ascii="Times New Roman" w:hAnsi="Times New Roman"/>
          <w:szCs w:val="24"/>
        </w:rPr>
        <w:t xml:space="preserve">the </w:t>
      </w:r>
      <w:r>
        <w:rPr>
          <w:rFonts w:ascii="Times New Roman" w:hAnsi="Times New Roman"/>
          <w:szCs w:val="24"/>
        </w:rPr>
        <w:t xml:space="preserve">victims’ rights and interests during </w:t>
      </w:r>
      <w:r w:rsidR="00923452">
        <w:rPr>
          <w:rFonts w:ascii="Times New Roman" w:hAnsi="Times New Roman"/>
          <w:szCs w:val="24"/>
        </w:rPr>
        <w:t xml:space="preserve">the </w:t>
      </w:r>
      <w:r>
        <w:rPr>
          <w:rFonts w:ascii="Times New Roman" w:hAnsi="Times New Roman"/>
          <w:szCs w:val="24"/>
        </w:rPr>
        <w:t>trial process.</w:t>
      </w:r>
    </w:p>
    <w:p w14:paraId="24BB927D" w14:textId="77777777" w:rsidR="00F01F51" w:rsidRDefault="00F01F51">
      <w:pPr>
        <w:spacing w:after="0" w:line="240" w:lineRule="auto"/>
        <w:rPr>
          <w:rFonts w:ascii="Times New Roman" w:hAnsi="Times New Roman"/>
          <w:szCs w:val="24"/>
        </w:rPr>
      </w:pPr>
      <w:r>
        <w:rPr>
          <w:rFonts w:ascii="Times New Roman" w:hAnsi="Times New Roman"/>
          <w:szCs w:val="24"/>
        </w:rPr>
        <w:br w:type="page"/>
      </w:r>
    </w:p>
    <w:p w14:paraId="4AEF7C2F" w14:textId="77777777" w:rsidR="00ED0FBF" w:rsidRDefault="00ED0FBF" w:rsidP="00F01F51">
      <w:pPr>
        <w:spacing w:after="0" w:line="240" w:lineRule="auto"/>
        <w:rPr>
          <w:rFonts w:ascii="Times New Roman" w:hAnsi="Times New Roman"/>
          <w:szCs w:val="24"/>
        </w:rPr>
        <w:sectPr w:rsidR="00ED0FBF" w:rsidSect="00260E21">
          <w:footnotePr>
            <w:pos w:val="beneathText"/>
            <w:numRestart w:val="eachSect"/>
          </w:footnotePr>
          <w:pgSz w:w="11906" w:h="16838"/>
          <w:pgMar w:top="1440" w:right="1797" w:bottom="1440" w:left="1797" w:header="709" w:footer="709" w:gutter="0"/>
          <w:cols w:space="708"/>
          <w:docGrid w:linePitch="360"/>
        </w:sectPr>
      </w:pPr>
    </w:p>
    <w:p w14:paraId="0C91414C" w14:textId="564544A7" w:rsidR="006E622A" w:rsidRPr="00F01F51" w:rsidRDefault="00AA2F63" w:rsidP="00D55500">
      <w:pPr>
        <w:pStyle w:val="Heading1"/>
        <w:rPr>
          <w:i/>
        </w:rPr>
      </w:pPr>
      <w:r>
        <w:lastRenderedPageBreak/>
        <w:t xml:space="preserve"> </w:t>
      </w:r>
      <w:bookmarkStart w:id="34" w:name="_Toc60235811"/>
      <w:r w:rsidR="006001A1" w:rsidRPr="00AA2F63">
        <w:t>3.0</w:t>
      </w:r>
      <w:r w:rsidR="00A53707">
        <w:t xml:space="preserve"> </w:t>
      </w:r>
      <w:r w:rsidR="00A83774" w:rsidRPr="00AA2F63">
        <w:t>Chapter 3-Trial Process</w:t>
      </w:r>
      <w:bookmarkEnd w:id="34"/>
    </w:p>
    <w:p w14:paraId="3B82B8F5" w14:textId="77777777" w:rsidR="006E622A" w:rsidRPr="006E622A" w:rsidRDefault="006E622A" w:rsidP="006E622A">
      <w:pPr>
        <w:spacing w:after="0" w:line="240" w:lineRule="auto"/>
        <w:jc w:val="both"/>
        <w:rPr>
          <w:rFonts w:ascii="Times New Roman" w:eastAsia="Cambria" w:hAnsi="Times New Roman"/>
          <w:szCs w:val="24"/>
          <w:lang w:eastAsia="ja-JP"/>
        </w:rPr>
      </w:pPr>
    </w:p>
    <w:p w14:paraId="20FE5943" w14:textId="77777777" w:rsidR="006E622A" w:rsidRPr="006E622A" w:rsidRDefault="006E622A" w:rsidP="00214DD5">
      <w:pPr>
        <w:spacing w:after="0" w:line="240" w:lineRule="auto"/>
        <w:jc w:val="center"/>
        <w:rPr>
          <w:rFonts w:ascii="Times New Roman" w:eastAsia="Cambria" w:hAnsi="Times New Roman"/>
          <w:szCs w:val="24"/>
          <w:lang w:eastAsia="ja-JP"/>
        </w:rPr>
      </w:pPr>
      <w:r w:rsidRPr="006E622A">
        <w:rPr>
          <w:rFonts w:ascii="Times New Roman" w:eastAsia="Cambria" w:hAnsi="Times New Roman"/>
          <w:szCs w:val="24"/>
          <w:lang w:eastAsia="ja-JP"/>
        </w:rPr>
        <w:t>“[</w:t>
      </w:r>
      <w:r w:rsidRPr="006E622A">
        <w:rPr>
          <w:rFonts w:ascii="Times New Roman" w:eastAsia="Cambria" w:hAnsi="Times New Roman"/>
          <w:i/>
          <w:iCs/>
          <w:color w:val="404040"/>
          <w:sz w:val="22"/>
          <w:lang w:eastAsia="ja-JP"/>
        </w:rPr>
        <w:t>I]f a judgment is grossly unjust, it is because the victim has not been afforded fair treatment</w:t>
      </w:r>
      <w:r w:rsidR="006001A1">
        <w:rPr>
          <w:rFonts w:ascii="Times New Roman" w:eastAsia="Cambria" w:hAnsi="Times New Roman"/>
          <w:i/>
          <w:iCs/>
          <w:color w:val="404040"/>
          <w:sz w:val="22"/>
          <w:lang w:eastAsia="ja-JP"/>
        </w:rPr>
        <w:t>.</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488"/>
      </w:r>
    </w:p>
    <w:p w14:paraId="58B3130A" w14:textId="77777777" w:rsidR="006E622A" w:rsidRPr="006E622A" w:rsidRDefault="006E622A" w:rsidP="006E622A">
      <w:pPr>
        <w:spacing w:after="0" w:line="240" w:lineRule="auto"/>
        <w:jc w:val="both"/>
        <w:rPr>
          <w:rFonts w:ascii="Times New Roman" w:eastAsia="Cambria" w:hAnsi="Times New Roman"/>
          <w:szCs w:val="24"/>
          <w:lang w:eastAsia="ja-JP"/>
        </w:rPr>
      </w:pPr>
    </w:p>
    <w:p w14:paraId="68EE4D35" w14:textId="77777777" w:rsidR="006E622A" w:rsidRPr="006E622A" w:rsidRDefault="006E622A" w:rsidP="006E622A">
      <w:pPr>
        <w:spacing w:after="0" w:line="240" w:lineRule="auto"/>
        <w:jc w:val="both"/>
        <w:rPr>
          <w:rFonts w:ascii="Times New Roman" w:eastAsia="Cambria" w:hAnsi="Times New Roman"/>
          <w:szCs w:val="24"/>
          <w:lang w:eastAsia="ja-JP"/>
        </w:rPr>
      </w:pPr>
    </w:p>
    <w:p w14:paraId="1914DDA5" w14:textId="77777777" w:rsidR="006E622A" w:rsidRPr="006E622A" w:rsidRDefault="006E622A" w:rsidP="00214DD5">
      <w:pPr>
        <w:spacing w:after="0" w:line="240" w:lineRule="auto"/>
        <w:jc w:val="center"/>
        <w:rPr>
          <w:rFonts w:ascii="Times New Roman" w:eastAsia="Cambria" w:hAnsi="Times New Roman"/>
          <w:i/>
          <w:szCs w:val="24"/>
          <w:lang w:eastAsia="ja-JP"/>
        </w:rPr>
      </w:pPr>
      <w:r w:rsidRPr="006E622A">
        <w:rPr>
          <w:rFonts w:ascii="Times New Roman" w:eastAsia="Cambria" w:hAnsi="Times New Roman"/>
          <w:szCs w:val="24"/>
          <w:lang w:eastAsia="ja-JP"/>
        </w:rPr>
        <w:t>“</w:t>
      </w:r>
      <w:r w:rsidRPr="006E622A">
        <w:rPr>
          <w:rFonts w:ascii="Times New Roman" w:eastAsia="Cambria" w:hAnsi="Times New Roman"/>
          <w:i/>
          <w:szCs w:val="24"/>
          <w:lang w:eastAsia="ja-JP"/>
        </w:rPr>
        <w:t>Fairness of international criminal trial legitimises the Court as opposed to the authority that creates them”</w:t>
      </w:r>
      <w:r w:rsidRPr="006E622A">
        <w:rPr>
          <w:rFonts w:ascii="Times New Roman" w:eastAsia="Cambria" w:hAnsi="Times New Roman"/>
          <w:i/>
          <w:szCs w:val="24"/>
          <w:vertAlign w:val="superscript"/>
          <w:lang w:eastAsia="ja-JP"/>
        </w:rPr>
        <w:footnoteReference w:id="489"/>
      </w:r>
    </w:p>
    <w:p w14:paraId="5087D24A" w14:textId="77777777" w:rsidR="006E622A" w:rsidRPr="006E622A" w:rsidRDefault="006E622A" w:rsidP="006E622A">
      <w:pPr>
        <w:spacing w:after="0" w:line="240" w:lineRule="auto"/>
        <w:jc w:val="both"/>
        <w:rPr>
          <w:rFonts w:ascii="Times New Roman" w:eastAsia="Cambria" w:hAnsi="Times New Roman"/>
          <w:szCs w:val="24"/>
          <w:lang w:eastAsia="ja-JP"/>
        </w:rPr>
      </w:pPr>
    </w:p>
    <w:p w14:paraId="059B4870" w14:textId="77777777" w:rsidR="006E622A" w:rsidRPr="006E622A" w:rsidRDefault="006E622A" w:rsidP="006E622A">
      <w:pPr>
        <w:spacing w:after="0" w:line="240" w:lineRule="auto"/>
        <w:jc w:val="both"/>
        <w:rPr>
          <w:rFonts w:ascii="Times New Roman" w:eastAsia="Cambria" w:hAnsi="Times New Roman"/>
          <w:szCs w:val="24"/>
          <w:lang w:eastAsia="ja-JP"/>
        </w:rPr>
      </w:pPr>
    </w:p>
    <w:p w14:paraId="163CA770" w14:textId="2FF03BFF" w:rsidR="00B4401B" w:rsidRPr="00BA1EFB" w:rsidRDefault="005B12CD" w:rsidP="00A44B61">
      <w:pPr>
        <w:pStyle w:val="Heading2"/>
        <w:rPr>
          <w:rFonts w:ascii="Calibri" w:eastAsia="MS Gothic" w:hAnsi="Calibri"/>
          <w:lang w:eastAsia="ja-JP"/>
        </w:rPr>
      </w:pPr>
      <w:bookmarkStart w:id="35" w:name="_Toc60235812"/>
      <w:r>
        <w:rPr>
          <w:rFonts w:ascii="Calibri" w:eastAsia="MS Gothic" w:hAnsi="Calibri"/>
          <w:lang w:eastAsia="ja-JP"/>
        </w:rPr>
        <w:t>3.1</w:t>
      </w:r>
      <w:r w:rsidR="006A79C9" w:rsidRPr="00BA1EFB">
        <w:rPr>
          <w:rFonts w:ascii="Calibri" w:eastAsia="MS Gothic" w:hAnsi="Calibri"/>
          <w:lang w:eastAsia="ja-JP"/>
        </w:rPr>
        <w:t xml:space="preserve"> </w:t>
      </w:r>
      <w:r w:rsidR="006E622A" w:rsidRPr="00214DD5">
        <w:rPr>
          <w:rFonts w:eastAsia="MS Gothic"/>
          <w:lang w:eastAsia="ja-JP"/>
        </w:rPr>
        <w:t>Introductio</w:t>
      </w:r>
      <w:r w:rsidR="00F67010" w:rsidRPr="00214DD5">
        <w:rPr>
          <w:rFonts w:eastAsia="MS Gothic"/>
          <w:lang w:eastAsia="ja-JP"/>
        </w:rPr>
        <w:t>n</w:t>
      </w:r>
      <w:r w:rsidR="00F67010" w:rsidRPr="00BA1EFB">
        <w:rPr>
          <w:rFonts w:ascii="Calibri" w:eastAsia="MS Gothic" w:hAnsi="Calibri"/>
          <w:lang w:eastAsia="ja-JP"/>
        </w:rPr>
        <w:t>.</w:t>
      </w:r>
      <w:bookmarkEnd w:id="35"/>
    </w:p>
    <w:p w14:paraId="186CEF1F" w14:textId="1DFCCEA2" w:rsidR="006001A1" w:rsidRDefault="00C42C49" w:rsidP="006001A1">
      <w:pPr>
        <w:spacing w:after="0" w:line="480" w:lineRule="auto"/>
        <w:jc w:val="both"/>
        <w:rPr>
          <w:rFonts w:ascii="Times New Roman" w:eastAsia="Cambria" w:hAnsi="Times New Roman"/>
          <w:szCs w:val="24"/>
          <w:lang w:eastAsia="ja-JP"/>
        </w:rPr>
      </w:pPr>
      <w:r w:rsidRPr="006001A1">
        <w:rPr>
          <w:rFonts w:ascii="Times New Roman" w:eastAsia="Cambria" w:hAnsi="Times New Roman"/>
          <w:szCs w:val="24"/>
          <w:lang w:eastAsia="ja-JP"/>
        </w:rPr>
        <w:t xml:space="preserve">The trial process is a fundamental </w:t>
      </w:r>
      <w:r w:rsidR="00C223DD" w:rsidRPr="006001A1">
        <w:rPr>
          <w:rFonts w:ascii="Times New Roman" w:eastAsia="Cambria" w:hAnsi="Times New Roman"/>
          <w:szCs w:val="24"/>
          <w:lang w:eastAsia="ja-JP"/>
        </w:rPr>
        <w:t>phase of</w:t>
      </w:r>
      <w:r w:rsidR="006001A1">
        <w:rPr>
          <w:rFonts w:ascii="Times New Roman" w:eastAsia="Cambria" w:hAnsi="Times New Roman"/>
          <w:szCs w:val="24"/>
          <w:lang w:eastAsia="ja-JP"/>
        </w:rPr>
        <w:t xml:space="preserve"> criminal prosecution. It</w:t>
      </w:r>
      <w:r w:rsidR="00C223DD" w:rsidRPr="006001A1">
        <w:rPr>
          <w:rFonts w:ascii="Times New Roman" w:eastAsia="Cambria" w:hAnsi="Times New Roman"/>
          <w:szCs w:val="24"/>
          <w:lang w:eastAsia="ja-JP"/>
        </w:rPr>
        <w:t xml:space="preserve"> is</w:t>
      </w:r>
      <w:r w:rsidR="006001A1">
        <w:rPr>
          <w:rFonts w:ascii="Times New Roman" w:eastAsia="Cambria" w:hAnsi="Times New Roman"/>
          <w:szCs w:val="24"/>
          <w:lang w:eastAsia="ja-JP"/>
        </w:rPr>
        <w:t xml:space="preserve"> a</w:t>
      </w:r>
      <w:r w:rsidR="00C223DD" w:rsidRPr="006001A1">
        <w:rPr>
          <w:rFonts w:ascii="Times New Roman" w:eastAsia="Cambria" w:hAnsi="Times New Roman"/>
          <w:szCs w:val="24"/>
          <w:lang w:eastAsia="ja-JP"/>
        </w:rPr>
        <w:t xml:space="preserve"> platform where the prosecutor, defence and victims persuade the judges for the </w:t>
      </w:r>
      <w:r w:rsidR="00A05281">
        <w:rPr>
          <w:rFonts w:ascii="Times New Roman" w:eastAsia="Cambria" w:hAnsi="Times New Roman"/>
          <w:szCs w:val="24"/>
          <w:lang w:eastAsia="ja-JP"/>
        </w:rPr>
        <w:t>primary</w:t>
      </w:r>
      <w:r w:rsidR="00C223DD" w:rsidRPr="006001A1">
        <w:rPr>
          <w:rFonts w:ascii="Times New Roman" w:eastAsia="Cambria" w:hAnsi="Times New Roman"/>
          <w:szCs w:val="24"/>
          <w:lang w:eastAsia="ja-JP"/>
        </w:rPr>
        <w:t xml:space="preserve"> purpose of obtaining </w:t>
      </w:r>
      <w:r w:rsidR="006001A1">
        <w:rPr>
          <w:rFonts w:ascii="Times New Roman" w:eastAsia="Cambria" w:hAnsi="Times New Roman"/>
          <w:szCs w:val="24"/>
          <w:lang w:eastAsia="ja-JP"/>
        </w:rPr>
        <w:t xml:space="preserve">a </w:t>
      </w:r>
      <w:r w:rsidR="00C223DD" w:rsidRPr="006001A1">
        <w:rPr>
          <w:rFonts w:ascii="Times New Roman" w:eastAsia="Cambria" w:hAnsi="Times New Roman"/>
          <w:szCs w:val="24"/>
          <w:lang w:eastAsia="ja-JP"/>
        </w:rPr>
        <w:t>favourable outcome.</w:t>
      </w:r>
      <w:r w:rsidR="006001A1">
        <w:rPr>
          <w:rFonts w:ascii="Times New Roman" w:eastAsia="Cambria" w:hAnsi="Times New Roman"/>
          <w:szCs w:val="24"/>
          <w:lang w:eastAsia="ja-JP"/>
        </w:rPr>
        <w:t xml:space="preserve"> </w:t>
      </w:r>
      <w:r w:rsidR="00C223DD" w:rsidRPr="006001A1">
        <w:rPr>
          <w:rFonts w:ascii="Times New Roman" w:eastAsia="Cambria" w:hAnsi="Times New Roman"/>
          <w:szCs w:val="24"/>
          <w:lang w:eastAsia="ja-JP"/>
        </w:rPr>
        <w:t>This phase is mainly structured with rules and procedure</w:t>
      </w:r>
      <w:r w:rsidR="006001A1">
        <w:rPr>
          <w:rFonts w:ascii="Times New Roman" w:eastAsia="Cambria" w:hAnsi="Times New Roman"/>
          <w:szCs w:val="24"/>
          <w:lang w:eastAsia="ja-JP"/>
        </w:rPr>
        <w:t>s</w:t>
      </w:r>
      <w:r w:rsidR="00C223DD" w:rsidRPr="006001A1">
        <w:rPr>
          <w:rFonts w:ascii="Times New Roman" w:eastAsia="Cambria" w:hAnsi="Times New Roman"/>
          <w:szCs w:val="24"/>
          <w:lang w:eastAsia="ja-JP"/>
        </w:rPr>
        <w:t>.</w:t>
      </w:r>
      <w:r w:rsidR="002C0D22">
        <w:rPr>
          <w:rFonts w:ascii="Times New Roman" w:eastAsia="Cambria" w:hAnsi="Times New Roman"/>
          <w:szCs w:val="24"/>
          <w:lang w:eastAsia="ja-JP"/>
        </w:rPr>
        <w:t xml:space="preserve"> T</w:t>
      </w:r>
      <w:r w:rsidR="002A62C8">
        <w:rPr>
          <w:rFonts w:ascii="Times New Roman" w:eastAsia="Cambria" w:hAnsi="Times New Roman"/>
          <w:szCs w:val="24"/>
          <w:lang w:eastAsia="ja-JP"/>
        </w:rPr>
        <w:t>his chapter</w:t>
      </w:r>
      <w:r w:rsidR="00C223DD" w:rsidRPr="006001A1">
        <w:rPr>
          <w:rFonts w:ascii="Times New Roman" w:eastAsia="Cambria" w:hAnsi="Times New Roman"/>
          <w:szCs w:val="24"/>
          <w:lang w:eastAsia="ja-JP"/>
        </w:rPr>
        <w:t xml:space="preserve"> shall discuss procedural fairness</w:t>
      </w:r>
      <w:r w:rsidR="002C0D22">
        <w:rPr>
          <w:rFonts w:ascii="Times New Roman" w:eastAsia="Cambria" w:hAnsi="Times New Roman"/>
          <w:szCs w:val="24"/>
          <w:lang w:eastAsia="ja-JP"/>
        </w:rPr>
        <w:t xml:space="preserve"> to create a better understanding of this topic.</w:t>
      </w:r>
      <w:r w:rsidR="00C223DD" w:rsidRPr="006001A1">
        <w:rPr>
          <w:rFonts w:ascii="Times New Roman" w:eastAsia="Cambria" w:hAnsi="Times New Roman"/>
          <w:szCs w:val="24"/>
          <w:lang w:eastAsia="ja-JP"/>
        </w:rPr>
        <w:t xml:space="preserve"> </w:t>
      </w:r>
      <w:r w:rsidR="00375D26" w:rsidRPr="006001A1">
        <w:rPr>
          <w:rFonts w:ascii="Times New Roman" w:eastAsia="Cambria" w:hAnsi="Times New Roman"/>
          <w:szCs w:val="24"/>
          <w:lang w:eastAsia="ja-JP"/>
        </w:rPr>
        <w:t>There has been an increased recognition that</w:t>
      </w:r>
      <w:r w:rsidR="006001A1">
        <w:rPr>
          <w:rFonts w:ascii="Times New Roman" w:eastAsia="Cambria" w:hAnsi="Times New Roman"/>
          <w:szCs w:val="24"/>
          <w:lang w:eastAsia="ja-JP"/>
        </w:rPr>
        <w:t xml:space="preserve"> more attention needs to be focused on</w:t>
      </w:r>
      <w:r w:rsidR="00375D26" w:rsidRPr="006001A1">
        <w:rPr>
          <w:rFonts w:ascii="Times New Roman" w:eastAsia="Cambria" w:hAnsi="Times New Roman"/>
          <w:szCs w:val="24"/>
          <w:lang w:eastAsia="ja-JP"/>
        </w:rPr>
        <w:t xml:space="preserve"> </w:t>
      </w:r>
      <w:r w:rsidR="00271D8B" w:rsidRPr="006001A1">
        <w:rPr>
          <w:rFonts w:ascii="Times New Roman" w:eastAsia="Cambria" w:hAnsi="Times New Roman"/>
          <w:szCs w:val="24"/>
          <w:lang w:eastAsia="ja-JP"/>
        </w:rPr>
        <w:t>p</w:t>
      </w:r>
      <w:r w:rsidR="006E622A" w:rsidRPr="006001A1">
        <w:rPr>
          <w:rFonts w:ascii="Times New Roman" w:eastAsia="Cambria" w:hAnsi="Times New Roman"/>
          <w:szCs w:val="24"/>
          <w:lang w:eastAsia="ja-JP"/>
        </w:rPr>
        <w:t xml:space="preserve">rocedural </w:t>
      </w:r>
      <w:r w:rsidR="00271D8B" w:rsidRPr="006001A1">
        <w:rPr>
          <w:rFonts w:ascii="Times New Roman" w:eastAsia="Cambria" w:hAnsi="Times New Roman"/>
          <w:szCs w:val="24"/>
          <w:lang w:eastAsia="ja-JP"/>
        </w:rPr>
        <w:t>fairness</w:t>
      </w:r>
      <w:r w:rsidR="006E622A" w:rsidRPr="006001A1">
        <w:rPr>
          <w:rFonts w:ascii="Times New Roman" w:eastAsia="Cambria" w:hAnsi="Times New Roman"/>
          <w:szCs w:val="24"/>
          <w:lang w:eastAsia="ja-JP"/>
        </w:rPr>
        <w:t xml:space="preserve"> in criminal trials. </w:t>
      </w:r>
      <w:proofErr w:type="spellStart"/>
      <w:r w:rsidR="006E622A" w:rsidRPr="006001A1">
        <w:rPr>
          <w:rFonts w:ascii="Times New Roman" w:eastAsia="Cambria" w:hAnsi="Times New Roman"/>
          <w:szCs w:val="24"/>
          <w:lang w:eastAsia="ja-JP"/>
        </w:rPr>
        <w:t>Stahn</w:t>
      </w:r>
      <w:proofErr w:type="spellEnd"/>
      <w:r w:rsidR="006E622A" w:rsidRPr="006001A1">
        <w:rPr>
          <w:rFonts w:ascii="Times New Roman" w:eastAsia="Cambria" w:hAnsi="Times New Roman"/>
          <w:szCs w:val="24"/>
          <w:lang w:eastAsia="ja-JP"/>
        </w:rPr>
        <w:t xml:space="preserve"> states that: ‘</w:t>
      </w:r>
      <w:r w:rsidR="006E622A" w:rsidRPr="006001A1">
        <w:rPr>
          <w:rFonts w:ascii="Times New Roman" w:eastAsia="Cambria" w:hAnsi="Times New Roman"/>
          <w:i/>
          <w:szCs w:val="24"/>
          <w:lang w:eastAsia="ja-JP"/>
        </w:rPr>
        <w:t>fairness are t</w:t>
      </w:r>
      <w:r w:rsidR="006001A1">
        <w:rPr>
          <w:rFonts w:ascii="Times New Roman" w:eastAsia="Cambria" w:hAnsi="Times New Roman"/>
          <w:i/>
          <w:szCs w:val="24"/>
          <w:lang w:eastAsia="ja-JP"/>
        </w:rPr>
        <w:t>o</w:t>
      </w:r>
      <w:r w:rsidR="006E622A" w:rsidRPr="006001A1">
        <w:rPr>
          <w:rFonts w:ascii="Times New Roman" w:eastAsia="Cambria" w:hAnsi="Times New Roman"/>
          <w:i/>
          <w:szCs w:val="24"/>
          <w:lang w:eastAsia="ja-JP"/>
        </w:rPr>
        <w:t>o precious to be traded off against vengeance and effective sanction’.</w:t>
      </w:r>
      <w:r w:rsidR="006E622A" w:rsidRPr="006001A1">
        <w:rPr>
          <w:rFonts w:ascii="Times New Roman" w:eastAsia="Cambria" w:hAnsi="Times New Roman"/>
          <w:i/>
          <w:szCs w:val="24"/>
          <w:vertAlign w:val="superscript"/>
          <w:lang w:eastAsia="ja-JP"/>
        </w:rPr>
        <w:footnoteReference w:id="490"/>
      </w:r>
      <w:r w:rsidR="006E622A" w:rsidRPr="006001A1">
        <w:rPr>
          <w:rFonts w:ascii="Times New Roman" w:eastAsia="Cambria" w:hAnsi="Times New Roman"/>
          <w:szCs w:val="24"/>
          <w:lang w:eastAsia="ja-JP"/>
        </w:rPr>
        <w:t xml:space="preserve">  </w:t>
      </w:r>
      <w:r w:rsidR="00940C0C">
        <w:rPr>
          <w:rFonts w:ascii="Times New Roman" w:eastAsia="Cambria" w:hAnsi="Times New Roman"/>
          <w:szCs w:val="24"/>
          <w:lang w:eastAsia="ja-JP"/>
        </w:rPr>
        <w:t>One cannot relegate the</w:t>
      </w:r>
      <w:r w:rsidR="006E622A" w:rsidRPr="006001A1">
        <w:rPr>
          <w:rFonts w:ascii="Times New Roman" w:eastAsia="Cambria" w:hAnsi="Times New Roman"/>
          <w:szCs w:val="24"/>
          <w:lang w:eastAsia="ja-JP"/>
        </w:rPr>
        <w:t xml:space="preserve"> significance of criminal procedures at the ICC because </w:t>
      </w:r>
      <w:r w:rsidR="00940C0C">
        <w:rPr>
          <w:rFonts w:ascii="Times New Roman" w:eastAsia="Cambria" w:hAnsi="Times New Roman"/>
          <w:szCs w:val="24"/>
          <w:lang w:eastAsia="ja-JP"/>
        </w:rPr>
        <w:t>recent research findings</w:t>
      </w:r>
      <w:r w:rsidR="006E622A" w:rsidRPr="006001A1">
        <w:rPr>
          <w:rFonts w:ascii="Times New Roman" w:eastAsia="Cambria" w:hAnsi="Times New Roman"/>
          <w:szCs w:val="24"/>
          <w:lang w:eastAsia="ja-JP"/>
        </w:rPr>
        <w:t xml:space="preserve"> suggest that participants in </w:t>
      </w:r>
      <w:r w:rsidR="00CF5550">
        <w:rPr>
          <w:rFonts w:ascii="Times New Roman" w:eastAsia="Cambria" w:hAnsi="Times New Roman"/>
          <w:szCs w:val="24"/>
          <w:lang w:eastAsia="ja-JP"/>
        </w:rPr>
        <w:t xml:space="preserve">the </w:t>
      </w:r>
      <w:r w:rsidR="006E622A" w:rsidRPr="006001A1">
        <w:rPr>
          <w:rFonts w:ascii="Times New Roman" w:eastAsia="Cambria" w:hAnsi="Times New Roman"/>
          <w:szCs w:val="24"/>
          <w:lang w:eastAsia="ja-JP"/>
        </w:rPr>
        <w:t xml:space="preserve">criminal justice process rate </w:t>
      </w:r>
      <w:r w:rsidR="00271D8B" w:rsidRPr="006001A1">
        <w:rPr>
          <w:rFonts w:ascii="Times New Roman" w:eastAsia="Cambria" w:hAnsi="Times New Roman"/>
          <w:szCs w:val="24"/>
          <w:lang w:eastAsia="ja-JP"/>
        </w:rPr>
        <w:t xml:space="preserve">the </w:t>
      </w:r>
      <w:r w:rsidR="00271D8B" w:rsidRPr="006001A1">
        <w:rPr>
          <w:rFonts w:ascii="Times New Roman" w:eastAsia="Cambria" w:hAnsi="Times New Roman"/>
          <w:szCs w:val="24"/>
          <w:lang w:eastAsia="ja-JP"/>
        </w:rPr>
        <w:lastRenderedPageBreak/>
        <w:t>procedure more</w:t>
      </w:r>
      <w:r w:rsidR="006E622A" w:rsidRPr="006001A1">
        <w:rPr>
          <w:rFonts w:ascii="Times New Roman" w:eastAsia="Cambria" w:hAnsi="Times New Roman"/>
          <w:szCs w:val="24"/>
          <w:lang w:eastAsia="ja-JP"/>
        </w:rPr>
        <w:t xml:space="preserve"> than the outcome.</w:t>
      </w:r>
      <w:r w:rsidR="006E622A" w:rsidRPr="006001A1">
        <w:rPr>
          <w:rFonts w:ascii="Times New Roman" w:eastAsia="Cambria" w:hAnsi="Times New Roman"/>
          <w:szCs w:val="24"/>
          <w:vertAlign w:val="superscript"/>
          <w:lang w:eastAsia="ja-JP"/>
        </w:rPr>
        <w:footnoteReference w:id="491"/>
      </w:r>
      <w:r w:rsidR="006001A1">
        <w:rPr>
          <w:rFonts w:ascii="Times New Roman" w:eastAsia="Cambria" w:hAnsi="Times New Roman"/>
          <w:szCs w:val="24"/>
          <w:lang w:eastAsia="ja-JP"/>
        </w:rPr>
        <w:t>Several</w:t>
      </w:r>
      <w:r w:rsidR="006E622A" w:rsidRPr="006001A1">
        <w:rPr>
          <w:rFonts w:ascii="Times New Roman" w:eastAsia="Cambria" w:hAnsi="Times New Roman"/>
          <w:szCs w:val="24"/>
          <w:lang w:eastAsia="ja-JP"/>
        </w:rPr>
        <w:t xml:space="preserve"> researchers have reported on the necessity of procedural fairness.</w:t>
      </w:r>
    </w:p>
    <w:p w14:paraId="261E3E52" w14:textId="77777777" w:rsidR="00E361A0" w:rsidRPr="006001A1" w:rsidRDefault="00E361A0" w:rsidP="006001A1">
      <w:pPr>
        <w:spacing w:after="0" w:line="480" w:lineRule="auto"/>
        <w:jc w:val="both"/>
        <w:rPr>
          <w:rFonts w:ascii="Times New Roman" w:eastAsia="Cambria" w:hAnsi="Times New Roman"/>
          <w:szCs w:val="24"/>
          <w:lang w:eastAsia="ja-JP"/>
        </w:rPr>
      </w:pPr>
    </w:p>
    <w:p w14:paraId="7149A342" w14:textId="0598A694" w:rsidR="006E622A" w:rsidRPr="009C273E" w:rsidRDefault="006E622A" w:rsidP="009C273E">
      <w:pPr>
        <w:spacing w:after="0" w:line="480" w:lineRule="auto"/>
        <w:jc w:val="both"/>
        <w:rPr>
          <w:rFonts w:ascii="Times New Roman" w:eastAsia="Cambria" w:hAnsi="Times New Roman"/>
          <w:szCs w:val="24"/>
          <w:lang w:eastAsia="ja-JP"/>
        </w:rPr>
      </w:pPr>
      <w:r w:rsidRPr="006001A1">
        <w:rPr>
          <w:rFonts w:ascii="Times New Roman" w:eastAsia="Cambria" w:hAnsi="Times New Roman"/>
          <w:szCs w:val="24"/>
          <w:lang w:eastAsia="ja-JP"/>
        </w:rPr>
        <w:t>Traditionally, when procedural fairness comes up,</w:t>
      </w:r>
      <w:r w:rsidRPr="006E622A">
        <w:rPr>
          <w:rFonts w:ascii="Times New Roman" w:eastAsia="Cambria" w:hAnsi="Times New Roman"/>
          <w:sz w:val="22"/>
          <w:lang w:eastAsia="ja-JP"/>
        </w:rPr>
        <w:t xml:space="preserve"> it is not unconnected to the position of the accused during </w:t>
      </w:r>
      <w:r w:rsidR="006001A1">
        <w:rPr>
          <w:rFonts w:ascii="Times New Roman" w:eastAsia="Cambria" w:hAnsi="Times New Roman"/>
          <w:sz w:val="22"/>
          <w:lang w:eastAsia="ja-JP"/>
        </w:rPr>
        <w:t xml:space="preserve">the </w:t>
      </w:r>
      <w:r w:rsidRPr="006E622A">
        <w:rPr>
          <w:rFonts w:ascii="Times New Roman" w:eastAsia="Cambria" w:hAnsi="Times New Roman"/>
          <w:sz w:val="22"/>
          <w:lang w:eastAsia="ja-JP"/>
        </w:rPr>
        <w:t xml:space="preserve">criminal process. For instance, there are </w:t>
      </w:r>
      <w:r w:rsidR="006001A1">
        <w:rPr>
          <w:rFonts w:ascii="Times New Roman" w:eastAsia="Cambria" w:hAnsi="Times New Roman"/>
          <w:sz w:val="22"/>
          <w:lang w:eastAsia="ja-JP"/>
        </w:rPr>
        <w:t xml:space="preserve">a </w:t>
      </w:r>
      <w:r w:rsidRPr="006E622A">
        <w:rPr>
          <w:rFonts w:ascii="Times New Roman" w:eastAsia="Cambria" w:hAnsi="Times New Roman"/>
          <w:sz w:val="22"/>
          <w:lang w:eastAsia="ja-JP"/>
        </w:rPr>
        <w:t>plethora of provisions on the fair trial rights of the accused.</w:t>
      </w:r>
      <w:r w:rsidRPr="006E622A">
        <w:rPr>
          <w:rFonts w:ascii="Times New Roman" w:eastAsia="Cambria" w:hAnsi="Times New Roman"/>
          <w:sz w:val="22"/>
          <w:vertAlign w:val="superscript"/>
          <w:lang w:eastAsia="ja-JP"/>
        </w:rPr>
        <w:footnoteReference w:id="492"/>
      </w:r>
      <w:r w:rsidRPr="006E622A">
        <w:rPr>
          <w:rFonts w:ascii="Times New Roman" w:eastAsia="Cambria" w:hAnsi="Times New Roman"/>
          <w:sz w:val="22"/>
          <w:lang w:eastAsia="ja-JP"/>
        </w:rPr>
        <w:t xml:space="preserve"> Given that the ICC is a criminal court, and </w:t>
      </w:r>
      <w:r w:rsidR="00271D8B">
        <w:rPr>
          <w:rFonts w:ascii="Times New Roman" w:eastAsia="Cambria" w:hAnsi="Times New Roman"/>
          <w:sz w:val="22"/>
          <w:lang w:eastAsia="ja-JP"/>
        </w:rPr>
        <w:t>by virtue article 66(1) and</w:t>
      </w:r>
      <w:r w:rsidRPr="006E622A">
        <w:rPr>
          <w:rFonts w:ascii="Times New Roman" w:eastAsia="Cambria" w:hAnsi="Times New Roman"/>
          <w:sz w:val="22"/>
          <w:lang w:eastAsia="ja-JP"/>
        </w:rPr>
        <w:t xml:space="preserve"> (2), the </w:t>
      </w:r>
      <w:r w:rsidR="00940C0C">
        <w:rPr>
          <w:rFonts w:ascii="Times New Roman" w:eastAsia="Cambria" w:hAnsi="Times New Roman"/>
          <w:sz w:val="22"/>
          <w:lang w:eastAsia="ja-JP"/>
        </w:rPr>
        <w:t xml:space="preserve">accused's rights </w:t>
      </w:r>
      <w:r w:rsidR="00B4401B">
        <w:rPr>
          <w:rFonts w:ascii="Times New Roman" w:eastAsia="Cambria" w:hAnsi="Times New Roman"/>
          <w:sz w:val="22"/>
          <w:lang w:eastAsia="ja-JP"/>
        </w:rPr>
        <w:t xml:space="preserve">take priority </w:t>
      </w:r>
      <w:r w:rsidRPr="006E622A">
        <w:rPr>
          <w:rFonts w:ascii="Times New Roman" w:eastAsia="Cambria" w:hAnsi="Times New Roman"/>
          <w:sz w:val="22"/>
          <w:lang w:eastAsia="ja-JP"/>
        </w:rPr>
        <w:t>other issues</w:t>
      </w:r>
      <w:r w:rsidR="00271D8B">
        <w:rPr>
          <w:rFonts w:ascii="Times New Roman" w:eastAsia="Cambria" w:hAnsi="Times New Roman"/>
          <w:sz w:val="22"/>
          <w:lang w:eastAsia="ja-JP"/>
        </w:rPr>
        <w:t xml:space="preserve"> at the proceedings</w:t>
      </w:r>
      <w:r w:rsidRPr="006E622A">
        <w:rPr>
          <w:rFonts w:ascii="Times New Roman" w:eastAsia="Cambria" w:hAnsi="Times New Roman"/>
          <w:sz w:val="22"/>
          <w:lang w:eastAsia="ja-JP"/>
        </w:rPr>
        <w:t xml:space="preserve">. One question that comes to mind is the impact of procedural fairness on victims during criminal trials. Participation as an </w:t>
      </w:r>
      <w:r w:rsidR="002C0D22">
        <w:rPr>
          <w:rFonts w:ascii="Times New Roman" w:eastAsia="Cambria" w:hAnsi="Times New Roman"/>
          <w:sz w:val="22"/>
          <w:lang w:eastAsia="ja-JP"/>
        </w:rPr>
        <w:t>essential</w:t>
      </w:r>
      <w:r w:rsidRPr="006E622A">
        <w:rPr>
          <w:rFonts w:ascii="Times New Roman" w:eastAsia="Cambria" w:hAnsi="Times New Roman"/>
          <w:sz w:val="22"/>
          <w:lang w:eastAsia="ja-JP"/>
        </w:rPr>
        <w:t xml:space="preserve"> aspect of procedural fairness cannot be </w:t>
      </w:r>
      <w:proofErr w:type="spellStart"/>
      <w:r w:rsidRPr="006E622A">
        <w:rPr>
          <w:rFonts w:ascii="Times New Roman" w:eastAsia="Cambria" w:hAnsi="Times New Roman"/>
          <w:sz w:val="22"/>
          <w:lang w:eastAsia="ja-JP"/>
        </w:rPr>
        <w:t>sidelined</w:t>
      </w:r>
      <w:proofErr w:type="spellEnd"/>
      <w:r w:rsidRPr="006E622A">
        <w:rPr>
          <w:rFonts w:ascii="Times New Roman" w:eastAsia="Cambria" w:hAnsi="Times New Roman"/>
          <w:sz w:val="22"/>
          <w:lang w:eastAsia="ja-JP"/>
        </w:rPr>
        <w:t>.</w:t>
      </w:r>
      <w:r w:rsidR="00271D8B">
        <w:rPr>
          <w:rFonts w:ascii="Times New Roman" w:eastAsia="Cambria" w:hAnsi="Times New Roman"/>
          <w:sz w:val="22"/>
          <w:lang w:eastAsia="ja-JP"/>
        </w:rPr>
        <w:t xml:space="preserve"> For this purpose, it has become necessary to address </w:t>
      </w:r>
      <w:r w:rsidR="006001A1">
        <w:rPr>
          <w:rFonts w:ascii="Times New Roman" w:eastAsia="Cambria" w:hAnsi="Times New Roman"/>
          <w:sz w:val="22"/>
          <w:lang w:eastAsia="ja-JP"/>
        </w:rPr>
        <w:t xml:space="preserve">the </w:t>
      </w:r>
      <w:r w:rsidR="00271D8B">
        <w:rPr>
          <w:rFonts w:ascii="Times New Roman" w:eastAsia="Cambria" w:hAnsi="Times New Roman"/>
          <w:sz w:val="22"/>
          <w:lang w:eastAsia="ja-JP"/>
        </w:rPr>
        <w:t xml:space="preserve">fairness of procedure for victims. </w:t>
      </w:r>
      <w:r w:rsidRPr="006E622A">
        <w:rPr>
          <w:rFonts w:ascii="Times New Roman" w:eastAsia="Cambria" w:hAnsi="Times New Roman"/>
          <w:sz w:val="22"/>
          <w:lang w:eastAsia="ja-JP"/>
        </w:rPr>
        <w:t xml:space="preserve">It is worthy </w:t>
      </w:r>
      <w:r w:rsidR="00E361A0">
        <w:rPr>
          <w:rFonts w:ascii="Times New Roman" w:eastAsia="Cambria" w:hAnsi="Times New Roman"/>
          <w:sz w:val="22"/>
          <w:lang w:eastAsia="ja-JP"/>
        </w:rPr>
        <w:t>of mentioning</w:t>
      </w:r>
      <w:r w:rsidRPr="006E622A">
        <w:rPr>
          <w:rFonts w:ascii="Times New Roman" w:eastAsia="Cambria" w:hAnsi="Times New Roman"/>
          <w:sz w:val="22"/>
          <w:lang w:eastAsia="ja-JP"/>
        </w:rPr>
        <w:t xml:space="preserve"> that the ICC statute grants</w:t>
      </w:r>
      <w:r w:rsidR="0051790C">
        <w:rPr>
          <w:rFonts w:ascii="Times New Roman" w:eastAsia="Cambria" w:hAnsi="Times New Roman"/>
          <w:sz w:val="22"/>
          <w:lang w:eastAsia="ja-JP"/>
        </w:rPr>
        <w:t xml:space="preserve"> victims some procedural rights</w:t>
      </w:r>
      <w:r w:rsidRPr="006E622A">
        <w:rPr>
          <w:rFonts w:ascii="Times New Roman" w:eastAsia="Cambria" w:hAnsi="Times New Roman"/>
          <w:sz w:val="22"/>
          <w:lang w:eastAsia="ja-JP"/>
        </w:rPr>
        <w:t>.</w:t>
      </w:r>
      <w:r w:rsidR="0051790C">
        <w:rPr>
          <w:rFonts w:ascii="Times New Roman" w:eastAsia="Cambria" w:hAnsi="Times New Roman"/>
          <w:sz w:val="22"/>
          <w:lang w:eastAsia="ja-JP"/>
        </w:rPr>
        <w:t xml:space="preserve"> </w:t>
      </w:r>
      <w:r w:rsidR="002A62C8">
        <w:rPr>
          <w:rFonts w:ascii="Times New Roman" w:eastAsia="Cambria" w:hAnsi="Times New Roman"/>
          <w:sz w:val="22"/>
          <w:lang w:eastAsia="ja-JP"/>
        </w:rPr>
        <w:t>T</w:t>
      </w:r>
      <w:r w:rsidR="002C0D22">
        <w:rPr>
          <w:rFonts w:ascii="Times New Roman" w:eastAsia="Cambria" w:hAnsi="Times New Roman"/>
          <w:sz w:val="22"/>
          <w:lang w:eastAsia="ja-JP"/>
        </w:rPr>
        <w:t>h</w:t>
      </w:r>
      <w:r w:rsidR="0051790C">
        <w:rPr>
          <w:rFonts w:ascii="Times New Roman" w:eastAsia="Cambria" w:hAnsi="Times New Roman"/>
          <w:sz w:val="22"/>
          <w:lang w:eastAsia="ja-JP"/>
        </w:rPr>
        <w:t>ese rights</w:t>
      </w:r>
      <w:r w:rsidR="002A62C8">
        <w:rPr>
          <w:rFonts w:ascii="Times New Roman" w:eastAsia="Cambria" w:hAnsi="Times New Roman"/>
          <w:sz w:val="22"/>
          <w:lang w:eastAsia="ja-JP"/>
        </w:rPr>
        <w:t xml:space="preserve"> might </w:t>
      </w:r>
      <w:r w:rsidR="0051790C">
        <w:rPr>
          <w:rFonts w:ascii="Times New Roman" w:eastAsia="Cambria" w:hAnsi="Times New Roman"/>
          <w:sz w:val="22"/>
          <w:lang w:eastAsia="ja-JP"/>
        </w:rPr>
        <w:t>ensure a balance between the rights of the victims against the rights of the accused.</w:t>
      </w:r>
      <w:r w:rsidRPr="006E622A">
        <w:rPr>
          <w:rFonts w:ascii="Times New Roman" w:eastAsia="Cambria" w:hAnsi="Times New Roman"/>
          <w:sz w:val="22"/>
          <w:lang w:eastAsia="ja-JP"/>
        </w:rPr>
        <w:t xml:space="preserve"> One reasonable implication of this is that,</w:t>
      </w:r>
      <w:r w:rsidR="00E361A0">
        <w:rPr>
          <w:rFonts w:ascii="Times New Roman" w:eastAsia="Cambria" w:hAnsi="Times New Roman"/>
          <w:sz w:val="22"/>
          <w:lang w:eastAsia="ja-JP"/>
        </w:rPr>
        <w:t xml:space="preserve"> </w:t>
      </w:r>
      <w:r w:rsidRPr="006E622A">
        <w:rPr>
          <w:rFonts w:ascii="Times New Roman" w:eastAsia="Cambria" w:hAnsi="Times New Roman"/>
          <w:sz w:val="22"/>
          <w:lang w:eastAsia="ja-JP"/>
        </w:rPr>
        <w:t>in practice, it could become a challenge to implement this balance, as it may sabotage the existing rights of the accused.</w:t>
      </w:r>
      <w:r w:rsidR="0051790C">
        <w:rPr>
          <w:rFonts w:ascii="Times New Roman" w:eastAsia="Cambria" w:hAnsi="Times New Roman"/>
          <w:sz w:val="22"/>
          <w:lang w:eastAsia="ja-JP"/>
        </w:rPr>
        <w:t xml:space="preserve"> </w:t>
      </w:r>
      <w:r w:rsidR="00940C0C">
        <w:rPr>
          <w:rFonts w:ascii="Times New Roman" w:eastAsia="Cambria" w:hAnsi="Times New Roman"/>
          <w:sz w:val="22"/>
          <w:lang w:eastAsia="ja-JP"/>
        </w:rPr>
        <w:t>Suppose rights are given to victims to amend the power disparity between the accused and the victims. In that case</w:t>
      </w:r>
      <w:r w:rsidRPr="006E622A">
        <w:rPr>
          <w:rFonts w:ascii="Times New Roman" w:eastAsia="Cambria" w:hAnsi="Times New Roman"/>
          <w:sz w:val="22"/>
          <w:lang w:eastAsia="ja-JP"/>
        </w:rPr>
        <w:t xml:space="preserve">, the </w:t>
      </w:r>
      <w:r w:rsidR="003347C3">
        <w:rPr>
          <w:rFonts w:ascii="Times New Roman" w:eastAsia="Cambria" w:hAnsi="Times New Roman"/>
          <w:sz w:val="22"/>
          <w:lang w:eastAsia="ja-JP"/>
        </w:rPr>
        <w:t>‘</w:t>
      </w:r>
      <w:r w:rsidRPr="006E622A">
        <w:rPr>
          <w:rFonts w:ascii="Times New Roman" w:eastAsia="Cambria" w:hAnsi="Times New Roman"/>
          <w:sz w:val="22"/>
          <w:lang w:eastAsia="ja-JP"/>
        </w:rPr>
        <w:t>balance approach</w:t>
      </w:r>
      <w:r w:rsidR="003347C3">
        <w:rPr>
          <w:rFonts w:ascii="Times New Roman" w:eastAsia="Cambria" w:hAnsi="Times New Roman"/>
          <w:sz w:val="22"/>
          <w:lang w:eastAsia="ja-JP"/>
        </w:rPr>
        <w:t>’</w:t>
      </w:r>
      <w:r w:rsidRPr="006E622A">
        <w:rPr>
          <w:rFonts w:ascii="Times New Roman" w:eastAsia="Cambria" w:hAnsi="Times New Roman"/>
          <w:sz w:val="22"/>
          <w:lang w:eastAsia="ja-JP"/>
        </w:rPr>
        <w:t xml:space="preserve"> </w:t>
      </w:r>
      <w:r w:rsidR="0051790C">
        <w:rPr>
          <w:rFonts w:ascii="Times New Roman" w:eastAsia="Cambria" w:hAnsi="Times New Roman"/>
          <w:sz w:val="22"/>
          <w:lang w:eastAsia="ja-JP"/>
        </w:rPr>
        <w:t>may defy</w:t>
      </w:r>
      <w:r w:rsidRPr="006E622A">
        <w:rPr>
          <w:rFonts w:ascii="Times New Roman" w:eastAsia="Cambria" w:hAnsi="Times New Roman"/>
          <w:sz w:val="22"/>
          <w:lang w:eastAsia="ja-JP"/>
        </w:rPr>
        <w:t xml:space="preserve"> rational reasoning, </w:t>
      </w:r>
      <w:r w:rsidR="00E361A0">
        <w:rPr>
          <w:rFonts w:ascii="Times New Roman" w:eastAsia="Cambria" w:hAnsi="Times New Roman"/>
          <w:sz w:val="22"/>
          <w:lang w:eastAsia="ja-JP"/>
        </w:rPr>
        <w:t>even though</w:t>
      </w:r>
      <w:r w:rsidR="0051790C">
        <w:rPr>
          <w:rFonts w:ascii="Times New Roman" w:eastAsia="Cambria" w:hAnsi="Times New Roman"/>
          <w:sz w:val="22"/>
          <w:lang w:eastAsia="ja-JP"/>
        </w:rPr>
        <w:t xml:space="preserve"> the argument appears self-</w:t>
      </w:r>
      <w:r w:rsidRPr="006E622A">
        <w:rPr>
          <w:rFonts w:ascii="Times New Roman" w:eastAsia="Cambria" w:hAnsi="Times New Roman"/>
          <w:sz w:val="22"/>
          <w:lang w:eastAsia="ja-JP"/>
        </w:rPr>
        <w:t xml:space="preserve">evident, </w:t>
      </w:r>
      <w:r w:rsidR="0051790C">
        <w:rPr>
          <w:rFonts w:ascii="Times New Roman" w:eastAsia="Cambria" w:hAnsi="Times New Roman"/>
          <w:sz w:val="22"/>
          <w:lang w:eastAsia="ja-JP"/>
        </w:rPr>
        <w:t>it does not provide</w:t>
      </w:r>
      <w:r w:rsidRPr="006E622A">
        <w:rPr>
          <w:rFonts w:ascii="Times New Roman" w:eastAsia="Cambria" w:hAnsi="Times New Roman"/>
          <w:sz w:val="22"/>
          <w:lang w:eastAsia="ja-JP"/>
        </w:rPr>
        <w:t xml:space="preserve"> a satisfying perspective on the approach.</w:t>
      </w:r>
      <w:r w:rsidRPr="006E622A">
        <w:rPr>
          <w:rFonts w:ascii="Times New Roman" w:eastAsia="Cambria" w:hAnsi="Times New Roman"/>
          <w:sz w:val="22"/>
          <w:vertAlign w:val="superscript"/>
          <w:lang w:eastAsia="ja-JP"/>
        </w:rPr>
        <w:footnoteReference w:id="493"/>
      </w:r>
      <w:r w:rsidRPr="006E622A">
        <w:rPr>
          <w:rFonts w:ascii="Times New Roman" w:eastAsia="Cambria" w:hAnsi="Times New Roman"/>
          <w:sz w:val="22"/>
          <w:lang w:eastAsia="ja-JP"/>
        </w:rPr>
        <w:t xml:space="preserve">Ashworth describes </w:t>
      </w:r>
      <w:r w:rsidR="002C0D22">
        <w:rPr>
          <w:rFonts w:ascii="Times New Roman" w:eastAsia="Cambria" w:hAnsi="Times New Roman"/>
          <w:sz w:val="22"/>
          <w:lang w:eastAsia="ja-JP"/>
        </w:rPr>
        <w:t>it</w:t>
      </w:r>
      <w:r w:rsidRPr="006E622A">
        <w:rPr>
          <w:rFonts w:ascii="Times New Roman" w:eastAsia="Cambria" w:hAnsi="Times New Roman"/>
          <w:sz w:val="22"/>
          <w:lang w:eastAsia="ja-JP"/>
        </w:rPr>
        <w:t xml:space="preserve"> as</w:t>
      </w:r>
      <w:r w:rsidR="0051790C">
        <w:rPr>
          <w:rFonts w:ascii="Times New Roman" w:eastAsia="Cambria" w:hAnsi="Times New Roman"/>
          <w:sz w:val="22"/>
          <w:lang w:eastAsia="ja-JP"/>
        </w:rPr>
        <w:t>:</w:t>
      </w:r>
      <w:r w:rsidRPr="006E622A">
        <w:rPr>
          <w:rFonts w:ascii="Times New Roman" w:eastAsia="Cambria" w:hAnsi="Times New Roman"/>
          <w:sz w:val="22"/>
          <w:lang w:eastAsia="ja-JP"/>
        </w:rPr>
        <w:t xml:space="preserve">  </w:t>
      </w:r>
      <w:r w:rsidR="00214DD5">
        <w:rPr>
          <w:rFonts w:ascii="Times New Roman" w:eastAsia="Cambria" w:hAnsi="Times New Roman"/>
          <w:sz w:val="22"/>
          <w:lang w:eastAsia="ja-JP"/>
        </w:rPr>
        <w:t>“</w:t>
      </w:r>
      <w:r w:rsidRPr="00214DD5">
        <w:rPr>
          <w:rFonts w:ascii="Times New Roman" w:eastAsia="Cambria" w:hAnsi="Times New Roman"/>
          <w:szCs w:val="24"/>
          <w:lang w:eastAsia="ja-JP"/>
        </w:rPr>
        <w:t>balance is a rhetorical device of which one must be wary</w:t>
      </w:r>
      <w:r w:rsidR="00214DD5">
        <w:rPr>
          <w:rFonts w:ascii="Times New Roman" w:eastAsia="Cambria" w:hAnsi="Times New Roman"/>
          <w:szCs w:val="24"/>
          <w:lang w:eastAsia="ja-JP"/>
        </w:rPr>
        <w:t>”</w:t>
      </w:r>
      <w:r w:rsidRPr="006E622A">
        <w:rPr>
          <w:rFonts w:ascii="Times New Roman" w:eastAsia="Cambria" w:hAnsi="Times New Roman"/>
          <w:i/>
          <w:szCs w:val="24"/>
          <w:vertAlign w:val="superscript"/>
          <w:lang w:eastAsia="ja-JP"/>
        </w:rPr>
        <w:footnoteReference w:id="494"/>
      </w:r>
      <w:r w:rsidRPr="006E622A">
        <w:rPr>
          <w:rFonts w:ascii="Times New Roman" w:eastAsia="Cambria" w:hAnsi="Times New Roman"/>
          <w:szCs w:val="24"/>
          <w:lang w:eastAsia="ja-JP"/>
        </w:rPr>
        <w:t xml:space="preserve"> Ashworth suggests that more attention should be given to </w:t>
      </w:r>
      <w:r w:rsidR="00940C0C">
        <w:rPr>
          <w:rFonts w:ascii="Times New Roman" w:eastAsia="Cambria" w:hAnsi="Times New Roman"/>
          <w:szCs w:val="24"/>
          <w:lang w:eastAsia="ja-JP"/>
        </w:rPr>
        <w:t>victims' values and interest</w:t>
      </w:r>
      <w:r w:rsidRPr="006E622A">
        <w:rPr>
          <w:rFonts w:ascii="Times New Roman" w:eastAsia="Cambria" w:hAnsi="Times New Roman"/>
          <w:szCs w:val="24"/>
          <w:lang w:eastAsia="ja-JP"/>
        </w:rPr>
        <w:t>s.</w:t>
      </w:r>
      <w:r w:rsidRPr="006E622A">
        <w:rPr>
          <w:rFonts w:ascii="Times New Roman" w:eastAsia="Cambria" w:hAnsi="Times New Roman"/>
          <w:szCs w:val="24"/>
          <w:vertAlign w:val="superscript"/>
          <w:lang w:eastAsia="ja-JP"/>
        </w:rPr>
        <w:footnoteReference w:id="495"/>
      </w:r>
      <w:r w:rsidRPr="006E622A">
        <w:rPr>
          <w:rFonts w:ascii="Times New Roman" w:eastAsia="Cambria" w:hAnsi="Times New Roman"/>
          <w:szCs w:val="24"/>
          <w:lang w:eastAsia="ja-JP"/>
        </w:rPr>
        <w:t xml:space="preserve">Therefore, one could </w:t>
      </w:r>
      <w:r w:rsidRPr="006E622A">
        <w:rPr>
          <w:rFonts w:ascii="Times New Roman" w:eastAsia="Cambria" w:hAnsi="Times New Roman"/>
          <w:szCs w:val="24"/>
          <w:lang w:eastAsia="ja-JP"/>
        </w:rPr>
        <w:lastRenderedPageBreak/>
        <w:t>infer that to maximise victims’ satisfaction, their values and interests should be prioritised over the clamour for balancing victims’ rights against the accused.</w:t>
      </w:r>
      <w:r w:rsidR="0051790C">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It is worthy of mention that Ashworth’s assertion does not downplay </w:t>
      </w:r>
      <w:r w:rsidR="00940C0C">
        <w:rPr>
          <w:rFonts w:ascii="Times New Roman" w:eastAsia="Cambria" w:hAnsi="Times New Roman"/>
          <w:szCs w:val="24"/>
          <w:lang w:eastAsia="ja-JP"/>
        </w:rPr>
        <w:t>victims' role</w:t>
      </w:r>
      <w:r w:rsidRPr="006E622A">
        <w:rPr>
          <w:rFonts w:ascii="Times New Roman" w:eastAsia="Cambria" w:hAnsi="Times New Roman"/>
          <w:szCs w:val="24"/>
          <w:lang w:eastAsia="ja-JP"/>
        </w:rPr>
        <w:t xml:space="preserve"> in </w:t>
      </w:r>
      <w:r w:rsidR="00E361A0">
        <w:rPr>
          <w:rFonts w:ascii="Times New Roman" w:eastAsia="Cambria" w:hAnsi="Times New Roman"/>
          <w:szCs w:val="24"/>
          <w:lang w:eastAsia="ja-JP"/>
        </w:rPr>
        <w:t xml:space="preserve">the </w:t>
      </w:r>
      <w:r w:rsidRPr="006E622A">
        <w:rPr>
          <w:rFonts w:ascii="Times New Roman" w:eastAsia="Cambria" w:hAnsi="Times New Roman"/>
          <w:szCs w:val="24"/>
          <w:lang w:eastAsia="ja-JP"/>
        </w:rPr>
        <w:t>criminal trial</w:t>
      </w:r>
      <w:r w:rsidR="009C273E">
        <w:rPr>
          <w:rFonts w:ascii="Times New Roman" w:eastAsia="Cambria" w:hAnsi="Times New Roman"/>
          <w:szCs w:val="24"/>
          <w:lang w:eastAsia="ja-JP"/>
        </w:rPr>
        <w:t>; R</w:t>
      </w:r>
      <w:r w:rsidR="0051790C">
        <w:rPr>
          <w:rFonts w:ascii="Times New Roman" w:eastAsia="Cambria" w:hAnsi="Times New Roman"/>
          <w:szCs w:val="24"/>
          <w:lang w:eastAsia="ja-JP"/>
        </w:rPr>
        <w:t>ather, it proposes a more su</w:t>
      </w:r>
      <w:r w:rsidRPr="006E622A">
        <w:rPr>
          <w:rFonts w:ascii="Times New Roman" w:eastAsia="Cambria" w:hAnsi="Times New Roman"/>
          <w:szCs w:val="24"/>
          <w:lang w:eastAsia="ja-JP"/>
        </w:rPr>
        <w:t>b</w:t>
      </w:r>
      <w:r w:rsidR="0051790C">
        <w:rPr>
          <w:rFonts w:ascii="Times New Roman" w:eastAsia="Cambria" w:hAnsi="Times New Roman"/>
          <w:szCs w:val="24"/>
          <w:lang w:eastAsia="ja-JP"/>
        </w:rPr>
        <w:t>s</w:t>
      </w:r>
      <w:r w:rsidRPr="006E622A">
        <w:rPr>
          <w:rFonts w:ascii="Times New Roman" w:eastAsia="Cambria" w:hAnsi="Times New Roman"/>
          <w:szCs w:val="24"/>
          <w:lang w:eastAsia="ja-JP"/>
        </w:rPr>
        <w:t>t</w:t>
      </w:r>
      <w:r w:rsidR="0051790C">
        <w:rPr>
          <w:rFonts w:ascii="Times New Roman" w:eastAsia="Cambria" w:hAnsi="Times New Roman"/>
          <w:szCs w:val="24"/>
          <w:lang w:eastAsia="ja-JP"/>
        </w:rPr>
        <w:t>a</w:t>
      </w:r>
      <w:r w:rsidRPr="006E622A">
        <w:rPr>
          <w:rFonts w:ascii="Times New Roman" w:eastAsia="Cambria" w:hAnsi="Times New Roman"/>
          <w:szCs w:val="24"/>
          <w:lang w:eastAsia="ja-JP"/>
        </w:rPr>
        <w:t>ntive address to victims’ satisfaction.</w:t>
      </w:r>
      <w:r w:rsidR="0051790C">
        <w:rPr>
          <w:rFonts w:ascii="Times New Roman" w:eastAsia="Cambria" w:hAnsi="Times New Roman"/>
          <w:szCs w:val="24"/>
          <w:lang w:eastAsia="ja-JP"/>
        </w:rPr>
        <w:t xml:space="preserve"> </w:t>
      </w:r>
      <w:r w:rsidRPr="006E622A">
        <w:rPr>
          <w:rFonts w:ascii="Times New Roman" w:eastAsia="Cambria" w:hAnsi="Times New Roman"/>
          <w:szCs w:val="24"/>
          <w:lang w:eastAsia="ja-JP"/>
        </w:rPr>
        <w:t>It appears that the rationale</w:t>
      </w:r>
      <w:r w:rsidR="0051790C">
        <w:rPr>
          <w:rFonts w:ascii="Times New Roman" w:eastAsia="Cambria" w:hAnsi="Times New Roman"/>
          <w:szCs w:val="24"/>
          <w:lang w:eastAsia="ja-JP"/>
        </w:rPr>
        <w:t xml:space="preserve"> behind advancing for victims’ </w:t>
      </w:r>
      <w:r w:rsidRPr="006E622A">
        <w:rPr>
          <w:rFonts w:ascii="Times New Roman" w:eastAsia="Cambria" w:hAnsi="Times New Roman"/>
          <w:szCs w:val="24"/>
          <w:lang w:eastAsia="ja-JP"/>
        </w:rPr>
        <w:t>rights is to create a competition between the victims and accused</w:t>
      </w:r>
      <w:r w:rsidR="00A05281">
        <w:rPr>
          <w:rFonts w:ascii="Times New Roman" w:eastAsia="Cambria" w:hAnsi="Times New Roman"/>
          <w:szCs w:val="24"/>
          <w:lang w:eastAsia="ja-JP"/>
        </w:rPr>
        <w:t>.</w:t>
      </w:r>
      <w:r w:rsidRPr="006E622A">
        <w:rPr>
          <w:rFonts w:ascii="Times New Roman" w:eastAsia="Cambria" w:hAnsi="Times New Roman"/>
          <w:szCs w:val="24"/>
          <w:lang w:eastAsia="ja-JP"/>
        </w:rPr>
        <w:t xml:space="preserve"> Edwards de</w:t>
      </w:r>
      <w:r w:rsidR="0051790C">
        <w:rPr>
          <w:rFonts w:ascii="Times New Roman" w:eastAsia="Cambria" w:hAnsi="Times New Roman"/>
          <w:szCs w:val="24"/>
          <w:lang w:eastAsia="ja-JP"/>
        </w:rPr>
        <w:t>s</w:t>
      </w:r>
      <w:r w:rsidRPr="006E622A">
        <w:rPr>
          <w:rFonts w:ascii="Times New Roman" w:eastAsia="Cambria" w:hAnsi="Times New Roman"/>
          <w:szCs w:val="24"/>
          <w:lang w:eastAsia="ja-JP"/>
        </w:rPr>
        <w:t>cribes it</w:t>
      </w:r>
      <w:r w:rsidR="00A05281">
        <w:rPr>
          <w:rFonts w:ascii="Times New Roman" w:eastAsia="Cambria" w:hAnsi="Times New Roman"/>
          <w:szCs w:val="24"/>
          <w:lang w:eastAsia="ja-JP"/>
        </w:rPr>
        <w:t xml:space="preserve"> as</w:t>
      </w:r>
      <w:r w:rsidRPr="006E622A">
        <w:rPr>
          <w:rFonts w:ascii="Times New Roman" w:eastAsia="Cambria" w:hAnsi="Times New Roman"/>
          <w:szCs w:val="24"/>
          <w:lang w:eastAsia="ja-JP"/>
        </w:rPr>
        <w:t xml:space="preserve"> “</w:t>
      </w:r>
      <w:r w:rsidRPr="00A05281">
        <w:rPr>
          <w:rFonts w:ascii="Times New Roman" w:eastAsia="Cambria" w:hAnsi="Times New Roman"/>
          <w:iCs/>
          <w:szCs w:val="24"/>
          <w:lang w:eastAsia="ja-JP"/>
        </w:rPr>
        <w:t>as simplifying the issues and allowing complex controversies to be situated within a zero-sum game</w:t>
      </w:r>
      <w:r w:rsidRPr="006E622A">
        <w:rPr>
          <w:rFonts w:ascii="Times New Roman" w:eastAsia="Cambria" w:hAnsi="Times New Roman"/>
          <w:i/>
          <w:szCs w:val="24"/>
          <w:lang w:eastAsia="ja-JP"/>
        </w:rPr>
        <w:t>”</w:t>
      </w:r>
      <w:r w:rsidRPr="006E622A">
        <w:rPr>
          <w:rFonts w:ascii="Times New Roman" w:eastAsia="Cambria" w:hAnsi="Times New Roman"/>
          <w:i/>
          <w:szCs w:val="24"/>
          <w:vertAlign w:val="superscript"/>
          <w:lang w:eastAsia="ja-JP"/>
        </w:rPr>
        <w:footnoteReference w:id="496"/>
      </w:r>
      <w:r w:rsidRPr="006E622A">
        <w:rPr>
          <w:rFonts w:ascii="Times New Roman" w:eastAsia="Cambria" w:hAnsi="Times New Roman"/>
          <w:szCs w:val="24"/>
          <w:lang w:eastAsia="ja-JP"/>
        </w:rPr>
        <w:t xml:space="preserve"> </w:t>
      </w:r>
      <w:r w:rsidRPr="009C273E">
        <w:rPr>
          <w:rFonts w:ascii="Times New Roman" w:eastAsia="Cambria" w:hAnsi="Times New Roman"/>
          <w:szCs w:val="24"/>
          <w:lang w:eastAsia="ja-JP"/>
        </w:rPr>
        <w:t>The Balance approach gives a narrow narra</w:t>
      </w:r>
      <w:r w:rsidR="0055293C" w:rsidRPr="009C273E">
        <w:rPr>
          <w:rFonts w:ascii="Times New Roman" w:eastAsia="Cambria" w:hAnsi="Times New Roman"/>
          <w:szCs w:val="24"/>
          <w:lang w:eastAsia="ja-JP"/>
        </w:rPr>
        <w:t>tive of the victim involvement.</w:t>
      </w:r>
      <w:r w:rsidRPr="009C273E">
        <w:rPr>
          <w:rFonts w:ascii="Times New Roman" w:eastAsia="Cambria" w:hAnsi="Times New Roman"/>
          <w:szCs w:val="24"/>
          <w:lang w:eastAsia="ja-JP"/>
        </w:rPr>
        <w:t xml:space="preserve">  </w:t>
      </w:r>
    </w:p>
    <w:p w14:paraId="31090227" w14:textId="77777777" w:rsidR="00214DD5" w:rsidRDefault="00214DD5" w:rsidP="009C273E">
      <w:pPr>
        <w:spacing w:after="0" w:line="480" w:lineRule="auto"/>
        <w:jc w:val="both"/>
        <w:rPr>
          <w:rFonts w:ascii="Times New Roman" w:eastAsia="Cambria" w:hAnsi="Times New Roman"/>
          <w:szCs w:val="24"/>
          <w:lang w:eastAsia="ja-JP"/>
        </w:rPr>
      </w:pPr>
    </w:p>
    <w:p w14:paraId="41A470A7" w14:textId="77777777" w:rsidR="006E622A" w:rsidRPr="009C273E" w:rsidRDefault="006E622A" w:rsidP="009C273E">
      <w:pPr>
        <w:spacing w:after="0" w:line="480" w:lineRule="auto"/>
        <w:jc w:val="both"/>
        <w:rPr>
          <w:rFonts w:ascii="Times New Roman" w:eastAsia="Cambria" w:hAnsi="Times New Roman"/>
          <w:szCs w:val="24"/>
          <w:lang w:eastAsia="ja-JP"/>
        </w:rPr>
      </w:pPr>
      <w:proofErr w:type="spellStart"/>
      <w:r w:rsidRPr="009C273E">
        <w:rPr>
          <w:rFonts w:ascii="Times New Roman" w:eastAsia="Cambria" w:hAnsi="Times New Roman"/>
          <w:szCs w:val="24"/>
          <w:lang w:eastAsia="ja-JP"/>
        </w:rPr>
        <w:t>Doak’s</w:t>
      </w:r>
      <w:proofErr w:type="spellEnd"/>
      <w:r w:rsidRPr="009C273E">
        <w:rPr>
          <w:rFonts w:ascii="Times New Roman" w:eastAsia="Cambria" w:hAnsi="Times New Roman"/>
          <w:szCs w:val="24"/>
          <w:lang w:eastAsia="ja-JP"/>
        </w:rPr>
        <w:t xml:space="preserve"> arguments confirm Ashworth’s findings.</w:t>
      </w:r>
      <w:r w:rsidR="0055293C" w:rsidRPr="009C273E">
        <w:rPr>
          <w:rFonts w:ascii="Times New Roman" w:eastAsia="Cambria" w:hAnsi="Times New Roman"/>
          <w:szCs w:val="24"/>
          <w:lang w:eastAsia="ja-JP"/>
        </w:rPr>
        <w:t xml:space="preserve"> </w:t>
      </w:r>
      <w:proofErr w:type="spellStart"/>
      <w:r w:rsidRPr="009C273E">
        <w:rPr>
          <w:rFonts w:ascii="Times New Roman" w:eastAsia="Cambria" w:hAnsi="Times New Roman"/>
          <w:szCs w:val="24"/>
          <w:lang w:eastAsia="ja-JP"/>
        </w:rPr>
        <w:t>Doak</w:t>
      </w:r>
      <w:proofErr w:type="spellEnd"/>
      <w:r w:rsidRPr="009C273E">
        <w:rPr>
          <w:rFonts w:ascii="Times New Roman" w:eastAsia="Cambria" w:hAnsi="Times New Roman"/>
          <w:szCs w:val="24"/>
          <w:lang w:eastAsia="ja-JP"/>
        </w:rPr>
        <w:t xml:space="preserve"> </w:t>
      </w:r>
      <w:r w:rsidR="009C273E">
        <w:rPr>
          <w:rFonts w:ascii="Times New Roman" w:eastAsia="Cambria" w:hAnsi="Times New Roman"/>
          <w:szCs w:val="24"/>
          <w:lang w:eastAsia="ja-JP"/>
        </w:rPr>
        <w:t>thinks</w:t>
      </w:r>
      <w:r w:rsidRPr="009C273E">
        <w:rPr>
          <w:rFonts w:ascii="Times New Roman" w:eastAsia="Cambria" w:hAnsi="Times New Roman"/>
          <w:szCs w:val="24"/>
          <w:lang w:eastAsia="ja-JP"/>
        </w:rPr>
        <w:t xml:space="preserve"> that victims’ rights should be seen as entitlements rather than an avenue to compete with the accused rights.</w:t>
      </w:r>
      <w:r w:rsidRPr="009C273E">
        <w:rPr>
          <w:rFonts w:ascii="Times New Roman" w:eastAsia="Cambria" w:hAnsi="Times New Roman"/>
          <w:szCs w:val="24"/>
          <w:vertAlign w:val="superscript"/>
          <w:lang w:eastAsia="ja-JP"/>
        </w:rPr>
        <w:footnoteReference w:id="497"/>
      </w:r>
      <w:r w:rsidRPr="009C273E">
        <w:rPr>
          <w:rFonts w:ascii="Times New Roman" w:eastAsia="Cambria" w:hAnsi="Times New Roman"/>
          <w:szCs w:val="24"/>
          <w:lang w:eastAsia="ja-JP"/>
        </w:rPr>
        <w:t>Therefore, if the focus is on victims’ interests, victims</w:t>
      </w:r>
      <w:r w:rsidR="0055293C" w:rsidRPr="009C273E">
        <w:rPr>
          <w:rFonts w:ascii="Times New Roman" w:eastAsia="Cambria" w:hAnsi="Times New Roman"/>
          <w:szCs w:val="24"/>
          <w:lang w:eastAsia="ja-JP"/>
        </w:rPr>
        <w:t>’</w:t>
      </w:r>
      <w:r w:rsidRPr="009C273E">
        <w:rPr>
          <w:rFonts w:ascii="Times New Roman" w:eastAsia="Cambria" w:hAnsi="Times New Roman"/>
          <w:szCs w:val="24"/>
          <w:lang w:eastAsia="ja-JP"/>
        </w:rPr>
        <w:t xml:space="preserve"> rights are seen as instruments to promote their interests.</w:t>
      </w:r>
    </w:p>
    <w:p w14:paraId="5C829261" w14:textId="77777777" w:rsidR="009C273E" w:rsidRDefault="009C273E" w:rsidP="009C273E">
      <w:pPr>
        <w:spacing w:after="0" w:line="480" w:lineRule="auto"/>
        <w:jc w:val="both"/>
        <w:rPr>
          <w:rFonts w:ascii="Times New Roman" w:eastAsia="Cambria" w:hAnsi="Times New Roman"/>
          <w:szCs w:val="24"/>
          <w:lang w:eastAsia="ja-JP"/>
        </w:rPr>
      </w:pPr>
    </w:p>
    <w:p w14:paraId="183679AB" w14:textId="2ED96485" w:rsidR="006E622A" w:rsidRPr="006A2FCB" w:rsidRDefault="006E622A" w:rsidP="006A2FCB">
      <w:pPr>
        <w:spacing w:after="0" w:line="480" w:lineRule="auto"/>
        <w:jc w:val="both"/>
        <w:rPr>
          <w:rFonts w:ascii="Times New Roman" w:eastAsia="Cambria" w:hAnsi="Times New Roman"/>
          <w:szCs w:val="24"/>
          <w:lang w:eastAsia="ja-JP"/>
        </w:rPr>
      </w:pPr>
      <w:r w:rsidRPr="006A2FCB">
        <w:rPr>
          <w:rFonts w:ascii="Times New Roman" w:eastAsia="Cambria" w:hAnsi="Times New Roman"/>
          <w:szCs w:val="24"/>
          <w:lang w:eastAsia="ja-JP"/>
        </w:rPr>
        <w:t>In a way, it seems the pendulum of procedural fairness favo</w:t>
      </w:r>
      <w:r w:rsidR="009C273E" w:rsidRPr="006A2FCB">
        <w:rPr>
          <w:rFonts w:ascii="Times New Roman" w:eastAsia="Cambria" w:hAnsi="Times New Roman"/>
          <w:szCs w:val="24"/>
          <w:lang w:eastAsia="ja-JP"/>
        </w:rPr>
        <w:t>u</w:t>
      </w:r>
      <w:r w:rsidRPr="006A2FCB">
        <w:rPr>
          <w:rFonts w:ascii="Times New Roman" w:eastAsia="Cambria" w:hAnsi="Times New Roman"/>
          <w:szCs w:val="24"/>
          <w:lang w:eastAsia="ja-JP"/>
        </w:rPr>
        <w:t>rs the accused more than the victims.</w:t>
      </w:r>
      <w:r w:rsidRPr="006A2FCB">
        <w:rPr>
          <w:rFonts w:ascii="Times New Roman" w:eastAsia="Cambria" w:hAnsi="Times New Roman"/>
          <w:szCs w:val="24"/>
          <w:vertAlign w:val="superscript"/>
          <w:lang w:eastAsia="ja-JP"/>
        </w:rPr>
        <w:footnoteReference w:id="498"/>
      </w:r>
      <w:r w:rsidR="00F84AEC" w:rsidRPr="006A2FCB">
        <w:rPr>
          <w:rFonts w:ascii="Times New Roman" w:eastAsia="Cambria" w:hAnsi="Times New Roman"/>
          <w:szCs w:val="24"/>
          <w:lang w:eastAsia="ja-JP"/>
        </w:rPr>
        <w:t xml:space="preserve"> Where the procedure is fair, it may increase s</w:t>
      </w:r>
      <w:r w:rsidRPr="006A2FCB">
        <w:rPr>
          <w:rFonts w:ascii="Times New Roman" w:eastAsia="Cambria" w:hAnsi="Times New Roman"/>
          <w:szCs w:val="24"/>
          <w:lang w:eastAsia="ja-JP"/>
        </w:rPr>
        <w:t>atisfaction for every party</w:t>
      </w:r>
      <w:r w:rsidR="00F84AEC" w:rsidRPr="006A2FCB">
        <w:rPr>
          <w:rFonts w:ascii="Times New Roman" w:eastAsia="Cambria" w:hAnsi="Times New Roman"/>
          <w:szCs w:val="24"/>
          <w:lang w:eastAsia="ja-JP"/>
        </w:rPr>
        <w:t>. However, given the</w:t>
      </w:r>
      <w:r w:rsidRPr="006A2FCB">
        <w:rPr>
          <w:rFonts w:ascii="Times New Roman" w:eastAsia="Cambria" w:hAnsi="Times New Roman"/>
          <w:szCs w:val="24"/>
          <w:lang w:eastAsia="ja-JP"/>
        </w:rPr>
        <w:t xml:space="preserve"> </w:t>
      </w:r>
      <w:r w:rsidR="00940C0C">
        <w:rPr>
          <w:rFonts w:ascii="Times New Roman" w:eastAsia="Cambria" w:hAnsi="Times New Roman"/>
          <w:szCs w:val="24"/>
          <w:lang w:eastAsia="ja-JP"/>
        </w:rPr>
        <w:t>accused's primacy</w:t>
      </w:r>
      <w:r w:rsidRPr="006A2FCB">
        <w:rPr>
          <w:rFonts w:ascii="Times New Roman" w:eastAsia="Cambria" w:hAnsi="Times New Roman"/>
          <w:szCs w:val="24"/>
          <w:lang w:eastAsia="ja-JP"/>
        </w:rPr>
        <w:t xml:space="preserve"> right to </w:t>
      </w:r>
      <w:r w:rsidR="009C273E" w:rsidRPr="006A2FCB">
        <w:rPr>
          <w:rFonts w:ascii="Times New Roman" w:eastAsia="Cambria" w:hAnsi="Times New Roman"/>
          <w:szCs w:val="24"/>
          <w:lang w:eastAsia="ja-JP"/>
        </w:rPr>
        <w:t xml:space="preserve">a </w:t>
      </w:r>
      <w:r w:rsidRPr="006A2FCB">
        <w:rPr>
          <w:rFonts w:ascii="Times New Roman" w:eastAsia="Cambria" w:hAnsi="Times New Roman"/>
          <w:szCs w:val="24"/>
          <w:lang w:eastAsia="ja-JP"/>
        </w:rPr>
        <w:t xml:space="preserve">fair trial, sometimes, there may be a </w:t>
      </w:r>
      <w:r w:rsidRPr="006A2FCB">
        <w:rPr>
          <w:rFonts w:ascii="Times New Roman" w:eastAsia="Cambria" w:hAnsi="Times New Roman"/>
          <w:szCs w:val="24"/>
          <w:lang w:eastAsia="ja-JP"/>
        </w:rPr>
        <w:lastRenderedPageBreak/>
        <w:t>cl</w:t>
      </w:r>
      <w:r w:rsidR="00F84AEC" w:rsidRPr="006A2FCB">
        <w:rPr>
          <w:rFonts w:ascii="Times New Roman" w:eastAsia="Cambria" w:hAnsi="Times New Roman"/>
          <w:szCs w:val="24"/>
          <w:lang w:eastAsia="ja-JP"/>
        </w:rPr>
        <w:t>ash between competing interests</w:t>
      </w:r>
      <w:r w:rsidRPr="006A2FCB">
        <w:rPr>
          <w:rFonts w:ascii="Times New Roman" w:eastAsia="Cambria" w:hAnsi="Times New Roman"/>
          <w:szCs w:val="24"/>
          <w:lang w:eastAsia="ja-JP"/>
        </w:rPr>
        <w:t xml:space="preserve"> of Prosecutor and Defendant, defendant and victims or victims and  Prosecutor.</w:t>
      </w:r>
    </w:p>
    <w:p w14:paraId="7CE65435" w14:textId="77777777" w:rsidR="006E622A" w:rsidRPr="006A2FCB" w:rsidRDefault="006E622A" w:rsidP="006A2FCB">
      <w:pPr>
        <w:spacing w:after="0" w:line="480" w:lineRule="auto"/>
        <w:jc w:val="both"/>
        <w:rPr>
          <w:rFonts w:ascii="Times New Roman" w:eastAsia="Cambria" w:hAnsi="Times New Roman"/>
          <w:szCs w:val="24"/>
          <w:lang w:eastAsia="ja-JP"/>
        </w:rPr>
      </w:pPr>
    </w:p>
    <w:p w14:paraId="2B397336" w14:textId="64112108" w:rsidR="006E622A" w:rsidRPr="006A2FCB" w:rsidRDefault="003F6A80" w:rsidP="006A2FCB">
      <w:pPr>
        <w:spacing w:after="0" w:line="480" w:lineRule="auto"/>
        <w:jc w:val="both"/>
        <w:rPr>
          <w:rFonts w:ascii="Times New Roman" w:eastAsia="Cambria" w:hAnsi="Times New Roman"/>
          <w:szCs w:val="24"/>
          <w:lang w:eastAsia="ja-JP"/>
        </w:rPr>
      </w:pPr>
      <w:r w:rsidRPr="006A2FCB">
        <w:rPr>
          <w:rFonts w:ascii="Times New Roman" w:eastAsia="Cambria" w:hAnsi="Times New Roman"/>
          <w:szCs w:val="24"/>
          <w:lang w:eastAsia="ja-JP"/>
        </w:rPr>
        <w:t>The</w:t>
      </w:r>
      <w:r w:rsidR="006E622A" w:rsidRPr="006A2FCB">
        <w:rPr>
          <w:rFonts w:ascii="Times New Roman" w:eastAsia="Cambria" w:hAnsi="Times New Roman"/>
          <w:szCs w:val="24"/>
          <w:lang w:eastAsia="ja-JP"/>
        </w:rPr>
        <w:t xml:space="preserve"> chapter </w:t>
      </w:r>
      <w:r w:rsidRPr="006A2FCB">
        <w:rPr>
          <w:rFonts w:ascii="Times New Roman" w:eastAsia="Cambria" w:hAnsi="Times New Roman"/>
          <w:szCs w:val="24"/>
          <w:lang w:eastAsia="ja-JP"/>
        </w:rPr>
        <w:t xml:space="preserve">seeks to review </w:t>
      </w:r>
      <w:r w:rsidR="0087097E">
        <w:rPr>
          <w:rFonts w:ascii="Times New Roman" w:eastAsia="Cambria" w:hAnsi="Times New Roman"/>
          <w:szCs w:val="24"/>
          <w:lang w:eastAsia="ja-JP"/>
        </w:rPr>
        <w:t>Katanga and Lubanga's transcripts</w:t>
      </w:r>
      <w:r w:rsidRPr="006A2FCB">
        <w:rPr>
          <w:rFonts w:ascii="Times New Roman" w:eastAsia="Cambria" w:hAnsi="Times New Roman"/>
          <w:szCs w:val="24"/>
          <w:lang w:eastAsia="ja-JP"/>
        </w:rPr>
        <w:t xml:space="preserve"> to assess the application of victims’ rights and the extent to which victims’ interests are taken </w:t>
      </w:r>
      <w:r w:rsidR="00024DA2" w:rsidRPr="006A2FCB">
        <w:rPr>
          <w:rFonts w:ascii="Times New Roman" w:eastAsia="Cambria" w:hAnsi="Times New Roman"/>
          <w:szCs w:val="24"/>
          <w:lang w:eastAsia="ja-JP"/>
        </w:rPr>
        <w:t>into consideration during trial</w:t>
      </w:r>
      <w:r w:rsidRPr="006A2FCB">
        <w:rPr>
          <w:rFonts w:ascii="Times New Roman" w:eastAsia="Cambria" w:hAnsi="Times New Roman"/>
          <w:szCs w:val="24"/>
          <w:lang w:eastAsia="ja-JP"/>
        </w:rPr>
        <w:t xml:space="preserve"> proceedings.</w:t>
      </w:r>
      <w:r w:rsidR="006E622A" w:rsidRPr="006A2FCB">
        <w:rPr>
          <w:rFonts w:ascii="Times New Roman" w:eastAsia="Cambria" w:hAnsi="Times New Roman"/>
          <w:szCs w:val="24"/>
          <w:lang w:eastAsia="ja-JP"/>
        </w:rPr>
        <w:t xml:space="preserve"> Interestingly, it appears that the Court envisages fairness for victims. The PTC in its decision elucidates on fairness:</w:t>
      </w:r>
    </w:p>
    <w:p w14:paraId="56059F21" w14:textId="4B4C7426" w:rsidR="00024DA2" w:rsidRPr="006A2FCB" w:rsidRDefault="00214DD5" w:rsidP="006E5010">
      <w:pPr>
        <w:spacing w:after="0" w:line="480" w:lineRule="auto"/>
        <w:jc w:val="center"/>
        <w:rPr>
          <w:rFonts w:ascii="Times New Roman" w:eastAsia="Cambria" w:hAnsi="Times New Roman"/>
          <w:szCs w:val="24"/>
          <w:lang w:eastAsia="ja-JP"/>
        </w:rPr>
      </w:pPr>
      <w:r>
        <w:rPr>
          <w:rStyle w:val="QuoteChar"/>
          <w:rFonts w:ascii="Times New Roman" w:eastAsia="Cambria" w:hAnsi="Times New Roman"/>
          <w:szCs w:val="24"/>
        </w:rPr>
        <w:t>“</w:t>
      </w:r>
      <w:r w:rsidR="006E622A" w:rsidRPr="006A2FCB">
        <w:rPr>
          <w:rStyle w:val="QuoteChar"/>
          <w:rFonts w:ascii="Times New Roman" w:eastAsia="Cambria" w:hAnsi="Times New Roman"/>
          <w:szCs w:val="24"/>
        </w:rPr>
        <w:t>[I]</w:t>
      </w:r>
      <w:r w:rsidR="006E622A" w:rsidRPr="00214DD5">
        <w:rPr>
          <w:rStyle w:val="QuoteChar"/>
          <w:rFonts w:ascii="Times New Roman" w:eastAsia="Cambria" w:hAnsi="Times New Roman"/>
          <w:i w:val="0"/>
          <w:szCs w:val="24"/>
        </w:rPr>
        <w:t xml:space="preserve">n the view of the Chamber, </w:t>
      </w:r>
      <w:r w:rsidR="006E5010">
        <w:rPr>
          <w:rStyle w:val="QuoteChar"/>
          <w:rFonts w:ascii="Times New Roman" w:eastAsia="Cambria" w:hAnsi="Times New Roman"/>
          <w:i w:val="0"/>
          <w:szCs w:val="24"/>
        </w:rPr>
        <w:t xml:space="preserve">the </w:t>
      </w:r>
      <w:r w:rsidR="006E622A" w:rsidRPr="00214DD5">
        <w:rPr>
          <w:rStyle w:val="QuoteChar"/>
          <w:rFonts w:ascii="Times New Roman" w:eastAsia="Cambria" w:hAnsi="Times New Roman"/>
          <w:i w:val="0"/>
          <w:szCs w:val="24"/>
        </w:rPr>
        <w:t>fairness of the proceedings includes respect for the procedural rights of the Prosecutor, the Defence, and the Victims as guaranteed by the relevant statutes</w:t>
      </w:r>
      <w:r w:rsidR="006E622A" w:rsidRPr="006A2FCB">
        <w:rPr>
          <w:rStyle w:val="QuoteChar"/>
          <w:rFonts w:ascii="Times New Roman" w:eastAsia="Cambria" w:hAnsi="Times New Roman"/>
          <w:szCs w:val="24"/>
        </w:rPr>
        <w:t xml:space="preserve"> (</w:t>
      </w:r>
      <w:r w:rsidR="006E622A" w:rsidRPr="006A2FCB">
        <w:rPr>
          <w:rStyle w:val="QuoteChar"/>
          <w:rFonts w:ascii="Times New Roman" w:eastAsia="Cambria" w:hAnsi="Times New Roman"/>
          <w:i w:val="0"/>
          <w:szCs w:val="24"/>
        </w:rPr>
        <w:t>in systems which provided for  in criminal proceedings</w:t>
      </w:r>
      <w:r w:rsidR="006E622A" w:rsidRPr="006A2FCB">
        <w:rPr>
          <w:rFonts w:ascii="Times New Roman" w:eastAsia="Cambria" w:hAnsi="Times New Roman"/>
          <w:szCs w:val="24"/>
          <w:lang w:eastAsia="ja-JP"/>
        </w:rPr>
        <w:t>)</w:t>
      </w:r>
      <w:r>
        <w:rPr>
          <w:rFonts w:ascii="Times New Roman" w:eastAsia="Cambria" w:hAnsi="Times New Roman"/>
          <w:szCs w:val="24"/>
          <w:lang w:eastAsia="ja-JP"/>
        </w:rPr>
        <w:t>”</w:t>
      </w:r>
      <w:r w:rsidR="006E622A" w:rsidRPr="006A2FCB">
        <w:rPr>
          <w:rFonts w:ascii="Times New Roman" w:eastAsia="Cambria" w:hAnsi="Times New Roman"/>
          <w:szCs w:val="24"/>
          <w:vertAlign w:val="superscript"/>
          <w:lang w:eastAsia="ja-JP"/>
        </w:rPr>
        <w:footnoteReference w:id="499"/>
      </w:r>
    </w:p>
    <w:p w14:paraId="30B69DE4" w14:textId="77777777" w:rsidR="00024DA2" w:rsidRPr="006A2FCB" w:rsidRDefault="00024DA2" w:rsidP="006A2FCB">
      <w:pPr>
        <w:spacing w:after="0" w:line="480" w:lineRule="auto"/>
        <w:jc w:val="both"/>
        <w:rPr>
          <w:rFonts w:ascii="Times New Roman" w:eastAsia="Cambria" w:hAnsi="Times New Roman"/>
          <w:szCs w:val="24"/>
          <w:lang w:eastAsia="ja-JP"/>
        </w:rPr>
      </w:pPr>
    </w:p>
    <w:p w14:paraId="68D3F2B1" w14:textId="2DB7555C" w:rsidR="006A2FCB" w:rsidRDefault="002A62C8" w:rsidP="006A2FC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However,</w:t>
      </w:r>
      <w:r w:rsidR="006E622A" w:rsidRPr="006A2FCB">
        <w:rPr>
          <w:rFonts w:ascii="Times New Roman" w:eastAsia="Cambria" w:hAnsi="Times New Roman"/>
          <w:szCs w:val="24"/>
          <w:lang w:eastAsia="ja-JP"/>
        </w:rPr>
        <w:t xml:space="preserve"> this is not within a </w:t>
      </w:r>
      <w:r w:rsidR="002C0D22">
        <w:rPr>
          <w:rFonts w:ascii="Times New Roman" w:eastAsia="Cambria" w:hAnsi="Times New Roman"/>
          <w:szCs w:val="24"/>
          <w:lang w:eastAsia="ja-JP"/>
        </w:rPr>
        <w:t>different</w:t>
      </w:r>
      <w:r w:rsidR="006E622A" w:rsidRPr="006A2FCB">
        <w:rPr>
          <w:rFonts w:ascii="Times New Roman" w:eastAsia="Cambria" w:hAnsi="Times New Roman"/>
          <w:szCs w:val="24"/>
          <w:lang w:eastAsia="ja-JP"/>
        </w:rPr>
        <w:t xml:space="preserve"> context.</w:t>
      </w:r>
      <w:r w:rsidR="003F6A80" w:rsidRPr="006A2FCB">
        <w:rPr>
          <w:rFonts w:ascii="Times New Roman" w:eastAsia="Cambria" w:hAnsi="Times New Roman"/>
          <w:szCs w:val="24"/>
          <w:lang w:eastAsia="ja-JP"/>
        </w:rPr>
        <w:t xml:space="preserve"> </w:t>
      </w:r>
      <w:r w:rsidR="006E622A" w:rsidRPr="006A2FCB">
        <w:rPr>
          <w:rFonts w:ascii="Times New Roman" w:eastAsia="Cambria" w:hAnsi="Times New Roman"/>
          <w:szCs w:val="24"/>
          <w:lang w:eastAsia="ja-JP"/>
        </w:rPr>
        <w:t>The relationship exists between the Prosecutor, defendant and the victims.</w:t>
      </w:r>
      <w:r w:rsidR="00024DA2" w:rsidRPr="006A2FCB">
        <w:rPr>
          <w:rFonts w:ascii="Times New Roman" w:eastAsia="Cambria" w:hAnsi="Times New Roman"/>
          <w:szCs w:val="24"/>
          <w:lang w:eastAsia="ja-JP"/>
        </w:rPr>
        <w:t xml:space="preserve"> </w:t>
      </w:r>
      <w:r w:rsidR="00866249" w:rsidRPr="006A2FCB">
        <w:rPr>
          <w:rFonts w:ascii="Times New Roman" w:eastAsia="Cambria" w:hAnsi="Times New Roman"/>
          <w:szCs w:val="24"/>
          <w:lang w:eastAsia="ja-JP"/>
        </w:rPr>
        <w:t xml:space="preserve"> </w:t>
      </w:r>
      <w:r w:rsidR="00024DA2" w:rsidRPr="006A2FCB">
        <w:rPr>
          <w:rFonts w:ascii="Times New Roman" w:eastAsia="Cambria" w:hAnsi="Times New Roman"/>
          <w:szCs w:val="24"/>
          <w:lang w:eastAsia="ja-JP"/>
        </w:rPr>
        <w:t xml:space="preserve">In chapter three, </w:t>
      </w:r>
      <w:r>
        <w:rPr>
          <w:rFonts w:ascii="Times New Roman" w:eastAsia="Cambria" w:hAnsi="Times New Roman"/>
          <w:szCs w:val="24"/>
          <w:lang w:eastAsia="ja-JP"/>
        </w:rPr>
        <w:t xml:space="preserve"> the thesis </w:t>
      </w:r>
      <w:r w:rsidR="00024DA2" w:rsidRPr="006A2FCB">
        <w:rPr>
          <w:rFonts w:ascii="Times New Roman" w:eastAsia="Cambria" w:hAnsi="Times New Roman"/>
          <w:szCs w:val="24"/>
          <w:lang w:eastAsia="ja-JP"/>
        </w:rPr>
        <w:t>intend</w:t>
      </w:r>
      <w:r>
        <w:rPr>
          <w:rFonts w:ascii="Times New Roman" w:eastAsia="Cambria" w:hAnsi="Times New Roman"/>
          <w:szCs w:val="24"/>
          <w:lang w:eastAsia="ja-JP"/>
        </w:rPr>
        <w:t>s</w:t>
      </w:r>
      <w:r w:rsidR="00024DA2" w:rsidRPr="006A2FCB">
        <w:rPr>
          <w:rFonts w:ascii="Times New Roman" w:eastAsia="Cambria" w:hAnsi="Times New Roman"/>
          <w:szCs w:val="24"/>
          <w:lang w:eastAsia="ja-JP"/>
        </w:rPr>
        <w:t xml:space="preserve"> to analyse the extent to which victims’ rights and interest</w:t>
      </w:r>
      <w:r w:rsidR="00866249" w:rsidRPr="006A2FCB">
        <w:rPr>
          <w:rFonts w:ascii="Times New Roman" w:eastAsia="Cambria" w:hAnsi="Times New Roman"/>
          <w:szCs w:val="24"/>
          <w:lang w:eastAsia="ja-JP"/>
        </w:rPr>
        <w:t>s</w:t>
      </w:r>
      <w:r w:rsidR="00024DA2" w:rsidRPr="006A2FCB">
        <w:rPr>
          <w:rFonts w:ascii="Times New Roman" w:eastAsia="Cambria" w:hAnsi="Times New Roman"/>
          <w:szCs w:val="24"/>
          <w:lang w:eastAsia="ja-JP"/>
        </w:rPr>
        <w:t xml:space="preserve"> </w:t>
      </w:r>
      <w:r w:rsidR="00866249" w:rsidRPr="006A2FCB">
        <w:rPr>
          <w:rFonts w:ascii="Times New Roman" w:eastAsia="Cambria" w:hAnsi="Times New Roman"/>
          <w:szCs w:val="24"/>
          <w:lang w:eastAsia="ja-JP"/>
        </w:rPr>
        <w:t>a</w:t>
      </w:r>
      <w:r w:rsidR="00AD1325" w:rsidRPr="006A2FCB">
        <w:rPr>
          <w:rFonts w:ascii="Times New Roman" w:eastAsia="Cambria" w:hAnsi="Times New Roman"/>
          <w:szCs w:val="24"/>
          <w:lang w:eastAsia="ja-JP"/>
        </w:rPr>
        <w:t>re taken into consideration during trial proceedings.</w:t>
      </w:r>
      <w:r w:rsidR="00866249" w:rsidRPr="006A2FCB">
        <w:rPr>
          <w:rFonts w:ascii="Times New Roman" w:eastAsia="Cambria" w:hAnsi="Times New Roman"/>
          <w:szCs w:val="24"/>
          <w:lang w:eastAsia="ja-JP"/>
        </w:rPr>
        <w:t xml:space="preserve"> </w:t>
      </w:r>
      <w:r>
        <w:rPr>
          <w:rFonts w:ascii="Times New Roman" w:eastAsia="Cambria" w:hAnsi="Times New Roman"/>
          <w:szCs w:val="24"/>
          <w:lang w:eastAsia="ja-JP"/>
        </w:rPr>
        <w:t>It</w:t>
      </w:r>
      <w:r w:rsidR="00866249" w:rsidRPr="006A2FCB">
        <w:rPr>
          <w:rFonts w:ascii="Times New Roman" w:eastAsia="Cambria" w:hAnsi="Times New Roman"/>
          <w:szCs w:val="24"/>
          <w:lang w:eastAsia="ja-JP"/>
        </w:rPr>
        <w:t xml:space="preserve"> shall assess this by using Edwards’ theory of participation-the dispositive and non-dispositive category. </w:t>
      </w:r>
    </w:p>
    <w:p w14:paraId="10DFE73E" w14:textId="77777777" w:rsidR="006B119E" w:rsidRPr="006A2FCB" w:rsidRDefault="006B119E" w:rsidP="006A2FCB">
      <w:pPr>
        <w:spacing w:after="0" w:line="480" w:lineRule="auto"/>
        <w:jc w:val="both"/>
        <w:rPr>
          <w:rFonts w:ascii="Times New Roman" w:eastAsia="Cambria" w:hAnsi="Times New Roman"/>
          <w:szCs w:val="24"/>
          <w:lang w:eastAsia="ja-JP"/>
        </w:rPr>
      </w:pPr>
    </w:p>
    <w:p w14:paraId="2612595A" w14:textId="5BF9EF87" w:rsidR="006E622A" w:rsidRPr="006A2FCB" w:rsidRDefault="00866249" w:rsidP="006A2FCB">
      <w:pPr>
        <w:spacing w:after="0" w:line="480" w:lineRule="auto"/>
        <w:jc w:val="both"/>
        <w:rPr>
          <w:rFonts w:ascii="Times New Roman" w:eastAsia="Cambria" w:hAnsi="Times New Roman"/>
          <w:szCs w:val="24"/>
          <w:lang w:eastAsia="ja-JP"/>
        </w:rPr>
      </w:pPr>
      <w:r w:rsidRPr="006A2FCB">
        <w:rPr>
          <w:rFonts w:ascii="Times New Roman" w:eastAsia="Cambria" w:hAnsi="Times New Roman"/>
          <w:szCs w:val="24"/>
          <w:lang w:eastAsia="ja-JP"/>
        </w:rPr>
        <w:t>Therefore, C</w:t>
      </w:r>
      <w:r w:rsidR="006E622A" w:rsidRPr="006A2FCB">
        <w:rPr>
          <w:rFonts w:ascii="Times New Roman" w:eastAsia="Cambria" w:hAnsi="Times New Roman"/>
          <w:szCs w:val="24"/>
          <w:lang w:eastAsia="ja-JP"/>
        </w:rPr>
        <w:t xml:space="preserve">hapter </w:t>
      </w:r>
      <w:r w:rsidR="00452321" w:rsidRPr="006A2FCB">
        <w:rPr>
          <w:rFonts w:ascii="Times New Roman" w:eastAsia="Cambria" w:hAnsi="Times New Roman"/>
          <w:szCs w:val="24"/>
          <w:lang w:eastAsia="ja-JP"/>
        </w:rPr>
        <w:t>three begins with</w:t>
      </w:r>
      <w:r w:rsidR="006E622A" w:rsidRPr="006A2FCB">
        <w:rPr>
          <w:rFonts w:ascii="Times New Roman" w:eastAsia="Cambria" w:hAnsi="Times New Roman"/>
          <w:szCs w:val="24"/>
          <w:lang w:eastAsia="ja-JP"/>
        </w:rPr>
        <w:t xml:space="preserve"> a brief overview of the context of procedural fairness. The s</w:t>
      </w:r>
      <w:r w:rsidR="00A036BA" w:rsidRPr="006A2FCB">
        <w:rPr>
          <w:rFonts w:ascii="Times New Roman" w:eastAsia="Cambria" w:hAnsi="Times New Roman"/>
          <w:szCs w:val="24"/>
          <w:lang w:eastAsia="ja-JP"/>
        </w:rPr>
        <w:t>econd section explores the significance of victims’ voice and respect</w:t>
      </w:r>
      <w:r w:rsidR="006E622A" w:rsidRPr="006A2FCB">
        <w:rPr>
          <w:rFonts w:ascii="Times New Roman" w:eastAsia="Cambria" w:hAnsi="Times New Roman"/>
          <w:szCs w:val="24"/>
          <w:lang w:eastAsia="ja-JP"/>
        </w:rPr>
        <w:t>.</w:t>
      </w:r>
      <w:r w:rsidR="00024DA2" w:rsidRPr="006A2FCB">
        <w:rPr>
          <w:rFonts w:ascii="Times New Roman" w:eastAsia="Cambria" w:hAnsi="Times New Roman"/>
          <w:szCs w:val="24"/>
          <w:lang w:eastAsia="ja-JP"/>
        </w:rPr>
        <w:t xml:space="preserve"> </w:t>
      </w:r>
      <w:r w:rsidR="006E622A" w:rsidRPr="006A2FCB">
        <w:rPr>
          <w:rFonts w:ascii="Times New Roman" w:eastAsia="Cambria" w:hAnsi="Times New Roman"/>
          <w:szCs w:val="24"/>
          <w:lang w:eastAsia="ja-JP"/>
        </w:rPr>
        <w:t>The third part reviews Ian Edw</w:t>
      </w:r>
      <w:r w:rsidR="00A036BA" w:rsidRPr="006A2FCB">
        <w:rPr>
          <w:rFonts w:ascii="Times New Roman" w:eastAsia="Cambria" w:hAnsi="Times New Roman"/>
          <w:szCs w:val="24"/>
          <w:lang w:eastAsia="ja-JP"/>
        </w:rPr>
        <w:t>ards’ theory o</w:t>
      </w:r>
      <w:r w:rsidR="006A2FCB" w:rsidRPr="006A2FCB">
        <w:rPr>
          <w:rFonts w:ascii="Times New Roman" w:eastAsia="Cambria" w:hAnsi="Times New Roman"/>
          <w:szCs w:val="24"/>
          <w:lang w:eastAsia="ja-JP"/>
        </w:rPr>
        <w:t>f</w:t>
      </w:r>
      <w:r w:rsidR="00A036BA" w:rsidRPr="006A2FCB">
        <w:rPr>
          <w:rFonts w:ascii="Times New Roman" w:eastAsia="Cambria" w:hAnsi="Times New Roman"/>
          <w:szCs w:val="24"/>
          <w:lang w:eastAsia="ja-JP"/>
        </w:rPr>
        <w:t xml:space="preserve"> participation</w:t>
      </w:r>
      <w:r w:rsidR="002C0D22">
        <w:rPr>
          <w:rFonts w:ascii="Times New Roman" w:eastAsia="Cambria" w:hAnsi="Times New Roman"/>
          <w:szCs w:val="24"/>
          <w:lang w:eastAsia="ja-JP"/>
        </w:rPr>
        <w:t>. At the same time, the</w:t>
      </w:r>
      <w:r w:rsidR="00A036BA" w:rsidRPr="006A2FCB">
        <w:rPr>
          <w:rFonts w:ascii="Times New Roman" w:eastAsia="Cambria" w:hAnsi="Times New Roman"/>
          <w:szCs w:val="24"/>
          <w:lang w:eastAsia="ja-JP"/>
        </w:rPr>
        <w:t xml:space="preserve"> next </w:t>
      </w:r>
      <w:r w:rsidR="00A036BA" w:rsidRPr="006A2FCB">
        <w:rPr>
          <w:rFonts w:ascii="Times New Roman" w:eastAsia="Cambria" w:hAnsi="Times New Roman"/>
          <w:szCs w:val="24"/>
          <w:lang w:eastAsia="ja-JP"/>
        </w:rPr>
        <w:lastRenderedPageBreak/>
        <w:t xml:space="preserve">section </w:t>
      </w:r>
      <w:r w:rsidR="002C0D22">
        <w:rPr>
          <w:rFonts w:ascii="Times New Roman" w:eastAsia="Cambria" w:hAnsi="Times New Roman"/>
          <w:szCs w:val="24"/>
          <w:lang w:eastAsia="ja-JP"/>
        </w:rPr>
        <w:t>assesses</w:t>
      </w:r>
      <w:r w:rsidR="00A036BA" w:rsidRPr="006A2FCB">
        <w:rPr>
          <w:rFonts w:ascii="Times New Roman" w:eastAsia="Cambria" w:hAnsi="Times New Roman"/>
          <w:szCs w:val="24"/>
          <w:lang w:eastAsia="ja-JP"/>
        </w:rPr>
        <w:t xml:space="preserve"> the modalities for participation.</w:t>
      </w:r>
      <w:r w:rsidR="006E622A" w:rsidRPr="006A2FCB">
        <w:rPr>
          <w:rFonts w:ascii="Times New Roman" w:eastAsia="Cambria" w:hAnsi="Times New Roman"/>
          <w:szCs w:val="24"/>
          <w:lang w:eastAsia="ja-JP"/>
        </w:rPr>
        <w:t xml:space="preserve"> The following section</w:t>
      </w:r>
      <w:r w:rsidR="00A036BA" w:rsidRPr="006A2FCB">
        <w:rPr>
          <w:rFonts w:ascii="Times New Roman" w:eastAsia="Cambria" w:hAnsi="Times New Roman"/>
          <w:szCs w:val="24"/>
          <w:lang w:eastAsia="ja-JP"/>
        </w:rPr>
        <w:t xml:space="preserve"> evaluates victims’</w:t>
      </w:r>
      <w:r w:rsidR="00226300" w:rsidRPr="006A2FCB">
        <w:rPr>
          <w:rFonts w:ascii="Times New Roman" w:eastAsia="Cambria" w:hAnsi="Times New Roman"/>
          <w:szCs w:val="24"/>
          <w:lang w:eastAsia="ja-JP"/>
        </w:rPr>
        <w:t xml:space="preserve"> procedural rights</w:t>
      </w:r>
      <w:r w:rsidR="006E622A" w:rsidRPr="006A2FCB">
        <w:rPr>
          <w:rFonts w:ascii="Times New Roman" w:eastAsia="Cambria" w:hAnsi="Times New Roman"/>
          <w:szCs w:val="24"/>
          <w:lang w:eastAsia="ja-JP"/>
        </w:rPr>
        <w:t xml:space="preserve">. Afterwards, the next section </w:t>
      </w:r>
      <w:r w:rsidR="00226300" w:rsidRPr="006A2FCB">
        <w:rPr>
          <w:rFonts w:ascii="Times New Roman" w:eastAsia="Cambria" w:hAnsi="Times New Roman"/>
          <w:szCs w:val="24"/>
          <w:lang w:eastAsia="ja-JP"/>
        </w:rPr>
        <w:t>addresses the modalities of par</w:t>
      </w:r>
      <w:r w:rsidRPr="006A2FCB">
        <w:rPr>
          <w:rFonts w:ascii="Times New Roman" w:eastAsia="Cambria" w:hAnsi="Times New Roman"/>
          <w:szCs w:val="24"/>
          <w:lang w:eastAsia="ja-JP"/>
        </w:rPr>
        <w:t>ticipation through Edwards’ non-</w:t>
      </w:r>
      <w:r w:rsidR="00226300" w:rsidRPr="006A2FCB">
        <w:rPr>
          <w:rFonts w:ascii="Times New Roman" w:eastAsia="Cambria" w:hAnsi="Times New Roman"/>
          <w:szCs w:val="24"/>
          <w:lang w:eastAsia="ja-JP"/>
        </w:rPr>
        <w:t>dispositive category</w:t>
      </w:r>
      <w:r w:rsidR="006E622A" w:rsidRPr="006A2FCB">
        <w:rPr>
          <w:rFonts w:ascii="Times New Roman" w:eastAsia="Cambria" w:hAnsi="Times New Roman"/>
          <w:szCs w:val="24"/>
          <w:lang w:eastAsia="ja-JP"/>
        </w:rPr>
        <w:t>.</w:t>
      </w:r>
      <w:r w:rsidR="006A2FCB" w:rsidRPr="006A2FCB">
        <w:rPr>
          <w:rFonts w:ascii="Times New Roman" w:eastAsia="Cambria" w:hAnsi="Times New Roman"/>
          <w:szCs w:val="24"/>
          <w:lang w:eastAsia="ja-JP"/>
        </w:rPr>
        <w:t xml:space="preserve"> </w:t>
      </w:r>
      <w:r w:rsidR="00226300" w:rsidRPr="006A2FCB">
        <w:rPr>
          <w:rFonts w:ascii="Times New Roman" w:eastAsia="Cambria" w:hAnsi="Times New Roman"/>
          <w:szCs w:val="24"/>
          <w:lang w:eastAsia="ja-JP"/>
        </w:rPr>
        <w:t xml:space="preserve">In this part, the </w:t>
      </w:r>
      <w:r w:rsidR="0087097E">
        <w:rPr>
          <w:rFonts w:ascii="Times New Roman" w:eastAsia="Cambria" w:hAnsi="Times New Roman"/>
          <w:szCs w:val="24"/>
          <w:lang w:eastAsia="ja-JP"/>
        </w:rPr>
        <w:t>non-dispositive theory subdivisions</w:t>
      </w:r>
      <w:r w:rsidR="00226300" w:rsidRPr="006A2FCB">
        <w:rPr>
          <w:rFonts w:ascii="Times New Roman" w:eastAsia="Cambria" w:hAnsi="Times New Roman"/>
          <w:szCs w:val="24"/>
          <w:lang w:eastAsia="ja-JP"/>
        </w:rPr>
        <w:t xml:space="preserve"> </w:t>
      </w:r>
      <w:r w:rsidR="009F16E8" w:rsidRPr="006A2FCB">
        <w:rPr>
          <w:rFonts w:ascii="Times New Roman" w:eastAsia="Cambria" w:hAnsi="Times New Roman"/>
          <w:szCs w:val="24"/>
          <w:lang w:eastAsia="ja-JP"/>
        </w:rPr>
        <w:t>shall be used to examine the applicability of victims’ rights</w:t>
      </w:r>
      <w:r w:rsidR="002C0D22">
        <w:rPr>
          <w:rFonts w:ascii="Times New Roman" w:eastAsia="Cambria" w:hAnsi="Times New Roman"/>
          <w:szCs w:val="24"/>
          <w:lang w:eastAsia="ja-JP"/>
        </w:rPr>
        <w:t xml:space="preserve"> and interests</w:t>
      </w:r>
      <w:r w:rsidR="009F16E8" w:rsidRPr="006A2FCB">
        <w:rPr>
          <w:rFonts w:ascii="Times New Roman" w:eastAsia="Cambria" w:hAnsi="Times New Roman"/>
          <w:szCs w:val="24"/>
          <w:lang w:eastAsia="ja-JP"/>
        </w:rPr>
        <w:t>.</w:t>
      </w:r>
      <w:r w:rsidR="006A2FCB" w:rsidRPr="006A2FCB">
        <w:rPr>
          <w:rFonts w:ascii="Times New Roman" w:eastAsia="Cambria" w:hAnsi="Times New Roman"/>
          <w:szCs w:val="24"/>
          <w:lang w:eastAsia="ja-JP"/>
        </w:rPr>
        <w:t xml:space="preserve"> </w:t>
      </w:r>
      <w:r w:rsidR="00226300" w:rsidRPr="006A2FCB">
        <w:rPr>
          <w:rFonts w:ascii="Times New Roman" w:eastAsia="Cambria" w:hAnsi="Times New Roman"/>
          <w:szCs w:val="24"/>
          <w:lang w:eastAsia="ja-JP"/>
        </w:rPr>
        <w:t>The remaining part of the section presen</w:t>
      </w:r>
      <w:r w:rsidR="00F577D0" w:rsidRPr="006A2FCB">
        <w:rPr>
          <w:rFonts w:ascii="Times New Roman" w:eastAsia="Cambria" w:hAnsi="Times New Roman"/>
          <w:szCs w:val="24"/>
          <w:lang w:eastAsia="ja-JP"/>
        </w:rPr>
        <w:t>ts th</w:t>
      </w:r>
      <w:r w:rsidR="0087097E">
        <w:rPr>
          <w:rFonts w:ascii="Times New Roman" w:eastAsia="Cambria" w:hAnsi="Times New Roman"/>
          <w:szCs w:val="24"/>
          <w:lang w:eastAsia="ja-JP"/>
        </w:rPr>
        <w:t>is chapter's findings</w:t>
      </w:r>
      <w:r w:rsidR="006A2FCB">
        <w:rPr>
          <w:rFonts w:ascii="Times New Roman" w:eastAsia="Cambria" w:hAnsi="Times New Roman"/>
          <w:szCs w:val="24"/>
          <w:lang w:eastAsia="ja-JP"/>
        </w:rPr>
        <w:t>,</w:t>
      </w:r>
      <w:r w:rsidR="00F577D0" w:rsidRPr="006A2FCB">
        <w:rPr>
          <w:rFonts w:ascii="Times New Roman" w:eastAsia="Cambria" w:hAnsi="Times New Roman"/>
          <w:szCs w:val="24"/>
          <w:lang w:eastAsia="ja-JP"/>
        </w:rPr>
        <w:t xml:space="preserve"> while t</w:t>
      </w:r>
      <w:r w:rsidR="006E622A" w:rsidRPr="006A2FCB">
        <w:rPr>
          <w:rFonts w:ascii="Times New Roman" w:eastAsia="Cambria" w:hAnsi="Times New Roman"/>
          <w:szCs w:val="24"/>
          <w:lang w:eastAsia="ja-JP"/>
        </w:rPr>
        <w:t xml:space="preserve">he last </w:t>
      </w:r>
      <w:r w:rsidR="00226300" w:rsidRPr="006A2FCB">
        <w:rPr>
          <w:rFonts w:ascii="Times New Roman" w:eastAsia="Cambria" w:hAnsi="Times New Roman"/>
          <w:szCs w:val="24"/>
          <w:lang w:eastAsia="ja-JP"/>
        </w:rPr>
        <w:t>section concludes the chapter.</w:t>
      </w:r>
      <w:r w:rsidR="006E622A" w:rsidRPr="006A2FCB">
        <w:rPr>
          <w:rFonts w:ascii="Times New Roman" w:eastAsia="Cambria" w:hAnsi="Times New Roman"/>
          <w:szCs w:val="24"/>
          <w:lang w:eastAsia="ja-JP"/>
        </w:rPr>
        <w:t xml:space="preserve"> </w:t>
      </w:r>
    </w:p>
    <w:p w14:paraId="28FA9E80" w14:textId="77777777" w:rsidR="009F16E8" w:rsidRPr="006A2FCB" w:rsidRDefault="009F16E8" w:rsidP="006A2FCB">
      <w:pPr>
        <w:spacing w:after="0" w:line="480" w:lineRule="auto"/>
        <w:jc w:val="both"/>
        <w:rPr>
          <w:rFonts w:ascii="Times New Roman" w:eastAsia="Cambria" w:hAnsi="Times New Roman"/>
          <w:szCs w:val="24"/>
          <w:lang w:eastAsia="ja-JP"/>
        </w:rPr>
      </w:pPr>
    </w:p>
    <w:p w14:paraId="319F4EF2" w14:textId="3B624DFF" w:rsidR="003F6A80" w:rsidRDefault="009F16E8" w:rsidP="006A2FCB">
      <w:pPr>
        <w:spacing w:after="0" w:line="480" w:lineRule="auto"/>
        <w:jc w:val="both"/>
        <w:rPr>
          <w:rFonts w:ascii="Times New Roman" w:eastAsia="Cambria" w:hAnsi="Times New Roman"/>
          <w:szCs w:val="24"/>
          <w:lang w:eastAsia="ja-JP"/>
        </w:rPr>
      </w:pPr>
      <w:r w:rsidRPr="006A2FCB">
        <w:rPr>
          <w:rFonts w:ascii="Times New Roman" w:eastAsia="Cambria" w:hAnsi="Times New Roman"/>
          <w:szCs w:val="24"/>
          <w:lang w:eastAsia="ja-JP"/>
        </w:rPr>
        <w:t>So far, t</w:t>
      </w:r>
      <w:r w:rsidR="003F6A80" w:rsidRPr="006A2FCB">
        <w:rPr>
          <w:rFonts w:ascii="Times New Roman" w:eastAsia="Cambria" w:hAnsi="Times New Roman"/>
          <w:szCs w:val="24"/>
          <w:lang w:eastAsia="ja-JP"/>
        </w:rPr>
        <w:t>his section has focused on the introduction and the structured part</w:t>
      </w:r>
      <w:r w:rsidRPr="006A2FCB">
        <w:rPr>
          <w:rFonts w:ascii="Times New Roman" w:eastAsia="Cambria" w:hAnsi="Times New Roman"/>
          <w:szCs w:val="24"/>
          <w:lang w:eastAsia="ja-JP"/>
        </w:rPr>
        <w:t>s</w:t>
      </w:r>
      <w:r w:rsidR="003F6A80" w:rsidRPr="006A2FCB">
        <w:rPr>
          <w:rFonts w:ascii="Times New Roman" w:eastAsia="Cambria" w:hAnsi="Times New Roman"/>
          <w:szCs w:val="24"/>
          <w:lang w:eastAsia="ja-JP"/>
        </w:rPr>
        <w:t xml:space="preserve"> of the chapter</w:t>
      </w:r>
      <w:r w:rsidR="006A2FCB">
        <w:rPr>
          <w:rFonts w:ascii="Times New Roman" w:eastAsia="Cambria" w:hAnsi="Times New Roman"/>
          <w:szCs w:val="24"/>
          <w:lang w:eastAsia="ja-JP"/>
        </w:rPr>
        <w:t>. I</w:t>
      </w:r>
      <w:r w:rsidR="003F6A80" w:rsidRPr="006A2FCB">
        <w:rPr>
          <w:rFonts w:ascii="Times New Roman" w:eastAsia="Cambria" w:hAnsi="Times New Roman"/>
          <w:szCs w:val="24"/>
          <w:lang w:eastAsia="ja-JP"/>
        </w:rPr>
        <w:t xml:space="preserve">t is now necessary to briefly explain </w:t>
      </w:r>
      <w:r w:rsidR="00CA05F5">
        <w:rPr>
          <w:rFonts w:ascii="Times New Roman" w:eastAsia="Cambria" w:hAnsi="Times New Roman"/>
          <w:szCs w:val="24"/>
          <w:lang w:eastAsia="ja-JP"/>
        </w:rPr>
        <w:t>the criminal procedure of the ICC.</w:t>
      </w:r>
    </w:p>
    <w:p w14:paraId="11394488" w14:textId="5D06DDDC" w:rsidR="00B86F5F" w:rsidRDefault="00B86F5F" w:rsidP="006A2FCB">
      <w:pPr>
        <w:spacing w:after="0" w:line="480" w:lineRule="auto"/>
        <w:jc w:val="both"/>
        <w:rPr>
          <w:rFonts w:ascii="Times New Roman" w:eastAsia="Cambria" w:hAnsi="Times New Roman"/>
          <w:szCs w:val="24"/>
          <w:lang w:eastAsia="ja-JP"/>
        </w:rPr>
      </w:pPr>
    </w:p>
    <w:p w14:paraId="4A18F1B4" w14:textId="11DD7A07" w:rsidR="00B86F5F" w:rsidRDefault="00B86F5F" w:rsidP="00B86F5F">
      <w:pPr>
        <w:pStyle w:val="Heading2"/>
        <w:rPr>
          <w:rFonts w:eastAsia="Cambria"/>
          <w:lang w:eastAsia="ja-JP"/>
        </w:rPr>
      </w:pPr>
      <w:bookmarkStart w:id="36" w:name="_Toc60235813"/>
      <w:r>
        <w:rPr>
          <w:rFonts w:eastAsia="Cambria"/>
          <w:lang w:eastAsia="ja-JP"/>
        </w:rPr>
        <w:t>3.2The criminal system of procedure and the ICC</w:t>
      </w:r>
      <w:bookmarkEnd w:id="36"/>
    </w:p>
    <w:p w14:paraId="39FD70DD" w14:textId="3E56CE75" w:rsidR="00B86F5F" w:rsidRDefault="00B86F5F" w:rsidP="00B86F5F">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I</w:t>
      </w:r>
      <w:r w:rsidRPr="006E622A">
        <w:rPr>
          <w:rFonts w:ascii="Times New Roman" w:eastAsia="Cambria" w:hAnsi="Times New Roman"/>
          <w:szCs w:val="24"/>
          <w:lang w:eastAsia="ja-JP"/>
        </w:rPr>
        <w:t>n order to examine the extent of applicability of victims’ rights, it is imperative to consider the criminal system of procedure in place at the ICC.</w:t>
      </w:r>
      <w:r w:rsidR="00CA05F5">
        <w:rPr>
          <w:rFonts w:ascii="Times New Roman" w:eastAsia="Cambria" w:hAnsi="Times New Roman"/>
          <w:szCs w:val="24"/>
          <w:lang w:eastAsia="ja-JP"/>
        </w:rPr>
        <w:t xml:space="preserve"> It is this context </w:t>
      </w:r>
      <w:r w:rsidR="00623203">
        <w:rPr>
          <w:rFonts w:ascii="Times New Roman" w:eastAsia="Cambria" w:hAnsi="Times New Roman"/>
          <w:szCs w:val="24"/>
          <w:lang w:eastAsia="ja-JP"/>
        </w:rPr>
        <w:t xml:space="preserve">which </w:t>
      </w:r>
      <w:r w:rsidR="00CA05F5">
        <w:rPr>
          <w:rFonts w:ascii="Times New Roman" w:eastAsia="Cambria" w:hAnsi="Times New Roman"/>
          <w:szCs w:val="24"/>
          <w:lang w:eastAsia="ja-JP"/>
        </w:rPr>
        <w:t>dictates the position of victims in criminal proceedings.</w:t>
      </w:r>
      <w:r w:rsidRPr="006E622A">
        <w:rPr>
          <w:rFonts w:ascii="Times New Roman" w:eastAsia="Cambria" w:hAnsi="Times New Roman"/>
          <w:szCs w:val="24"/>
          <w:lang w:eastAsia="ja-JP"/>
        </w:rPr>
        <w:t xml:space="preserve"> </w:t>
      </w:r>
      <w:r w:rsidR="00623203">
        <w:rPr>
          <w:rFonts w:ascii="Times New Roman" w:eastAsia="Cambria" w:hAnsi="Times New Roman"/>
          <w:szCs w:val="24"/>
          <w:lang w:eastAsia="ja-JP"/>
        </w:rPr>
        <w:t>Over the years, the place of the procedural system within the international justice system has been unsettled.</w:t>
      </w:r>
      <w:r w:rsidR="00623203">
        <w:rPr>
          <w:rStyle w:val="FootnoteReference"/>
          <w:rFonts w:ascii="Times New Roman" w:eastAsia="Cambria" w:hAnsi="Times New Roman"/>
          <w:szCs w:val="24"/>
          <w:lang w:eastAsia="ja-JP"/>
        </w:rPr>
        <w:footnoteReference w:id="500"/>
      </w:r>
      <w:r w:rsidR="00623203">
        <w:rPr>
          <w:rFonts w:ascii="Times New Roman" w:eastAsia="Cambria" w:hAnsi="Times New Roman"/>
          <w:szCs w:val="24"/>
          <w:lang w:eastAsia="ja-JP"/>
        </w:rPr>
        <w:t xml:space="preserve"> Instead, more attention has been given to “jurisdiction” and “substantive law.”</w:t>
      </w:r>
      <w:r w:rsidR="00623203">
        <w:rPr>
          <w:rStyle w:val="FootnoteReference"/>
          <w:rFonts w:ascii="Times New Roman" w:eastAsia="Cambria" w:hAnsi="Times New Roman"/>
          <w:szCs w:val="24"/>
          <w:lang w:eastAsia="ja-JP"/>
        </w:rPr>
        <w:footnoteReference w:id="501"/>
      </w:r>
      <w:r w:rsidR="00A23C7D">
        <w:rPr>
          <w:rFonts w:ascii="Times New Roman" w:eastAsia="Cambria" w:hAnsi="Times New Roman"/>
          <w:szCs w:val="24"/>
          <w:lang w:eastAsia="ja-JP"/>
        </w:rPr>
        <w:t xml:space="preserve"> Plausibly, the procedural system connects the </w:t>
      </w:r>
      <w:r w:rsidR="0087097E">
        <w:rPr>
          <w:rFonts w:ascii="Times New Roman" w:eastAsia="Cambria" w:hAnsi="Times New Roman"/>
          <w:szCs w:val="24"/>
          <w:lang w:eastAsia="ja-JP"/>
        </w:rPr>
        <w:t>court's function</w:t>
      </w:r>
      <w:r w:rsidR="00A23C7D">
        <w:rPr>
          <w:rFonts w:ascii="Times New Roman" w:eastAsia="Cambria" w:hAnsi="Times New Roman"/>
          <w:szCs w:val="24"/>
          <w:lang w:eastAsia="ja-JP"/>
        </w:rPr>
        <w:t xml:space="preserve">, the parties, victims and outcome of the criminal proceedings; with its connecting lines. The procedure dictates the role of victims, the parties and the judges.  </w:t>
      </w:r>
      <w:r>
        <w:rPr>
          <w:rFonts w:ascii="Times New Roman" w:eastAsia="Cambria" w:hAnsi="Times New Roman"/>
          <w:szCs w:val="24"/>
          <w:lang w:eastAsia="ja-JP"/>
        </w:rPr>
        <w:t>Vi</w:t>
      </w:r>
      <w:r w:rsidRPr="006E622A">
        <w:rPr>
          <w:rFonts w:ascii="Times New Roman" w:eastAsia="Cambria" w:hAnsi="Times New Roman"/>
          <w:szCs w:val="24"/>
          <w:lang w:eastAsia="ja-JP"/>
        </w:rPr>
        <w:t xml:space="preserve">ctims’ involvement </w:t>
      </w:r>
      <w:r w:rsidR="00A23C7D">
        <w:rPr>
          <w:rFonts w:ascii="Times New Roman" w:eastAsia="Cambria" w:hAnsi="Times New Roman"/>
          <w:szCs w:val="24"/>
          <w:lang w:eastAsia="ja-JP"/>
        </w:rPr>
        <w:t>is</w:t>
      </w:r>
      <w:r w:rsidRPr="006E622A">
        <w:rPr>
          <w:rFonts w:ascii="Times New Roman" w:eastAsia="Cambria" w:hAnsi="Times New Roman"/>
          <w:szCs w:val="24"/>
          <w:lang w:eastAsia="ja-JP"/>
        </w:rPr>
        <w:t xml:space="preserve"> restricted in </w:t>
      </w:r>
      <w:r>
        <w:rPr>
          <w:rFonts w:ascii="Times New Roman" w:eastAsia="Cambria" w:hAnsi="Times New Roman"/>
          <w:szCs w:val="24"/>
          <w:lang w:eastAsia="ja-JP"/>
        </w:rPr>
        <w:t xml:space="preserve">the </w:t>
      </w:r>
      <w:r w:rsidRPr="006E622A">
        <w:rPr>
          <w:rFonts w:ascii="Times New Roman" w:eastAsia="Cambria" w:hAnsi="Times New Roman"/>
          <w:szCs w:val="24"/>
          <w:lang w:eastAsia="ja-JP"/>
        </w:rPr>
        <w:t xml:space="preserve">adversarial </w:t>
      </w:r>
      <w:r w:rsidRPr="006E622A">
        <w:rPr>
          <w:rFonts w:ascii="Times New Roman" w:eastAsia="Cambria" w:hAnsi="Times New Roman"/>
          <w:szCs w:val="24"/>
          <w:lang w:eastAsia="ja-JP"/>
        </w:rPr>
        <w:lastRenderedPageBreak/>
        <w:t>system</w:t>
      </w:r>
      <w:r>
        <w:rPr>
          <w:rFonts w:ascii="Times New Roman" w:eastAsia="Cambria" w:hAnsi="Times New Roman"/>
          <w:szCs w:val="24"/>
          <w:lang w:eastAsia="ja-JP"/>
        </w:rPr>
        <w:t xml:space="preserve"> of procedure, while victims play</w:t>
      </w:r>
      <w:r w:rsidRPr="006E622A">
        <w:rPr>
          <w:rFonts w:ascii="Times New Roman" w:eastAsia="Cambria" w:hAnsi="Times New Roman"/>
          <w:szCs w:val="24"/>
          <w:lang w:eastAsia="ja-JP"/>
        </w:rPr>
        <w:t xml:space="preserve"> active roles in </w:t>
      </w:r>
      <w:r>
        <w:rPr>
          <w:rFonts w:ascii="Times New Roman" w:eastAsia="Cambria" w:hAnsi="Times New Roman"/>
          <w:szCs w:val="24"/>
          <w:lang w:eastAsia="ja-JP"/>
        </w:rPr>
        <w:t xml:space="preserve">the </w:t>
      </w:r>
      <w:r w:rsidRPr="006E622A">
        <w:rPr>
          <w:rFonts w:ascii="Times New Roman" w:eastAsia="Cambria" w:hAnsi="Times New Roman"/>
          <w:szCs w:val="24"/>
          <w:lang w:eastAsia="ja-JP"/>
        </w:rPr>
        <w:t>inquisitorial system. Some countries with civil law traditions allow victims to prosecute perpetrators independently.</w:t>
      </w:r>
      <w:r w:rsidRPr="006E622A">
        <w:rPr>
          <w:rFonts w:ascii="Times New Roman" w:eastAsia="Cambria" w:hAnsi="Times New Roman"/>
          <w:szCs w:val="24"/>
          <w:vertAlign w:val="superscript"/>
          <w:lang w:eastAsia="ja-JP"/>
        </w:rPr>
        <w:footnoteReference w:id="502"/>
      </w:r>
      <w:r w:rsidRPr="006E622A">
        <w:rPr>
          <w:rFonts w:ascii="Times New Roman" w:eastAsia="Cambria" w:hAnsi="Times New Roman"/>
          <w:szCs w:val="24"/>
          <w:lang w:eastAsia="ja-JP"/>
        </w:rPr>
        <w:t xml:space="preserve"> </w:t>
      </w:r>
      <w:r>
        <w:rPr>
          <w:rFonts w:ascii="Times New Roman" w:eastAsia="Cambria" w:hAnsi="Times New Roman"/>
          <w:szCs w:val="24"/>
          <w:lang w:eastAsia="ja-JP"/>
        </w:rPr>
        <w:t xml:space="preserve">Similar instances are exemplified in some common law jurisdictions where the victims’ legal representative may participate in </w:t>
      </w:r>
      <w:r w:rsidR="0087097E">
        <w:rPr>
          <w:rFonts w:ascii="Times New Roman" w:eastAsia="Cambria" w:hAnsi="Times New Roman"/>
          <w:szCs w:val="24"/>
          <w:lang w:eastAsia="ja-JP"/>
        </w:rPr>
        <w:t>sexual history evidence issues</w:t>
      </w:r>
      <w:r>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503"/>
      </w:r>
      <w:r>
        <w:rPr>
          <w:rFonts w:ascii="Times New Roman" w:eastAsia="Cambria" w:hAnsi="Times New Roman"/>
          <w:szCs w:val="24"/>
          <w:lang w:eastAsia="ja-JP"/>
        </w:rPr>
        <w:t xml:space="preserve"> Although, the role of the LRV is a restrictive one in this instance. Additionally, in some circumstances, victims may participate in the criminal proceedings as ‘private prosecutor.’</w:t>
      </w:r>
      <w:r>
        <w:rPr>
          <w:rStyle w:val="FootnoteReference"/>
          <w:rFonts w:ascii="Times New Roman" w:eastAsia="Cambria" w:hAnsi="Times New Roman"/>
          <w:szCs w:val="24"/>
          <w:lang w:eastAsia="ja-JP"/>
        </w:rPr>
        <w:footnoteReference w:id="504"/>
      </w:r>
      <w:r>
        <w:rPr>
          <w:rFonts w:ascii="Times New Roman" w:eastAsia="Cambria" w:hAnsi="Times New Roman"/>
          <w:szCs w:val="24"/>
          <w:lang w:eastAsia="ja-JP"/>
        </w:rPr>
        <w:t>In England and Wales, private prosecutions have been referred to as “historical right” that was  “rarely exercised”.</w:t>
      </w:r>
      <w:r>
        <w:rPr>
          <w:rStyle w:val="FootnoteReference"/>
          <w:rFonts w:ascii="Times New Roman" w:eastAsia="Cambria" w:hAnsi="Times New Roman"/>
          <w:szCs w:val="24"/>
          <w:lang w:eastAsia="ja-JP"/>
        </w:rPr>
        <w:footnoteReference w:id="505"/>
      </w:r>
      <w:r>
        <w:rPr>
          <w:rFonts w:ascii="Times New Roman" w:eastAsia="Cambria" w:hAnsi="Times New Roman"/>
          <w:szCs w:val="24"/>
          <w:lang w:eastAsia="ja-JP"/>
        </w:rPr>
        <w:t>However, factors like the financial implications of hiring a private investigator, Legal Representative,  and obtaining consent from the Director of Public Prosecutor restricts victims access to act as a private prosecutor.</w:t>
      </w:r>
      <w:r>
        <w:rPr>
          <w:rStyle w:val="FootnoteReference"/>
          <w:rFonts w:ascii="Times New Roman" w:eastAsia="Cambria" w:hAnsi="Times New Roman"/>
          <w:szCs w:val="24"/>
          <w:lang w:eastAsia="ja-JP"/>
        </w:rPr>
        <w:footnoteReference w:id="506"/>
      </w:r>
      <w:r>
        <w:rPr>
          <w:rFonts w:ascii="Times New Roman" w:eastAsia="Cambria" w:hAnsi="Times New Roman"/>
          <w:szCs w:val="24"/>
          <w:lang w:eastAsia="ja-JP"/>
        </w:rPr>
        <w:t xml:space="preserve">Victims cannot initiate private prosecution without the Director of Public Prosecutions’ consent. </w:t>
      </w:r>
      <w:r w:rsidR="0087097E">
        <w:rPr>
          <w:rFonts w:ascii="Times New Roman" w:eastAsia="Cambria" w:hAnsi="Times New Roman"/>
          <w:szCs w:val="24"/>
          <w:lang w:eastAsia="ja-JP"/>
        </w:rPr>
        <w:t>He commenced such criminal prosecution, the progression of the case's progression</w:t>
      </w:r>
      <w:r>
        <w:rPr>
          <w:rFonts w:ascii="Times New Roman" w:eastAsia="Cambria" w:hAnsi="Times New Roman"/>
          <w:szCs w:val="24"/>
          <w:lang w:eastAsia="ja-JP"/>
        </w:rPr>
        <w:t xml:space="preserve"> will be declared null and set aside.</w:t>
      </w:r>
    </w:p>
    <w:p w14:paraId="4ADFAC65" w14:textId="77777777" w:rsidR="00B86F5F" w:rsidRDefault="00B86F5F" w:rsidP="00B86F5F">
      <w:pPr>
        <w:spacing w:after="0" w:line="480" w:lineRule="auto"/>
        <w:jc w:val="both"/>
        <w:rPr>
          <w:rFonts w:ascii="Times New Roman" w:eastAsia="Cambria" w:hAnsi="Times New Roman"/>
          <w:szCs w:val="24"/>
          <w:lang w:eastAsia="ja-JP"/>
        </w:rPr>
      </w:pPr>
    </w:p>
    <w:p w14:paraId="01E57DEE" w14:textId="33FE41D8" w:rsidR="00B86F5F" w:rsidRPr="006E622A" w:rsidRDefault="00B86F5F" w:rsidP="00B86F5F">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Similarly, in the context of the United States jurisprudence, it is found that some State courts permit victims to act as prosecutor.</w:t>
      </w:r>
      <w:r>
        <w:rPr>
          <w:rStyle w:val="FootnoteReference"/>
          <w:rFonts w:ascii="Times New Roman" w:eastAsia="Cambria" w:hAnsi="Times New Roman"/>
          <w:szCs w:val="24"/>
          <w:lang w:eastAsia="ja-JP"/>
        </w:rPr>
        <w:footnoteReference w:id="507"/>
      </w:r>
      <w:r>
        <w:rPr>
          <w:rFonts w:ascii="Times New Roman" w:eastAsia="Cambria" w:hAnsi="Times New Roman"/>
          <w:szCs w:val="24"/>
          <w:lang w:eastAsia="ja-JP"/>
        </w:rPr>
        <w:t xml:space="preserve"> The right of victims to employ private </w:t>
      </w:r>
      <w:r>
        <w:rPr>
          <w:rFonts w:ascii="Times New Roman" w:eastAsia="Cambria" w:hAnsi="Times New Roman"/>
          <w:szCs w:val="24"/>
          <w:lang w:eastAsia="ja-JP"/>
        </w:rPr>
        <w:lastRenderedPageBreak/>
        <w:t xml:space="preserve">prosecutor to assist the public prosecutor depends on the </w:t>
      </w:r>
      <w:r w:rsidR="0087097E">
        <w:rPr>
          <w:rFonts w:ascii="Times New Roman" w:eastAsia="Cambria" w:hAnsi="Times New Roman"/>
          <w:szCs w:val="24"/>
          <w:lang w:eastAsia="ja-JP"/>
        </w:rPr>
        <w:t>judge's discretion</w:t>
      </w:r>
      <w:r>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508"/>
      </w:r>
      <w:r>
        <w:rPr>
          <w:rFonts w:ascii="Times New Roman" w:eastAsia="Cambria" w:hAnsi="Times New Roman"/>
          <w:szCs w:val="24"/>
          <w:lang w:eastAsia="ja-JP"/>
        </w:rPr>
        <w:t xml:space="preserve"> Victims are permitted to prosecute minor offences-simple assault and battery.</w:t>
      </w:r>
      <w:r>
        <w:rPr>
          <w:rStyle w:val="FootnoteReference"/>
          <w:rFonts w:ascii="Times New Roman" w:eastAsia="Cambria" w:hAnsi="Times New Roman"/>
          <w:szCs w:val="24"/>
          <w:lang w:eastAsia="ja-JP"/>
        </w:rPr>
        <w:footnoteReference w:id="509"/>
      </w:r>
      <w:r>
        <w:rPr>
          <w:rFonts w:ascii="Times New Roman" w:eastAsia="Cambria" w:hAnsi="Times New Roman"/>
          <w:szCs w:val="24"/>
          <w:lang w:eastAsia="ja-JP"/>
        </w:rPr>
        <w:t xml:space="preserve"> These cases demonstrate the progression of victim participation in common law jurisdictions. It should be noted that the projection of victim participation is higher in civil law jurisdictions than common law jurisdictions. It seems victims interests thrive largely within the context of civil law traditions, while the recognition of victims interests is a gradual process in c</w:t>
      </w:r>
      <w:r w:rsidR="002C0D22">
        <w:rPr>
          <w:rFonts w:ascii="Times New Roman" w:eastAsia="Cambria" w:hAnsi="Times New Roman"/>
          <w:szCs w:val="24"/>
          <w:lang w:eastAsia="ja-JP"/>
        </w:rPr>
        <w:t xml:space="preserve">ommon </w:t>
      </w:r>
      <w:r>
        <w:rPr>
          <w:rFonts w:ascii="Times New Roman" w:eastAsia="Cambria" w:hAnsi="Times New Roman"/>
          <w:szCs w:val="24"/>
          <w:lang w:eastAsia="ja-JP"/>
        </w:rPr>
        <w:t>law tradition.</w:t>
      </w:r>
    </w:p>
    <w:p w14:paraId="5C1CC1C4" w14:textId="77777777" w:rsidR="00B86F5F" w:rsidRDefault="00B86F5F" w:rsidP="00B86F5F">
      <w:pPr>
        <w:spacing w:after="0" w:line="480" w:lineRule="auto"/>
        <w:jc w:val="both"/>
        <w:rPr>
          <w:rFonts w:eastAsia="Cambria"/>
          <w:lang w:eastAsia="ja-JP"/>
        </w:rPr>
      </w:pPr>
    </w:p>
    <w:p w14:paraId="56425FC9" w14:textId="39BBBAA1" w:rsidR="00B86F5F" w:rsidRDefault="00B86F5F" w:rsidP="00B86F5F">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In common law jurisdictions, the</w:t>
      </w:r>
      <w:r w:rsidR="002C0D22">
        <w:rPr>
          <w:rFonts w:ascii="Times New Roman" w:eastAsia="Cambria" w:hAnsi="Times New Roman"/>
          <w:szCs w:val="24"/>
          <w:lang w:eastAsia="ja-JP"/>
        </w:rPr>
        <w:t xml:space="preserve"> criminal procedure pitches</w:t>
      </w:r>
      <w:r w:rsidRPr="006E622A">
        <w:rPr>
          <w:rFonts w:ascii="Times New Roman" w:eastAsia="Cambria" w:hAnsi="Times New Roman"/>
          <w:szCs w:val="24"/>
          <w:lang w:eastAsia="ja-JP"/>
        </w:rPr>
        <w:t xml:space="preserve"> prosecution and defence against each other in the presentations of their cases to the judge.</w:t>
      </w:r>
      <w:r w:rsidRPr="006E622A">
        <w:rPr>
          <w:rFonts w:ascii="Times New Roman" w:eastAsia="Cambria" w:hAnsi="Times New Roman"/>
          <w:szCs w:val="24"/>
          <w:vertAlign w:val="superscript"/>
          <w:lang w:eastAsia="ja-JP"/>
        </w:rPr>
        <w:footnoteReference w:id="510"/>
      </w:r>
      <w:r w:rsidRPr="006E622A">
        <w:rPr>
          <w:rFonts w:ascii="Times New Roman" w:eastAsia="Cambria" w:hAnsi="Times New Roman"/>
          <w:szCs w:val="24"/>
          <w:lang w:eastAsia="ja-JP"/>
        </w:rPr>
        <w:t xml:space="preserve"> As such, they are referred to as ‘</w:t>
      </w:r>
      <w:r w:rsidRPr="006E622A">
        <w:rPr>
          <w:rFonts w:ascii="Times New Roman" w:eastAsia="Cambria" w:hAnsi="Times New Roman"/>
          <w:i/>
          <w:szCs w:val="24"/>
          <w:lang w:eastAsia="ja-JP"/>
        </w:rPr>
        <w:t>adversaries</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511"/>
      </w:r>
      <w:r w:rsidRPr="006E622A">
        <w:rPr>
          <w:rFonts w:ascii="Times New Roman" w:eastAsia="Cambria" w:hAnsi="Times New Roman"/>
          <w:szCs w:val="24"/>
          <w:lang w:eastAsia="ja-JP"/>
        </w:rPr>
        <w:t xml:space="preserve"> Both parties compete to convince the judge that their version of facts is the most convincing. The judge acts as an impartial umpire. The judge or decision</w:t>
      </w:r>
      <w:r>
        <w:rPr>
          <w:rFonts w:ascii="Times New Roman" w:eastAsia="Cambria" w:hAnsi="Times New Roman"/>
          <w:szCs w:val="24"/>
          <w:lang w:eastAsia="ja-JP"/>
        </w:rPr>
        <w:t>-</w:t>
      </w:r>
      <w:r w:rsidRPr="006E622A">
        <w:rPr>
          <w:rFonts w:ascii="Times New Roman" w:eastAsia="Cambria" w:hAnsi="Times New Roman"/>
          <w:szCs w:val="24"/>
          <w:lang w:eastAsia="ja-JP"/>
        </w:rPr>
        <w:t>maker is very passive. The role of victims in this system is restricted to giving testimonies as witnesses.</w:t>
      </w:r>
      <w:r w:rsidRPr="006E622A">
        <w:rPr>
          <w:rFonts w:ascii="Times New Roman" w:eastAsia="Cambria" w:hAnsi="Times New Roman"/>
          <w:szCs w:val="24"/>
          <w:vertAlign w:val="superscript"/>
          <w:lang w:eastAsia="ja-JP"/>
        </w:rPr>
        <w:footnoteReference w:id="512"/>
      </w:r>
      <w:r w:rsidRPr="006E622A">
        <w:rPr>
          <w:rFonts w:ascii="Times New Roman" w:eastAsia="Cambria" w:hAnsi="Times New Roman"/>
          <w:szCs w:val="24"/>
          <w:lang w:eastAsia="ja-JP"/>
        </w:rPr>
        <w:t xml:space="preserve">They do not have </w:t>
      </w:r>
      <w:r>
        <w:rPr>
          <w:rFonts w:ascii="Times New Roman" w:eastAsia="Cambria" w:hAnsi="Times New Roman"/>
          <w:szCs w:val="24"/>
          <w:lang w:eastAsia="ja-JP"/>
        </w:rPr>
        <w:t>a</w:t>
      </w:r>
      <w:r w:rsidRPr="006E622A">
        <w:rPr>
          <w:rFonts w:ascii="Times New Roman" w:eastAsia="Cambria" w:hAnsi="Times New Roman"/>
          <w:szCs w:val="24"/>
          <w:lang w:eastAsia="ja-JP"/>
        </w:rPr>
        <w:t xml:space="preserve"> party or quasi-party status.</w:t>
      </w:r>
      <w:r w:rsidRPr="006E622A">
        <w:rPr>
          <w:rFonts w:ascii="Times New Roman" w:eastAsia="Cambria" w:hAnsi="Times New Roman"/>
          <w:szCs w:val="24"/>
          <w:vertAlign w:val="superscript"/>
          <w:lang w:eastAsia="ja-JP"/>
        </w:rPr>
        <w:footnoteReference w:id="513"/>
      </w:r>
      <w:r w:rsidRPr="006E622A">
        <w:rPr>
          <w:rFonts w:ascii="Times New Roman" w:eastAsia="Cambria" w:hAnsi="Times New Roman"/>
          <w:szCs w:val="24"/>
          <w:lang w:eastAsia="ja-JP"/>
        </w:rPr>
        <w:t xml:space="preserve"> Their roles are passive because the adversarial system of procedure focuses on the defen</w:t>
      </w:r>
      <w:r>
        <w:rPr>
          <w:rFonts w:ascii="Times New Roman" w:eastAsia="Cambria" w:hAnsi="Times New Roman"/>
          <w:szCs w:val="24"/>
          <w:lang w:eastAsia="ja-JP"/>
        </w:rPr>
        <w:t>c</w:t>
      </w:r>
      <w:r w:rsidRPr="006E622A">
        <w:rPr>
          <w:rFonts w:ascii="Times New Roman" w:eastAsia="Cambria" w:hAnsi="Times New Roman"/>
          <w:szCs w:val="24"/>
          <w:lang w:eastAsia="ja-JP"/>
        </w:rPr>
        <w:t>e and prosecution</w:t>
      </w:r>
      <w:r>
        <w:rPr>
          <w:rFonts w:ascii="Times New Roman" w:eastAsia="Cambria" w:hAnsi="Times New Roman"/>
          <w:szCs w:val="24"/>
          <w:lang w:eastAsia="ja-JP"/>
        </w:rPr>
        <w:t>;</w:t>
      </w:r>
      <w:r w:rsidRPr="006E622A">
        <w:rPr>
          <w:rFonts w:ascii="Times New Roman" w:eastAsia="Cambria" w:hAnsi="Times New Roman"/>
          <w:szCs w:val="24"/>
          <w:lang w:eastAsia="ja-JP"/>
        </w:rPr>
        <w:t xml:space="preserve"> </w:t>
      </w:r>
      <w:r w:rsidR="0087097E">
        <w:rPr>
          <w:rFonts w:ascii="Times New Roman" w:eastAsia="Cambria" w:hAnsi="Times New Roman"/>
          <w:szCs w:val="24"/>
          <w:lang w:eastAsia="ja-JP"/>
        </w:rPr>
        <w:t>victims' involvement</w:t>
      </w:r>
      <w:r>
        <w:rPr>
          <w:rFonts w:ascii="Times New Roman" w:eastAsia="Cambria" w:hAnsi="Times New Roman"/>
          <w:szCs w:val="24"/>
          <w:lang w:eastAsia="ja-JP"/>
        </w:rPr>
        <w:t xml:space="preserve"> is limited.</w:t>
      </w:r>
    </w:p>
    <w:p w14:paraId="4B617BDC" w14:textId="77777777" w:rsidR="00B86F5F" w:rsidRDefault="00B86F5F" w:rsidP="00B86F5F">
      <w:pPr>
        <w:spacing w:after="0" w:line="480" w:lineRule="auto"/>
        <w:jc w:val="both"/>
        <w:rPr>
          <w:rFonts w:ascii="Times New Roman" w:eastAsia="Cambria" w:hAnsi="Times New Roman"/>
          <w:szCs w:val="24"/>
          <w:lang w:eastAsia="ja-JP"/>
        </w:rPr>
      </w:pPr>
    </w:p>
    <w:p w14:paraId="263D9D5B" w14:textId="777D706C" w:rsidR="00B86F5F" w:rsidRDefault="00B86F5F" w:rsidP="00B86F5F">
      <w:pPr>
        <w:spacing w:after="0" w:line="480" w:lineRule="auto"/>
        <w:jc w:val="both"/>
        <w:rPr>
          <w:rFonts w:ascii="Times New Roman" w:eastAsia="Cambria" w:hAnsi="Times New Roman"/>
          <w:szCs w:val="24"/>
          <w:vertAlign w:val="superscript"/>
          <w:lang w:eastAsia="ja-JP"/>
        </w:rPr>
      </w:pPr>
      <w:r w:rsidRPr="006E622A">
        <w:rPr>
          <w:rFonts w:ascii="Times New Roman" w:eastAsia="Cambria" w:hAnsi="Times New Roman"/>
          <w:szCs w:val="24"/>
          <w:lang w:eastAsia="ja-JP"/>
        </w:rPr>
        <w:t xml:space="preserve">In most civil law jurisdictions, </w:t>
      </w:r>
      <w:r w:rsidR="0087097E">
        <w:rPr>
          <w:rFonts w:ascii="Times New Roman" w:eastAsia="Cambria" w:hAnsi="Times New Roman"/>
          <w:szCs w:val="24"/>
          <w:lang w:eastAsia="ja-JP"/>
        </w:rPr>
        <w:t>an investigating judge</w:t>
      </w:r>
      <w:r w:rsidRPr="006E622A">
        <w:rPr>
          <w:rFonts w:ascii="Times New Roman" w:eastAsia="Cambria" w:hAnsi="Times New Roman"/>
          <w:szCs w:val="24"/>
          <w:lang w:eastAsia="ja-JP"/>
        </w:rPr>
        <w:t xml:space="preserve"> actively controls the trial and directs witnesses.</w:t>
      </w:r>
      <w:r w:rsidRPr="006E622A">
        <w:rPr>
          <w:rFonts w:ascii="Times New Roman" w:eastAsia="Cambria" w:hAnsi="Times New Roman"/>
          <w:szCs w:val="24"/>
          <w:vertAlign w:val="superscript"/>
          <w:lang w:eastAsia="ja-JP"/>
        </w:rPr>
        <w:footnoteReference w:id="514"/>
      </w:r>
      <w:r w:rsidRPr="006E622A">
        <w:rPr>
          <w:rFonts w:ascii="Times New Roman" w:eastAsia="Cambria" w:hAnsi="Times New Roman"/>
          <w:szCs w:val="24"/>
          <w:lang w:eastAsia="ja-JP"/>
        </w:rPr>
        <w:t>The victim plays a central role</w:t>
      </w:r>
      <w:r>
        <w:rPr>
          <w:rFonts w:ascii="Times New Roman" w:eastAsia="Cambria" w:hAnsi="Times New Roman"/>
          <w:szCs w:val="24"/>
          <w:lang w:eastAsia="ja-JP"/>
        </w:rPr>
        <w:t>; h</w:t>
      </w:r>
      <w:r w:rsidRPr="006E622A">
        <w:rPr>
          <w:rFonts w:ascii="Times New Roman" w:eastAsia="Cambria" w:hAnsi="Times New Roman"/>
          <w:szCs w:val="24"/>
          <w:lang w:eastAsia="ja-JP"/>
        </w:rPr>
        <w:t>e m</w:t>
      </w:r>
      <w:r>
        <w:rPr>
          <w:rFonts w:ascii="Times New Roman" w:eastAsia="Cambria" w:hAnsi="Times New Roman"/>
          <w:szCs w:val="24"/>
          <w:lang w:eastAsia="ja-JP"/>
        </w:rPr>
        <w:t>a</w:t>
      </w:r>
      <w:r w:rsidRPr="006E622A">
        <w:rPr>
          <w:rFonts w:ascii="Times New Roman" w:eastAsia="Cambria" w:hAnsi="Times New Roman"/>
          <w:szCs w:val="24"/>
          <w:lang w:eastAsia="ja-JP"/>
        </w:rPr>
        <w:t xml:space="preserve">y initiate proceedings or seek compensation. This system refers to </w:t>
      </w:r>
      <w:r w:rsidR="00FE2D57">
        <w:rPr>
          <w:rFonts w:ascii="Times New Roman" w:eastAsia="Cambria" w:hAnsi="Times New Roman"/>
          <w:szCs w:val="24"/>
          <w:lang w:eastAsia="ja-JP"/>
        </w:rPr>
        <w:t>them</w:t>
      </w:r>
      <w:r w:rsidRPr="006E622A">
        <w:rPr>
          <w:rFonts w:ascii="Times New Roman" w:eastAsia="Cambria" w:hAnsi="Times New Roman"/>
          <w:szCs w:val="24"/>
          <w:lang w:eastAsia="ja-JP"/>
        </w:rPr>
        <w:t xml:space="preserve"> as a </w:t>
      </w:r>
      <w:r>
        <w:rPr>
          <w:rFonts w:ascii="Times New Roman" w:eastAsia="Cambria" w:hAnsi="Times New Roman"/>
          <w:szCs w:val="24"/>
          <w:lang w:eastAsia="ja-JP"/>
        </w:rPr>
        <w:t>“</w:t>
      </w:r>
      <w:proofErr w:type="spellStart"/>
      <w:r w:rsidRPr="006E622A">
        <w:rPr>
          <w:rFonts w:ascii="Times New Roman" w:eastAsia="Cambria" w:hAnsi="Times New Roman"/>
          <w:szCs w:val="24"/>
          <w:lang w:eastAsia="ja-JP"/>
        </w:rPr>
        <w:t>partie</w:t>
      </w:r>
      <w:proofErr w:type="spellEnd"/>
      <w:r w:rsidRPr="006E622A">
        <w:rPr>
          <w:rFonts w:ascii="Times New Roman" w:eastAsia="Cambria" w:hAnsi="Times New Roman"/>
          <w:szCs w:val="24"/>
          <w:lang w:eastAsia="ja-JP"/>
        </w:rPr>
        <w:t xml:space="preserve"> civile</w:t>
      </w:r>
      <w:r>
        <w:rPr>
          <w:rFonts w:ascii="Times New Roman" w:eastAsia="Cambria" w:hAnsi="Times New Roman"/>
          <w:szCs w:val="24"/>
          <w:lang w:eastAsia="ja-JP"/>
        </w:rPr>
        <w:t>”</w:t>
      </w:r>
      <w:r w:rsidRPr="006E622A">
        <w:rPr>
          <w:rFonts w:ascii="Times New Roman" w:eastAsia="Cambria" w:hAnsi="Times New Roman"/>
          <w:szCs w:val="24"/>
          <w:lang w:eastAsia="ja-JP"/>
        </w:rPr>
        <w:t>(civil petitioner).  The victim has the right to join civil claims with criminal prosecutions. Also, he can exercise his rights to challenge evidence</w:t>
      </w:r>
      <w:r>
        <w:rPr>
          <w:rFonts w:ascii="Times New Roman" w:eastAsia="Cambria" w:hAnsi="Times New Roman"/>
          <w:szCs w:val="24"/>
          <w:lang w:eastAsia="ja-JP"/>
        </w:rPr>
        <w:t>.</w:t>
      </w:r>
    </w:p>
    <w:p w14:paraId="03DC6FA4" w14:textId="1932255A" w:rsidR="00B86F5F" w:rsidRDefault="00B86F5F" w:rsidP="00B86F5F">
      <w:pPr>
        <w:spacing w:after="0" w:line="480" w:lineRule="auto"/>
        <w:jc w:val="both"/>
        <w:rPr>
          <w:rFonts w:ascii="Times New Roman" w:eastAsia="Cambria" w:hAnsi="Times New Roman"/>
          <w:szCs w:val="24"/>
          <w:lang w:eastAsia="ja-JP"/>
        </w:rPr>
      </w:pPr>
    </w:p>
    <w:p w14:paraId="75D97897" w14:textId="3AB3A79E" w:rsidR="00B86F5F" w:rsidRDefault="00B86F5F" w:rsidP="00B86F5F">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S</w:t>
      </w:r>
      <w:r w:rsidRPr="006E622A">
        <w:rPr>
          <w:rFonts w:ascii="Times New Roman" w:eastAsia="Cambria" w:hAnsi="Times New Roman"/>
          <w:szCs w:val="24"/>
          <w:lang w:eastAsia="ja-JP"/>
        </w:rPr>
        <w:t>imilarly, some jurisdictions allow</w:t>
      </w:r>
      <w:r>
        <w:rPr>
          <w:rFonts w:ascii="Times New Roman" w:eastAsia="Cambria" w:hAnsi="Times New Roman"/>
          <w:szCs w:val="24"/>
          <w:lang w:eastAsia="ja-JP"/>
        </w:rPr>
        <w:t xml:space="preserve"> victims</w:t>
      </w:r>
      <w:r w:rsidRPr="006E622A">
        <w:rPr>
          <w:rFonts w:ascii="Times New Roman" w:eastAsia="Cambria" w:hAnsi="Times New Roman"/>
          <w:szCs w:val="24"/>
          <w:lang w:eastAsia="ja-JP"/>
        </w:rPr>
        <w:t xml:space="preserve"> to act as auxiliary prosecutors.</w:t>
      </w:r>
      <w:r w:rsidRPr="006E622A">
        <w:rPr>
          <w:rFonts w:ascii="Times New Roman" w:eastAsia="Cambria" w:hAnsi="Times New Roman"/>
          <w:szCs w:val="24"/>
          <w:vertAlign w:val="superscript"/>
          <w:lang w:eastAsia="ja-JP"/>
        </w:rPr>
        <w:footnoteReference w:id="515"/>
      </w:r>
      <w:r w:rsidRPr="006E622A">
        <w:rPr>
          <w:rFonts w:ascii="Times New Roman" w:eastAsia="Cambria" w:hAnsi="Times New Roman"/>
          <w:szCs w:val="24"/>
          <w:lang w:eastAsia="ja-JP"/>
        </w:rPr>
        <w:t>This</w:t>
      </w:r>
      <w:r>
        <w:rPr>
          <w:rFonts w:ascii="Times New Roman" w:eastAsia="Cambria" w:hAnsi="Times New Roman"/>
          <w:szCs w:val="24"/>
          <w:lang w:eastAsia="ja-JP"/>
        </w:rPr>
        <w:t xml:space="preserve"> comparison</w:t>
      </w:r>
      <w:r w:rsidRPr="006E622A">
        <w:rPr>
          <w:rFonts w:ascii="Times New Roman" w:eastAsia="Cambria" w:hAnsi="Times New Roman"/>
          <w:szCs w:val="24"/>
          <w:lang w:eastAsia="ja-JP"/>
        </w:rPr>
        <w:t xml:space="preserve"> explains the position of victims within these jurisdictions. The Rome Statute, being a product of compromise between civil and common law jurisdictions</w:t>
      </w:r>
      <w:r>
        <w:rPr>
          <w:rFonts w:ascii="Times New Roman" w:eastAsia="Cambria" w:hAnsi="Times New Roman"/>
          <w:szCs w:val="24"/>
          <w:lang w:eastAsia="ja-JP"/>
        </w:rPr>
        <w:t>,</w:t>
      </w:r>
      <w:r w:rsidRPr="006E622A">
        <w:rPr>
          <w:rFonts w:ascii="Times New Roman" w:eastAsia="Cambria" w:hAnsi="Times New Roman"/>
          <w:szCs w:val="24"/>
          <w:lang w:eastAsia="ja-JP"/>
        </w:rPr>
        <w:t xml:space="preserve"> gives the role of </w:t>
      </w:r>
      <w:r>
        <w:rPr>
          <w:rFonts w:ascii="Times New Roman" w:eastAsia="Cambria" w:hAnsi="Times New Roman"/>
          <w:szCs w:val="24"/>
          <w:lang w:eastAsia="ja-JP"/>
        </w:rPr>
        <w:t xml:space="preserve">the </w:t>
      </w:r>
      <w:r w:rsidRPr="006E622A">
        <w:rPr>
          <w:rFonts w:ascii="Times New Roman" w:eastAsia="Cambria" w:hAnsi="Times New Roman"/>
          <w:szCs w:val="24"/>
          <w:lang w:eastAsia="ja-JP"/>
        </w:rPr>
        <w:t>victim as a third party to the proceedings. The victim is not a full party, as opposed to the defence and the prosecutor with competing interests.</w:t>
      </w:r>
    </w:p>
    <w:p w14:paraId="32F4389C" w14:textId="77777777" w:rsidR="00B86F5F" w:rsidRDefault="00B86F5F" w:rsidP="00B86F5F">
      <w:pPr>
        <w:spacing w:after="0" w:line="480" w:lineRule="auto"/>
        <w:jc w:val="both"/>
        <w:rPr>
          <w:rFonts w:ascii="Times New Roman" w:eastAsia="Cambria" w:hAnsi="Times New Roman"/>
          <w:szCs w:val="24"/>
          <w:lang w:eastAsia="ja-JP"/>
        </w:rPr>
      </w:pPr>
    </w:p>
    <w:p w14:paraId="5E2C86F8" w14:textId="56BBF59A" w:rsidR="00B86F5F" w:rsidRDefault="00B86F5F" w:rsidP="00B86F5F">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Ambos identifies the shift from a purely adversarial procedure to a truly mixed procedure in the international criminal procedure.</w:t>
      </w:r>
      <w:r w:rsidRPr="006E622A">
        <w:rPr>
          <w:rFonts w:ascii="Times New Roman" w:eastAsia="Cambria" w:hAnsi="Times New Roman"/>
          <w:szCs w:val="24"/>
          <w:vertAlign w:val="superscript"/>
          <w:lang w:eastAsia="ja-JP"/>
        </w:rPr>
        <w:footnoteReference w:id="516"/>
      </w:r>
      <w:r w:rsidRPr="006E622A">
        <w:rPr>
          <w:rFonts w:ascii="Times New Roman" w:eastAsia="Cambria" w:hAnsi="Times New Roman"/>
          <w:szCs w:val="24"/>
          <w:lang w:eastAsia="ja-JP"/>
        </w:rPr>
        <w:t xml:space="preserve"> This came into existence by </w:t>
      </w:r>
      <w:r w:rsidR="00D255EF">
        <w:rPr>
          <w:rFonts w:ascii="Times New Roman" w:eastAsia="Cambria" w:hAnsi="Times New Roman"/>
          <w:szCs w:val="24"/>
          <w:lang w:eastAsia="ja-JP"/>
        </w:rPr>
        <w:t>merging common and civil law procedures</w:t>
      </w:r>
      <w:r w:rsidRPr="006E622A">
        <w:rPr>
          <w:rFonts w:ascii="Times New Roman" w:eastAsia="Cambria" w:hAnsi="Times New Roman"/>
          <w:szCs w:val="24"/>
          <w:lang w:eastAsia="ja-JP"/>
        </w:rPr>
        <w:t xml:space="preserve"> into one international procedure.</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He contends that it is less significant if a rule is ‘adversarial’ or ‘inquisitorial’, but opines that what matters is if the rule facilitates the tribunals in accomplishing their tasks.</w:t>
      </w:r>
      <w:r w:rsidRPr="006E622A">
        <w:rPr>
          <w:rFonts w:ascii="Times New Roman" w:eastAsia="Cambria" w:hAnsi="Times New Roman"/>
          <w:szCs w:val="24"/>
          <w:vertAlign w:val="superscript"/>
          <w:lang w:eastAsia="ja-JP"/>
        </w:rPr>
        <w:footnoteReference w:id="517"/>
      </w:r>
      <w:r w:rsidRPr="006E622A">
        <w:rPr>
          <w:rFonts w:ascii="Times New Roman" w:eastAsia="Cambria" w:hAnsi="Times New Roman"/>
          <w:szCs w:val="24"/>
          <w:lang w:eastAsia="ja-JP"/>
        </w:rPr>
        <w:t xml:space="preserve"> </w:t>
      </w:r>
      <w:r w:rsidRPr="006E622A">
        <w:rPr>
          <w:rFonts w:ascii="Times New Roman" w:eastAsia="Cambria" w:hAnsi="Times New Roman"/>
          <w:szCs w:val="24"/>
          <w:lang w:eastAsia="ja-JP"/>
        </w:rPr>
        <w:lastRenderedPageBreak/>
        <w:t xml:space="preserve">Moreover, more attention should be placed on if these rules conform </w:t>
      </w:r>
      <w:r>
        <w:rPr>
          <w:rFonts w:ascii="Times New Roman" w:eastAsia="Cambria" w:hAnsi="Times New Roman"/>
          <w:szCs w:val="24"/>
          <w:lang w:eastAsia="ja-JP"/>
        </w:rPr>
        <w:t>to</w:t>
      </w:r>
      <w:r w:rsidRPr="006E622A">
        <w:rPr>
          <w:rFonts w:ascii="Times New Roman" w:eastAsia="Cambria" w:hAnsi="Times New Roman"/>
          <w:szCs w:val="24"/>
          <w:lang w:eastAsia="ja-JP"/>
        </w:rPr>
        <w:t xml:space="preserve"> fundamental fair standards. In contrast, </w:t>
      </w:r>
      <w:proofErr w:type="spellStart"/>
      <w:r w:rsidRPr="006E622A">
        <w:rPr>
          <w:rFonts w:ascii="Times New Roman" w:eastAsia="Cambria" w:hAnsi="Times New Roman"/>
          <w:szCs w:val="24"/>
          <w:lang w:eastAsia="ja-JP"/>
        </w:rPr>
        <w:t>Wemmers</w:t>
      </w:r>
      <w:proofErr w:type="spellEnd"/>
      <w:r w:rsidRPr="006E622A">
        <w:rPr>
          <w:rFonts w:ascii="Times New Roman" w:eastAsia="Cambria" w:hAnsi="Times New Roman"/>
          <w:szCs w:val="24"/>
          <w:lang w:eastAsia="ja-JP"/>
        </w:rPr>
        <w:t xml:space="preserve"> submit that to understand how courts treat victims</w:t>
      </w:r>
      <w:r w:rsidR="00D255EF">
        <w:rPr>
          <w:rFonts w:ascii="Times New Roman" w:eastAsia="Cambria" w:hAnsi="Times New Roman"/>
          <w:szCs w:val="24"/>
          <w:lang w:eastAsia="ja-JP"/>
        </w:rPr>
        <w:t>;</w:t>
      </w:r>
      <w:r w:rsidRPr="006E622A">
        <w:rPr>
          <w:rFonts w:ascii="Times New Roman" w:eastAsia="Cambria" w:hAnsi="Times New Roman"/>
          <w:szCs w:val="24"/>
          <w:lang w:eastAsia="ja-JP"/>
        </w:rPr>
        <w:t xml:space="preserve"> we need to look at the criminal procedure in place-‘adversarial’ or ‘inquisitorial’.</w:t>
      </w:r>
      <w:r w:rsidRPr="006E622A">
        <w:rPr>
          <w:rFonts w:ascii="Times New Roman" w:eastAsia="Cambria" w:hAnsi="Times New Roman"/>
          <w:szCs w:val="24"/>
          <w:vertAlign w:val="superscript"/>
          <w:lang w:eastAsia="ja-JP"/>
        </w:rPr>
        <w:footnoteReference w:id="518"/>
      </w:r>
      <w:r w:rsidRPr="006E622A">
        <w:rPr>
          <w:rFonts w:ascii="Times New Roman" w:eastAsia="Cambria" w:hAnsi="Times New Roman"/>
          <w:szCs w:val="24"/>
          <w:lang w:eastAsia="ja-JP"/>
        </w:rPr>
        <w:t xml:space="preserve"> While Ambos’  proposition tends to relegate the place of criminal procedure in international criminal justice, his proposition is flawed.</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In practice, settings of the ICC criminal proceedings reflect otherwise. Victims do not have full procedural rights because they are not parties</w:t>
      </w:r>
      <w:r>
        <w:rPr>
          <w:rFonts w:ascii="Times New Roman" w:eastAsia="Cambria" w:hAnsi="Times New Roman"/>
          <w:szCs w:val="24"/>
          <w:lang w:eastAsia="ja-JP"/>
        </w:rPr>
        <w:t xml:space="preserve"> in the proceedings.</w:t>
      </w:r>
      <w:r w:rsidRPr="006E622A">
        <w:rPr>
          <w:rFonts w:ascii="Times New Roman" w:eastAsia="Cambria" w:hAnsi="Times New Roman"/>
          <w:szCs w:val="24"/>
          <w:lang w:eastAsia="ja-JP"/>
        </w:rPr>
        <w:t xml:space="preserve"> Their procedural rights are restricted</w:t>
      </w:r>
      <w:r w:rsidR="000904DB">
        <w:rPr>
          <w:rFonts w:ascii="Times New Roman" w:eastAsia="Cambria" w:hAnsi="Times New Roman"/>
          <w:szCs w:val="24"/>
          <w:lang w:eastAsia="ja-JP"/>
        </w:rPr>
        <w:t>; t</w:t>
      </w:r>
      <w:r w:rsidRPr="006E622A">
        <w:rPr>
          <w:rFonts w:ascii="Times New Roman" w:eastAsia="Cambria" w:hAnsi="Times New Roman"/>
          <w:szCs w:val="24"/>
          <w:lang w:eastAsia="ja-JP"/>
        </w:rPr>
        <w:t>h</w:t>
      </w:r>
      <w:r w:rsidR="000904DB">
        <w:rPr>
          <w:rFonts w:ascii="Times New Roman" w:eastAsia="Cambria" w:hAnsi="Times New Roman"/>
          <w:szCs w:val="24"/>
          <w:lang w:eastAsia="ja-JP"/>
        </w:rPr>
        <w:t xml:space="preserve">ese restrictions </w:t>
      </w:r>
      <w:r w:rsidRPr="006E622A">
        <w:rPr>
          <w:rFonts w:ascii="Times New Roman" w:eastAsia="Cambria" w:hAnsi="Times New Roman"/>
          <w:szCs w:val="24"/>
          <w:lang w:eastAsia="ja-JP"/>
        </w:rPr>
        <w:t xml:space="preserve">reflect the elements of </w:t>
      </w:r>
      <w:r>
        <w:rPr>
          <w:rFonts w:ascii="Times New Roman" w:eastAsia="Cambria" w:hAnsi="Times New Roman"/>
          <w:szCs w:val="24"/>
          <w:lang w:eastAsia="ja-JP"/>
        </w:rPr>
        <w:t xml:space="preserve">the </w:t>
      </w:r>
      <w:r w:rsidRPr="006E622A">
        <w:rPr>
          <w:rFonts w:ascii="Times New Roman" w:eastAsia="Cambria" w:hAnsi="Times New Roman"/>
          <w:szCs w:val="24"/>
          <w:lang w:eastAsia="ja-JP"/>
        </w:rPr>
        <w:t>adversarial system of procedure.</w:t>
      </w:r>
    </w:p>
    <w:p w14:paraId="5A5FE293" w14:textId="77777777" w:rsidR="000346AA" w:rsidRDefault="000346AA" w:rsidP="00B86F5F">
      <w:pPr>
        <w:spacing w:after="0" w:line="480" w:lineRule="auto"/>
        <w:jc w:val="both"/>
        <w:rPr>
          <w:rFonts w:ascii="Times New Roman" w:eastAsia="Cambria" w:hAnsi="Times New Roman"/>
          <w:szCs w:val="24"/>
          <w:lang w:eastAsia="ja-JP"/>
        </w:rPr>
      </w:pPr>
    </w:p>
    <w:p w14:paraId="00A50822" w14:textId="0B5B04CF" w:rsidR="000346AA" w:rsidRDefault="000346AA" w:rsidP="000346A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Many a time, the adversarial procedure applies during the trial.</w:t>
      </w:r>
      <w:r>
        <w:rPr>
          <w:rStyle w:val="FootnoteReference"/>
          <w:rFonts w:ascii="Times New Roman" w:eastAsia="Cambria" w:hAnsi="Times New Roman"/>
          <w:szCs w:val="24"/>
          <w:lang w:eastAsia="ja-JP"/>
        </w:rPr>
        <w:footnoteReference w:id="519"/>
      </w:r>
      <w:r>
        <w:rPr>
          <w:rFonts w:ascii="Times New Roman" w:eastAsia="Cambria" w:hAnsi="Times New Roman"/>
          <w:szCs w:val="24"/>
          <w:lang w:eastAsia="ja-JP"/>
        </w:rPr>
        <w:t xml:space="preserve"> Nevertheless, It seems the PTC is more inquisitorial than the TC, especially concerning the confirmation of charges.</w:t>
      </w:r>
      <w:r w:rsidRPr="000346AA">
        <w:rPr>
          <w:rFonts w:ascii="Times New Roman" w:eastAsia="Cambria" w:hAnsi="Times New Roman"/>
          <w:szCs w:val="24"/>
          <w:lang w:eastAsia="ja-JP"/>
        </w:rPr>
        <w:t xml:space="preserve"> </w:t>
      </w:r>
      <w:r>
        <w:rPr>
          <w:rFonts w:ascii="Times New Roman" w:eastAsia="Cambria" w:hAnsi="Times New Roman"/>
          <w:szCs w:val="24"/>
          <w:lang w:eastAsia="ja-JP"/>
        </w:rPr>
        <w:t>It is observed that the Pre-Trial Chamber plays an active role in the initial proceedings. It is actively involved in truth-seeking-a feature of the inquisitorial system of procedure.</w:t>
      </w:r>
      <w:r>
        <w:rPr>
          <w:rStyle w:val="FootnoteReference"/>
          <w:rFonts w:ascii="Times New Roman" w:eastAsia="Cambria" w:hAnsi="Times New Roman"/>
          <w:szCs w:val="24"/>
          <w:lang w:eastAsia="ja-JP"/>
        </w:rPr>
        <w:footnoteReference w:id="520"/>
      </w:r>
      <w:r>
        <w:rPr>
          <w:rFonts w:ascii="Times New Roman" w:eastAsia="Cambria" w:hAnsi="Times New Roman"/>
          <w:szCs w:val="24"/>
          <w:lang w:eastAsia="ja-JP"/>
        </w:rPr>
        <w:t xml:space="preserve"> The PTC is responsible for the confirmation of charges hearing.</w:t>
      </w:r>
      <w:r>
        <w:rPr>
          <w:rStyle w:val="FootnoteReference"/>
          <w:rFonts w:ascii="Times New Roman" w:eastAsia="Cambria" w:hAnsi="Times New Roman"/>
          <w:szCs w:val="24"/>
          <w:lang w:eastAsia="ja-JP"/>
        </w:rPr>
        <w:footnoteReference w:id="521"/>
      </w:r>
      <w:r>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 </w:t>
      </w:r>
      <w:r>
        <w:rPr>
          <w:rFonts w:ascii="Times New Roman" w:eastAsia="Cambria" w:hAnsi="Times New Roman"/>
          <w:szCs w:val="24"/>
          <w:lang w:eastAsia="ja-JP"/>
        </w:rPr>
        <w:t>It also supervises the Prosecutor’s submission of charging document and evidence disclosure required at the hearing.</w:t>
      </w:r>
      <w:r>
        <w:rPr>
          <w:rStyle w:val="FootnoteReference"/>
          <w:rFonts w:ascii="Times New Roman" w:eastAsia="Cambria" w:hAnsi="Times New Roman"/>
          <w:szCs w:val="24"/>
          <w:lang w:eastAsia="ja-JP"/>
        </w:rPr>
        <w:footnoteReference w:id="522"/>
      </w:r>
      <w:r>
        <w:rPr>
          <w:rFonts w:ascii="Times New Roman" w:eastAsia="Cambria" w:hAnsi="Times New Roman"/>
          <w:szCs w:val="24"/>
          <w:lang w:eastAsia="ja-JP"/>
        </w:rPr>
        <w:t xml:space="preserve"> It appears the process for evidence disclosure aligns with the inquisitorial system. A perfect illustration is seen in the Lubanga case, which </w:t>
      </w:r>
      <w:r>
        <w:rPr>
          <w:rFonts w:ascii="Times New Roman" w:eastAsia="Cambria" w:hAnsi="Times New Roman"/>
          <w:szCs w:val="24"/>
          <w:lang w:eastAsia="ja-JP"/>
        </w:rPr>
        <w:lastRenderedPageBreak/>
        <w:t>empowers the PTC to analyse the evidence</w:t>
      </w:r>
      <w:r>
        <w:rPr>
          <w:rStyle w:val="FootnoteReference"/>
          <w:rFonts w:ascii="Times New Roman" w:eastAsia="Cambria" w:hAnsi="Times New Roman"/>
          <w:szCs w:val="24"/>
          <w:lang w:eastAsia="ja-JP"/>
        </w:rPr>
        <w:footnoteReference w:id="523"/>
      </w:r>
      <w:r>
        <w:rPr>
          <w:rFonts w:ascii="Times New Roman" w:eastAsia="Cambria" w:hAnsi="Times New Roman"/>
          <w:szCs w:val="24"/>
          <w:lang w:eastAsia="ja-JP"/>
        </w:rPr>
        <w:t xml:space="preserve">-an investigative power. </w:t>
      </w:r>
      <w:proofErr w:type="spellStart"/>
      <w:r>
        <w:rPr>
          <w:rFonts w:ascii="Times New Roman" w:eastAsia="Cambria" w:hAnsi="Times New Roman"/>
          <w:szCs w:val="24"/>
          <w:lang w:eastAsia="ja-JP"/>
        </w:rPr>
        <w:t>Scheffer</w:t>
      </w:r>
      <w:proofErr w:type="spellEnd"/>
      <w:r>
        <w:rPr>
          <w:rFonts w:ascii="Times New Roman" w:eastAsia="Cambria" w:hAnsi="Times New Roman"/>
          <w:szCs w:val="24"/>
          <w:lang w:eastAsia="ja-JP"/>
        </w:rPr>
        <w:t xml:space="preserve"> notes that the disclosure system has transformed the judge into an active one with investigative powers control over the parties and evidence as opposed to a passive judge and involved parties.</w:t>
      </w:r>
      <w:r>
        <w:rPr>
          <w:rStyle w:val="FootnoteReference"/>
          <w:rFonts w:ascii="Times New Roman" w:eastAsia="Cambria" w:hAnsi="Times New Roman"/>
          <w:szCs w:val="24"/>
          <w:lang w:eastAsia="ja-JP"/>
        </w:rPr>
        <w:footnoteReference w:id="524"/>
      </w:r>
    </w:p>
    <w:p w14:paraId="5635AE48" w14:textId="77777777" w:rsidR="000346AA" w:rsidRDefault="000346AA" w:rsidP="000346AA">
      <w:pPr>
        <w:spacing w:after="0" w:line="480" w:lineRule="auto"/>
        <w:jc w:val="both"/>
        <w:rPr>
          <w:rFonts w:ascii="Times New Roman" w:eastAsia="Cambria" w:hAnsi="Times New Roman"/>
          <w:szCs w:val="24"/>
          <w:lang w:eastAsia="ja-JP"/>
        </w:rPr>
      </w:pPr>
    </w:p>
    <w:p w14:paraId="646BE742" w14:textId="1405043C" w:rsidR="000346AA" w:rsidRPr="006E622A" w:rsidRDefault="000346AA" w:rsidP="000346A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At this phase, what is required is to provide sufficient evidence to establish substantial grounds to believe that the suspect committed the crimes.</w:t>
      </w:r>
      <w:r>
        <w:rPr>
          <w:rStyle w:val="FootnoteReference"/>
          <w:rFonts w:ascii="Times New Roman" w:eastAsia="Cambria" w:hAnsi="Times New Roman"/>
          <w:szCs w:val="24"/>
          <w:lang w:eastAsia="ja-JP"/>
        </w:rPr>
        <w:footnoteReference w:id="525"/>
      </w:r>
      <w:r>
        <w:rPr>
          <w:rFonts w:ascii="Times New Roman" w:eastAsia="Cambria" w:hAnsi="Times New Roman"/>
          <w:szCs w:val="24"/>
          <w:lang w:eastAsia="ja-JP"/>
        </w:rPr>
        <w:t>The adversarial criminal procedure is cautious about granting victims extensive role and rights in the proceedings</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526"/>
      </w:r>
      <w:r>
        <w:rPr>
          <w:rFonts w:ascii="Times New Roman" w:eastAsia="Cambria" w:hAnsi="Times New Roman"/>
          <w:szCs w:val="24"/>
          <w:lang w:eastAsia="ja-JP"/>
        </w:rPr>
        <w:t xml:space="preserve"> In sharp contrast, </w:t>
      </w:r>
      <w:r w:rsidRPr="006E622A">
        <w:rPr>
          <w:rFonts w:ascii="Times New Roman" w:eastAsia="Cambria" w:hAnsi="Times New Roman"/>
          <w:szCs w:val="24"/>
          <w:lang w:eastAsia="ja-JP"/>
        </w:rPr>
        <w:t>the in</w:t>
      </w:r>
      <w:r>
        <w:rPr>
          <w:rFonts w:ascii="Times New Roman" w:eastAsia="Cambria" w:hAnsi="Times New Roman"/>
          <w:szCs w:val="24"/>
          <w:lang w:eastAsia="ja-JP"/>
        </w:rPr>
        <w:t xml:space="preserve">quisitorial criminal procedure, with its roots civil law traditions, grants extensive rights and </w:t>
      </w:r>
      <w:r w:rsidR="00B55261">
        <w:rPr>
          <w:rFonts w:ascii="Times New Roman" w:eastAsia="Cambria" w:hAnsi="Times New Roman"/>
          <w:szCs w:val="24"/>
          <w:lang w:eastAsia="ja-JP"/>
        </w:rPr>
        <w:t>victims role</w:t>
      </w:r>
      <w:r>
        <w:rPr>
          <w:rFonts w:ascii="Times New Roman" w:eastAsia="Cambria" w:hAnsi="Times New Roman"/>
          <w:szCs w:val="24"/>
          <w:lang w:eastAsia="ja-JP"/>
        </w:rPr>
        <w:t>s. However, within the ICC context, victims</w:t>
      </w:r>
      <w:r w:rsidR="00B55261">
        <w:rPr>
          <w:rFonts w:ascii="Times New Roman" w:eastAsia="Cambria" w:hAnsi="Times New Roman"/>
          <w:szCs w:val="24"/>
          <w:lang w:eastAsia="ja-JP"/>
        </w:rPr>
        <w:t>' rights are restricted because the trial process is primarily adversarial</w:t>
      </w:r>
      <w:r>
        <w:rPr>
          <w:rFonts w:ascii="Times New Roman" w:eastAsia="Cambria" w:hAnsi="Times New Roman"/>
          <w:szCs w:val="24"/>
          <w:lang w:eastAsia="ja-JP"/>
        </w:rPr>
        <w:t>. The parties have the full rights to participation as well as control over the presentation of evidence.</w:t>
      </w:r>
      <w:r>
        <w:rPr>
          <w:rStyle w:val="FootnoteReference"/>
          <w:rFonts w:ascii="Times New Roman" w:eastAsia="Cambria" w:hAnsi="Times New Roman"/>
          <w:szCs w:val="24"/>
          <w:lang w:eastAsia="ja-JP"/>
        </w:rPr>
        <w:footnoteReference w:id="527"/>
      </w:r>
      <w:r>
        <w:rPr>
          <w:rFonts w:ascii="Times New Roman" w:eastAsia="Cambria" w:hAnsi="Times New Roman"/>
          <w:szCs w:val="24"/>
          <w:lang w:eastAsia="ja-JP"/>
        </w:rPr>
        <w:t xml:space="preserve"> Although, one may infer that the </w:t>
      </w:r>
      <w:r w:rsidR="00B55261">
        <w:rPr>
          <w:rFonts w:ascii="Times New Roman" w:eastAsia="Cambria" w:hAnsi="Times New Roman"/>
          <w:szCs w:val="24"/>
          <w:lang w:eastAsia="ja-JP"/>
        </w:rPr>
        <w:t>ICC's criminal procedure</w:t>
      </w:r>
      <w:r>
        <w:rPr>
          <w:rFonts w:ascii="Times New Roman" w:eastAsia="Cambria" w:hAnsi="Times New Roman"/>
          <w:szCs w:val="24"/>
          <w:lang w:eastAsia="ja-JP"/>
        </w:rPr>
        <w:t xml:space="preserve"> is mixed, arguably,</w:t>
      </w:r>
      <w:r w:rsidRPr="00380111">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It appears that the ICC is </w:t>
      </w:r>
      <w:r w:rsidR="008228BE">
        <w:rPr>
          <w:rFonts w:ascii="Times New Roman" w:eastAsia="Cambria" w:hAnsi="Times New Roman"/>
          <w:szCs w:val="24"/>
          <w:lang w:eastAsia="ja-JP"/>
        </w:rPr>
        <w:t>main</w:t>
      </w:r>
      <w:r w:rsidRPr="006E622A">
        <w:rPr>
          <w:rFonts w:ascii="Times New Roman" w:eastAsia="Cambria" w:hAnsi="Times New Roman"/>
          <w:szCs w:val="24"/>
          <w:lang w:eastAsia="ja-JP"/>
        </w:rPr>
        <w:t>ly adversarial than inquisitorial</w:t>
      </w:r>
      <w:r w:rsidR="008228BE">
        <w:rPr>
          <w:rFonts w:ascii="Times New Roman" w:eastAsia="Cambria" w:hAnsi="Times New Roman"/>
          <w:szCs w:val="24"/>
          <w:lang w:eastAsia="ja-JP"/>
        </w:rPr>
        <w:t xml:space="preserve"> </w:t>
      </w:r>
      <w:r>
        <w:rPr>
          <w:rFonts w:ascii="Times New Roman" w:eastAsia="Cambria" w:hAnsi="Times New Roman"/>
          <w:szCs w:val="24"/>
          <w:lang w:eastAsia="ja-JP"/>
        </w:rPr>
        <w:t xml:space="preserve">because of the </w:t>
      </w:r>
      <w:r>
        <w:rPr>
          <w:rFonts w:ascii="Times New Roman" w:eastAsia="Cambria" w:hAnsi="Times New Roman"/>
          <w:szCs w:val="24"/>
          <w:lang w:eastAsia="ja-JP"/>
        </w:rPr>
        <w:lastRenderedPageBreak/>
        <w:t>limitations on the exercise of victims’ rights.</w:t>
      </w:r>
      <w:r w:rsidRPr="00D132CF">
        <w:rPr>
          <w:rFonts w:ascii="Times New Roman" w:eastAsia="Cambria" w:hAnsi="Times New Roman"/>
          <w:szCs w:val="24"/>
          <w:lang w:eastAsia="ja-JP"/>
        </w:rPr>
        <w:t xml:space="preserve"> </w:t>
      </w:r>
      <w:r>
        <w:rPr>
          <w:rFonts w:ascii="Times New Roman" w:eastAsia="Cambria" w:hAnsi="Times New Roman"/>
          <w:szCs w:val="24"/>
          <w:lang w:eastAsia="ja-JP"/>
        </w:rPr>
        <w:t>As was mentioned in the introduction, the victims are third parties in the proceedings.</w:t>
      </w:r>
    </w:p>
    <w:p w14:paraId="5145A4C5" w14:textId="77777777" w:rsidR="000346AA" w:rsidRDefault="000346AA" w:rsidP="00B86F5F">
      <w:pPr>
        <w:spacing w:after="0" w:line="480" w:lineRule="auto"/>
        <w:jc w:val="both"/>
        <w:rPr>
          <w:rFonts w:ascii="Times New Roman" w:eastAsia="Cambria" w:hAnsi="Times New Roman"/>
          <w:szCs w:val="24"/>
          <w:lang w:eastAsia="ja-JP"/>
        </w:rPr>
      </w:pPr>
    </w:p>
    <w:p w14:paraId="6648B072" w14:textId="2D9DC463" w:rsidR="0000056E" w:rsidRDefault="006A1E16"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In addition, article 21 of the  Rome Statute provides a human rights approach to </w:t>
      </w:r>
      <w:r w:rsidR="001B5D07">
        <w:rPr>
          <w:rFonts w:ascii="Times New Roman" w:eastAsia="Cambria" w:hAnsi="Times New Roman"/>
          <w:szCs w:val="24"/>
          <w:lang w:eastAsia="ja-JP"/>
        </w:rPr>
        <w:t>applying and interpreting</w:t>
      </w:r>
      <w:r>
        <w:rPr>
          <w:rFonts w:ascii="Times New Roman" w:eastAsia="Cambria" w:hAnsi="Times New Roman"/>
          <w:szCs w:val="24"/>
          <w:lang w:eastAsia="ja-JP"/>
        </w:rPr>
        <w:t xml:space="preserve"> the Rome Statute. Article 21 sets international human right as a threshold. According to this provision, the applicable la</w:t>
      </w:r>
      <w:r w:rsidR="00611123">
        <w:rPr>
          <w:rFonts w:ascii="Times New Roman" w:eastAsia="Cambria" w:hAnsi="Times New Roman"/>
          <w:szCs w:val="24"/>
          <w:lang w:eastAsia="ja-JP"/>
        </w:rPr>
        <w:t>w</w:t>
      </w:r>
      <w:r>
        <w:rPr>
          <w:rFonts w:ascii="Times New Roman" w:eastAsia="Cambria" w:hAnsi="Times New Roman"/>
          <w:szCs w:val="24"/>
          <w:lang w:eastAsia="ja-JP"/>
        </w:rPr>
        <w:t xml:space="preserve"> should be consistent with the standard of internationally recognised human rights.</w:t>
      </w:r>
      <w:r w:rsidR="00611123">
        <w:rPr>
          <w:rFonts w:ascii="Times New Roman" w:eastAsia="Cambria" w:hAnsi="Times New Roman"/>
          <w:szCs w:val="24"/>
          <w:lang w:eastAsia="ja-JP"/>
        </w:rPr>
        <w:t xml:space="preserve"> By implication, Article 21 supports the applicability of </w:t>
      </w:r>
      <w:proofErr w:type="spellStart"/>
      <w:r w:rsidR="00611123">
        <w:rPr>
          <w:rFonts w:ascii="Times New Roman" w:eastAsia="Cambria" w:hAnsi="Times New Roman"/>
          <w:szCs w:val="24"/>
          <w:lang w:eastAsia="ja-JP"/>
        </w:rPr>
        <w:t>victims</w:t>
      </w:r>
      <w:proofErr w:type="spellEnd"/>
      <w:r w:rsidR="00611123">
        <w:rPr>
          <w:rFonts w:ascii="Times New Roman" w:eastAsia="Cambria" w:hAnsi="Times New Roman"/>
          <w:szCs w:val="24"/>
          <w:lang w:eastAsia="ja-JP"/>
        </w:rPr>
        <w:t xml:space="preserve"> rights at the ICC. </w:t>
      </w:r>
      <w:r w:rsidR="00F25F21">
        <w:rPr>
          <w:rFonts w:ascii="Times New Roman" w:eastAsia="Cambria" w:hAnsi="Times New Roman"/>
          <w:szCs w:val="24"/>
          <w:lang w:eastAsia="ja-JP"/>
        </w:rPr>
        <w:t>However,</w:t>
      </w:r>
      <w:r w:rsidR="00611123">
        <w:rPr>
          <w:rFonts w:ascii="Times New Roman" w:eastAsia="Cambria" w:hAnsi="Times New Roman"/>
          <w:szCs w:val="24"/>
          <w:lang w:eastAsia="ja-JP"/>
        </w:rPr>
        <w:t xml:space="preserve"> there is a limit to which Rule 21 is applicable given that the ICC is not a human rights court; instead, it is a criminal court with the mandate to prosecute the perpetrators of gross violation of human rights.</w:t>
      </w:r>
    </w:p>
    <w:p w14:paraId="31FF14EE" w14:textId="77777777" w:rsidR="0000056E" w:rsidRDefault="0000056E" w:rsidP="000904DB">
      <w:pPr>
        <w:spacing w:after="0" w:line="480" w:lineRule="auto"/>
        <w:jc w:val="both"/>
        <w:rPr>
          <w:rFonts w:ascii="Times New Roman" w:eastAsia="Cambria" w:hAnsi="Times New Roman"/>
          <w:szCs w:val="24"/>
          <w:lang w:eastAsia="ja-JP"/>
        </w:rPr>
      </w:pPr>
    </w:p>
    <w:p w14:paraId="13783DA8" w14:textId="092B08D7" w:rsidR="00714D27" w:rsidRDefault="003C2CD5"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Interestingly, in the course of implement</w:t>
      </w:r>
      <w:r w:rsidR="0000056E">
        <w:rPr>
          <w:rFonts w:ascii="Times New Roman" w:eastAsia="Cambria" w:hAnsi="Times New Roman"/>
          <w:szCs w:val="24"/>
          <w:lang w:eastAsia="ja-JP"/>
        </w:rPr>
        <w:t>ing</w:t>
      </w:r>
      <w:r>
        <w:rPr>
          <w:rFonts w:ascii="Times New Roman" w:eastAsia="Cambria" w:hAnsi="Times New Roman"/>
          <w:szCs w:val="24"/>
          <w:lang w:eastAsia="ja-JP"/>
        </w:rPr>
        <w:t xml:space="preserve"> this mandate, it contributes to</w:t>
      </w:r>
      <w:r w:rsidR="00B55261">
        <w:rPr>
          <w:rFonts w:ascii="Times New Roman" w:eastAsia="Cambria" w:hAnsi="Times New Roman"/>
          <w:szCs w:val="24"/>
          <w:lang w:eastAsia="ja-JP"/>
        </w:rPr>
        <w:t xml:space="preserve"> protecting</w:t>
      </w:r>
      <w:r>
        <w:rPr>
          <w:rFonts w:ascii="Times New Roman" w:eastAsia="Cambria" w:hAnsi="Times New Roman"/>
          <w:szCs w:val="24"/>
          <w:lang w:eastAsia="ja-JP"/>
        </w:rPr>
        <w:t xml:space="preserve"> </w:t>
      </w:r>
      <w:r w:rsidR="00B55261">
        <w:rPr>
          <w:rFonts w:ascii="Times New Roman" w:eastAsia="Cambria" w:hAnsi="Times New Roman"/>
          <w:szCs w:val="24"/>
          <w:lang w:eastAsia="ja-JP"/>
        </w:rPr>
        <w:t xml:space="preserve">the </w:t>
      </w:r>
      <w:r>
        <w:rPr>
          <w:rFonts w:ascii="Times New Roman" w:eastAsia="Cambria" w:hAnsi="Times New Roman"/>
          <w:szCs w:val="24"/>
          <w:lang w:eastAsia="ja-JP"/>
        </w:rPr>
        <w:t>human rights</w:t>
      </w:r>
      <w:r w:rsidR="00391314">
        <w:rPr>
          <w:rFonts w:ascii="Times New Roman" w:eastAsia="Cambria" w:hAnsi="Times New Roman"/>
          <w:szCs w:val="24"/>
          <w:lang w:eastAsia="ja-JP"/>
        </w:rPr>
        <w:t>-a relationship between international human rights and the ICC</w:t>
      </w:r>
      <w:r>
        <w:rPr>
          <w:rFonts w:ascii="Times New Roman" w:eastAsia="Cambria" w:hAnsi="Times New Roman"/>
          <w:szCs w:val="24"/>
          <w:lang w:eastAsia="ja-JP"/>
        </w:rPr>
        <w:t>.</w:t>
      </w:r>
      <w:r w:rsidR="0000056E">
        <w:rPr>
          <w:rFonts w:ascii="Times New Roman" w:eastAsia="Cambria" w:hAnsi="Times New Roman"/>
          <w:szCs w:val="24"/>
          <w:lang w:eastAsia="ja-JP"/>
        </w:rPr>
        <w:t xml:space="preserve"> Victims’ rights are a subset of human rights.</w:t>
      </w:r>
      <w:r w:rsidR="00611123">
        <w:rPr>
          <w:rFonts w:ascii="Times New Roman" w:eastAsia="Cambria" w:hAnsi="Times New Roman"/>
          <w:szCs w:val="24"/>
          <w:lang w:eastAsia="ja-JP"/>
        </w:rPr>
        <w:t xml:space="preserve"> </w:t>
      </w:r>
      <w:r w:rsidR="002C0D22">
        <w:rPr>
          <w:rFonts w:ascii="Times New Roman" w:eastAsia="Cambria" w:hAnsi="Times New Roman"/>
          <w:szCs w:val="24"/>
          <w:lang w:eastAsia="ja-JP"/>
        </w:rPr>
        <w:t>Notably</w:t>
      </w:r>
      <w:r w:rsidR="00FF13A2">
        <w:rPr>
          <w:rFonts w:ascii="Times New Roman" w:eastAsia="Cambria" w:hAnsi="Times New Roman"/>
          <w:szCs w:val="24"/>
          <w:lang w:eastAsia="ja-JP"/>
        </w:rPr>
        <w:t xml:space="preserve">, </w:t>
      </w:r>
      <w:r w:rsidR="00991CD9">
        <w:rPr>
          <w:rFonts w:ascii="Times New Roman" w:eastAsia="Cambria" w:hAnsi="Times New Roman"/>
          <w:szCs w:val="24"/>
          <w:lang w:eastAsia="ja-JP"/>
        </w:rPr>
        <w:t>t</w:t>
      </w:r>
      <w:r w:rsidR="00611123">
        <w:rPr>
          <w:rFonts w:ascii="Times New Roman" w:eastAsia="Cambria" w:hAnsi="Times New Roman"/>
          <w:szCs w:val="24"/>
          <w:lang w:eastAsia="ja-JP"/>
        </w:rPr>
        <w:t xml:space="preserve">he application of human rights within the context of the ICC procedures must be balanced against the </w:t>
      </w:r>
      <w:r w:rsidR="00FE2D57">
        <w:rPr>
          <w:rFonts w:ascii="Times New Roman" w:eastAsia="Cambria" w:hAnsi="Times New Roman"/>
          <w:szCs w:val="24"/>
          <w:lang w:eastAsia="ja-JP"/>
        </w:rPr>
        <w:t>court's mandate</w:t>
      </w:r>
      <w:r w:rsidR="00611123">
        <w:rPr>
          <w:rFonts w:ascii="Times New Roman" w:eastAsia="Cambria" w:hAnsi="Times New Roman"/>
          <w:szCs w:val="24"/>
          <w:lang w:eastAsia="ja-JP"/>
        </w:rPr>
        <w:t>. Th</w:t>
      </w:r>
      <w:r w:rsidR="002C0D22">
        <w:rPr>
          <w:rFonts w:ascii="Times New Roman" w:eastAsia="Cambria" w:hAnsi="Times New Roman"/>
          <w:szCs w:val="24"/>
          <w:lang w:eastAsia="ja-JP"/>
        </w:rPr>
        <w:t>us</w:t>
      </w:r>
      <w:r w:rsidR="00611123">
        <w:rPr>
          <w:rFonts w:ascii="Times New Roman" w:eastAsia="Cambria" w:hAnsi="Times New Roman"/>
          <w:szCs w:val="24"/>
          <w:lang w:eastAsia="ja-JP"/>
        </w:rPr>
        <w:t>, it should not sabotage the</w:t>
      </w:r>
      <w:r w:rsidR="0000056E">
        <w:rPr>
          <w:rFonts w:ascii="Times New Roman" w:eastAsia="Cambria" w:hAnsi="Times New Roman"/>
          <w:szCs w:val="24"/>
          <w:lang w:eastAsia="ja-JP"/>
        </w:rPr>
        <w:t xml:space="preserve"> court's mandate</w:t>
      </w:r>
      <w:r w:rsidR="00611123">
        <w:rPr>
          <w:rFonts w:ascii="Times New Roman" w:eastAsia="Cambria" w:hAnsi="Times New Roman"/>
          <w:szCs w:val="24"/>
          <w:lang w:eastAsia="ja-JP"/>
        </w:rPr>
        <w:t xml:space="preserve">. </w:t>
      </w:r>
      <w:r w:rsidR="00684E15">
        <w:rPr>
          <w:rFonts w:ascii="Times New Roman" w:eastAsia="Cambria" w:hAnsi="Times New Roman"/>
          <w:szCs w:val="24"/>
          <w:lang w:eastAsia="ja-JP"/>
        </w:rPr>
        <w:t xml:space="preserve">For instance, in the Lubanga case, Lubanga appealed the </w:t>
      </w:r>
      <w:r w:rsidR="0000056E">
        <w:rPr>
          <w:rFonts w:ascii="Times New Roman" w:eastAsia="Cambria" w:hAnsi="Times New Roman"/>
          <w:szCs w:val="24"/>
          <w:lang w:eastAsia="ja-JP"/>
        </w:rPr>
        <w:t>Pre-Trial Chamber's decision</w:t>
      </w:r>
      <w:r w:rsidR="001A2BAD">
        <w:rPr>
          <w:rStyle w:val="FootnoteReference"/>
          <w:rFonts w:ascii="Times New Roman" w:eastAsia="Cambria" w:hAnsi="Times New Roman"/>
          <w:szCs w:val="24"/>
          <w:lang w:eastAsia="ja-JP"/>
        </w:rPr>
        <w:footnoteReference w:id="528"/>
      </w:r>
      <w:r w:rsidR="00684E15">
        <w:rPr>
          <w:rFonts w:ascii="Times New Roman" w:eastAsia="Cambria" w:hAnsi="Times New Roman"/>
          <w:szCs w:val="24"/>
          <w:lang w:eastAsia="ja-JP"/>
        </w:rPr>
        <w:t xml:space="preserve"> to stay or stop the proceedings </w:t>
      </w:r>
      <w:r w:rsidR="00F25F21">
        <w:rPr>
          <w:rFonts w:ascii="Times New Roman" w:eastAsia="Cambria" w:hAnsi="Times New Roman"/>
          <w:szCs w:val="24"/>
          <w:lang w:eastAsia="ja-JP"/>
        </w:rPr>
        <w:t>because</w:t>
      </w:r>
      <w:r w:rsidR="00684E15">
        <w:rPr>
          <w:rFonts w:ascii="Times New Roman" w:eastAsia="Cambria" w:hAnsi="Times New Roman"/>
          <w:szCs w:val="24"/>
          <w:lang w:eastAsia="ja-JP"/>
        </w:rPr>
        <w:t xml:space="preserve"> he was grossly mistreated, which violated his human rights. He concluded that </w:t>
      </w:r>
      <w:r w:rsidR="00684E15">
        <w:rPr>
          <w:rFonts w:ascii="Times New Roman" w:eastAsia="Cambria" w:hAnsi="Times New Roman"/>
          <w:szCs w:val="24"/>
          <w:lang w:eastAsia="ja-JP"/>
        </w:rPr>
        <w:lastRenderedPageBreak/>
        <w:t>the pre-trial process was abused.</w:t>
      </w:r>
      <w:r w:rsidR="00684E15">
        <w:rPr>
          <w:rStyle w:val="FootnoteReference"/>
          <w:rFonts w:ascii="Times New Roman" w:eastAsia="Cambria" w:hAnsi="Times New Roman"/>
          <w:szCs w:val="24"/>
          <w:lang w:eastAsia="ja-JP"/>
        </w:rPr>
        <w:footnoteReference w:id="529"/>
      </w:r>
      <w:r w:rsidR="00684E15">
        <w:rPr>
          <w:rFonts w:ascii="Times New Roman" w:eastAsia="Cambria" w:hAnsi="Times New Roman"/>
          <w:szCs w:val="24"/>
          <w:lang w:eastAsia="ja-JP"/>
        </w:rPr>
        <w:t xml:space="preserve"> </w:t>
      </w:r>
      <w:r w:rsidR="001A2BAD">
        <w:rPr>
          <w:rFonts w:ascii="Times New Roman" w:eastAsia="Cambria" w:hAnsi="Times New Roman"/>
          <w:szCs w:val="24"/>
          <w:lang w:eastAsia="ja-JP"/>
        </w:rPr>
        <w:t>Therefore, the Appeals Chamber had to consider the doctrine of abuse of process, its ambit and applicability in proceedings before the ICC.</w:t>
      </w:r>
      <w:r w:rsidR="001A2BAD">
        <w:rPr>
          <w:rStyle w:val="FootnoteReference"/>
          <w:rFonts w:ascii="Times New Roman" w:eastAsia="Cambria" w:hAnsi="Times New Roman"/>
          <w:szCs w:val="24"/>
          <w:lang w:eastAsia="ja-JP"/>
        </w:rPr>
        <w:footnoteReference w:id="530"/>
      </w:r>
      <w:r w:rsidR="001A2BAD">
        <w:rPr>
          <w:rFonts w:ascii="Times New Roman" w:eastAsia="Cambria" w:hAnsi="Times New Roman"/>
          <w:szCs w:val="24"/>
          <w:lang w:eastAsia="ja-JP"/>
        </w:rPr>
        <w:t xml:space="preserve"> Besides, the Appeal Chamber</w:t>
      </w:r>
      <w:r w:rsidR="00684E15">
        <w:rPr>
          <w:rFonts w:ascii="Times New Roman" w:eastAsia="Cambria" w:hAnsi="Times New Roman"/>
          <w:szCs w:val="24"/>
          <w:lang w:eastAsia="ja-JP"/>
        </w:rPr>
        <w:t xml:space="preserve"> </w:t>
      </w:r>
      <w:r w:rsidR="001A2BAD">
        <w:rPr>
          <w:rFonts w:ascii="Times New Roman" w:eastAsia="Cambria" w:hAnsi="Times New Roman"/>
          <w:szCs w:val="24"/>
          <w:lang w:eastAsia="ja-JP"/>
        </w:rPr>
        <w:t>determine</w:t>
      </w:r>
      <w:r w:rsidR="002C0D22">
        <w:rPr>
          <w:rFonts w:ascii="Times New Roman" w:eastAsia="Cambria" w:hAnsi="Times New Roman"/>
          <w:szCs w:val="24"/>
          <w:lang w:eastAsia="ja-JP"/>
        </w:rPr>
        <w:t>d</w:t>
      </w:r>
      <w:r w:rsidR="001A2BAD">
        <w:rPr>
          <w:rFonts w:ascii="Times New Roman" w:eastAsia="Cambria" w:hAnsi="Times New Roman"/>
          <w:szCs w:val="24"/>
          <w:lang w:eastAsia="ja-JP"/>
        </w:rPr>
        <w:t xml:space="preserve"> if Article 21(3) of the Rome Statute is relevant to the </w:t>
      </w:r>
      <w:r w:rsidR="0000056E">
        <w:rPr>
          <w:rFonts w:ascii="Times New Roman" w:eastAsia="Cambria" w:hAnsi="Times New Roman"/>
          <w:szCs w:val="24"/>
          <w:lang w:eastAsia="ja-JP"/>
        </w:rPr>
        <w:t>Court's assumption of jurisdiction</w:t>
      </w:r>
      <w:r w:rsidR="001A2BAD">
        <w:rPr>
          <w:rFonts w:ascii="Times New Roman" w:eastAsia="Cambria" w:hAnsi="Times New Roman"/>
          <w:szCs w:val="24"/>
          <w:lang w:eastAsia="ja-JP"/>
        </w:rPr>
        <w:t xml:space="preserve"> in any given case.</w:t>
      </w:r>
      <w:r w:rsidR="001A2BAD">
        <w:rPr>
          <w:rStyle w:val="FootnoteReference"/>
          <w:rFonts w:ascii="Times New Roman" w:eastAsia="Cambria" w:hAnsi="Times New Roman"/>
          <w:szCs w:val="24"/>
          <w:lang w:eastAsia="ja-JP"/>
        </w:rPr>
        <w:footnoteReference w:id="531"/>
      </w:r>
      <w:r w:rsidR="001A2BAD">
        <w:rPr>
          <w:rFonts w:ascii="Times New Roman" w:eastAsia="Cambria" w:hAnsi="Times New Roman"/>
          <w:szCs w:val="24"/>
          <w:lang w:eastAsia="ja-JP"/>
        </w:rPr>
        <w:t xml:space="preserve">In response to these issues, the Appeals Chamber affirmed that the doctrine of abuse of process ‘had </w:t>
      </w:r>
      <w:r w:rsidR="001A2BAD" w:rsidRPr="001A2BAD">
        <w:rPr>
          <w:rFonts w:ascii="Times New Roman" w:eastAsia="Cambria" w:hAnsi="Times New Roman"/>
          <w:i/>
          <w:iCs/>
          <w:szCs w:val="24"/>
          <w:lang w:eastAsia="ja-JP"/>
        </w:rPr>
        <w:t>ab initio</w:t>
      </w:r>
      <w:r w:rsidR="001A2BAD">
        <w:rPr>
          <w:rFonts w:ascii="Times New Roman" w:eastAsia="Cambria" w:hAnsi="Times New Roman"/>
          <w:szCs w:val="24"/>
          <w:lang w:eastAsia="ja-JP"/>
        </w:rPr>
        <w:t xml:space="preserve"> a human rights dimension.’</w:t>
      </w:r>
      <w:r w:rsidR="001A2BAD">
        <w:rPr>
          <w:rStyle w:val="FootnoteReference"/>
          <w:rFonts w:ascii="Times New Roman" w:eastAsia="Cambria" w:hAnsi="Times New Roman"/>
          <w:szCs w:val="24"/>
          <w:lang w:eastAsia="ja-JP"/>
        </w:rPr>
        <w:footnoteReference w:id="532"/>
      </w:r>
      <w:r w:rsidR="001A2BAD">
        <w:rPr>
          <w:rFonts w:ascii="Times New Roman" w:eastAsia="Cambria" w:hAnsi="Times New Roman"/>
          <w:szCs w:val="24"/>
          <w:lang w:eastAsia="ja-JP"/>
        </w:rPr>
        <w:t>It reasoned that abuse of process breached the rights of the litigant. The statute safeguards the accused rights, which are entrenched in articles 55 and 67.</w:t>
      </w:r>
      <w:r w:rsidR="00F25F21">
        <w:rPr>
          <w:rFonts w:ascii="Times New Roman" w:eastAsia="Cambria" w:hAnsi="Times New Roman"/>
          <w:szCs w:val="24"/>
          <w:lang w:eastAsia="ja-JP"/>
        </w:rPr>
        <w:t xml:space="preserve"> </w:t>
      </w:r>
      <w:r w:rsidR="001A2BAD">
        <w:rPr>
          <w:rFonts w:ascii="Times New Roman" w:eastAsia="Cambria" w:hAnsi="Times New Roman"/>
          <w:szCs w:val="24"/>
          <w:lang w:eastAsia="ja-JP"/>
        </w:rPr>
        <w:t>In the words of the Appeals Chamber:</w:t>
      </w:r>
    </w:p>
    <w:p w14:paraId="25509F68" w14:textId="02000F71" w:rsidR="001A2BAD" w:rsidRDefault="001A2BAD"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“Human rights underpin the Statute; every aspect of it, including the exercise </w:t>
      </w:r>
    </w:p>
    <w:p w14:paraId="37C4602D" w14:textId="720981AD" w:rsidR="001A2BAD" w:rsidRDefault="001A2BAD"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Of the jurisdiction of the Court. Its provisions must be interpreted and</w:t>
      </w:r>
    </w:p>
    <w:p w14:paraId="27A892E2" w14:textId="77777777" w:rsidR="001A2BAD" w:rsidRDefault="001A2BAD"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more importantly, applied in accordance with internationally recognised </w:t>
      </w:r>
    </w:p>
    <w:p w14:paraId="7AFBB723" w14:textId="66EA049F" w:rsidR="001A2BAD" w:rsidRDefault="001A2BAD"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human rights…”</w:t>
      </w:r>
      <w:r>
        <w:rPr>
          <w:rStyle w:val="FootnoteReference"/>
          <w:rFonts w:ascii="Times New Roman" w:eastAsia="Cambria" w:hAnsi="Times New Roman"/>
          <w:szCs w:val="24"/>
          <w:lang w:eastAsia="ja-JP"/>
        </w:rPr>
        <w:footnoteReference w:id="533"/>
      </w:r>
    </w:p>
    <w:p w14:paraId="3AC03349" w14:textId="10D6A0E7" w:rsidR="001A2BAD" w:rsidRDefault="001A2BAD"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The Appeals decision excerpts acknowledge the interpretation of article 21(3) in ICC procedural issues. It should also be noted that the judges referred to English law cases in ascertaining the implications of abuse of process in criminal proc</w:t>
      </w:r>
      <w:r w:rsidR="00BB2922">
        <w:rPr>
          <w:rFonts w:ascii="Times New Roman" w:eastAsia="Cambria" w:hAnsi="Times New Roman"/>
          <w:szCs w:val="24"/>
          <w:lang w:eastAsia="ja-JP"/>
        </w:rPr>
        <w:t>eedings</w:t>
      </w:r>
      <w:r>
        <w:rPr>
          <w:rFonts w:ascii="Times New Roman" w:eastAsia="Cambria" w:hAnsi="Times New Roman"/>
          <w:szCs w:val="24"/>
          <w:lang w:eastAsia="ja-JP"/>
        </w:rPr>
        <w:t>. Both are considered applicable-international human rights and regional human rights.</w:t>
      </w:r>
    </w:p>
    <w:p w14:paraId="60DCC83B" w14:textId="10FA76CC" w:rsidR="00BB2922" w:rsidRDefault="00BB2922" w:rsidP="000904DB">
      <w:pPr>
        <w:spacing w:after="0" w:line="480" w:lineRule="auto"/>
        <w:jc w:val="both"/>
        <w:rPr>
          <w:rFonts w:ascii="Times New Roman" w:eastAsia="Cambria" w:hAnsi="Times New Roman"/>
          <w:szCs w:val="24"/>
          <w:lang w:eastAsia="ja-JP"/>
        </w:rPr>
      </w:pPr>
    </w:p>
    <w:p w14:paraId="73AC3125" w14:textId="18C4B24D" w:rsidR="00BB2922" w:rsidRDefault="00BB2922"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 xml:space="preserve">Furthermore, in </w:t>
      </w:r>
      <w:r w:rsidR="003705E6">
        <w:rPr>
          <w:rFonts w:ascii="Times New Roman" w:eastAsia="Cambria" w:hAnsi="Times New Roman"/>
          <w:szCs w:val="24"/>
          <w:lang w:eastAsia="ja-JP"/>
        </w:rPr>
        <w:t>deciding</w:t>
      </w:r>
      <w:r>
        <w:rPr>
          <w:rFonts w:ascii="Times New Roman" w:eastAsia="Cambria" w:hAnsi="Times New Roman"/>
          <w:szCs w:val="24"/>
          <w:lang w:eastAsia="ja-JP"/>
        </w:rPr>
        <w:t xml:space="preserve"> on victim participation, particularly on the definition of ‘victim’ and ‘harm,’ the Trial Chamber considered the Basic Principles and Guidelines on the Right to a Remedy and Reparation for Victims of Gross Violations of International Human Rights Law and Serious Violations of International Humanitarian Law.</w:t>
      </w:r>
      <w:r>
        <w:rPr>
          <w:rStyle w:val="FootnoteReference"/>
          <w:rFonts w:ascii="Times New Roman" w:eastAsia="Cambria" w:hAnsi="Times New Roman"/>
          <w:szCs w:val="24"/>
          <w:lang w:eastAsia="ja-JP"/>
        </w:rPr>
        <w:footnoteReference w:id="534"/>
      </w:r>
      <w:r>
        <w:rPr>
          <w:rFonts w:ascii="Times New Roman" w:eastAsia="Cambria" w:hAnsi="Times New Roman"/>
          <w:szCs w:val="24"/>
          <w:lang w:eastAsia="ja-JP"/>
        </w:rPr>
        <w:t xml:space="preserve"> </w:t>
      </w:r>
      <w:r w:rsidR="00F25F21">
        <w:rPr>
          <w:rFonts w:ascii="Times New Roman" w:eastAsia="Cambria" w:hAnsi="Times New Roman"/>
          <w:szCs w:val="24"/>
          <w:lang w:eastAsia="ja-JP"/>
        </w:rPr>
        <w:t xml:space="preserve">The chamber interpreted </w:t>
      </w:r>
      <w:r>
        <w:rPr>
          <w:rFonts w:ascii="Times New Roman" w:eastAsia="Cambria" w:hAnsi="Times New Roman"/>
          <w:szCs w:val="24"/>
          <w:lang w:eastAsia="ja-JP"/>
        </w:rPr>
        <w:t>Principles 8</w:t>
      </w:r>
      <w:r w:rsidR="00F25F21">
        <w:rPr>
          <w:rFonts w:ascii="Times New Roman" w:eastAsia="Cambria" w:hAnsi="Times New Roman"/>
          <w:szCs w:val="24"/>
          <w:lang w:eastAsia="ja-JP"/>
        </w:rPr>
        <w:t>,</w:t>
      </w:r>
      <w:r>
        <w:rPr>
          <w:rFonts w:ascii="Times New Roman" w:eastAsia="Cambria" w:hAnsi="Times New Roman"/>
          <w:szCs w:val="24"/>
          <w:lang w:eastAsia="ja-JP"/>
        </w:rPr>
        <w:t xml:space="preserve"> and 9 as the applicable law</w:t>
      </w:r>
      <w:r w:rsidR="00055A21">
        <w:rPr>
          <w:rFonts w:ascii="Times New Roman" w:eastAsia="Cambria" w:hAnsi="Times New Roman"/>
          <w:szCs w:val="24"/>
          <w:lang w:eastAsia="ja-JP"/>
        </w:rPr>
        <w:t xml:space="preserve"> for determining </w:t>
      </w:r>
      <w:r w:rsidR="005B181C">
        <w:rPr>
          <w:rFonts w:ascii="Times New Roman" w:eastAsia="Cambria" w:hAnsi="Times New Roman"/>
          <w:szCs w:val="24"/>
          <w:lang w:eastAsia="ja-JP"/>
        </w:rPr>
        <w:t>a victim's status</w:t>
      </w:r>
      <w:r>
        <w:rPr>
          <w:rFonts w:ascii="Times New Roman" w:eastAsia="Cambria" w:hAnsi="Times New Roman"/>
          <w:szCs w:val="24"/>
          <w:lang w:eastAsia="ja-JP"/>
        </w:rPr>
        <w:t xml:space="preserve"> </w:t>
      </w:r>
      <w:r w:rsidR="00055A21">
        <w:rPr>
          <w:rFonts w:ascii="Times New Roman" w:eastAsia="Cambria" w:hAnsi="Times New Roman"/>
          <w:szCs w:val="24"/>
          <w:lang w:eastAsia="ja-JP"/>
        </w:rPr>
        <w:t>under</w:t>
      </w:r>
      <w:r>
        <w:rPr>
          <w:rFonts w:ascii="Times New Roman" w:eastAsia="Cambria" w:hAnsi="Times New Roman"/>
          <w:szCs w:val="24"/>
          <w:lang w:eastAsia="ja-JP"/>
        </w:rPr>
        <w:t xml:space="preserve"> Article 21(3) of the Rome Statute.</w:t>
      </w:r>
      <w:r w:rsidR="00055A21">
        <w:rPr>
          <w:rFonts w:ascii="Times New Roman" w:eastAsia="Cambria" w:hAnsi="Times New Roman"/>
          <w:szCs w:val="24"/>
          <w:lang w:eastAsia="ja-JP"/>
        </w:rPr>
        <w:t xml:space="preserve"> In a similar vein, the Trial Chamber also </w:t>
      </w:r>
      <w:r w:rsidR="00F25F21">
        <w:rPr>
          <w:rFonts w:ascii="Times New Roman" w:eastAsia="Cambria" w:hAnsi="Times New Roman"/>
          <w:szCs w:val="24"/>
          <w:lang w:eastAsia="ja-JP"/>
        </w:rPr>
        <w:t>alluded</w:t>
      </w:r>
      <w:r w:rsidR="00055A21">
        <w:rPr>
          <w:rFonts w:ascii="Times New Roman" w:eastAsia="Cambria" w:hAnsi="Times New Roman"/>
          <w:szCs w:val="24"/>
          <w:lang w:eastAsia="ja-JP"/>
        </w:rPr>
        <w:t xml:space="preserve"> to the Convention on the Rights of the Child.</w:t>
      </w:r>
      <w:r w:rsidR="00055A21">
        <w:rPr>
          <w:rStyle w:val="FootnoteReference"/>
          <w:rFonts w:ascii="Times New Roman" w:eastAsia="Cambria" w:hAnsi="Times New Roman"/>
          <w:szCs w:val="24"/>
          <w:lang w:eastAsia="ja-JP"/>
        </w:rPr>
        <w:footnoteReference w:id="535"/>
      </w:r>
      <w:r w:rsidR="00417B8C">
        <w:rPr>
          <w:rFonts w:ascii="Times New Roman" w:eastAsia="Cambria" w:hAnsi="Times New Roman"/>
          <w:szCs w:val="24"/>
          <w:lang w:eastAsia="ja-JP"/>
        </w:rPr>
        <w:t xml:space="preserve">While the Basic Principles is soft law, the Convention of Rights of the Child 1989 is a </w:t>
      </w:r>
      <w:r w:rsidR="005B181C">
        <w:rPr>
          <w:rFonts w:ascii="Times New Roman" w:eastAsia="Cambria" w:hAnsi="Times New Roman"/>
          <w:szCs w:val="24"/>
          <w:lang w:eastAsia="ja-JP"/>
        </w:rPr>
        <w:t>binding treaty</w:t>
      </w:r>
      <w:r w:rsidR="00417B8C">
        <w:rPr>
          <w:rFonts w:ascii="Times New Roman" w:eastAsia="Cambria" w:hAnsi="Times New Roman"/>
          <w:szCs w:val="24"/>
          <w:lang w:eastAsia="ja-JP"/>
        </w:rPr>
        <w:t xml:space="preserve">. Judge </w:t>
      </w:r>
      <w:proofErr w:type="spellStart"/>
      <w:r w:rsidR="00417B8C">
        <w:rPr>
          <w:rFonts w:ascii="Times New Roman" w:eastAsia="Cambria" w:hAnsi="Times New Roman"/>
          <w:szCs w:val="24"/>
          <w:lang w:eastAsia="ja-JP"/>
        </w:rPr>
        <w:t>Blattman</w:t>
      </w:r>
      <w:proofErr w:type="spellEnd"/>
      <w:r w:rsidR="00417B8C">
        <w:rPr>
          <w:rFonts w:ascii="Times New Roman" w:eastAsia="Cambria" w:hAnsi="Times New Roman"/>
          <w:szCs w:val="24"/>
          <w:lang w:eastAsia="ja-JP"/>
        </w:rPr>
        <w:t>, dissenting opined that the Basic Principles was not appropriate as internationally recognised human rights because it is not legally binding</w:t>
      </w:r>
      <w:r w:rsidR="00FE4292">
        <w:rPr>
          <w:rFonts w:ascii="Times New Roman" w:eastAsia="Cambria" w:hAnsi="Times New Roman"/>
          <w:szCs w:val="24"/>
          <w:lang w:eastAsia="ja-JP"/>
        </w:rPr>
        <w:t>;</w:t>
      </w:r>
      <w:r w:rsidR="00417B8C">
        <w:rPr>
          <w:rFonts w:ascii="Times New Roman" w:eastAsia="Cambria" w:hAnsi="Times New Roman"/>
          <w:szCs w:val="24"/>
          <w:lang w:eastAsia="ja-JP"/>
        </w:rPr>
        <w:t xml:space="preserve"> rather, its authority was only persuasive.</w:t>
      </w:r>
      <w:r w:rsidR="00417B8C">
        <w:rPr>
          <w:rStyle w:val="FootnoteReference"/>
          <w:rFonts w:ascii="Times New Roman" w:eastAsia="Cambria" w:hAnsi="Times New Roman"/>
          <w:szCs w:val="24"/>
          <w:lang w:eastAsia="ja-JP"/>
        </w:rPr>
        <w:footnoteReference w:id="536"/>
      </w:r>
      <w:r w:rsidR="00FE4292">
        <w:rPr>
          <w:rFonts w:ascii="Times New Roman" w:eastAsia="Cambria" w:hAnsi="Times New Roman"/>
          <w:szCs w:val="24"/>
          <w:lang w:eastAsia="ja-JP"/>
        </w:rPr>
        <w:t xml:space="preserve">Judge </w:t>
      </w:r>
      <w:proofErr w:type="spellStart"/>
      <w:r w:rsidR="00FE4292">
        <w:rPr>
          <w:rFonts w:ascii="Times New Roman" w:eastAsia="Cambria" w:hAnsi="Times New Roman"/>
          <w:szCs w:val="24"/>
          <w:lang w:eastAsia="ja-JP"/>
        </w:rPr>
        <w:t>Blattman</w:t>
      </w:r>
      <w:proofErr w:type="spellEnd"/>
      <w:r w:rsidR="00FE4292">
        <w:rPr>
          <w:rFonts w:ascii="Times New Roman" w:eastAsia="Cambria" w:hAnsi="Times New Roman"/>
          <w:szCs w:val="24"/>
          <w:lang w:eastAsia="ja-JP"/>
        </w:rPr>
        <w:t xml:space="preserve"> conceded that the decisions of the Chamber must be compatible with internationally recognised human rights. However, the learned Judge argued that the Basic Principles w</w:t>
      </w:r>
      <w:r w:rsidR="005B181C">
        <w:rPr>
          <w:rFonts w:ascii="Times New Roman" w:eastAsia="Cambria" w:hAnsi="Times New Roman"/>
          <w:szCs w:val="24"/>
          <w:lang w:eastAsia="ja-JP"/>
        </w:rPr>
        <w:t>ere not fit for the consideration because the Rome Statute drafters</w:t>
      </w:r>
      <w:r w:rsidR="00FE4292">
        <w:rPr>
          <w:rFonts w:ascii="Times New Roman" w:eastAsia="Cambria" w:hAnsi="Times New Roman"/>
          <w:szCs w:val="24"/>
          <w:lang w:eastAsia="ja-JP"/>
        </w:rPr>
        <w:t xml:space="preserve"> rejected it during the </w:t>
      </w:r>
      <w:r w:rsidR="005B181C">
        <w:rPr>
          <w:rFonts w:ascii="Times New Roman" w:eastAsia="Cambria" w:hAnsi="Times New Roman"/>
          <w:szCs w:val="24"/>
          <w:lang w:eastAsia="ja-JP"/>
        </w:rPr>
        <w:t>Rome conference's preparatory stages</w:t>
      </w:r>
      <w:r w:rsidR="00FE4292">
        <w:rPr>
          <w:rFonts w:ascii="Times New Roman" w:eastAsia="Cambria" w:hAnsi="Times New Roman"/>
          <w:szCs w:val="24"/>
          <w:lang w:eastAsia="ja-JP"/>
        </w:rPr>
        <w:t>.</w:t>
      </w:r>
    </w:p>
    <w:p w14:paraId="106E0A22" w14:textId="6887613D" w:rsidR="00FE4292" w:rsidRDefault="00FE4292" w:rsidP="000904DB">
      <w:pPr>
        <w:spacing w:after="0" w:line="480" w:lineRule="auto"/>
        <w:jc w:val="both"/>
        <w:rPr>
          <w:rFonts w:ascii="Times New Roman" w:eastAsia="Cambria" w:hAnsi="Times New Roman"/>
          <w:szCs w:val="24"/>
          <w:lang w:eastAsia="ja-JP"/>
        </w:rPr>
      </w:pPr>
    </w:p>
    <w:p w14:paraId="164E253C" w14:textId="39C83C33" w:rsidR="005A0C3A" w:rsidRDefault="00FE4292"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Om Appeal, the Appeal Chambers </w:t>
      </w:r>
      <w:r w:rsidR="005A0C3A">
        <w:rPr>
          <w:rFonts w:ascii="Times New Roman" w:eastAsia="Cambria" w:hAnsi="Times New Roman"/>
          <w:szCs w:val="24"/>
          <w:lang w:eastAsia="ja-JP"/>
        </w:rPr>
        <w:t>ruled that the ICC Chambers may rely on international documents which are not legally binding.</w:t>
      </w:r>
      <w:r w:rsidR="005A0C3A">
        <w:rPr>
          <w:rStyle w:val="FootnoteReference"/>
          <w:rFonts w:ascii="Times New Roman" w:eastAsia="Cambria" w:hAnsi="Times New Roman"/>
          <w:szCs w:val="24"/>
          <w:lang w:eastAsia="ja-JP"/>
        </w:rPr>
        <w:footnoteReference w:id="537"/>
      </w:r>
      <w:r w:rsidR="005A0C3A">
        <w:rPr>
          <w:rFonts w:ascii="Times New Roman" w:eastAsia="Cambria" w:hAnsi="Times New Roman"/>
          <w:szCs w:val="24"/>
          <w:lang w:eastAsia="ja-JP"/>
        </w:rPr>
        <w:t xml:space="preserve"> As such, the ICC may refer to </w:t>
      </w:r>
      <w:r w:rsidR="005A0C3A">
        <w:rPr>
          <w:rFonts w:ascii="Times New Roman" w:eastAsia="Cambria" w:hAnsi="Times New Roman"/>
          <w:szCs w:val="24"/>
          <w:lang w:eastAsia="ja-JP"/>
        </w:rPr>
        <w:lastRenderedPageBreak/>
        <w:t>these instruments.</w:t>
      </w:r>
      <w:r w:rsidR="003705E6">
        <w:rPr>
          <w:rFonts w:ascii="Times New Roman" w:eastAsia="Cambria" w:hAnsi="Times New Roman"/>
          <w:szCs w:val="24"/>
          <w:lang w:eastAsia="ja-JP"/>
        </w:rPr>
        <w:t xml:space="preserve"> Therefore, the chamber could interpret through the use of international human rights treaties and national laws. </w:t>
      </w:r>
    </w:p>
    <w:p w14:paraId="1BA76EF7" w14:textId="77777777" w:rsidR="007507E1" w:rsidRDefault="007507E1"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w:t>
      </w:r>
    </w:p>
    <w:p w14:paraId="1EE96A16" w14:textId="07604F96" w:rsidR="00FF4E3A" w:rsidRDefault="007507E1"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McGonigle posits that the ICC is unclear as to the extent to which it should apply a human rights approach in addressing the interpretation of human rights within the context of article 21(3).</w:t>
      </w:r>
      <w:r>
        <w:rPr>
          <w:rStyle w:val="FootnoteReference"/>
          <w:rFonts w:ascii="Times New Roman" w:eastAsia="Cambria" w:hAnsi="Times New Roman"/>
          <w:szCs w:val="24"/>
          <w:lang w:eastAsia="ja-JP"/>
        </w:rPr>
        <w:footnoteReference w:id="538"/>
      </w:r>
      <w:r w:rsidR="00FF4E3A">
        <w:rPr>
          <w:rFonts w:ascii="Times New Roman" w:eastAsia="Cambria" w:hAnsi="Times New Roman"/>
          <w:szCs w:val="24"/>
          <w:lang w:eastAsia="ja-JP"/>
        </w:rPr>
        <w:t>In her words: The application of human rights “is largely driven by pragmatism rather than principle.”</w:t>
      </w:r>
      <w:r w:rsidR="00FF4E3A">
        <w:rPr>
          <w:rStyle w:val="FootnoteReference"/>
          <w:rFonts w:ascii="Times New Roman" w:eastAsia="Cambria" w:hAnsi="Times New Roman"/>
          <w:szCs w:val="24"/>
          <w:lang w:eastAsia="ja-JP"/>
        </w:rPr>
        <w:footnoteReference w:id="539"/>
      </w:r>
      <w:r w:rsidR="00FF4E3A">
        <w:rPr>
          <w:rFonts w:ascii="Times New Roman" w:eastAsia="Cambria" w:hAnsi="Times New Roman"/>
          <w:szCs w:val="24"/>
          <w:lang w:eastAsia="ja-JP"/>
        </w:rPr>
        <w:t xml:space="preserve">McGonigle cautions that the </w:t>
      </w:r>
      <w:r w:rsidR="005B181C">
        <w:rPr>
          <w:rFonts w:ascii="Times New Roman" w:eastAsia="Cambria" w:hAnsi="Times New Roman"/>
          <w:szCs w:val="24"/>
          <w:lang w:eastAsia="ja-JP"/>
        </w:rPr>
        <w:t>court's implementation of a human rights approach</w:t>
      </w:r>
      <w:r w:rsidR="00FF4E3A">
        <w:rPr>
          <w:rFonts w:ascii="Times New Roman" w:eastAsia="Cambria" w:hAnsi="Times New Roman"/>
          <w:szCs w:val="24"/>
          <w:lang w:eastAsia="ja-JP"/>
        </w:rPr>
        <w:t xml:space="preserve"> can subvert the founding principles of a fair and legitimate criminal proceeding.</w:t>
      </w:r>
      <w:r w:rsidR="00FF4E3A">
        <w:rPr>
          <w:rStyle w:val="FootnoteReference"/>
          <w:rFonts w:ascii="Times New Roman" w:eastAsia="Cambria" w:hAnsi="Times New Roman"/>
          <w:szCs w:val="24"/>
          <w:lang w:eastAsia="ja-JP"/>
        </w:rPr>
        <w:footnoteReference w:id="540"/>
      </w:r>
    </w:p>
    <w:p w14:paraId="7E5D099E" w14:textId="77777777" w:rsidR="00FF4E3A" w:rsidRDefault="00FF4E3A" w:rsidP="000904DB">
      <w:pPr>
        <w:spacing w:after="0" w:line="480" w:lineRule="auto"/>
        <w:jc w:val="both"/>
        <w:rPr>
          <w:rFonts w:ascii="Times New Roman" w:eastAsia="Cambria" w:hAnsi="Times New Roman"/>
          <w:szCs w:val="24"/>
          <w:lang w:eastAsia="ja-JP"/>
        </w:rPr>
      </w:pPr>
    </w:p>
    <w:p w14:paraId="174FF07C" w14:textId="6543E7B6" w:rsidR="007507E1" w:rsidRDefault="00FF4E3A"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It could mean the judges</w:t>
      </w:r>
      <w:r w:rsidR="005B181C">
        <w:rPr>
          <w:rFonts w:ascii="Times New Roman" w:eastAsia="Cambria" w:hAnsi="Times New Roman"/>
          <w:szCs w:val="24"/>
          <w:lang w:eastAsia="ja-JP"/>
        </w:rPr>
        <w:t>' effort to complement the application of article 21(3) overstretch its interpretation, thereby shifting the trial's focus</w:t>
      </w:r>
      <w:r>
        <w:rPr>
          <w:rFonts w:ascii="Times New Roman" w:eastAsia="Cambria" w:hAnsi="Times New Roman"/>
          <w:szCs w:val="24"/>
          <w:lang w:eastAsia="ja-JP"/>
        </w:rPr>
        <w:t xml:space="preserve"> from criminal prosecution to a more victim-centred approach. The human rights approach should encompass the rights of both accused and victims. It follows that the court ought to strike a balance between the application of a human rights approach between the accused and victims.</w:t>
      </w:r>
      <w:r w:rsidR="000346AA">
        <w:rPr>
          <w:rFonts w:ascii="Times New Roman" w:eastAsia="Cambria" w:hAnsi="Times New Roman"/>
          <w:szCs w:val="24"/>
          <w:lang w:eastAsia="ja-JP"/>
        </w:rPr>
        <w:t xml:space="preserve"> </w:t>
      </w:r>
      <w:r w:rsidR="003705E6">
        <w:rPr>
          <w:rFonts w:ascii="Times New Roman" w:eastAsia="Cambria" w:hAnsi="Times New Roman"/>
          <w:szCs w:val="24"/>
          <w:lang w:eastAsia="ja-JP"/>
        </w:rPr>
        <w:t xml:space="preserve">If not done, the </w:t>
      </w:r>
      <w:r w:rsidR="005B181C">
        <w:rPr>
          <w:rFonts w:ascii="Times New Roman" w:eastAsia="Cambria" w:hAnsi="Times New Roman"/>
          <w:szCs w:val="24"/>
          <w:lang w:eastAsia="ja-JP"/>
        </w:rPr>
        <w:t>human rights approach's implementation</w:t>
      </w:r>
      <w:r w:rsidR="003705E6">
        <w:rPr>
          <w:rFonts w:ascii="Times New Roman" w:eastAsia="Cambria" w:hAnsi="Times New Roman"/>
          <w:szCs w:val="24"/>
          <w:lang w:eastAsia="ja-JP"/>
        </w:rPr>
        <w:t xml:space="preserve"> might overshadow the mandate of the</w:t>
      </w:r>
      <w:r w:rsidR="00330010">
        <w:rPr>
          <w:rFonts w:ascii="Times New Roman" w:eastAsia="Cambria" w:hAnsi="Times New Roman"/>
          <w:szCs w:val="24"/>
          <w:lang w:eastAsia="ja-JP"/>
        </w:rPr>
        <w:t xml:space="preserve"> criminal</w:t>
      </w:r>
      <w:r w:rsidR="003705E6">
        <w:rPr>
          <w:rFonts w:ascii="Times New Roman" w:eastAsia="Cambria" w:hAnsi="Times New Roman"/>
          <w:szCs w:val="24"/>
          <w:lang w:eastAsia="ja-JP"/>
        </w:rPr>
        <w:t xml:space="preserve"> court</w:t>
      </w:r>
      <w:r w:rsidR="00330010">
        <w:rPr>
          <w:rFonts w:ascii="Times New Roman" w:eastAsia="Cambria" w:hAnsi="Times New Roman"/>
          <w:szCs w:val="24"/>
          <w:lang w:eastAsia="ja-JP"/>
        </w:rPr>
        <w:t>.</w:t>
      </w:r>
      <w:r w:rsidR="003705E6">
        <w:rPr>
          <w:rFonts w:ascii="Times New Roman" w:eastAsia="Cambria" w:hAnsi="Times New Roman"/>
          <w:szCs w:val="24"/>
          <w:lang w:eastAsia="ja-JP"/>
        </w:rPr>
        <w:t xml:space="preserve"> </w:t>
      </w:r>
    </w:p>
    <w:p w14:paraId="2CAA456A" w14:textId="679D3D86" w:rsidR="00FE4292" w:rsidRDefault="005A0C3A"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w:t>
      </w:r>
    </w:p>
    <w:p w14:paraId="35D26803" w14:textId="0068EEC8" w:rsidR="000904DB" w:rsidRPr="006E622A" w:rsidRDefault="00330010"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 xml:space="preserve">With the criminological theory's proliferation, </w:t>
      </w:r>
      <w:r w:rsidR="00CE3703">
        <w:rPr>
          <w:rFonts w:ascii="Times New Roman" w:eastAsia="Cambria" w:hAnsi="Times New Roman"/>
          <w:szCs w:val="24"/>
          <w:lang w:eastAsia="ja-JP"/>
        </w:rPr>
        <w:t>victims' extensive role</w:t>
      </w:r>
      <w:r w:rsidR="000904DB">
        <w:rPr>
          <w:rFonts w:ascii="Times New Roman" w:eastAsia="Cambria" w:hAnsi="Times New Roman"/>
          <w:szCs w:val="24"/>
          <w:lang w:eastAsia="ja-JP"/>
        </w:rPr>
        <w:t xml:space="preserve"> provides another approach to victims’ position at the ICC; passive role to a more active role. </w:t>
      </w:r>
      <w:proofErr w:type="spellStart"/>
      <w:r w:rsidR="000904DB" w:rsidRPr="006E622A">
        <w:rPr>
          <w:rFonts w:ascii="Times New Roman" w:eastAsia="Cambria" w:hAnsi="Times New Roman"/>
          <w:szCs w:val="24"/>
          <w:lang w:eastAsia="ja-JP"/>
        </w:rPr>
        <w:t>D</w:t>
      </w:r>
      <w:r w:rsidR="000904DB">
        <w:rPr>
          <w:rFonts w:ascii="Times New Roman" w:eastAsia="Cambria" w:hAnsi="Times New Roman"/>
          <w:szCs w:val="24"/>
          <w:lang w:eastAsia="ja-JP"/>
        </w:rPr>
        <w:t>oak</w:t>
      </w:r>
      <w:proofErr w:type="spellEnd"/>
      <w:r w:rsidR="000904DB">
        <w:rPr>
          <w:rFonts w:ascii="Times New Roman" w:eastAsia="Cambria" w:hAnsi="Times New Roman"/>
          <w:szCs w:val="24"/>
          <w:lang w:eastAsia="ja-JP"/>
        </w:rPr>
        <w:t xml:space="preserve"> thinks</w:t>
      </w:r>
      <w:r w:rsidR="000904DB" w:rsidRPr="006E622A">
        <w:rPr>
          <w:rFonts w:ascii="Times New Roman" w:eastAsia="Cambria" w:hAnsi="Times New Roman"/>
          <w:szCs w:val="24"/>
          <w:lang w:eastAsia="ja-JP"/>
        </w:rPr>
        <w:t xml:space="preserve"> that if victims are given procedural rights, these rights w</w:t>
      </w:r>
      <w:r w:rsidR="000904DB">
        <w:rPr>
          <w:rFonts w:ascii="Times New Roman" w:eastAsia="Cambria" w:hAnsi="Times New Roman"/>
          <w:szCs w:val="24"/>
          <w:lang w:eastAsia="ja-JP"/>
        </w:rPr>
        <w:t>ill</w:t>
      </w:r>
      <w:r w:rsidR="000904DB" w:rsidRPr="006E622A">
        <w:rPr>
          <w:rFonts w:ascii="Times New Roman" w:eastAsia="Cambria" w:hAnsi="Times New Roman"/>
          <w:szCs w:val="24"/>
          <w:lang w:eastAsia="ja-JP"/>
        </w:rPr>
        <w:t xml:space="preserve"> </w:t>
      </w:r>
      <w:r w:rsidR="003705E6">
        <w:rPr>
          <w:rFonts w:ascii="Times New Roman" w:eastAsia="Cambria" w:hAnsi="Times New Roman"/>
          <w:szCs w:val="24"/>
          <w:lang w:eastAsia="ja-JP"/>
        </w:rPr>
        <w:t>entrench</w:t>
      </w:r>
      <w:r w:rsidR="000904DB" w:rsidRPr="006E622A">
        <w:rPr>
          <w:rFonts w:ascii="Times New Roman" w:eastAsia="Cambria" w:hAnsi="Times New Roman"/>
          <w:szCs w:val="24"/>
          <w:lang w:eastAsia="ja-JP"/>
        </w:rPr>
        <w:t xml:space="preserve"> a sense of belonging </w:t>
      </w:r>
      <w:r w:rsidR="003705E6">
        <w:rPr>
          <w:rFonts w:ascii="Times New Roman" w:eastAsia="Cambria" w:hAnsi="Times New Roman"/>
          <w:szCs w:val="24"/>
          <w:lang w:eastAsia="ja-JP"/>
        </w:rPr>
        <w:t>with</w:t>
      </w:r>
      <w:r w:rsidR="000904DB" w:rsidRPr="006E622A">
        <w:rPr>
          <w:rFonts w:ascii="Times New Roman" w:eastAsia="Cambria" w:hAnsi="Times New Roman"/>
          <w:szCs w:val="24"/>
          <w:lang w:eastAsia="ja-JP"/>
        </w:rPr>
        <w:t>in the criminal justice system.</w:t>
      </w:r>
      <w:r w:rsidR="000904DB" w:rsidRPr="006E622A">
        <w:rPr>
          <w:rFonts w:ascii="Times New Roman" w:eastAsia="Cambria" w:hAnsi="Times New Roman"/>
          <w:szCs w:val="24"/>
          <w:vertAlign w:val="superscript"/>
          <w:lang w:eastAsia="ja-JP"/>
        </w:rPr>
        <w:footnoteReference w:id="541"/>
      </w:r>
      <w:r w:rsidR="000904DB">
        <w:rPr>
          <w:rFonts w:ascii="Times New Roman" w:eastAsia="Cambria" w:hAnsi="Times New Roman"/>
          <w:szCs w:val="24"/>
          <w:lang w:eastAsia="ja-JP"/>
        </w:rPr>
        <w:t xml:space="preserve"> </w:t>
      </w:r>
      <w:r w:rsidR="003705E6">
        <w:rPr>
          <w:rFonts w:ascii="Times New Roman" w:eastAsia="Cambria" w:hAnsi="Times New Roman"/>
          <w:szCs w:val="24"/>
          <w:lang w:eastAsia="ja-JP"/>
        </w:rPr>
        <w:t>P</w:t>
      </w:r>
      <w:r w:rsidR="000904DB">
        <w:rPr>
          <w:rFonts w:ascii="Times New Roman" w:eastAsia="Cambria" w:hAnsi="Times New Roman"/>
          <w:szCs w:val="24"/>
          <w:lang w:eastAsia="ja-JP"/>
        </w:rPr>
        <w:t>rocedural</w:t>
      </w:r>
      <w:r w:rsidR="000904DB" w:rsidRPr="006E622A">
        <w:rPr>
          <w:rFonts w:ascii="Times New Roman" w:eastAsia="Cambria" w:hAnsi="Times New Roman"/>
          <w:szCs w:val="24"/>
          <w:lang w:eastAsia="ja-JP"/>
        </w:rPr>
        <w:t xml:space="preserve"> rights will enhance th</w:t>
      </w:r>
      <w:r w:rsidR="000904DB">
        <w:rPr>
          <w:rFonts w:ascii="Times New Roman" w:eastAsia="Cambria" w:hAnsi="Times New Roman"/>
          <w:szCs w:val="24"/>
          <w:lang w:eastAsia="ja-JP"/>
        </w:rPr>
        <w:t>eir</w:t>
      </w:r>
      <w:r w:rsidR="00FF14BF">
        <w:rPr>
          <w:rFonts w:ascii="Times New Roman" w:eastAsia="Cambria" w:hAnsi="Times New Roman"/>
          <w:szCs w:val="24"/>
          <w:lang w:eastAsia="ja-JP"/>
        </w:rPr>
        <w:t xml:space="preserve"> interests and</w:t>
      </w:r>
      <w:r w:rsidR="000904DB" w:rsidRPr="006E622A">
        <w:rPr>
          <w:rFonts w:ascii="Times New Roman" w:eastAsia="Cambria" w:hAnsi="Times New Roman"/>
          <w:szCs w:val="24"/>
          <w:lang w:eastAsia="ja-JP"/>
        </w:rPr>
        <w:t xml:space="preserve"> access</w:t>
      </w:r>
      <w:r w:rsidR="000904DB">
        <w:rPr>
          <w:rFonts w:ascii="Times New Roman" w:eastAsia="Cambria" w:hAnsi="Times New Roman"/>
          <w:szCs w:val="24"/>
          <w:lang w:eastAsia="ja-JP"/>
        </w:rPr>
        <w:t xml:space="preserve"> to</w:t>
      </w:r>
      <w:r w:rsidR="000904DB" w:rsidRPr="006E622A">
        <w:rPr>
          <w:rFonts w:ascii="Times New Roman" w:eastAsia="Cambria" w:hAnsi="Times New Roman"/>
          <w:szCs w:val="24"/>
          <w:lang w:eastAsia="ja-JP"/>
        </w:rPr>
        <w:t xml:space="preserve"> justice</w:t>
      </w:r>
      <w:r w:rsidR="003705E6">
        <w:rPr>
          <w:rFonts w:ascii="Times New Roman" w:eastAsia="Cambria" w:hAnsi="Times New Roman"/>
          <w:szCs w:val="24"/>
          <w:lang w:eastAsia="ja-JP"/>
        </w:rPr>
        <w:t>; at the same time,</w:t>
      </w:r>
      <w:r w:rsidR="000904DB">
        <w:rPr>
          <w:rFonts w:ascii="Times New Roman" w:eastAsia="Cambria" w:hAnsi="Times New Roman"/>
          <w:szCs w:val="24"/>
          <w:lang w:eastAsia="ja-JP"/>
        </w:rPr>
        <w:t xml:space="preserve"> </w:t>
      </w:r>
      <w:r w:rsidR="003705E6">
        <w:rPr>
          <w:rFonts w:ascii="Times New Roman" w:eastAsia="Cambria" w:hAnsi="Times New Roman"/>
          <w:szCs w:val="24"/>
          <w:lang w:eastAsia="ja-JP"/>
        </w:rPr>
        <w:t>p</w:t>
      </w:r>
      <w:r w:rsidR="000904DB">
        <w:rPr>
          <w:rFonts w:ascii="Times New Roman" w:eastAsia="Cambria" w:hAnsi="Times New Roman"/>
          <w:szCs w:val="24"/>
          <w:lang w:eastAsia="ja-JP"/>
        </w:rPr>
        <w:t xml:space="preserve">rocedural fairness could impact their experience at the ICC. The availability of these human </w:t>
      </w:r>
      <w:r w:rsidR="000904DB" w:rsidRPr="006E622A">
        <w:rPr>
          <w:rFonts w:ascii="Times New Roman" w:eastAsia="Cambria" w:hAnsi="Times New Roman"/>
          <w:szCs w:val="24"/>
          <w:lang w:eastAsia="ja-JP"/>
        </w:rPr>
        <w:t>rights to victims at the ICC makes the ICC a victim-oriented court.</w:t>
      </w:r>
      <w:r w:rsidR="000904DB" w:rsidRPr="006E622A">
        <w:rPr>
          <w:rFonts w:ascii="Times New Roman" w:eastAsia="Cambria" w:hAnsi="Times New Roman"/>
          <w:szCs w:val="24"/>
          <w:vertAlign w:val="superscript"/>
          <w:lang w:eastAsia="ja-JP"/>
        </w:rPr>
        <w:footnoteReference w:id="542"/>
      </w:r>
      <w:r w:rsidR="000904DB" w:rsidRPr="006E622A">
        <w:rPr>
          <w:rFonts w:ascii="Times New Roman" w:eastAsia="Cambria" w:hAnsi="Times New Roman"/>
          <w:szCs w:val="24"/>
          <w:lang w:eastAsia="ja-JP"/>
        </w:rPr>
        <w:t xml:space="preserve"> These rights </w:t>
      </w:r>
      <w:r w:rsidR="002C0D22">
        <w:rPr>
          <w:rFonts w:ascii="Times New Roman" w:eastAsia="Cambria" w:hAnsi="Times New Roman"/>
          <w:szCs w:val="24"/>
          <w:lang w:eastAsia="ja-JP"/>
        </w:rPr>
        <w:t>may be</w:t>
      </w:r>
      <w:r w:rsidR="000904DB" w:rsidRPr="006E622A">
        <w:rPr>
          <w:rFonts w:ascii="Times New Roman" w:eastAsia="Cambria" w:hAnsi="Times New Roman"/>
          <w:szCs w:val="24"/>
          <w:lang w:eastAsia="ja-JP"/>
        </w:rPr>
        <w:t xml:space="preserve"> procedural-a means to an end-therefore, they are to some extent</w:t>
      </w:r>
      <w:r w:rsidR="000904DB">
        <w:rPr>
          <w:rFonts w:ascii="Times New Roman" w:eastAsia="Cambria" w:hAnsi="Times New Roman"/>
          <w:szCs w:val="24"/>
          <w:lang w:eastAsia="ja-JP"/>
        </w:rPr>
        <w:t>,</w:t>
      </w:r>
      <w:r w:rsidR="000904DB" w:rsidRPr="006E622A">
        <w:rPr>
          <w:rFonts w:ascii="Times New Roman" w:eastAsia="Cambria" w:hAnsi="Times New Roman"/>
          <w:szCs w:val="24"/>
          <w:lang w:eastAsia="ja-JP"/>
        </w:rPr>
        <w:t xml:space="preserve"> restricted.  They do not grant victims the right to determine the outcome of the proceedings.</w:t>
      </w:r>
      <w:r w:rsidR="000904DB" w:rsidRPr="006E622A">
        <w:rPr>
          <w:rFonts w:ascii="Times New Roman" w:eastAsia="Cambria" w:hAnsi="Times New Roman"/>
          <w:szCs w:val="24"/>
          <w:vertAlign w:val="superscript"/>
          <w:lang w:eastAsia="ja-JP"/>
        </w:rPr>
        <w:footnoteReference w:id="543"/>
      </w:r>
      <w:r w:rsidR="000904DB" w:rsidRPr="006E622A">
        <w:rPr>
          <w:rFonts w:ascii="Times New Roman" w:eastAsia="Cambria" w:hAnsi="Times New Roman"/>
          <w:szCs w:val="24"/>
          <w:lang w:eastAsia="ja-JP"/>
        </w:rPr>
        <w:t xml:space="preserve">  However, they may influence such decisions. </w:t>
      </w:r>
    </w:p>
    <w:p w14:paraId="63ED1C92" w14:textId="77777777" w:rsidR="000904DB" w:rsidRPr="006E622A" w:rsidRDefault="000904DB" w:rsidP="000904DB">
      <w:pPr>
        <w:spacing w:after="0" w:line="240" w:lineRule="auto"/>
        <w:jc w:val="both"/>
        <w:rPr>
          <w:rFonts w:ascii="Times New Roman" w:eastAsia="Cambria" w:hAnsi="Times New Roman"/>
          <w:szCs w:val="24"/>
          <w:lang w:eastAsia="ja-JP"/>
        </w:rPr>
      </w:pPr>
    </w:p>
    <w:p w14:paraId="79427BDB" w14:textId="1604A3CA" w:rsidR="000904DB" w:rsidRDefault="000904DB" w:rsidP="000904D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In brief, i</w:t>
      </w:r>
      <w:r w:rsidRPr="006E622A">
        <w:rPr>
          <w:rFonts w:ascii="Times New Roman" w:eastAsia="Cambria" w:hAnsi="Times New Roman"/>
          <w:szCs w:val="24"/>
          <w:lang w:eastAsia="ja-JP"/>
        </w:rPr>
        <w:t xml:space="preserve">t may be inferred that the ICC aligns itself with the recognition and enforcement of victims’ rights. </w:t>
      </w:r>
      <w:r>
        <w:rPr>
          <w:rFonts w:ascii="Times New Roman" w:eastAsia="Cambria" w:hAnsi="Times New Roman"/>
          <w:szCs w:val="24"/>
          <w:lang w:eastAsia="ja-JP"/>
        </w:rPr>
        <w:t>So far, this section has focused on the implications of the ICC criminal procedure on victims. It will be necessary to examine procedural fairness.</w:t>
      </w:r>
    </w:p>
    <w:p w14:paraId="02B14E3F" w14:textId="77777777" w:rsidR="000904DB" w:rsidRPr="006E622A" w:rsidRDefault="000904DB" w:rsidP="00B86F5F">
      <w:pPr>
        <w:spacing w:after="0" w:line="480" w:lineRule="auto"/>
        <w:jc w:val="both"/>
        <w:rPr>
          <w:rFonts w:ascii="Times New Roman" w:eastAsia="Cambria" w:hAnsi="Times New Roman"/>
          <w:szCs w:val="24"/>
          <w:lang w:eastAsia="ja-JP"/>
        </w:rPr>
      </w:pPr>
    </w:p>
    <w:p w14:paraId="09221A00" w14:textId="038E3496" w:rsidR="006E622A" w:rsidRPr="00BA1EFB" w:rsidRDefault="005B12CD" w:rsidP="006A2FCB">
      <w:pPr>
        <w:keepNext/>
        <w:keepLines/>
        <w:spacing w:before="40" w:after="0" w:line="480" w:lineRule="auto"/>
        <w:outlineLvl w:val="1"/>
        <w:rPr>
          <w:rFonts w:ascii="Times New Roman" w:eastAsia="MS Gothic" w:hAnsi="Times New Roman"/>
          <w:color w:val="000000" w:themeColor="text1"/>
          <w:szCs w:val="24"/>
          <w:lang w:eastAsia="ja-JP"/>
        </w:rPr>
      </w:pPr>
      <w:bookmarkStart w:id="37" w:name="_Toc60235814"/>
      <w:r>
        <w:rPr>
          <w:rFonts w:ascii="Times New Roman" w:eastAsia="MS Gothic" w:hAnsi="Times New Roman"/>
          <w:color w:val="000000" w:themeColor="text1"/>
          <w:szCs w:val="24"/>
          <w:lang w:eastAsia="ja-JP"/>
        </w:rPr>
        <w:t>3.</w:t>
      </w:r>
      <w:r w:rsidR="00CA05F5">
        <w:rPr>
          <w:rFonts w:ascii="Times New Roman" w:eastAsia="MS Gothic" w:hAnsi="Times New Roman"/>
          <w:color w:val="000000" w:themeColor="text1"/>
          <w:szCs w:val="24"/>
          <w:lang w:eastAsia="ja-JP"/>
        </w:rPr>
        <w:t>3</w:t>
      </w:r>
      <w:r w:rsidR="006E622A" w:rsidRPr="00BA1EFB">
        <w:rPr>
          <w:rFonts w:ascii="Times New Roman" w:eastAsia="MS Gothic" w:hAnsi="Times New Roman"/>
          <w:color w:val="000000" w:themeColor="text1"/>
          <w:szCs w:val="24"/>
          <w:lang w:eastAsia="ja-JP"/>
        </w:rPr>
        <w:t>T</w:t>
      </w:r>
      <w:r w:rsidR="00AF4FA5" w:rsidRPr="00BA1EFB">
        <w:rPr>
          <w:rFonts w:ascii="Times New Roman" w:eastAsia="MS Gothic" w:hAnsi="Times New Roman"/>
          <w:color w:val="000000" w:themeColor="text1"/>
          <w:szCs w:val="24"/>
          <w:lang w:eastAsia="ja-JP"/>
        </w:rPr>
        <w:t>he context of procedural fairness</w:t>
      </w:r>
      <w:bookmarkEnd w:id="37"/>
    </w:p>
    <w:p w14:paraId="0E01E51F" w14:textId="78B6FA4F" w:rsidR="006E622A" w:rsidRPr="006A2FCB" w:rsidRDefault="006E622A" w:rsidP="006A2FCB">
      <w:pPr>
        <w:spacing w:after="0" w:line="480" w:lineRule="auto"/>
        <w:jc w:val="both"/>
        <w:rPr>
          <w:rFonts w:ascii="Times New Roman" w:eastAsia="Cambria" w:hAnsi="Times New Roman"/>
          <w:szCs w:val="24"/>
          <w:lang w:eastAsia="ja-JP"/>
        </w:rPr>
      </w:pPr>
      <w:r w:rsidRPr="006A2FCB">
        <w:rPr>
          <w:rFonts w:ascii="Times New Roman" w:eastAsia="Cambria" w:hAnsi="Times New Roman"/>
          <w:szCs w:val="24"/>
          <w:lang w:eastAsia="ja-JP"/>
        </w:rPr>
        <w:t xml:space="preserve">In the field of law, </w:t>
      </w:r>
      <w:r w:rsidR="006B119E">
        <w:rPr>
          <w:rFonts w:ascii="Times New Roman" w:eastAsia="Cambria" w:hAnsi="Times New Roman"/>
          <w:szCs w:val="24"/>
          <w:lang w:eastAsia="ja-JP"/>
        </w:rPr>
        <w:t xml:space="preserve">the </w:t>
      </w:r>
      <w:r w:rsidRPr="006A2FCB">
        <w:rPr>
          <w:rFonts w:ascii="Times New Roman" w:eastAsia="Cambria" w:hAnsi="Times New Roman"/>
          <w:szCs w:val="24"/>
          <w:lang w:eastAsia="ja-JP"/>
        </w:rPr>
        <w:t xml:space="preserve">various definition of justice </w:t>
      </w:r>
      <w:r w:rsidR="006A2FCB">
        <w:rPr>
          <w:rFonts w:ascii="Times New Roman" w:eastAsia="Cambria" w:hAnsi="Times New Roman"/>
          <w:szCs w:val="24"/>
          <w:lang w:eastAsia="ja-JP"/>
        </w:rPr>
        <w:t>is</w:t>
      </w:r>
      <w:r w:rsidRPr="006A2FCB">
        <w:rPr>
          <w:rFonts w:ascii="Times New Roman" w:eastAsia="Cambria" w:hAnsi="Times New Roman"/>
          <w:szCs w:val="24"/>
          <w:lang w:eastAsia="ja-JP"/>
        </w:rPr>
        <w:t xml:space="preserve"> found. The concept of ‘justice’ is a commonly-used notion in law, yet it is a concept difficult to define precisely. </w:t>
      </w:r>
      <w:r w:rsidRPr="006A2FCB">
        <w:rPr>
          <w:rFonts w:ascii="Times New Roman" w:eastAsia="Cambria" w:hAnsi="Times New Roman"/>
          <w:szCs w:val="24"/>
          <w:lang w:eastAsia="ja-JP"/>
        </w:rPr>
        <w:lastRenderedPageBreak/>
        <w:t xml:space="preserve">Therefore, the definition of justice will depend upon the nature of the dispute or issues at hand. Additionally, justice is considered a very relative term </w:t>
      </w:r>
      <w:r w:rsidR="006A2FCB">
        <w:rPr>
          <w:rFonts w:ascii="Times New Roman" w:eastAsia="Cambria" w:hAnsi="Times New Roman"/>
          <w:szCs w:val="24"/>
          <w:lang w:eastAsia="ja-JP"/>
        </w:rPr>
        <w:t>for</w:t>
      </w:r>
      <w:r w:rsidRPr="006A2FCB">
        <w:rPr>
          <w:rFonts w:ascii="Times New Roman" w:eastAsia="Cambria" w:hAnsi="Times New Roman"/>
          <w:szCs w:val="24"/>
          <w:lang w:eastAsia="ja-JP"/>
        </w:rPr>
        <w:t xml:space="preserve"> people.</w:t>
      </w:r>
    </w:p>
    <w:p w14:paraId="79BF7DBF" w14:textId="77777777" w:rsidR="006E622A" w:rsidRPr="006A2FCB" w:rsidRDefault="006E622A" w:rsidP="006A2FCB">
      <w:pPr>
        <w:spacing w:after="0" w:line="480" w:lineRule="auto"/>
        <w:jc w:val="both"/>
        <w:rPr>
          <w:rFonts w:ascii="Times New Roman" w:eastAsia="Cambria" w:hAnsi="Times New Roman"/>
          <w:szCs w:val="24"/>
          <w:lang w:eastAsia="ja-JP"/>
        </w:rPr>
      </w:pPr>
    </w:p>
    <w:p w14:paraId="4247FE06" w14:textId="41193C22" w:rsidR="006E622A" w:rsidRDefault="006E622A" w:rsidP="006A2FCB">
      <w:pPr>
        <w:spacing w:after="0" w:line="480" w:lineRule="auto"/>
        <w:jc w:val="both"/>
        <w:rPr>
          <w:rFonts w:ascii="Times New Roman" w:eastAsia="Cambria" w:hAnsi="Times New Roman"/>
          <w:szCs w:val="24"/>
          <w:lang w:eastAsia="ja-JP"/>
        </w:rPr>
      </w:pPr>
      <w:r w:rsidRPr="006A2FCB">
        <w:rPr>
          <w:rFonts w:ascii="Times New Roman" w:eastAsia="Cambria" w:hAnsi="Times New Roman"/>
          <w:szCs w:val="24"/>
          <w:lang w:eastAsia="ja-JP"/>
        </w:rPr>
        <w:t>Rawls considers ‘</w:t>
      </w:r>
      <w:r w:rsidRPr="006A2FCB">
        <w:rPr>
          <w:rFonts w:ascii="Times New Roman" w:eastAsia="Cambria" w:hAnsi="Times New Roman"/>
          <w:i/>
          <w:szCs w:val="24"/>
          <w:lang w:eastAsia="ja-JP"/>
        </w:rPr>
        <w:t>justice as fairness’</w:t>
      </w:r>
      <w:r w:rsidRPr="006A2FCB">
        <w:rPr>
          <w:rFonts w:ascii="Times New Roman" w:eastAsia="Cambria" w:hAnsi="Times New Roman"/>
          <w:szCs w:val="24"/>
          <w:lang w:eastAsia="ja-JP"/>
        </w:rPr>
        <w:t xml:space="preserve">. A terminology which posits that trustworthy principles of justice are reached in an initial situation that is fair. </w:t>
      </w:r>
      <w:r w:rsidRPr="006A2FCB">
        <w:rPr>
          <w:rFonts w:ascii="Times New Roman" w:eastAsia="Cambria" w:hAnsi="Times New Roman"/>
          <w:szCs w:val="24"/>
          <w:vertAlign w:val="superscript"/>
          <w:lang w:eastAsia="ja-JP"/>
        </w:rPr>
        <w:footnoteReference w:id="544"/>
      </w:r>
      <w:r w:rsidRPr="006A2FCB">
        <w:rPr>
          <w:rFonts w:ascii="Times New Roman" w:eastAsia="Cambria" w:hAnsi="Times New Roman"/>
          <w:szCs w:val="24"/>
          <w:lang w:eastAsia="ja-JP"/>
        </w:rPr>
        <w:t xml:space="preserve"> </w:t>
      </w:r>
      <w:r w:rsidR="007D022D">
        <w:rPr>
          <w:rFonts w:ascii="Times New Roman" w:eastAsia="Cambria" w:hAnsi="Times New Roman"/>
          <w:szCs w:val="24"/>
          <w:lang w:eastAsia="ja-JP"/>
        </w:rPr>
        <w:t>F</w:t>
      </w:r>
      <w:r w:rsidRPr="006A2FCB">
        <w:rPr>
          <w:rFonts w:ascii="Times New Roman" w:eastAsia="Cambria" w:hAnsi="Times New Roman"/>
          <w:szCs w:val="24"/>
          <w:lang w:eastAsia="ja-JP"/>
        </w:rPr>
        <w:t>or trustworthy principles of justice to emerge, there must be a</w:t>
      </w:r>
      <w:r w:rsidR="007D022D">
        <w:rPr>
          <w:rFonts w:ascii="Times New Roman" w:eastAsia="Cambria" w:hAnsi="Times New Roman"/>
          <w:szCs w:val="24"/>
          <w:lang w:eastAsia="ja-JP"/>
        </w:rPr>
        <w:t xml:space="preserve"> fair enabling</w:t>
      </w:r>
      <w:r w:rsidR="00AF4FA5">
        <w:rPr>
          <w:rFonts w:ascii="Times New Roman" w:eastAsia="Cambria" w:hAnsi="Times New Roman"/>
          <w:szCs w:val="24"/>
          <w:lang w:eastAsia="ja-JP"/>
        </w:rPr>
        <w:t xml:space="preserve"> situation or status quo</w:t>
      </w:r>
      <w:r w:rsidR="007D022D">
        <w:rPr>
          <w:rFonts w:ascii="Times New Roman" w:eastAsia="Cambria" w:hAnsi="Times New Roman"/>
          <w:szCs w:val="24"/>
          <w:lang w:eastAsia="ja-JP"/>
        </w:rPr>
        <w:t>,</w:t>
      </w:r>
      <w:r w:rsidR="00AF4FA5">
        <w:rPr>
          <w:rFonts w:ascii="Times New Roman" w:eastAsia="Cambria" w:hAnsi="Times New Roman"/>
          <w:szCs w:val="24"/>
          <w:lang w:eastAsia="ja-JP"/>
        </w:rPr>
        <w:t xml:space="preserve"> i.e</w:t>
      </w:r>
      <w:r w:rsidR="007D022D">
        <w:rPr>
          <w:rFonts w:ascii="Times New Roman" w:eastAsia="Cambria" w:hAnsi="Times New Roman"/>
          <w:szCs w:val="24"/>
          <w:lang w:eastAsia="ja-JP"/>
        </w:rPr>
        <w:t>.</w:t>
      </w:r>
      <w:r w:rsidR="00AF4FA5">
        <w:rPr>
          <w:rFonts w:ascii="Times New Roman" w:eastAsia="Cambria" w:hAnsi="Times New Roman"/>
          <w:szCs w:val="24"/>
          <w:lang w:eastAsia="ja-JP"/>
        </w:rPr>
        <w:t xml:space="preserve"> principles of justice are situated within a fair institution.</w:t>
      </w:r>
      <w:r w:rsidRPr="006E622A">
        <w:rPr>
          <w:rFonts w:ascii="Times New Roman" w:eastAsia="Cambria" w:hAnsi="Times New Roman"/>
          <w:szCs w:val="24"/>
          <w:lang w:eastAsia="ja-JP"/>
        </w:rPr>
        <w:t xml:space="preserve"> The initial state of things must be </w:t>
      </w:r>
      <w:r w:rsidR="005B181C">
        <w:rPr>
          <w:rFonts w:ascii="Times New Roman" w:eastAsia="Cambria" w:hAnsi="Times New Roman"/>
          <w:szCs w:val="24"/>
          <w:lang w:eastAsia="ja-JP"/>
        </w:rPr>
        <w:t>honest</w:t>
      </w:r>
      <w:r w:rsidRPr="006E622A">
        <w:rPr>
          <w:rFonts w:ascii="Times New Roman" w:eastAsia="Cambria" w:hAnsi="Times New Roman"/>
          <w:szCs w:val="24"/>
          <w:lang w:eastAsia="ja-JP"/>
        </w:rPr>
        <w:t xml:space="preserve"> enough for these principles to thrive and emerge.</w:t>
      </w:r>
      <w:r w:rsidR="00AF4FA5">
        <w:rPr>
          <w:rStyle w:val="FootnoteReference"/>
          <w:rFonts w:ascii="Times New Roman" w:eastAsia="Cambria" w:hAnsi="Times New Roman"/>
          <w:szCs w:val="24"/>
          <w:lang w:eastAsia="ja-JP"/>
        </w:rPr>
        <w:footnoteReference w:id="545"/>
      </w:r>
      <w:r w:rsidRPr="006E622A">
        <w:rPr>
          <w:rFonts w:ascii="Times New Roman" w:eastAsia="Cambria" w:hAnsi="Times New Roman"/>
          <w:szCs w:val="24"/>
          <w:lang w:eastAsia="ja-JP"/>
        </w:rPr>
        <w:t xml:space="preserve"> </w:t>
      </w:r>
      <w:r w:rsidR="00AF4FA5">
        <w:rPr>
          <w:rFonts w:ascii="Times New Roman" w:eastAsia="Cambria" w:hAnsi="Times New Roman"/>
          <w:szCs w:val="24"/>
          <w:lang w:eastAsia="ja-JP"/>
        </w:rPr>
        <w:t xml:space="preserve">Applying this theory to the ICC implies the fairness of such </w:t>
      </w:r>
      <w:r w:rsidR="007D022D">
        <w:rPr>
          <w:rFonts w:ascii="Times New Roman" w:eastAsia="Cambria" w:hAnsi="Times New Roman"/>
          <w:szCs w:val="24"/>
          <w:lang w:eastAsia="ja-JP"/>
        </w:rPr>
        <w:t xml:space="preserve">an </w:t>
      </w:r>
      <w:r w:rsidR="00AF4FA5">
        <w:rPr>
          <w:rFonts w:ascii="Times New Roman" w:eastAsia="Cambria" w:hAnsi="Times New Roman"/>
          <w:szCs w:val="24"/>
          <w:lang w:eastAsia="ja-JP"/>
        </w:rPr>
        <w:t>institution.</w:t>
      </w:r>
      <w:r w:rsidRPr="006E622A">
        <w:rPr>
          <w:rFonts w:ascii="Times New Roman" w:eastAsia="Cambria" w:hAnsi="Times New Roman"/>
          <w:szCs w:val="24"/>
          <w:lang w:eastAsia="ja-JP"/>
        </w:rPr>
        <w:t xml:space="preserve"> </w:t>
      </w:r>
      <w:r w:rsidR="007D022D" w:rsidRPr="006E622A">
        <w:rPr>
          <w:rFonts w:ascii="Times New Roman" w:eastAsia="Cambria" w:hAnsi="Times New Roman"/>
          <w:szCs w:val="24"/>
          <w:lang w:eastAsia="ja-JP"/>
        </w:rPr>
        <w:t>ICC could be likened to the ‘</w:t>
      </w:r>
      <w:r w:rsidR="007D022D" w:rsidRPr="006E622A">
        <w:rPr>
          <w:rFonts w:ascii="Times New Roman" w:eastAsia="Cambria" w:hAnsi="Times New Roman"/>
          <w:i/>
          <w:szCs w:val="24"/>
          <w:lang w:eastAsia="ja-JP"/>
        </w:rPr>
        <w:t>initial situation’</w:t>
      </w:r>
      <w:r w:rsidR="007D022D" w:rsidRPr="006E622A">
        <w:rPr>
          <w:rFonts w:ascii="Times New Roman" w:eastAsia="Cambria" w:hAnsi="Times New Roman"/>
          <w:szCs w:val="24"/>
          <w:lang w:eastAsia="ja-JP"/>
        </w:rPr>
        <w:t>(sta</w:t>
      </w:r>
      <w:r w:rsidR="007D022D">
        <w:rPr>
          <w:rFonts w:ascii="Times New Roman" w:eastAsia="Cambria" w:hAnsi="Times New Roman"/>
          <w:szCs w:val="24"/>
          <w:lang w:eastAsia="ja-JP"/>
        </w:rPr>
        <w:t>tus quo) in Rawls’ analysis. The</w:t>
      </w:r>
      <w:r w:rsidR="007D022D" w:rsidRPr="006E622A">
        <w:rPr>
          <w:rFonts w:ascii="Times New Roman" w:eastAsia="Cambria" w:hAnsi="Times New Roman"/>
          <w:szCs w:val="24"/>
          <w:lang w:eastAsia="ja-JP"/>
        </w:rPr>
        <w:t xml:space="preserve"> perception is that the institutio</w:t>
      </w:r>
      <w:r w:rsidR="00B76559">
        <w:rPr>
          <w:rFonts w:ascii="Times New Roman" w:eastAsia="Cambria" w:hAnsi="Times New Roman"/>
          <w:szCs w:val="24"/>
          <w:lang w:eastAsia="ja-JP"/>
        </w:rPr>
        <w:t>n must be founded on fairness, which</w:t>
      </w:r>
      <w:r w:rsidR="007D022D" w:rsidRPr="006E622A">
        <w:rPr>
          <w:rFonts w:ascii="Times New Roman" w:eastAsia="Cambria" w:hAnsi="Times New Roman"/>
          <w:szCs w:val="24"/>
          <w:lang w:eastAsia="ja-JP"/>
        </w:rPr>
        <w:t xml:space="preserve"> underscores the significance </w:t>
      </w:r>
      <w:r w:rsidR="00B76559">
        <w:rPr>
          <w:rFonts w:ascii="Times New Roman" w:eastAsia="Cambria" w:hAnsi="Times New Roman"/>
          <w:szCs w:val="24"/>
          <w:lang w:eastAsia="ja-JP"/>
        </w:rPr>
        <w:t xml:space="preserve">of </w:t>
      </w:r>
      <w:r w:rsidR="006B119E">
        <w:rPr>
          <w:rFonts w:ascii="Times New Roman" w:eastAsia="Cambria" w:hAnsi="Times New Roman"/>
          <w:szCs w:val="24"/>
          <w:lang w:eastAsia="ja-JP"/>
        </w:rPr>
        <w:t>justice</w:t>
      </w:r>
      <w:r w:rsidR="00B76559">
        <w:rPr>
          <w:rFonts w:ascii="Times New Roman" w:eastAsia="Cambria" w:hAnsi="Times New Roman"/>
          <w:szCs w:val="24"/>
          <w:lang w:eastAsia="ja-JP"/>
        </w:rPr>
        <w:t xml:space="preserve"> in an institution. </w:t>
      </w:r>
      <w:r w:rsidR="007D022D" w:rsidRPr="006E622A">
        <w:rPr>
          <w:rFonts w:ascii="Times New Roman" w:eastAsia="Cambria" w:hAnsi="Times New Roman"/>
          <w:szCs w:val="24"/>
          <w:lang w:eastAsia="ja-JP"/>
        </w:rPr>
        <w:t>An institution bereft of fairness cannot deliver what it does not have.</w:t>
      </w:r>
      <w:r w:rsidR="007D022D">
        <w:rPr>
          <w:rFonts w:ascii="Times New Roman" w:eastAsia="Cambria" w:hAnsi="Times New Roman"/>
          <w:szCs w:val="24"/>
          <w:lang w:eastAsia="ja-JP"/>
        </w:rPr>
        <w:t xml:space="preserve"> </w:t>
      </w:r>
      <w:r w:rsidR="005B181C">
        <w:rPr>
          <w:rFonts w:ascii="Times New Roman" w:eastAsia="Cambria" w:hAnsi="Times New Roman"/>
          <w:szCs w:val="24"/>
          <w:lang w:eastAsia="ja-JP"/>
        </w:rPr>
        <w:t>In a way, this analysis</w:t>
      </w:r>
      <w:r w:rsidRPr="006E622A">
        <w:rPr>
          <w:rFonts w:ascii="Times New Roman" w:eastAsia="Cambria" w:hAnsi="Times New Roman"/>
          <w:szCs w:val="24"/>
          <w:lang w:eastAsia="ja-JP"/>
        </w:rPr>
        <w:t xml:space="preserve"> emphasises an upright, just or trustworthy institution with integrity</w:t>
      </w:r>
      <w:r w:rsidR="00AF4FA5">
        <w:rPr>
          <w:rFonts w:ascii="Times New Roman" w:eastAsia="Cambria" w:hAnsi="Times New Roman"/>
          <w:szCs w:val="24"/>
          <w:lang w:eastAsia="ja-JP"/>
        </w:rPr>
        <w:t xml:space="preserve"> and </w:t>
      </w:r>
      <w:r w:rsidRPr="006E622A">
        <w:rPr>
          <w:rFonts w:ascii="Times New Roman" w:eastAsia="Cambria" w:hAnsi="Times New Roman"/>
          <w:szCs w:val="24"/>
          <w:lang w:eastAsia="ja-JP"/>
        </w:rPr>
        <w:t xml:space="preserve">legitimacy. </w:t>
      </w:r>
    </w:p>
    <w:p w14:paraId="5EE90CE9" w14:textId="77777777" w:rsidR="00C76F04" w:rsidRDefault="00C76F04" w:rsidP="006E622A">
      <w:pPr>
        <w:spacing w:after="0" w:line="240" w:lineRule="auto"/>
        <w:jc w:val="both"/>
        <w:rPr>
          <w:rFonts w:ascii="Times New Roman" w:eastAsia="Cambria" w:hAnsi="Times New Roman"/>
          <w:szCs w:val="24"/>
          <w:lang w:eastAsia="ja-JP"/>
        </w:rPr>
      </w:pPr>
    </w:p>
    <w:p w14:paraId="2DA13397" w14:textId="1C0E9612" w:rsidR="00C76F04" w:rsidRDefault="00B76559" w:rsidP="00B76559">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Having said that, </w:t>
      </w:r>
      <w:r w:rsidR="00C76F04" w:rsidRPr="006E622A">
        <w:rPr>
          <w:rFonts w:ascii="Times New Roman" w:eastAsia="Cambria" w:hAnsi="Times New Roman"/>
          <w:szCs w:val="24"/>
          <w:lang w:eastAsia="ja-JP"/>
        </w:rPr>
        <w:t>Tyler, in his study, found that citizens base their judgement and experience on the fairness of the procedure during the proceedings.</w:t>
      </w:r>
      <w:r w:rsidR="00C76F04" w:rsidRPr="006E622A">
        <w:rPr>
          <w:rFonts w:ascii="Times New Roman" w:eastAsia="Cambria" w:hAnsi="Times New Roman"/>
          <w:szCs w:val="24"/>
          <w:vertAlign w:val="superscript"/>
          <w:lang w:eastAsia="ja-JP"/>
        </w:rPr>
        <w:footnoteReference w:id="546"/>
      </w:r>
      <w:r>
        <w:rPr>
          <w:rFonts w:ascii="Times New Roman" w:eastAsia="Cambria" w:hAnsi="Times New Roman"/>
          <w:szCs w:val="24"/>
          <w:lang w:eastAsia="ja-JP"/>
        </w:rPr>
        <w:t xml:space="preserve"> </w:t>
      </w:r>
      <w:r w:rsidR="00FF14BF">
        <w:rPr>
          <w:rFonts w:ascii="Times New Roman" w:eastAsia="Cambria" w:hAnsi="Times New Roman"/>
          <w:szCs w:val="24"/>
          <w:lang w:eastAsia="ja-JP"/>
        </w:rPr>
        <w:t>H</w:t>
      </w:r>
      <w:r w:rsidRPr="006E622A">
        <w:rPr>
          <w:rFonts w:ascii="Times New Roman" w:eastAsia="Cambria" w:hAnsi="Times New Roman"/>
          <w:szCs w:val="24"/>
          <w:lang w:eastAsia="ja-JP"/>
        </w:rPr>
        <w:t>ow people and their problems are managed during dispute resolution by the courts has more influence on them than the outcome of such disputes.</w:t>
      </w:r>
      <w:r w:rsidRPr="006E622A">
        <w:rPr>
          <w:rFonts w:ascii="Times New Roman" w:eastAsia="Cambria" w:hAnsi="Times New Roman"/>
          <w:szCs w:val="24"/>
          <w:vertAlign w:val="superscript"/>
          <w:lang w:eastAsia="ja-JP"/>
        </w:rPr>
        <w:footnoteReference w:id="547"/>
      </w:r>
      <w:r>
        <w:rPr>
          <w:rFonts w:ascii="Times New Roman" w:eastAsia="Cambria" w:hAnsi="Times New Roman"/>
          <w:szCs w:val="24"/>
          <w:lang w:eastAsia="ja-JP"/>
        </w:rPr>
        <w:t>It is believed that fairness of procedure</w:t>
      </w:r>
      <w:r w:rsidR="00C76F04" w:rsidRPr="006E622A">
        <w:rPr>
          <w:rFonts w:ascii="Times New Roman" w:eastAsia="Cambria" w:hAnsi="Times New Roman"/>
          <w:szCs w:val="24"/>
          <w:lang w:eastAsia="ja-JP"/>
        </w:rPr>
        <w:t xml:space="preserve"> </w:t>
      </w:r>
      <w:r w:rsidR="00C76F04" w:rsidRPr="006E622A">
        <w:rPr>
          <w:rFonts w:ascii="Times New Roman" w:eastAsia="Cambria" w:hAnsi="Times New Roman"/>
          <w:szCs w:val="24"/>
          <w:lang w:eastAsia="ja-JP"/>
        </w:rPr>
        <w:lastRenderedPageBreak/>
        <w:t>entrenches legitimacy for the legal authorities.</w:t>
      </w:r>
      <w:r w:rsidR="00C76F04" w:rsidRPr="006E622A">
        <w:rPr>
          <w:rFonts w:ascii="Times New Roman" w:eastAsia="Cambria" w:hAnsi="Times New Roman"/>
          <w:szCs w:val="24"/>
          <w:vertAlign w:val="superscript"/>
          <w:lang w:eastAsia="ja-JP"/>
        </w:rPr>
        <w:footnoteReference w:id="548"/>
      </w:r>
      <w:r w:rsidR="00C76F04" w:rsidRPr="006E622A">
        <w:rPr>
          <w:rFonts w:ascii="Times New Roman" w:eastAsia="Cambria" w:hAnsi="Times New Roman"/>
          <w:szCs w:val="24"/>
          <w:lang w:eastAsia="ja-JP"/>
        </w:rPr>
        <w:t xml:space="preserve"> Their experience during the proceedings is a determinant if they would accept the outcome of such proceedings.</w:t>
      </w:r>
      <w:r w:rsidR="00C76F04" w:rsidRPr="006E622A">
        <w:rPr>
          <w:rFonts w:ascii="Times New Roman" w:eastAsia="Cambria" w:hAnsi="Times New Roman"/>
          <w:szCs w:val="24"/>
          <w:vertAlign w:val="superscript"/>
          <w:lang w:eastAsia="ja-JP"/>
        </w:rPr>
        <w:footnoteReference w:id="549"/>
      </w:r>
      <w:r w:rsidR="00C76F04" w:rsidRPr="006E622A">
        <w:rPr>
          <w:rFonts w:ascii="Times New Roman" w:eastAsia="Cambria" w:hAnsi="Times New Roman"/>
          <w:szCs w:val="24"/>
          <w:lang w:eastAsia="ja-JP"/>
        </w:rPr>
        <w:t xml:space="preserve"> </w:t>
      </w:r>
      <w:r>
        <w:rPr>
          <w:rFonts w:ascii="Times New Roman" w:eastAsia="Cambria" w:hAnsi="Times New Roman"/>
          <w:szCs w:val="24"/>
          <w:lang w:eastAsia="ja-JP"/>
        </w:rPr>
        <w:t xml:space="preserve">Most times, </w:t>
      </w:r>
      <w:r w:rsidR="006B119E">
        <w:rPr>
          <w:rFonts w:ascii="Times New Roman" w:eastAsia="Cambria" w:hAnsi="Times New Roman"/>
          <w:szCs w:val="24"/>
          <w:lang w:eastAsia="ja-JP"/>
        </w:rPr>
        <w:t xml:space="preserve">victims prioritise the process </w:t>
      </w:r>
      <w:r w:rsidR="00C76F04" w:rsidRPr="006E622A">
        <w:rPr>
          <w:rFonts w:ascii="Times New Roman" w:eastAsia="Cambria" w:hAnsi="Times New Roman"/>
          <w:szCs w:val="24"/>
          <w:lang w:eastAsia="ja-JP"/>
        </w:rPr>
        <w:t>than substanti</w:t>
      </w:r>
      <w:r>
        <w:rPr>
          <w:rFonts w:ascii="Times New Roman" w:eastAsia="Cambria" w:hAnsi="Times New Roman"/>
          <w:szCs w:val="24"/>
          <w:lang w:eastAsia="ja-JP"/>
        </w:rPr>
        <w:t>ve justice. It is stated that</w:t>
      </w:r>
      <w:r w:rsidR="00C76F04" w:rsidRPr="006E622A">
        <w:rPr>
          <w:rFonts w:ascii="Times New Roman" w:eastAsia="Cambria" w:hAnsi="Times New Roman"/>
          <w:szCs w:val="24"/>
          <w:lang w:eastAsia="ja-JP"/>
        </w:rPr>
        <w:t xml:space="preserve"> victim</w:t>
      </w:r>
      <w:r>
        <w:rPr>
          <w:rFonts w:ascii="Times New Roman" w:eastAsia="Cambria" w:hAnsi="Times New Roman"/>
          <w:szCs w:val="24"/>
          <w:lang w:eastAsia="ja-JP"/>
        </w:rPr>
        <w:t>s’</w:t>
      </w:r>
      <w:r w:rsidR="00C76F04" w:rsidRPr="006E622A">
        <w:rPr>
          <w:rFonts w:ascii="Times New Roman" w:eastAsia="Cambria" w:hAnsi="Times New Roman"/>
          <w:szCs w:val="24"/>
          <w:lang w:eastAsia="ja-JP"/>
        </w:rPr>
        <w:t xml:space="preserve"> posi</w:t>
      </w:r>
      <w:r>
        <w:rPr>
          <w:rFonts w:ascii="Times New Roman" w:eastAsia="Cambria" w:hAnsi="Times New Roman"/>
          <w:szCs w:val="24"/>
          <w:lang w:eastAsia="ja-JP"/>
        </w:rPr>
        <w:t>tive experience at the court,</w:t>
      </w:r>
      <w:r w:rsidR="00C76F04" w:rsidRPr="006E622A">
        <w:rPr>
          <w:rFonts w:ascii="Times New Roman" w:eastAsia="Cambria" w:hAnsi="Times New Roman"/>
          <w:szCs w:val="24"/>
          <w:lang w:eastAsia="ja-JP"/>
        </w:rPr>
        <w:t xml:space="preserve"> may shape their perceptions of the court. </w:t>
      </w:r>
      <w:r>
        <w:rPr>
          <w:rFonts w:ascii="Times New Roman" w:eastAsia="Cambria" w:hAnsi="Times New Roman"/>
          <w:szCs w:val="24"/>
          <w:lang w:eastAsia="ja-JP"/>
        </w:rPr>
        <w:t>The four criteria for procedural fairness are r</w:t>
      </w:r>
      <w:r w:rsidR="00C76F04" w:rsidRPr="006E622A">
        <w:rPr>
          <w:rFonts w:ascii="Times New Roman" w:eastAsia="Cambria" w:hAnsi="Times New Roman"/>
          <w:szCs w:val="24"/>
          <w:lang w:eastAsia="ja-JP"/>
        </w:rPr>
        <w:t>espect, voice, neutrality and trust.</w:t>
      </w:r>
      <w:r w:rsidR="00C76F04" w:rsidRPr="006E622A">
        <w:rPr>
          <w:rFonts w:ascii="Times New Roman" w:eastAsia="Cambria" w:hAnsi="Times New Roman"/>
          <w:szCs w:val="24"/>
          <w:vertAlign w:val="superscript"/>
          <w:lang w:eastAsia="ja-JP"/>
        </w:rPr>
        <w:footnoteReference w:id="550"/>
      </w:r>
      <w:r w:rsidR="00C76F04" w:rsidRPr="006E622A">
        <w:rPr>
          <w:rFonts w:ascii="Times New Roman" w:eastAsia="Cambria" w:hAnsi="Times New Roman"/>
          <w:szCs w:val="24"/>
          <w:lang w:eastAsia="ja-JP"/>
        </w:rPr>
        <w:t xml:space="preserve"> It follows that procedural justice influences whether people recognise, acknowledge and obey the </w:t>
      </w:r>
      <w:r w:rsidR="005B181C">
        <w:rPr>
          <w:rFonts w:ascii="Times New Roman" w:eastAsia="Cambria" w:hAnsi="Times New Roman"/>
          <w:szCs w:val="24"/>
          <w:lang w:eastAsia="ja-JP"/>
        </w:rPr>
        <w:t>courts' decision</w:t>
      </w:r>
      <w:r w:rsidR="00C76F04" w:rsidRPr="006E622A">
        <w:rPr>
          <w:rFonts w:ascii="Times New Roman" w:eastAsia="Cambria" w:hAnsi="Times New Roman"/>
          <w:szCs w:val="24"/>
          <w:lang w:eastAsia="ja-JP"/>
        </w:rPr>
        <w:t>s. Therefore, the fairness of procedure becomes a yardstick in determining how people are treated in judicial proceedings.  Procedural justice is needed to assess the interests of victims as well as their rights.</w:t>
      </w:r>
    </w:p>
    <w:p w14:paraId="616E5338" w14:textId="77777777" w:rsidR="002C0D22" w:rsidRDefault="002C0D22" w:rsidP="00B76559">
      <w:pPr>
        <w:spacing w:after="0" w:line="480" w:lineRule="auto"/>
        <w:jc w:val="both"/>
        <w:rPr>
          <w:rFonts w:ascii="Times New Roman" w:eastAsia="Cambria" w:hAnsi="Times New Roman"/>
          <w:szCs w:val="24"/>
          <w:lang w:eastAsia="ja-JP"/>
        </w:rPr>
      </w:pPr>
    </w:p>
    <w:p w14:paraId="1EFA145B" w14:textId="6DCCB5FB" w:rsidR="00937C53" w:rsidRDefault="00937C53" w:rsidP="00B76559">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The next section shall discuss the significance of victims’ voice and respect as </w:t>
      </w:r>
      <w:r w:rsidR="006B119E">
        <w:rPr>
          <w:rFonts w:ascii="Times New Roman" w:eastAsia="Cambria" w:hAnsi="Times New Roman"/>
          <w:szCs w:val="24"/>
          <w:lang w:eastAsia="ja-JP"/>
        </w:rPr>
        <w:t>essential</w:t>
      </w:r>
      <w:r>
        <w:rPr>
          <w:rFonts w:ascii="Times New Roman" w:eastAsia="Cambria" w:hAnsi="Times New Roman"/>
          <w:szCs w:val="24"/>
          <w:lang w:eastAsia="ja-JP"/>
        </w:rPr>
        <w:t xml:space="preserve"> aspects of procedural justice during the trial process.</w:t>
      </w:r>
    </w:p>
    <w:p w14:paraId="7AEBA1B9" w14:textId="77777777" w:rsidR="00937C53" w:rsidRDefault="00937C53" w:rsidP="00B76559">
      <w:pPr>
        <w:spacing w:after="0" w:line="480" w:lineRule="auto"/>
        <w:jc w:val="both"/>
        <w:rPr>
          <w:rFonts w:ascii="Times New Roman" w:eastAsia="Cambria" w:hAnsi="Times New Roman"/>
          <w:szCs w:val="24"/>
          <w:lang w:eastAsia="ja-JP"/>
        </w:rPr>
      </w:pPr>
    </w:p>
    <w:p w14:paraId="3CA83F07" w14:textId="7A349E11" w:rsidR="00937C53" w:rsidRPr="00937C53" w:rsidRDefault="005B12CD" w:rsidP="00A44B61">
      <w:pPr>
        <w:pStyle w:val="Heading3"/>
      </w:pPr>
      <w:r>
        <w:t>3.</w:t>
      </w:r>
      <w:r w:rsidR="00CA05F5">
        <w:t>3</w:t>
      </w:r>
      <w:r>
        <w:t>.1</w:t>
      </w:r>
      <w:r w:rsidR="00937C53">
        <w:t>The significance of victims’ v</w:t>
      </w:r>
      <w:r w:rsidR="00937C53" w:rsidRPr="00937C53">
        <w:t>oice</w:t>
      </w:r>
    </w:p>
    <w:p w14:paraId="1D86BD19" w14:textId="77777777" w:rsidR="00937C53" w:rsidRDefault="00937C53" w:rsidP="00B76559">
      <w:pPr>
        <w:spacing w:after="0" w:line="480" w:lineRule="auto"/>
        <w:jc w:val="both"/>
        <w:rPr>
          <w:rFonts w:ascii="Times New Roman" w:eastAsia="Cambria" w:hAnsi="Times New Roman"/>
          <w:szCs w:val="24"/>
          <w:lang w:eastAsia="ja-JP"/>
        </w:rPr>
      </w:pPr>
    </w:p>
    <w:p w14:paraId="5554D376" w14:textId="5D4D6605" w:rsidR="006B119E" w:rsidRDefault="00937C53" w:rsidP="00937C53">
      <w:pPr>
        <w:spacing w:line="480" w:lineRule="auto"/>
        <w:jc w:val="both"/>
        <w:rPr>
          <w:rFonts w:ascii="Times New Roman" w:eastAsia="Cambria" w:hAnsi="Times New Roman"/>
          <w:lang w:eastAsia="ja-JP"/>
        </w:rPr>
      </w:pPr>
      <w:r w:rsidRPr="00B8367F">
        <w:rPr>
          <w:rFonts w:ascii="Times New Roman" w:eastAsia="Cambria" w:hAnsi="Times New Roman"/>
          <w:lang w:eastAsia="ja-JP"/>
        </w:rPr>
        <w:t xml:space="preserve">Building on from the theory of procedural justice,  this section addresses ‘voice’ as an important content of fairness of </w:t>
      </w:r>
      <w:r>
        <w:rPr>
          <w:rFonts w:ascii="Times New Roman" w:eastAsia="Cambria" w:hAnsi="Times New Roman"/>
          <w:lang w:eastAsia="ja-JP"/>
        </w:rPr>
        <w:t xml:space="preserve">the </w:t>
      </w:r>
      <w:r w:rsidRPr="00B8367F">
        <w:rPr>
          <w:rFonts w:ascii="Times New Roman" w:eastAsia="Cambria" w:hAnsi="Times New Roman"/>
          <w:lang w:eastAsia="ja-JP"/>
        </w:rPr>
        <w:t xml:space="preserve">procedure. When people are permitted to give </w:t>
      </w:r>
      <w:r>
        <w:rPr>
          <w:rFonts w:ascii="Times New Roman" w:eastAsia="Cambria" w:hAnsi="Times New Roman"/>
          <w:lang w:eastAsia="ja-JP"/>
        </w:rPr>
        <w:t xml:space="preserve">an </w:t>
      </w:r>
      <w:r w:rsidRPr="00B8367F">
        <w:rPr>
          <w:rFonts w:ascii="Times New Roman" w:eastAsia="Cambria" w:hAnsi="Times New Roman"/>
          <w:lang w:eastAsia="ja-JP"/>
        </w:rPr>
        <w:lastRenderedPageBreak/>
        <w:t>account of their stories</w:t>
      </w:r>
      <w:r w:rsidR="00FF14BF">
        <w:rPr>
          <w:rFonts w:ascii="Times New Roman" w:eastAsia="Cambria" w:hAnsi="Times New Roman"/>
          <w:lang w:eastAsia="ja-JP"/>
        </w:rPr>
        <w:t>.</w:t>
      </w:r>
      <w:r w:rsidRPr="00B8367F">
        <w:rPr>
          <w:rFonts w:ascii="Times New Roman" w:eastAsia="Cambria" w:hAnsi="Times New Roman"/>
          <w:vertAlign w:val="superscript"/>
          <w:lang w:eastAsia="ja-JP"/>
        </w:rPr>
        <w:footnoteReference w:id="551"/>
      </w:r>
      <w:r w:rsidR="006B119E">
        <w:rPr>
          <w:rFonts w:ascii="Times New Roman" w:eastAsia="Cambria" w:hAnsi="Times New Roman"/>
          <w:lang w:eastAsia="ja-JP"/>
        </w:rPr>
        <w:t xml:space="preserve"> The disclosure of their views and concerns recognises their position within the trial  </w:t>
      </w:r>
    </w:p>
    <w:p w14:paraId="55111B7B" w14:textId="11DC2248" w:rsidR="00937C53" w:rsidRDefault="00937C53" w:rsidP="00937C53">
      <w:pPr>
        <w:spacing w:line="480" w:lineRule="auto"/>
        <w:jc w:val="both"/>
        <w:rPr>
          <w:rFonts w:ascii="Times New Roman" w:eastAsia="Cambria" w:hAnsi="Times New Roman"/>
          <w:lang w:eastAsia="ja-JP"/>
        </w:rPr>
      </w:pPr>
      <w:r w:rsidRPr="00B8367F">
        <w:rPr>
          <w:rFonts w:ascii="Times New Roman" w:eastAsia="Cambria" w:hAnsi="Times New Roman"/>
          <w:lang w:eastAsia="ja-JP"/>
        </w:rPr>
        <w:t xml:space="preserve">Voice is a form of participation in the procedure which gives a sense of belonging to the victims. Depending on the degree to which their voice is heard, it may influence the decision or sentencing. For instance, research suggests that in common law jurisdictions, victim impact statement is considered by judges when making decisions </w:t>
      </w:r>
      <w:r w:rsidR="00FF14BF">
        <w:rPr>
          <w:rFonts w:ascii="Times New Roman" w:eastAsia="Cambria" w:hAnsi="Times New Roman"/>
          <w:lang w:eastAsia="ja-JP"/>
        </w:rPr>
        <w:t>about</w:t>
      </w:r>
      <w:r w:rsidRPr="00B8367F">
        <w:rPr>
          <w:rFonts w:ascii="Times New Roman" w:eastAsia="Cambria" w:hAnsi="Times New Roman"/>
          <w:lang w:eastAsia="ja-JP"/>
        </w:rPr>
        <w:t xml:space="preserve"> </w:t>
      </w:r>
      <w:r>
        <w:rPr>
          <w:rFonts w:ascii="Times New Roman" w:eastAsia="Cambria" w:hAnsi="Times New Roman"/>
          <w:lang w:eastAsia="ja-JP"/>
        </w:rPr>
        <w:t xml:space="preserve">the </w:t>
      </w:r>
      <w:r w:rsidRPr="00B8367F">
        <w:rPr>
          <w:rFonts w:ascii="Times New Roman" w:eastAsia="Cambria" w:hAnsi="Times New Roman"/>
          <w:lang w:eastAsia="ja-JP"/>
        </w:rPr>
        <w:t>sentencing of the accused.</w:t>
      </w:r>
      <w:r w:rsidR="006233FF">
        <w:rPr>
          <w:rStyle w:val="FootnoteReference"/>
          <w:rFonts w:ascii="Times New Roman" w:eastAsia="Cambria" w:hAnsi="Times New Roman"/>
          <w:lang w:eastAsia="ja-JP"/>
        </w:rPr>
        <w:footnoteReference w:id="552"/>
      </w:r>
      <w:r w:rsidRPr="00B8367F">
        <w:rPr>
          <w:rFonts w:ascii="Times New Roman" w:eastAsia="Cambria" w:hAnsi="Times New Roman"/>
          <w:lang w:eastAsia="ja-JP"/>
        </w:rPr>
        <w:t xml:space="preserve"> One of the desires of parties in conflict resolution is the desire to be heard.</w:t>
      </w:r>
      <w:r>
        <w:rPr>
          <w:rFonts w:ascii="Times New Roman" w:eastAsia="Cambria" w:hAnsi="Times New Roman"/>
          <w:lang w:eastAsia="ja-JP"/>
        </w:rPr>
        <w:t xml:space="preserve"> </w:t>
      </w:r>
      <w:r w:rsidRPr="00B8367F">
        <w:rPr>
          <w:rFonts w:ascii="Times New Roman" w:eastAsia="Cambria" w:hAnsi="Times New Roman"/>
          <w:lang w:eastAsia="ja-JP"/>
        </w:rPr>
        <w:t xml:space="preserve">Their voice could </w:t>
      </w:r>
      <w:r w:rsidR="003C58DC">
        <w:rPr>
          <w:rFonts w:ascii="Times New Roman" w:eastAsia="Cambria" w:hAnsi="Times New Roman"/>
          <w:lang w:eastAsia="ja-JP"/>
        </w:rPr>
        <w:t>amplify</w:t>
      </w:r>
      <w:r w:rsidRPr="00B8367F">
        <w:rPr>
          <w:rFonts w:ascii="Times New Roman" w:eastAsia="Cambria" w:hAnsi="Times New Roman"/>
          <w:lang w:eastAsia="ja-JP"/>
        </w:rPr>
        <w:t xml:space="preserve"> their opinions, concerns and needs to the court.</w:t>
      </w:r>
      <w:r w:rsidR="00876FE7">
        <w:rPr>
          <w:rFonts w:ascii="Times New Roman" w:eastAsia="Cambria" w:hAnsi="Times New Roman"/>
          <w:lang w:eastAsia="ja-JP"/>
        </w:rPr>
        <w:t xml:space="preserve"> The role</w:t>
      </w:r>
      <w:r w:rsidR="003C58DC">
        <w:rPr>
          <w:rFonts w:ascii="Times New Roman" w:eastAsia="Cambria" w:hAnsi="Times New Roman"/>
          <w:lang w:eastAsia="ja-JP"/>
        </w:rPr>
        <w:t xml:space="preserve"> of the victim impact statements</w:t>
      </w:r>
      <w:r w:rsidR="00876FE7">
        <w:rPr>
          <w:rFonts w:ascii="Times New Roman" w:eastAsia="Cambria" w:hAnsi="Times New Roman"/>
          <w:lang w:eastAsia="ja-JP"/>
        </w:rPr>
        <w:t xml:space="preserve"> as the voice for victims shall be discussed in chapter four. </w:t>
      </w:r>
    </w:p>
    <w:p w14:paraId="449B2D31" w14:textId="0144C807" w:rsidR="00937C53" w:rsidRDefault="00937C53" w:rsidP="00937C53">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 xml:space="preserve">Haslam and </w:t>
      </w:r>
      <w:proofErr w:type="spellStart"/>
      <w:r w:rsidRPr="006E622A">
        <w:rPr>
          <w:rFonts w:ascii="Times New Roman" w:eastAsia="Cambria" w:hAnsi="Times New Roman"/>
          <w:szCs w:val="24"/>
          <w:lang w:eastAsia="ja-JP"/>
        </w:rPr>
        <w:t>Dembour</w:t>
      </w:r>
      <w:proofErr w:type="spellEnd"/>
      <w:r w:rsidRPr="006E622A">
        <w:rPr>
          <w:rFonts w:ascii="Times New Roman" w:eastAsia="Cambria" w:hAnsi="Times New Roman"/>
          <w:szCs w:val="24"/>
          <w:lang w:eastAsia="ja-JP"/>
        </w:rPr>
        <w:t xml:space="preserve"> posit that victim-witnesses were  ‘</w:t>
      </w:r>
      <w:r w:rsidRPr="006E622A">
        <w:rPr>
          <w:rFonts w:ascii="Times New Roman" w:eastAsia="Cambria" w:hAnsi="Times New Roman"/>
          <w:i/>
          <w:szCs w:val="24"/>
          <w:lang w:eastAsia="ja-JP"/>
        </w:rPr>
        <w:t>effectively silenced’</w:t>
      </w:r>
      <w:r w:rsidRPr="006E622A">
        <w:rPr>
          <w:rFonts w:ascii="Times New Roman" w:eastAsia="Cambria" w:hAnsi="Times New Roman"/>
          <w:szCs w:val="24"/>
          <w:lang w:eastAsia="ja-JP"/>
        </w:rPr>
        <w:t xml:space="preserve"> during the  Krstic proceedings at the ICTY.</w:t>
      </w:r>
      <w:r w:rsidRPr="006E622A">
        <w:rPr>
          <w:rFonts w:ascii="Times New Roman" w:eastAsia="Cambria" w:hAnsi="Times New Roman"/>
          <w:szCs w:val="24"/>
          <w:vertAlign w:val="superscript"/>
          <w:lang w:eastAsia="ja-JP"/>
        </w:rPr>
        <w:footnoteReference w:id="553"/>
      </w:r>
      <w:r w:rsidRPr="006E622A">
        <w:rPr>
          <w:rFonts w:ascii="Times New Roman" w:eastAsia="Cambria" w:hAnsi="Times New Roman"/>
          <w:szCs w:val="24"/>
          <w:lang w:eastAsia="ja-JP"/>
        </w:rPr>
        <w:t xml:space="preserve"> </w:t>
      </w:r>
      <w:r w:rsidR="008F35A8">
        <w:rPr>
          <w:rFonts w:ascii="Times New Roman" w:eastAsia="Cambria" w:hAnsi="Times New Roman"/>
          <w:szCs w:val="24"/>
          <w:lang w:eastAsia="ja-JP"/>
        </w:rPr>
        <w:t xml:space="preserve">A consequent of </w:t>
      </w:r>
      <w:r w:rsidRPr="006E622A">
        <w:rPr>
          <w:rFonts w:ascii="Times New Roman" w:eastAsia="Cambria" w:hAnsi="Times New Roman"/>
          <w:szCs w:val="24"/>
          <w:lang w:eastAsia="ja-JP"/>
        </w:rPr>
        <w:t xml:space="preserve">the demands of the legal process on </w:t>
      </w:r>
      <w:r w:rsidRPr="006E622A">
        <w:rPr>
          <w:rFonts w:ascii="Times New Roman" w:eastAsia="Cambria" w:hAnsi="Times New Roman"/>
          <w:szCs w:val="24"/>
          <w:lang w:eastAsia="ja-JP"/>
        </w:rPr>
        <w:lastRenderedPageBreak/>
        <w:t>the victim-witnesses.</w:t>
      </w:r>
      <w:r w:rsidRPr="006E622A">
        <w:rPr>
          <w:rFonts w:ascii="Times New Roman" w:eastAsia="Cambria" w:hAnsi="Times New Roman"/>
          <w:szCs w:val="24"/>
          <w:vertAlign w:val="superscript"/>
          <w:lang w:eastAsia="ja-JP"/>
        </w:rPr>
        <w:footnoteReference w:id="554"/>
      </w:r>
      <w:r w:rsidR="008F35A8">
        <w:rPr>
          <w:rFonts w:ascii="Times New Roman" w:eastAsia="Cambria" w:hAnsi="Times New Roman"/>
          <w:szCs w:val="24"/>
          <w:lang w:eastAsia="ja-JP"/>
        </w:rPr>
        <w:t>As such, the ICTY  could not</w:t>
      </w:r>
      <w:r w:rsidRPr="006E622A">
        <w:rPr>
          <w:rFonts w:ascii="Times New Roman" w:eastAsia="Cambria" w:hAnsi="Times New Roman"/>
          <w:szCs w:val="24"/>
          <w:lang w:eastAsia="ja-JP"/>
        </w:rPr>
        <w:t xml:space="preserve"> meet the</w:t>
      </w:r>
      <w:r w:rsidR="005B181C">
        <w:rPr>
          <w:rFonts w:ascii="Times New Roman" w:eastAsia="Cambria" w:hAnsi="Times New Roman"/>
          <w:szCs w:val="24"/>
          <w:lang w:eastAsia="ja-JP"/>
        </w:rPr>
        <w:t>se victim-witnesses' need</w:t>
      </w:r>
      <w:r w:rsidRPr="006E622A">
        <w:rPr>
          <w:rFonts w:ascii="Times New Roman" w:eastAsia="Cambria" w:hAnsi="Times New Roman"/>
          <w:szCs w:val="24"/>
          <w:lang w:eastAsia="ja-JP"/>
        </w:rPr>
        <w:t>s because they had to act primarily as witnesses, without giving them the platform to tell their stories.</w:t>
      </w:r>
      <w:r w:rsidR="00327669">
        <w:rPr>
          <w:rFonts w:ascii="Times New Roman" w:eastAsia="Cambria" w:hAnsi="Times New Roman"/>
          <w:szCs w:val="24"/>
          <w:lang w:eastAsia="ja-JP"/>
        </w:rPr>
        <w:t xml:space="preserve"> The victims’ voices could not be heard during the trial process.</w:t>
      </w:r>
      <w:r w:rsidR="00327669" w:rsidRPr="006E622A">
        <w:rPr>
          <w:rFonts w:ascii="Times New Roman" w:eastAsia="Cambria" w:hAnsi="Times New Roman"/>
          <w:szCs w:val="24"/>
          <w:lang w:eastAsia="ja-JP"/>
        </w:rPr>
        <w:t xml:space="preserve"> </w:t>
      </w:r>
      <w:r w:rsidR="00327669">
        <w:rPr>
          <w:rFonts w:ascii="Times New Roman" w:eastAsia="Cambria" w:hAnsi="Times New Roman"/>
          <w:szCs w:val="24"/>
          <w:lang w:eastAsia="ja-JP"/>
        </w:rPr>
        <w:t>The victims appeared as witnesses, not in their capacity as victims.</w:t>
      </w:r>
    </w:p>
    <w:p w14:paraId="10218014" w14:textId="77777777" w:rsidR="00327669" w:rsidRPr="006E622A" w:rsidRDefault="00327669" w:rsidP="00937C53">
      <w:pPr>
        <w:spacing w:after="0" w:line="480" w:lineRule="auto"/>
        <w:jc w:val="both"/>
        <w:rPr>
          <w:rFonts w:ascii="Times New Roman" w:eastAsia="Cambria" w:hAnsi="Times New Roman"/>
          <w:szCs w:val="24"/>
          <w:lang w:eastAsia="ja-JP"/>
        </w:rPr>
      </w:pPr>
    </w:p>
    <w:p w14:paraId="703B397B" w14:textId="6434F97E" w:rsidR="00937C53" w:rsidRPr="00B11D20" w:rsidRDefault="00937C53" w:rsidP="00B11D20">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In the ICC, the LRVs are the voice of the victims. These LRVs make opening and closing statements, as well as observations.</w:t>
      </w:r>
      <w:r w:rsidR="00B11D20">
        <w:rPr>
          <w:rFonts w:ascii="Times New Roman" w:eastAsia="Cambria" w:hAnsi="Times New Roman"/>
          <w:szCs w:val="24"/>
          <w:lang w:eastAsia="ja-JP"/>
        </w:rPr>
        <w:t xml:space="preserve"> Due to practical constraints,</w:t>
      </w:r>
      <w:r w:rsidRPr="006E622A">
        <w:rPr>
          <w:rFonts w:ascii="Times New Roman" w:eastAsia="Cambria" w:hAnsi="Times New Roman"/>
          <w:szCs w:val="24"/>
          <w:lang w:eastAsia="ja-JP"/>
        </w:rPr>
        <w:t xml:space="preserve"> </w:t>
      </w:r>
      <w:r w:rsidR="00B11D20">
        <w:rPr>
          <w:rFonts w:ascii="Times New Roman" w:eastAsia="Cambria" w:hAnsi="Times New Roman"/>
          <w:szCs w:val="24"/>
          <w:lang w:eastAsia="ja-JP"/>
        </w:rPr>
        <w:t xml:space="preserve"> LRVs make submissions and move motions on behalf of victims. </w:t>
      </w:r>
      <w:r w:rsidRPr="006E622A">
        <w:rPr>
          <w:rFonts w:ascii="Times New Roman" w:eastAsia="Cambria" w:hAnsi="Times New Roman"/>
          <w:szCs w:val="24"/>
          <w:lang w:eastAsia="ja-JP"/>
        </w:rPr>
        <w:t>In a study conducted by UC Berkel</w:t>
      </w:r>
      <w:r>
        <w:rPr>
          <w:rFonts w:ascii="Times New Roman" w:eastAsia="Cambria" w:hAnsi="Times New Roman"/>
          <w:szCs w:val="24"/>
          <w:lang w:eastAsia="ja-JP"/>
        </w:rPr>
        <w:t>e</w:t>
      </w:r>
      <w:r w:rsidRPr="006E622A">
        <w:rPr>
          <w:rFonts w:ascii="Times New Roman" w:eastAsia="Cambria" w:hAnsi="Times New Roman"/>
          <w:szCs w:val="24"/>
          <w:lang w:eastAsia="ja-JP"/>
        </w:rPr>
        <w:t>y,</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a majority of victims reported that they had a voice in the ICC during the pre</w:t>
      </w:r>
      <w:r>
        <w:rPr>
          <w:rFonts w:ascii="Times New Roman" w:eastAsia="Cambria" w:hAnsi="Times New Roman"/>
          <w:szCs w:val="24"/>
          <w:lang w:eastAsia="ja-JP"/>
        </w:rPr>
        <w:t>-</w:t>
      </w:r>
      <w:r w:rsidRPr="006E622A">
        <w:rPr>
          <w:rFonts w:ascii="Times New Roman" w:eastAsia="Cambria" w:hAnsi="Times New Roman"/>
          <w:szCs w:val="24"/>
          <w:lang w:eastAsia="ja-JP"/>
        </w:rPr>
        <w:t>trial stage.</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These victims’ answers were supported by the previous encounter they had with Court staff.</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It demonstrates that they knew the court, especially the awareness that the Court renders assistance for victims who have suffered harm.</w:t>
      </w:r>
      <w:r w:rsidRPr="006E622A">
        <w:rPr>
          <w:rFonts w:ascii="Times New Roman" w:eastAsia="Cambria" w:hAnsi="Times New Roman"/>
          <w:szCs w:val="24"/>
          <w:vertAlign w:val="superscript"/>
          <w:lang w:eastAsia="ja-JP"/>
        </w:rPr>
        <w:footnoteReference w:id="555"/>
      </w:r>
      <w:r w:rsidRPr="006E622A">
        <w:rPr>
          <w:rFonts w:ascii="Times New Roman" w:eastAsia="Cambria" w:hAnsi="Times New Roman"/>
          <w:szCs w:val="24"/>
          <w:lang w:eastAsia="ja-JP"/>
        </w:rPr>
        <w:t>Some victims opine</w:t>
      </w:r>
      <w:r w:rsidR="005D1C44">
        <w:rPr>
          <w:rFonts w:ascii="Times New Roman" w:eastAsia="Cambria" w:hAnsi="Times New Roman"/>
          <w:szCs w:val="24"/>
          <w:lang w:eastAsia="ja-JP"/>
        </w:rPr>
        <w:t>d</w:t>
      </w:r>
      <w:r w:rsidRPr="006E622A">
        <w:rPr>
          <w:rFonts w:ascii="Times New Roman" w:eastAsia="Cambria" w:hAnsi="Times New Roman"/>
          <w:szCs w:val="24"/>
          <w:lang w:eastAsia="ja-JP"/>
        </w:rPr>
        <w:t xml:space="preserve"> that the submission of individual applications was an indication that their views were known at the court.</w:t>
      </w:r>
      <w:r w:rsidRPr="006E622A">
        <w:rPr>
          <w:rFonts w:ascii="Times New Roman" w:eastAsia="Cambria" w:hAnsi="Times New Roman"/>
          <w:szCs w:val="24"/>
          <w:vertAlign w:val="superscript"/>
          <w:lang w:eastAsia="ja-JP"/>
        </w:rPr>
        <w:footnoteReference w:id="556"/>
      </w:r>
      <w:r w:rsidRPr="006E622A">
        <w:rPr>
          <w:rFonts w:ascii="Times New Roman" w:eastAsia="Cambria" w:hAnsi="Times New Roman"/>
          <w:szCs w:val="24"/>
          <w:lang w:eastAsia="ja-JP"/>
        </w:rPr>
        <w:t xml:space="preserve">While this is commendable, it is noteworthy that </w:t>
      </w:r>
      <w:r w:rsidR="005B181C">
        <w:rPr>
          <w:rFonts w:ascii="Times New Roman" w:eastAsia="Cambria" w:hAnsi="Times New Roman"/>
          <w:szCs w:val="24"/>
          <w:lang w:eastAsia="ja-JP"/>
        </w:rPr>
        <w:t>applications' submission</w:t>
      </w:r>
      <w:r w:rsidRPr="006E622A">
        <w:rPr>
          <w:rFonts w:ascii="Times New Roman" w:eastAsia="Cambria" w:hAnsi="Times New Roman"/>
          <w:szCs w:val="24"/>
          <w:lang w:eastAsia="ja-JP"/>
        </w:rPr>
        <w:t xml:space="preserve"> is not an automatic qualification for hearing their voices.</w:t>
      </w:r>
      <w:r w:rsidR="00B11D20">
        <w:rPr>
          <w:rFonts w:ascii="Times New Roman" w:eastAsia="Cambria" w:hAnsi="Times New Roman"/>
          <w:szCs w:val="24"/>
          <w:lang w:eastAsia="ja-JP"/>
        </w:rPr>
        <w:t xml:space="preserve"> </w:t>
      </w:r>
      <w:r w:rsidRPr="006E622A">
        <w:rPr>
          <w:rFonts w:ascii="Times New Roman" w:eastAsia="Cambria" w:hAnsi="Times New Roman"/>
          <w:szCs w:val="24"/>
          <w:lang w:eastAsia="ja-JP"/>
        </w:rPr>
        <w:t>It is at best described as recognition of their suffering</w:t>
      </w:r>
      <w:r w:rsidR="00E32928">
        <w:rPr>
          <w:rFonts w:ascii="Times New Roman" w:eastAsia="Cambria" w:hAnsi="Times New Roman"/>
          <w:szCs w:val="24"/>
          <w:lang w:eastAsia="ja-JP"/>
        </w:rPr>
        <w:t>,</w:t>
      </w:r>
      <w:r w:rsidRPr="006E622A">
        <w:rPr>
          <w:rFonts w:ascii="Times New Roman" w:eastAsia="Cambria" w:hAnsi="Times New Roman"/>
          <w:szCs w:val="24"/>
          <w:lang w:eastAsia="ja-JP"/>
        </w:rPr>
        <w:t xml:space="preserve"> but</w:t>
      </w:r>
      <w:r w:rsidR="00B11D20">
        <w:rPr>
          <w:rFonts w:ascii="Times New Roman" w:eastAsia="Cambria" w:hAnsi="Times New Roman"/>
          <w:szCs w:val="24"/>
          <w:lang w:eastAsia="ja-JP"/>
        </w:rPr>
        <w:t>,</w:t>
      </w:r>
      <w:r w:rsidRPr="006E622A">
        <w:rPr>
          <w:rFonts w:ascii="Times New Roman" w:eastAsia="Cambria" w:hAnsi="Times New Roman"/>
          <w:szCs w:val="24"/>
          <w:lang w:eastAsia="ja-JP"/>
        </w:rPr>
        <w:t xml:space="preserve"> this is subject to conditions set out in Rule 85. It is important to enlighten the victims about this in order to prevent giving them unreasonable expectations.</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Additionally, the follow-</w:t>
      </w:r>
      <w:r w:rsidRPr="003F461A">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up </w:t>
      </w:r>
      <w:r w:rsidR="00B11D20">
        <w:rPr>
          <w:rFonts w:ascii="Times New Roman" w:eastAsia="Cambria" w:hAnsi="Times New Roman"/>
          <w:szCs w:val="24"/>
          <w:lang w:eastAsia="ja-JP"/>
        </w:rPr>
        <w:t xml:space="preserve">communications and feedback will keep them updated about the </w:t>
      </w:r>
      <w:r w:rsidR="005B181C">
        <w:rPr>
          <w:rFonts w:ascii="Times New Roman" w:eastAsia="Cambria" w:hAnsi="Times New Roman"/>
          <w:szCs w:val="24"/>
          <w:lang w:eastAsia="ja-JP"/>
        </w:rPr>
        <w:t>court's activities</w:t>
      </w:r>
      <w:r w:rsidR="00B11D20">
        <w:rPr>
          <w:rFonts w:ascii="Times New Roman" w:eastAsia="Cambria" w:hAnsi="Times New Roman"/>
          <w:szCs w:val="24"/>
          <w:lang w:eastAsia="ja-JP"/>
        </w:rPr>
        <w:t>.</w:t>
      </w:r>
    </w:p>
    <w:p w14:paraId="2B19290F" w14:textId="77777777" w:rsidR="00937C53" w:rsidRPr="00B8367F" w:rsidRDefault="00937C53" w:rsidP="00937C53">
      <w:pPr>
        <w:spacing w:after="0" w:line="240" w:lineRule="auto"/>
        <w:jc w:val="both"/>
        <w:rPr>
          <w:rFonts w:ascii="Times New Roman" w:eastAsia="Cambria" w:hAnsi="Times New Roman"/>
          <w:szCs w:val="24"/>
          <w:lang w:eastAsia="ja-JP"/>
        </w:rPr>
      </w:pPr>
    </w:p>
    <w:p w14:paraId="7F48E436" w14:textId="77777777" w:rsidR="00937C53" w:rsidRPr="00B11D20" w:rsidRDefault="00937C53" w:rsidP="00B11D20">
      <w:pPr>
        <w:spacing w:after="0" w:line="480" w:lineRule="auto"/>
        <w:jc w:val="both"/>
        <w:rPr>
          <w:rFonts w:ascii="Times New Roman" w:eastAsia="Cambria" w:hAnsi="Times New Roman"/>
          <w:szCs w:val="24"/>
          <w:lang w:eastAsia="ja-JP"/>
        </w:rPr>
      </w:pPr>
      <w:r w:rsidRPr="00B11D20">
        <w:rPr>
          <w:rFonts w:ascii="Times New Roman" w:eastAsia="Cambria" w:hAnsi="Times New Roman"/>
          <w:szCs w:val="24"/>
          <w:lang w:eastAsia="ja-JP"/>
        </w:rPr>
        <w:lastRenderedPageBreak/>
        <w:t>The section below describes ‘respect’ for victims as an important aspect of fairness.</w:t>
      </w:r>
      <w:r w:rsidR="00E32928">
        <w:rPr>
          <w:rFonts w:ascii="Times New Roman" w:eastAsia="Cambria" w:hAnsi="Times New Roman"/>
          <w:szCs w:val="24"/>
          <w:lang w:eastAsia="ja-JP"/>
        </w:rPr>
        <w:t xml:space="preserve"> </w:t>
      </w:r>
      <w:r w:rsidR="0089747A">
        <w:rPr>
          <w:rFonts w:ascii="Times New Roman" w:eastAsia="Cambria" w:hAnsi="Times New Roman"/>
          <w:szCs w:val="24"/>
          <w:lang w:eastAsia="ja-JP"/>
        </w:rPr>
        <w:t xml:space="preserve">A discussion on respect for victims </w:t>
      </w:r>
      <w:r w:rsidR="00B11D20">
        <w:rPr>
          <w:rFonts w:ascii="Times New Roman" w:eastAsia="Cambria" w:hAnsi="Times New Roman"/>
          <w:szCs w:val="24"/>
          <w:lang w:eastAsia="ja-JP"/>
        </w:rPr>
        <w:t>will further our understanding of the treat</w:t>
      </w:r>
      <w:r w:rsidRPr="00B11D20">
        <w:rPr>
          <w:rFonts w:ascii="Times New Roman" w:eastAsia="Cambria" w:hAnsi="Times New Roman"/>
          <w:szCs w:val="24"/>
          <w:lang w:eastAsia="ja-JP"/>
        </w:rPr>
        <w:t>ment of victims.</w:t>
      </w:r>
    </w:p>
    <w:p w14:paraId="2A67DB90" w14:textId="77777777" w:rsidR="00937C53" w:rsidRPr="00B11D20" w:rsidRDefault="00937C53" w:rsidP="00B11D20">
      <w:pPr>
        <w:spacing w:after="0" w:line="480" w:lineRule="auto"/>
        <w:jc w:val="both"/>
        <w:rPr>
          <w:rFonts w:ascii="Times New Roman" w:eastAsia="Cambria" w:hAnsi="Times New Roman"/>
          <w:szCs w:val="24"/>
          <w:lang w:eastAsia="ja-JP"/>
        </w:rPr>
      </w:pPr>
    </w:p>
    <w:p w14:paraId="6D5EE52C" w14:textId="50534E45" w:rsidR="00587AC5" w:rsidRPr="00BA1EFB" w:rsidRDefault="005B12CD" w:rsidP="00A44B61">
      <w:pPr>
        <w:pStyle w:val="Heading3"/>
      </w:pPr>
      <w:r>
        <w:t>3.</w:t>
      </w:r>
      <w:r w:rsidR="00CA05F5">
        <w:t>3</w:t>
      </w:r>
      <w:r>
        <w:t>.2</w:t>
      </w:r>
      <w:r w:rsidR="00937C53" w:rsidRPr="00BA1EFB">
        <w:rPr>
          <w:i/>
        </w:rPr>
        <w:t xml:space="preserve"> </w:t>
      </w:r>
      <w:r w:rsidR="00B11D20" w:rsidRPr="00BA1EFB">
        <w:t>The signific</w:t>
      </w:r>
      <w:r w:rsidR="00937C53" w:rsidRPr="00BA1EFB">
        <w:t>ance of Respect</w:t>
      </w:r>
    </w:p>
    <w:p w14:paraId="6C8ABC39" w14:textId="77777777" w:rsidR="00587AC5" w:rsidRDefault="00587AC5" w:rsidP="00214DD5">
      <w:pPr>
        <w:spacing w:after="0" w:line="480" w:lineRule="auto"/>
        <w:jc w:val="center"/>
        <w:rPr>
          <w:rFonts w:ascii="Times New Roman" w:eastAsia="Cambria" w:hAnsi="Times New Roman"/>
          <w:szCs w:val="24"/>
          <w:lang w:eastAsia="ja-JP"/>
        </w:rPr>
      </w:pPr>
      <w:r w:rsidRPr="00E32928">
        <w:rPr>
          <w:rStyle w:val="QuoteChar"/>
          <w:rFonts w:ascii="Times New Roman" w:eastAsia="Cambria" w:hAnsi="Times New Roman"/>
          <w:i w:val="0"/>
        </w:rPr>
        <w:t>“participation” had been defined as “having a say, being listened to, or being treated with dignity and respect</w:t>
      </w:r>
      <w:r>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557"/>
      </w:r>
    </w:p>
    <w:p w14:paraId="2163BEA3" w14:textId="77777777" w:rsidR="00C25F15" w:rsidRDefault="00C25F15" w:rsidP="00B11D20">
      <w:pPr>
        <w:spacing w:after="0" w:line="480" w:lineRule="auto"/>
        <w:jc w:val="both"/>
        <w:rPr>
          <w:rFonts w:ascii="Times New Roman" w:eastAsia="Cambria" w:hAnsi="Times New Roman"/>
          <w:szCs w:val="24"/>
          <w:lang w:eastAsia="ja-JP"/>
        </w:rPr>
      </w:pPr>
    </w:p>
    <w:p w14:paraId="66ABAD3C" w14:textId="567DA930" w:rsidR="00646EB9" w:rsidRDefault="00937C53" w:rsidP="00B11D20">
      <w:pPr>
        <w:spacing w:after="0" w:line="480" w:lineRule="auto"/>
        <w:jc w:val="both"/>
        <w:rPr>
          <w:rFonts w:ascii="Times New Roman" w:eastAsia="Cambria" w:hAnsi="Times New Roman"/>
          <w:szCs w:val="24"/>
          <w:lang w:eastAsia="ja-JP"/>
        </w:rPr>
      </w:pPr>
      <w:r w:rsidRPr="00B11D20">
        <w:rPr>
          <w:rFonts w:ascii="Times New Roman" w:eastAsia="Cambria" w:hAnsi="Times New Roman"/>
          <w:szCs w:val="24"/>
          <w:lang w:eastAsia="ja-JP"/>
        </w:rPr>
        <w:t>Respect is another important criteria for assessing how</w:t>
      </w:r>
      <w:r w:rsidR="00E914D6">
        <w:rPr>
          <w:rFonts w:ascii="Times New Roman" w:eastAsia="Cambria" w:hAnsi="Times New Roman"/>
          <w:szCs w:val="24"/>
          <w:lang w:eastAsia="ja-JP"/>
        </w:rPr>
        <w:t xml:space="preserve"> victims are being treated. The rationale behind respect</w:t>
      </w:r>
      <w:r w:rsidRPr="00B11D20">
        <w:rPr>
          <w:rFonts w:ascii="Times New Roman" w:eastAsia="Cambria" w:hAnsi="Times New Roman"/>
          <w:szCs w:val="24"/>
          <w:lang w:eastAsia="ja-JP"/>
        </w:rPr>
        <w:t xml:space="preserve"> emphasises that victims are </w:t>
      </w:r>
      <w:r w:rsidR="00E32928">
        <w:rPr>
          <w:rFonts w:ascii="Times New Roman" w:eastAsia="Cambria" w:hAnsi="Times New Roman"/>
          <w:szCs w:val="24"/>
          <w:lang w:eastAsia="ja-JP"/>
        </w:rPr>
        <w:t>essential</w:t>
      </w:r>
      <w:r w:rsidRPr="00B11D20">
        <w:rPr>
          <w:rFonts w:ascii="Times New Roman" w:eastAsia="Cambria" w:hAnsi="Times New Roman"/>
          <w:szCs w:val="24"/>
          <w:lang w:eastAsia="ja-JP"/>
        </w:rPr>
        <w:t xml:space="preserve"> and valuable in the system. It may also reinforce their inclusion within the rights and protection offered by the law.</w:t>
      </w:r>
      <w:r w:rsidRPr="00B11D20">
        <w:rPr>
          <w:rFonts w:ascii="Times New Roman" w:eastAsia="Cambria" w:hAnsi="Times New Roman"/>
          <w:szCs w:val="24"/>
          <w:vertAlign w:val="superscript"/>
          <w:lang w:eastAsia="ja-JP"/>
        </w:rPr>
        <w:footnoteReference w:id="558"/>
      </w:r>
      <w:r w:rsidRPr="00B11D20">
        <w:rPr>
          <w:rFonts w:ascii="Times New Roman" w:eastAsia="Cambria" w:hAnsi="Times New Roman"/>
          <w:szCs w:val="24"/>
          <w:lang w:eastAsia="ja-JP"/>
        </w:rPr>
        <w:t xml:space="preserve">Respect for the victims is </w:t>
      </w:r>
      <w:r w:rsidR="00E32928">
        <w:rPr>
          <w:rFonts w:ascii="Times New Roman" w:eastAsia="Cambria" w:hAnsi="Times New Roman"/>
          <w:szCs w:val="24"/>
          <w:lang w:eastAsia="ja-JP"/>
        </w:rPr>
        <w:t>vital</w:t>
      </w:r>
      <w:r w:rsidRPr="00B11D20">
        <w:rPr>
          <w:rFonts w:ascii="Times New Roman" w:eastAsia="Cambria" w:hAnsi="Times New Roman"/>
          <w:szCs w:val="24"/>
          <w:lang w:eastAsia="ja-JP"/>
        </w:rPr>
        <w:t xml:space="preserve"> at all stages, from the police officers to the parties and the judges.</w:t>
      </w:r>
      <w:r w:rsidR="00497582">
        <w:rPr>
          <w:rStyle w:val="FootnoteReference"/>
          <w:rFonts w:ascii="Times New Roman" w:eastAsia="Cambria" w:hAnsi="Times New Roman"/>
          <w:szCs w:val="24"/>
          <w:lang w:eastAsia="ja-JP"/>
        </w:rPr>
        <w:footnoteReference w:id="559"/>
      </w:r>
      <w:r w:rsidRPr="00B11D20">
        <w:rPr>
          <w:rFonts w:ascii="Times New Roman" w:eastAsia="Cambria" w:hAnsi="Times New Roman"/>
          <w:szCs w:val="24"/>
          <w:lang w:eastAsia="ja-JP"/>
        </w:rPr>
        <w:t xml:space="preserve"> It involves treating victims with politeness.</w:t>
      </w:r>
      <w:r w:rsidR="00E32928">
        <w:rPr>
          <w:rFonts w:ascii="Times New Roman" w:eastAsia="Cambria" w:hAnsi="Times New Roman"/>
          <w:szCs w:val="24"/>
          <w:lang w:eastAsia="ja-JP"/>
        </w:rPr>
        <w:t xml:space="preserve"> </w:t>
      </w:r>
      <w:r w:rsidRPr="00B11D20">
        <w:rPr>
          <w:rFonts w:ascii="Times New Roman" w:eastAsia="Cambria" w:hAnsi="Times New Roman"/>
          <w:szCs w:val="24"/>
          <w:lang w:eastAsia="ja-JP"/>
        </w:rPr>
        <w:t>For example, providing victims with</w:t>
      </w:r>
      <w:r w:rsidR="002C0D22">
        <w:rPr>
          <w:rFonts w:ascii="Times New Roman" w:eastAsia="Cambria" w:hAnsi="Times New Roman"/>
          <w:szCs w:val="24"/>
          <w:lang w:eastAsia="ja-JP"/>
        </w:rPr>
        <w:t xml:space="preserve"> updates</w:t>
      </w:r>
      <w:r w:rsidR="000346AA">
        <w:rPr>
          <w:rFonts w:ascii="Times New Roman" w:eastAsia="Cambria" w:hAnsi="Times New Roman"/>
          <w:szCs w:val="24"/>
          <w:lang w:eastAsia="ja-JP"/>
        </w:rPr>
        <w:t xml:space="preserve"> and feedback </w:t>
      </w:r>
      <w:r w:rsidRPr="00B11D20">
        <w:rPr>
          <w:rFonts w:ascii="Times New Roman" w:eastAsia="Cambria" w:hAnsi="Times New Roman"/>
          <w:szCs w:val="24"/>
          <w:lang w:eastAsia="ja-JP"/>
        </w:rPr>
        <w:t xml:space="preserve">about </w:t>
      </w:r>
      <w:r w:rsidR="000346AA">
        <w:rPr>
          <w:rFonts w:ascii="Times New Roman" w:eastAsia="Cambria" w:hAnsi="Times New Roman"/>
          <w:szCs w:val="24"/>
          <w:lang w:eastAsia="ja-JP"/>
        </w:rPr>
        <w:t xml:space="preserve">the court activities and their protection </w:t>
      </w:r>
      <w:r w:rsidRPr="00B11D20">
        <w:rPr>
          <w:rFonts w:ascii="Times New Roman" w:eastAsia="Cambria" w:hAnsi="Times New Roman"/>
          <w:szCs w:val="24"/>
          <w:lang w:eastAsia="ja-JP"/>
        </w:rPr>
        <w:t>denotes that they are carried along.</w:t>
      </w:r>
      <w:r w:rsidR="00E914D6">
        <w:rPr>
          <w:rFonts w:ascii="Times New Roman" w:eastAsia="Cambria" w:hAnsi="Times New Roman"/>
          <w:szCs w:val="24"/>
          <w:lang w:eastAsia="ja-JP"/>
        </w:rPr>
        <w:t xml:space="preserve"> </w:t>
      </w:r>
      <w:r w:rsidRPr="00B11D20">
        <w:rPr>
          <w:rFonts w:ascii="Times New Roman" w:eastAsia="Cambria" w:hAnsi="Times New Roman"/>
          <w:szCs w:val="24"/>
          <w:lang w:eastAsia="ja-JP"/>
        </w:rPr>
        <w:t>It is believed that respect may also encompass</w:t>
      </w:r>
      <w:r w:rsidR="005B181C">
        <w:rPr>
          <w:rFonts w:ascii="Times New Roman" w:eastAsia="Cambria" w:hAnsi="Times New Roman"/>
          <w:szCs w:val="24"/>
          <w:lang w:eastAsia="ja-JP"/>
        </w:rPr>
        <w:t xml:space="preserve"> the dignity</w:t>
      </w:r>
      <w:r w:rsidRPr="00B11D20">
        <w:rPr>
          <w:rFonts w:ascii="Times New Roman" w:eastAsia="Cambria" w:hAnsi="Times New Roman"/>
          <w:szCs w:val="24"/>
          <w:lang w:eastAsia="ja-JP"/>
        </w:rPr>
        <w:t xml:space="preserve"> a human person</w:t>
      </w:r>
      <w:r w:rsidR="0038016A">
        <w:rPr>
          <w:rFonts w:ascii="Times New Roman" w:eastAsia="Cambria" w:hAnsi="Times New Roman"/>
          <w:szCs w:val="24"/>
          <w:lang w:eastAsia="ja-JP"/>
        </w:rPr>
        <w:t xml:space="preserve">; </w:t>
      </w:r>
      <w:r w:rsidRPr="00B11D20">
        <w:rPr>
          <w:rFonts w:ascii="Times New Roman" w:eastAsia="Cambria" w:hAnsi="Times New Roman"/>
          <w:szCs w:val="24"/>
          <w:lang w:eastAsia="ja-JP"/>
        </w:rPr>
        <w:t>The dignity of a human person is the underlying factor of most human rights documents.</w:t>
      </w:r>
      <w:r w:rsidR="00497582">
        <w:rPr>
          <w:rStyle w:val="FootnoteReference"/>
          <w:rFonts w:ascii="Times New Roman" w:eastAsia="Cambria" w:hAnsi="Times New Roman"/>
          <w:szCs w:val="24"/>
          <w:lang w:eastAsia="ja-JP"/>
        </w:rPr>
        <w:footnoteReference w:id="560"/>
      </w:r>
      <w:r w:rsidRPr="00B11D20">
        <w:rPr>
          <w:rFonts w:ascii="Times New Roman" w:eastAsia="Cambria" w:hAnsi="Times New Roman"/>
          <w:szCs w:val="24"/>
          <w:lang w:eastAsia="ja-JP"/>
        </w:rPr>
        <w:t xml:space="preserve"> Therefore, as stated in the preamble, victims </w:t>
      </w:r>
      <w:r w:rsidRPr="00B11D20">
        <w:rPr>
          <w:rFonts w:ascii="Times New Roman" w:eastAsia="Cambria" w:hAnsi="Times New Roman"/>
          <w:szCs w:val="24"/>
          <w:lang w:eastAsia="ja-JP"/>
        </w:rPr>
        <w:lastRenderedPageBreak/>
        <w:t>should be treated with compassion and respect for their dignity.</w:t>
      </w:r>
      <w:r w:rsidRPr="00B11D20">
        <w:rPr>
          <w:rFonts w:ascii="Times New Roman" w:eastAsia="Cambria" w:hAnsi="Times New Roman"/>
          <w:szCs w:val="24"/>
          <w:vertAlign w:val="superscript"/>
          <w:lang w:eastAsia="ja-JP"/>
        </w:rPr>
        <w:footnoteReference w:id="561"/>
      </w:r>
      <w:r w:rsidRPr="00B11D20">
        <w:rPr>
          <w:rFonts w:ascii="Times New Roman" w:eastAsia="Cambria" w:hAnsi="Times New Roman"/>
          <w:szCs w:val="24"/>
          <w:lang w:eastAsia="ja-JP"/>
        </w:rPr>
        <w:t>This may be the rationale behind the argument for victims’ rights as entitlements, based on the fact that it entitles them to access justice.</w:t>
      </w:r>
      <w:r w:rsidR="00497582">
        <w:rPr>
          <w:rFonts w:ascii="Times New Roman" w:eastAsia="Cambria" w:hAnsi="Times New Roman"/>
          <w:szCs w:val="24"/>
          <w:lang w:eastAsia="ja-JP"/>
        </w:rPr>
        <w:t xml:space="preserve"> A generally accepted definition of </w:t>
      </w:r>
      <w:r w:rsidRPr="00B11D20">
        <w:rPr>
          <w:rFonts w:ascii="Times New Roman" w:eastAsia="Cambria" w:hAnsi="Times New Roman"/>
          <w:szCs w:val="24"/>
          <w:lang w:eastAsia="ja-JP"/>
        </w:rPr>
        <w:t xml:space="preserve"> Dignity </w:t>
      </w:r>
      <w:r w:rsidR="008228BE">
        <w:rPr>
          <w:rFonts w:ascii="Times New Roman" w:eastAsia="Cambria" w:hAnsi="Times New Roman"/>
          <w:szCs w:val="24"/>
          <w:lang w:eastAsia="ja-JP"/>
        </w:rPr>
        <w:t>lacks</w:t>
      </w:r>
      <w:r w:rsidR="00497582">
        <w:rPr>
          <w:rFonts w:ascii="Times New Roman" w:eastAsia="Cambria" w:hAnsi="Times New Roman"/>
          <w:szCs w:val="24"/>
          <w:lang w:eastAsia="ja-JP"/>
        </w:rPr>
        <w:t xml:space="preserve"> in academia and international instruments. The term ‘dignity’ embodies </w:t>
      </w:r>
      <w:r w:rsidR="005B181C">
        <w:rPr>
          <w:rFonts w:ascii="Times New Roman" w:eastAsia="Cambria" w:hAnsi="Times New Roman"/>
          <w:szCs w:val="24"/>
          <w:lang w:eastAsia="ja-JP"/>
        </w:rPr>
        <w:t>many concepts that include</w:t>
      </w:r>
      <w:r w:rsidR="003D5BA5">
        <w:rPr>
          <w:rFonts w:ascii="Times New Roman" w:eastAsia="Cambria" w:hAnsi="Times New Roman"/>
          <w:szCs w:val="24"/>
          <w:lang w:eastAsia="ja-JP"/>
        </w:rPr>
        <w:t xml:space="preserve"> the </w:t>
      </w:r>
      <w:r w:rsidR="00497582">
        <w:rPr>
          <w:rFonts w:ascii="Times New Roman" w:eastAsia="Cambria" w:hAnsi="Times New Roman"/>
          <w:szCs w:val="24"/>
          <w:lang w:eastAsia="ja-JP"/>
        </w:rPr>
        <w:t>‘</w:t>
      </w:r>
      <w:r w:rsidRPr="00B11D20">
        <w:rPr>
          <w:rFonts w:ascii="Times New Roman" w:eastAsia="Cambria" w:hAnsi="Times New Roman"/>
          <w:szCs w:val="24"/>
          <w:lang w:eastAsia="ja-JP"/>
        </w:rPr>
        <w:t>quality of being worthy of honour or respect.’</w:t>
      </w:r>
      <w:r w:rsidRPr="00B11D20">
        <w:rPr>
          <w:rFonts w:ascii="Times New Roman" w:eastAsia="Cambria" w:hAnsi="Times New Roman"/>
          <w:szCs w:val="24"/>
          <w:vertAlign w:val="superscript"/>
          <w:lang w:eastAsia="ja-JP"/>
        </w:rPr>
        <w:footnoteReference w:id="562"/>
      </w:r>
      <w:r w:rsidR="003D5BA5">
        <w:rPr>
          <w:rFonts w:ascii="Times New Roman" w:eastAsia="Cambria" w:hAnsi="Times New Roman"/>
          <w:szCs w:val="24"/>
          <w:lang w:eastAsia="ja-JP"/>
        </w:rPr>
        <w:t xml:space="preserve">  </w:t>
      </w:r>
      <w:r w:rsidR="00497582">
        <w:rPr>
          <w:rFonts w:ascii="Times New Roman" w:eastAsia="Cambria" w:hAnsi="Times New Roman"/>
          <w:szCs w:val="24"/>
          <w:lang w:eastAsia="ja-JP"/>
        </w:rPr>
        <w:t>Para.2 of the Preamble of the United Nations Charter stipulates: “reaffirm faith in fundamental human rights, the dignity and worth of the human person”</w:t>
      </w:r>
      <w:r w:rsidR="00646EB9">
        <w:rPr>
          <w:rFonts w:ascii="Times New Roman" w:eastAsia="Cambria" w:hAnsi="Times New Roman"/>
          <w:szCs w:val="24"/>
          <w:lang w:eastAsia="ja-JP"/>
        </w:rPr>
        <w:t xml:space="preserve"> </w:t>
      </w:r>
      <w:r w:rsidR="00497582">
        <w:rPr>
          <w:rFonts w:ascii="Times New Roman" w:eastAsia="Cambria" w:hAnsi="Times New Roman"/>
          <w:szCs w:val="24"/>
          <w:lang w:eastAsia="ja-JP"/>
        </w:rPr>
        <w:t>Th</w:t>
      </w:r>
      <w:r w:rsidR="00646EB9">
        <w:rPr>
          <w:rFonts w:ascii="Times New Roman" w:eastAsia="Cambria" w:hAnsi="Times New Roman"/>
          <w:szCs w:val="24"/>
          <w:lang w:eastAsia="ja-JP"/>
        </w:rPr>
        <w:t>e</w:t>
      </w:r>
      <w:r w:rsidR="00497582">
        <w:rPr>
          <w:rFonts w:ascii="Times New Roman" w:eastAsia="Cambria" w:hAnsi="Times New Roman"/>
          <w:szCs w:val="24"/>
          <w:lang w:eastAsia="ja-JP"/>
        </w:rPr>
        <w:t xml:space="preserve"> excerpt reiterates the</w:t>
      </w:r>
      <w:r w:rsidR="003D5BA5">
        <w:rPr>
          <w:rFonts w:ascii="Times New Roman" w:eastAsia="Cambria" w:hAnsi="Times New Roman"/>
          <w:szCs w:val="24"/>
          <w:lang w:eastAsia="ja-JP"/>
        </w:rPr>
        <w:t xml:space="preserve"> threshold for treatment of human.</w:t>
      </w:r>
      <w:r w:rsidR="00646EB9">
        <w:rPr>
          <w:rFonts w:ascii="Times New Roman" w:eastAsia="Cambria" w:hAnsi="Times New Roman"/>
          <w:szCs w:val="24"/>
          <w:lang w:eastAsia="ja-JP"/>
        </w:rPr>
        <w:t xml:space="preserve"> A connection between fundamental human rights and the dignity of the human person.</w:t>
      </w:r>
      <w:r w:rsidR="00497582">
        <w:rPr>
          <w:rFonts w:ascii="Times New Roman" w:eastAsia="Cambria" w:hAnsi="Times New Roman"/>
          <w:szCs w:val="24"/>
          <w:lang w:eastAsia="ja-JP"/>
        </w:rPr>
        <w:t xml:space="preserve"> </w:t>
      </w:r>
    </w:p>
    <w:p w14:paraId="3626F0E2" w14:textId="77777777" w:rsidR="00646EB9" w:rsidRDefault="00646EB9" w:rsidP="00B11D20">
      <w:pPr>
        <w:spacing w:after="0" w:line="480" w:lineRule="auto"/>
        <w:jc w:val="both"/>
        <w:rPr>
          <w:rFonts w:ascii="Times New Roman" w:eastAsia="Cambria" w:hAnsi="Times New Roman"/>
          <w:szCs w:val="24"/>
          <w:lang w:eastAsia="ja-JP"/>
        </w:rPr>
      </w:pPr>
    </w:p>
    <w:p w14:paraId="7218315A" w14:textId="5A1D7D26" w:rsidR="0038016A" w:rsidRDefault="00937C53" w:rsidP="00B11D20">
      <w:pPr>
        <w:spacing w:after="0" w:line="480" w:lineRule="auto"/>
        <w:jc w:val="both"/>
        <w:rPr>
          <w:rFonts w:ascii="Times New Roman" w:eastAsia="Cambria" w:hAnsi="Times New Roman"/>
          <w:szCs w:val="24"/>
          <w:lang w:eastAsia="ja-JP"/>
        </w:rPr>
      </w:pPr>
      <w:r w:rsidRPr="00B11D20">
        <w:rPr>
          <w:rFonts w:ascii="Times New Roman" w:eastAsia="Cambria" w:hAnsi="Times New Roman"/>
          <w:szCs w:val="24"/>
          <w:lang w:eastAsia="ja-JP"/>
        </w:rPr>
        <w:t>Respect here is classified under dignity as a ‘</w:t>
      </w:r>
      <w:r w:rsidRPr="00B11D20">
        <w:rPr>
          <w:rFonts w:ascii="Times New Roman" w:eastAsia="Cambria" w:hAnsi="Times New Roman"/>
          <w:i/>
          <w:szCs w:val="24"/>
          <w:lang w:eastAsia="ja-JP"/>
        </w:rPr>
        <w:t>minimum core’;</w:t>
      </w:r>
      <w:r w:rsidRPr="00B11D20">
        <w:rPr>
          <w:rFonts w:ascii="Times New Roman" w:eastAsia="Cambria" w:hAnsi="Times New Roman"/>
          <w:szCs w:val="24"/>
          <w:lang w:eastAsia="ja-JP"/>
        </w:rPr>
        <w:t xml:space="preserve"> this emphasis</w:t>
      </w:r>
      <w:r w:rsidR="005B181C">
        <w:rPr>
          <w:rFonts w:ascii="Times New Roman" w:eastAsia="Cambria" w:hAnsi="Times New Roman"/>
          <w:szCs w:val="24"/>
          <w:lang w:eastAsia="ja-JP"/>
        </w:rPr>
        <w:t>es that each individual possesse</w:t>
      </w:r>
      <w:r w:rsidRPr="00B11D20">
        <w:rPr>
          <w:rFonts w:ascii="Times New Roman" w:eastAsia="Cambria" w:hAnsi="Times New Roman"/>
          <w:szCs w:val="24"/>
          <w:lang w:eastAsia="ja-JP"/>
        </w:rPr>
        <w:t>s intrinsic worth.</w:t>
      </w:r>
      <w:r w:rsidRPr="00B11D20">
        <w:rPr>
          <w:rFonts w:ascii="Times New Roman" w:eastAsia="Cambria" w:hAnsi="Times New Roman"/>
          <w:szCs w:val="24"/>
          <w:vertAlign w:val="superscript"/>
          <w:lang w:eastAsia="ja-JP"/>
        </w:rPr>
        <w:footnoteReference w:id="563"/>
      </w:r>
      <w:r w:rsidR="00E914D6">
        <w:rPr>
          <w:rFonts w:ascii="Times New Roman" w:eastAsia="Cambria" w:hAnsi="Times New Roman"/>
          <w:szCs w:val="24"/>
          <w:lang w:eastAsia="ja-JP"/>
        </w:rPr>
        <w:t xml:space="preserve"> T</w:t>
      </w:r>
      <w:r w:rsidRPr="00B11D20">
        <w:rPr>
          <w:rFonts w:ascii="Times New Roman" w:eastAsia="Cambria" w:hAnsi="Times New Roman"/>
          <w:szCs w:val="24"/>
          <w:lang w:eastAsia="ja-JP"/>
        </w:rPr>
        <w:t>he ‘use of dignity’ as a tool of judicial interpretation highlights the intrinsic value to humans.</w:t>
      </w:r>
      <w:r w:rsidRPr="00B11D20">
        <w:rPr>
          <w:rFonts w:ascii="Times New Roman" w:eastAsia="Cambria" w:hAnsi="Times New Roman"/>
          <w:szCs w:val="24"/>
          <w:vertAlign w:val="superscript"/>
          <w:lang w:eastAsia="ja-JP"/>
        </w:rPr>
        <w:footnoteReference w:id="564"/>
      </w:r>
      <w:r w:rsidRPr="00B11D20">
        <w:rPr>
          <w:rFonts w:ascii="Times New Roman" w:eastAsia="Cambria" w:hAnsi="Times New Roman"/>
          <w:szCs w:val="24"/>
          <w:lang w:eastAsia="ja-JP"/>
        </w:rPr>
        <w:t xml:space="preserve"> It has commonly been assumed that this transcends dignity as</w:t>
      </w:r>
      <w:r w:rsidR="00E914D6">
        <w:rPr>
          <w:rFonts w:ascii="Times New Roman" w:eastAsia="Cambria" w:hAnsi="Times New Roman"/>
          <w:szCs w:val="24"/>
          <w:lang w:eastAsia="ja-JP"/>
        </w:rPr>
        <w:t xml:space="preserve"> a substantive right.</w:t>
      </w:r>
      <w:r w:rsidR="00FF14BF">
        <w:rPr>
          <w:rFonts w:ascii="Times New Roman" w:eastAsia="Cambria" w:hAnsi="Times New Roman"/>
          <w:szCs w:val="24"/>
          <w:lang w:eastAsia="ja-JP"/>
        </w:rPr>
        <w:t xml:space="preserve"> </w:t>
      </w:r>
      <w:r w:rsidR="00E914D6">
        <w:rPr>
          <w:rFonts w:ascii="Times New Roman" w:eastAsia="Cambria" w:hAnsi="Times New Roman"/>
          <w:szCs w:val="24"/>
          <w:lang w:eastAsia="ja-JP"/>
        </w:rPr>
        <w:t>The argument</w:t>
      </w:r>
      <w:r w:rsidRPr="00B11D20">
        <w:rPr>
          <w:rFonts w:ascii="Times New Roman" w:eastAsia="Cambria" w:hAnsi="Times New Roman"/>
          <w:szCs w:val="24"/>
          <w:lang w:eastAsia="ja-JP"/>
        </w:rPr>
        <w:t xml:space="preserve"> finds support from </w:t>
      </w:r>
      <w:r w:rsidR="003C58DC">
        <w:rPr>
          <w:rFonts w:ascii="Times New Roman" w:eastAsia="Cambria" w:hAnsi="Times New Roman"/>
          <w:szCs w:val="24"/>
          <w:lang w:eastAsia="ja-JP"/>
        </w:rPr>
        <w:t>human rights' foundational aspiration</w:t>
      </w:r>
      <w:r w:rsidRPr="00B11D20">
        <w:rPr>
          <w:rFonts w:ascii="Times New Roman" w:eastAsia="Cambria" w:hAnsi="Times New Roman"/>
          <w:szCs w:val="24"/>
          <w:lang w:eastAsia="ja-JP"/>
        </w:rPr>
        <w:t>s, amongst others are equality, justice</w:t>
      </w:r>
      <w:r w:rsidR="005B181C">
        <w:rPr>
          <w:rFonts w:ascii="Times New Roman" w:eastAsia="Cambria" w:hAnsi="Times New Roman"/>
          <w:szCs w:val="24"/>
          <w:lang w:eastAsia="ja-JP"/>
        </w:rPr>
        <w:t>, and peace. If victims’ rights are seen as entitlements, then</w:t>
      </w:r>
      <w:r w:rsidRPr="00B11D20">
        <w:rPr>
          <w:rFonts w:ascii="Times New Roman" w:eastAsia="Cambria" w:hAnsi="Times New Roman"/>
          <w:szCs w:val="24"/>
          <w:lang w:eastAsia="ja-JP"/>
        </w:rPr>
        <w:t xml:space="preserve"> the</w:t>
      </w:r>
      <w:r w:rsidRPr="006E622A">
        <w:rPr>
          <w:rFonts w:ascii="Times New Roman" w:eastAsia="Cambria" w:hAnsi="Times New Roman"/>
          <w:szCs w:val="24"/>
          <w:lang w:eastAsia="ja-JP"/>
        </w:rPr>
        <w:t xml:space="preserve"> foundations from which human rights emerged from must be incorporated in the application for victims.</w:t>
      </w:r>
      <w:r w:rsidR="0038016A">
        <w:rPr>
          <w:rFonts w:ascii="Times New Roman" w:eastAsia="Cambria" w:hAnsi="Times New Roman"/>
          <w:szCs w:val="24"/>
          <w:lang w:eastAsia="ja-JP"/>
        </w:rPr>
        <w:t xml:space="preserve"> Dignity is a </w:t>
      </w:r>
      <w:r w:rsidR="0038016A">
        <w:rPr>
          <w:rFonts w:ascii="Times New Roman" w:eastAsia="Cambria" w:hAnsi="Times New Roman"/>
          <w:szCs w:val="24"/>
          <w:lang w:eastAsia="ja-JP"/>
        </w:rPr>
        <w:lastRenderedPageBreak/>
        <w:t>fundamental aspect of respect for the victim because it is considered to protect their identity and individuality. Therefore, respect should be seen as the source of victims’ rights rather than a substantive right on its own. It is seen as a foundation for rights as entitlements</w:t>
      </w:r>
      <w:r w:rsidR="003D5BA5">
        <w:rPr>
          <w:rFonts w:ascii="Times New Roman" w:eastAsia="Cambria" w:hAnsi="Times New Roman"/>
          <w:szCs w:val="24"/>
          <w:lang w:eastAsia="ja-JP"/>
        </w:rPr>
        <w:t>-value.</w:t>
      </w:r>
    </w:p>
    <w:p w14:paraId="03584F2C" w14:textId="77777777" w:rsidR="00646EB9" w:rsidRDefault="00646EB9" w:rsidP="00E914D6">
      <w:pPr>
        <w:spacing w:after="0" w:line="480" w:lineRule="auto"/>
        <w:jc w:val="both"/>
        <w:rPr>
          <w:rFonts w:ascii="Times New Roman" w:eastAsia="Cambria" w:hAnsi="Times New Roman"/>
          <w:szCs w:val="24"/>
          <w:lang w:eastAsia="ja-JP"/>
        </w:rPr>
      </w:pPr>
    </w:p>
    <w:p w14:paraId="4CC25E58" w14:textId="3BB75583" w:rsidR="007C637B" w:rsidRDefault="00937C53" w:rsidP="00E914D6">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Moreover, some victims opine that more communication and su</w:t>
      </w:r>
      <w:r w:rsidR="00E914D6">
        <w:rPr>
          <w:rFonts w:ascii="Times New Roman" w:eastAsia="Cambria" w:hAnsi="Times New Roman"/>
          <w:szCs w:val="24"/>
          <w:lang w:eastAsia="ja-JP"/>
        </w:rPr>
        <w:t>pport from the authorities make</w:t>
      </w:r>
      <w:r w:rsidRPr="006E622A">
        <w:rPr>
          <w:rFonts w:ascii="Times New Roman" w:eastAsia="Cambria" w:hAnsi="Times New Roman"/>
          <w:szCs w:val="24"/>
          <w:lang w:eastAsia="ja-JP"/>
        </w:rPr>
        <w:t xml:space="preserve"> them feel truly respected.</w:t>
      </w:r>
      <w:r w:rsidRPr="006E622A">
        <w:rPr>
          <w:rFonts w:ascii="Times New Roman" w:eastAsia="Cambria" w:hAnsi="Times New Roman"/>
          <w:szCs w:val="24"/>
          <w:vertAlign w:val="superscript"/>
          <w:lang w:eastAsia="ja-JP"/>
        </w:rPr>
        <w:footnoteReference w:id="565"/>
      </w:r>
      <w:r w:rsidRPr="006E622A">
        <w:rPr>
          <w:rFonts w:ascii="Times New Roman" w:eastAsia="Cambria" w:hAnsi="Times New Roman"/>
          <w:szCs w:val="24"/>
          <w:lang w:eastAsia="ja-JP"/>
        </w:rPr>
        <w:t xml:space="preserve"> Acknowledgement of their suffering and face-to-face meetings are also indicators of respect. Assistance and ‘</w:t>
      </w:r>
      <w:r w:rsidRPr="006E622A">
        <w:rPr>
          <w:rFonts w:ascii="Times New Roman" w:eastAsia="Cambria" w:hAnsi="Times New Roman"/>
          <w:i/>
          <w:szCs w:val="24"/>
          <w:lang w:eastAsia="ja-JP"/>
        </w:rPr>
        <w:t>continuous programs</w:t>
      </w:r>
      <w:r w:rsidRPr="006E622A">
        <w:rPr>
          <w:rFonts w:ascii="Times New Roman" w:eastAsia="Cambria" w:hAnsi="Times New Roman"/>
          <w:szCs w:val="24"/>
          <w:lang w:eastAsia="ja-JP"/>
        </w:rPr>
        <w:t>’ with multiple visits are considered as treating them with respect.’</w:t>
      </w:r>
      <w:r w:rsidRPr="006E622A">
        <w:rPr>
          <w:rFonts w:ascii="Times New Roman" w:eastAsia="Cambria" w:hAnsi="Times New Roman"/>
          <w:szCs w:val="24"/>
          <w:vertAlign w:val="superscript"/>
          <w:lang w:eastAsia="ja-JP"/>
        </w:rPr>
        <w:footnoteReference w:id="566"/>
      </w:r>
      <w:r w:rsidRPr="006E622A">
        <w:rPr>
          <w:rFonts w:ascii="Times New Roman" w:eastAsia="Cambria" w:hAnsi="Times New Roman"/>
          <w:szCs w:val="24"/>
          <w:lang w:eastAsia="ja-JP"/>
        </w:rPr>
        <w:t>Infrequent visits’ could mean they are not treated with respect.</w:t>
      </w:r>
    </w:p>
    <w:p w14:paraId="57AA3E91" w14:textId="77777777" w:rsidR="007C637B" w:rsidRDefault="007C637B" w:rsidP="00E914D6">
      <w:pPr>
        <w:spacing w:after="0" w:line="480" w:lineRule="auto"/>
        <w:jc w:val="both"/>
        <w:rPr>
          <w:rFonts w:ascii="Times New Roman" w:eastAsia="Cambria" w:hAnsi="Times New Roman"/>
          <w:szCs w:val="24"/>
          <w:lang w:eastAsia="ja-JP"/>
        </w:rPr>
      </w:pPr>
    </w:p>
    <w:p w14:paraId="27309A97" w14:textId="483ABF0D" w:rsidR="00970469" w:rsidRDefault="00937C53" w:rsidP="000904DB">
      <w:pPr>
        <w:spacing w:after="0" w:line="480" w:lineRule="auto"/>
        <w:jc w:val="both"/>
        <w:rPr>
          <w:rFonts w:ascii="Times New Roman" w:eastAsia="Cambria" w:hAnsi="Times New Roman"/>
          <w:szCs w:val="24"/>
          <w:lang w:eastAsia="ja-JP"/>
        </w:rPr>
      </w:pPr>
      <w:r w:rsidRPr="00E914D6">
        <w:rPr>
          <w:rFonts w:ascii="Times New Roman" w:eastAsia="Cambria" w:hAnsi="Times New Roman"/>
          <w:szCs w:val="24"/>
          <w:lang w:eastAsia="ja-JP"/>
        </w:rPr>
        <w:t>From the above, it is clear that dignity and respect are intertwined.</w:t>
      </w:r>
      <w:r w:rsidR="00E32928">
        <w:rPr>
          <w:rFonts w:ascii="Times New Roman" w:eastAsia="Cambria" w:hAnsi="Times New Roman"/>
          <w:szCs w:val="24"/>
          <w:lang w:eastAsia="ja-JP"/>
        </w:rPr>
        <w:t xml:space="preserve"> </w:t>
      </w:r>
      <w:r w:rsidRPr="00E914D6">
        <w:rPr>
          <w:rFonts w:ascii="Times New Roman" w:eastAsia="Cambria" w:hAnsi="Times New Roman"/>
          <w:szCs w:val="24"/>
          <w:lang w:eastAsia="ja-JP"/>
        </w:rPr>
        <w:t>Having discussed respect as a criteri</w:t>
      </w:r>
      <w:r w:rsidR="00E32928">
        <w:rPr>
          <w:rFonts w:ascii="Times New Roman" w:eastAsia="Cambria" w:hAnsi="Times New Roman"/>
          <w:szCs w:val="24"/>
          <w:lang w:eastAsia="ja-JP"/>
        </w:rPr>
        <w:t>on</w:t>
      </w:r>
      <w:r w:rsidRPr="00E914D6">
        <w:rPr>
          <w:rFonts w:ascii="Times New Roman" w:eastAsia="Cambria" w:hAnsi="Times New Roman"/>
          <w:szCs w:val="24"/>
          <w:lang w:eastAsia="ja-JP"/>
        </w:rPr>
        <w:t xml:space="preserve"> of procedural justice, the next section shall </w:t>
      </w:r>
      <w:r w:rsidR="00613AA0">
        <w:rPr>
          <w:rFonts w:ascii="Times New Roman" w:eastAsia="Cambria" w:hAnsi="Times New Roman"/>
          <w:szCs w:val="24"/>
          <w:lang w:eastAsia="ja-JP"/>
        </w:rPr>
        <w:t xml:space="preserve">analyse the </w:t>
      </w:r>
      <w:r w:rsidR="005B181C">
        <w:rPr>
          <w:rFonts w:ascii="Times New Roman" w:eastAsia="Cambria" w:hAnsi="Times New Roman"/>
          <w:szCs w:val="24"/>
          <w:lang w:eastAsia="ja-JP"/>
        </w:rPr>
        <w:t>ICC's criminal system procedure</w:t>
      </w:r>
      <w:r w:rsidR="00613AA0">
        <w:rPr>
          <w:rFonts w:ascii="Times New Roman" w:eastAsia="Cambria" w:hAnsi="Times New Roman"/>
          <w:szCs w:val="24"/>
          <w:lang w:eastAsia="ja-JP"/>
        </w:rPr>
        <w:t xml:space="preserve"> to lay </w:t>
      </w:r>
      <w:r w:rsidR="00E32928">
        <w:rPr>
          <w:rFonts w:ascii="Times New Roman" w:eastAsia="Cambria" w:hAnsi="Times New Roman"/>
          <w:szCs w:val="24"/>
          <w:lang w:eastAsia="ja-JP"/>
        </w:rPr>
        <w:t xml:space="preserve">a </w:t>
      </w:r>
      <w:r w:rsidR="00613AA0">
        <w:rPr>
          <w:rFonts w:ascii="Times New Roman" w:eastAsia="Cambria" w:hAnsi="Times New Roman"/>
          <w:szCs w:val="24"/>
          <w:lang w:eastAsia="ja-JP"/>
        </w:rPr>
        <w:t>foundation for the context of the trial process.</w:t>
      </w:r>
    </w:p>
    <w:p w14:paraId="2D5D5641" w14:textId="77777777" w:rsidR="000904DB" w:rsidRPr="000904DB" w:rsidRDefault="000904DB" w:rsidP="000904DB">
      <w:pPr>
        <w:spacing w:after="0" w:line="480" w:lineRule="auto"/>
        <w:jc w:val="both"/>
        <w:rPr>
          <w:rFonts w:ascii="Times New Roman" w:eastAsia="Cambria" w:hAnsi="Times New Roman"/>
          <w:szCs w:val="24"/>
          <w:lang w:eastAsia="ja-JP"/>
        </w:rPr>
      </w:pPr>
    </w:p>
    <w:p w14:paraId="47C97ECA" w14:textId="384974D9" w:rsidR="006E622A" w:rsidRPr="006E622A" w:rsidRDefault="00D84FB2" w:rsidP="005D5E10">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Fu</w:t>
      </w:r>
      <w:r w:rsidR="00FF14BF">
        <w:rPr>
          <w:rFonts w:ascii="Times New Roman" w:eastAsia="Cambria" w:hAnsi="Times New Roman"/>
          <w:szCs w:val="24"/>
          <w:lang w:eastAsia="ja-JP"/>
        </w:rPr>
        <w:t>r</w:t>
      </w:r>
      <w:r>
        <w:rPr>
          <w:rFonts w:ascii="Times New Roman" w:eastAsia="Cambria" w:hAnsi="Times New Roman"/>
          <w:szCs w:val="24"/>
          <w:lang w:eastAsia="ja-JP"/>
        </w:rPr>
        <w:t>thermore, it is worth</w:t>
      </w:r>
      <w:r w:rsidR="00CF5550">
        <w:rPr>
          <w:rFonts w:ascii="Times New Roman" w:eastAsia="Cambria" w:hAnsi="Times New Roman"/>
          <w:szCs w:val="24"/>
          <w:lang w:eastAsia="ja-JP"/>
        </w:rPr>
        <w:t xml:space="preserve"> </w:t>
      </w:r>
      <w:r>
        <w:rPr>
          <w:rFonts w:ascii="Times New Roman" w:eastAsia="Cambria" w:hAnsi="Times New Roman"/>
          <w:szCs w:val="24"/>
          <w:lang w:eastAsia="ja-JP"/>
        </w:rPr>
        <w:t>noting that recent</w:t>
      </w:r>
      <w:r w:rsidR="00E50EA6">
        <w:rPr>
          <w:rFonts w:ascii="Times New Roman" w:eastAsia="Cambria" w:hAnsi="Times New Roman"/>
          <w:szCs w:val="24"/>
          <w:lang w:eastAsia="ja-JP"/>
        </w:rPr>
        <w:t xml:space="preserve"> d</w:t>
      </w:r>
      <w:r w:rsidR="006E622A" w:rsidRPr="006E622A">
        <w:rPr>
          <w:rFonts w:ascii="Times New Roman" w:eastAsia="Cambria" w:hAnsi="Times New Roman"/>
          <w:szCs w:val="24"/>
          <w:lang w:eastAsia="ja-JP"/>
        </w:rPr>
        <w:t>evelopment</w:t>
      </w:r>
      <w:r>
        <w:rPr>
          <w:rFonts w:ascii="Times New Roman" w:eastAsia="Cambria" w:hAnsi="Times New Roman"/>
          <w:szCs w:val="24"/>
          <w:lang w:eastAsia="ja-JP"/>
        </w:rPr>
        <w:t>s</w:t>
      </w:r>
      <w:r w:rsidR="006E622A" w:rsidRPr="006E622A">
        <w:rPr>
          <w:rFonts w:ascii="Times New Roman" w:eastAsia="Cambria" w:hAnsi="Times New Roman"/>
          <w:szCs w:val="24"/>
          <w:lang w:eastAsia="ja-JP"/>
        </w:rPr>
        <w:t xml:space="preserve"> within criminological theory</w:t>
      </w:r>
      <w:r>
        <w:rPr>
          <w:rFonts w:ascii="Times New Roman" w:eastAsia="Cambria" w:hAnsi="Times New Roman"/>
          <w:szCs w:val="24"/>
          <w:lang w:eastAsia="ja-JP"/>
        </w:rPr>
        <w:t xml:space="preserve"> have</w:t>
      </w:r>
      <w:r w:rsidR="006E622A" w:rsidRPr="006E622A">
        <w:rPr>
          <w:rFonts w:ascii="Times New Roman" w:eastAsia="Cambria" w:hAnsi="Times New Roman"/>
          <w:szCs w:val="24"/>
          <w:lang w:eastAsia="ja-JP"/>
        </w:rPr>
        <w:t xml:space="preserve"> </w:t>
      </w:r>
      <w:r>
        <w:rPr>
          <w:rFonts w:ascii="Times New Roman" w:eastAsia="Cambria" w:hAnsi="Times New Roman"/>
          <w:szCs w:val="24"/>
          <w:lang w:eastAsia="ja-JP"/>
        </w:rPr>
        <w:t xml:space="preserve">also </w:t>
      </w:r>
      <w:r w:rsidR="006E622A" w:rsidRPr="006E622A">
        <w:rPr>
          <w:rFonts w:ascii="Times New Roman" w:eastAsia="Cambria" w:hAnsi="Times New Roman"/>
          <w:szCs w:val="24"/>
          <w:lang w:eastAsia="ja-JP"/>
        </w:rPr>
        <w:t xml:space="preserve">challenged </w:t>
      </w:r>
      <w:r w:rsidR="00CF5550">
        <w:rPr>
          <w:rFonts w:ascii="Times New Roman" w:eastAsia="Cambria" w:hAnsi="Times New Roman"/>
          <w:szCs w:val="24"/>
          <w:lang w:eastAsia="ja-JP"/>
        </w:rPr>
        <w:t xml:space="preserve">the </w:t>
      </w:r>
      <w:r w:rsidR="006E622A" w:rsidRPr="006E622A">
        <w:rPr>
          <w:rFonts w:ascii="Times New Roman" w:eastAsia="Cambria" w:hAnsi="Times New Roman"/>
          <w:szCs w:val="24"/>
          <w:lang w:eastAsia="ja-JP"/>
        </w:rPr>
        <w:t xml:space="preserve">classical criminal justice system and influenced </w:t>
      </w:r>
      <w:r w:rsidR="005B181C">
        <w:rPr>
          <w:rFonts w:ascii="Times New Roman" w:eastAsia="Cambria" w:hAnsi="Times New Roman"/>
          <w:szCs w:val="24"/>
          <w:lang w:eastAsia="ja-JP"/>
        </w:rPr>
        <w:t>victims' role</w:t>
      </w:r>
      <w:r w:rsidR="006E622A" w:rsidRPr="006E622A">
        <w:rPr>
          <w:rFonts w:ascii="Times New Roman" w:eastAsia="Cambria" w:hAnsi="Times New Roman"/>
          <w:szCs w:val="24"/>
          <w:lang w:eastAsia="ja-JP"/>
        </w:rPr>
        <w:t xml:space="preserve"> in criminal proceedings.</w:t>
      </w:r>
      <w:r w:rsidR="006E622A" w:rsidRPr="006E622A">
        <w:rPr>
          <w:rFonts w:ascii="Times New Roman" w:eastAsia="Cambria" w:hAnsi="Times New Roman"/>
          <w:szCs w:val="24"/>
          <w:vertAlign w:val="superscript"/>
          <w:lang w:eastAsia="ja-JP"/>
        </w:rPr>
        <w:footnoteReference w:id="567"/>
      </w:r>
      <w:r w:rsidR="006E622A" w:rsidRPr="006E622A">
        <w:rPr>
          <w:rFonts w:ascii="Times New Roman" w:eastAsia="Cambria" w:hAnsi="Times New Roman"/>
          <w:szCs w:val="24"/>
          <w:lang w:eastAsia="ja-JP"/>
        </w:rPr>
        <w:t xml:space="preserve"> This development in criminological theory proposes a </w:t>
      </w:r>
      <w:r w:rsidR="006E622A" w:rsidRPr="006E622A">
        <w:rPr>
          <w:rFonts w:ascii="Times New Roman" w:eastAsia="Cambria" w:hAnsi="Times New Roman"/>
          <w:szCs w:val="24"/>
          <w:lang w:eastAsia="ja-JP"/>
        </w:rPr>
        <w:lastRenderedPageBreak/>
        <w:t>holistic approach to addressing wrong in criminal justice.</w:t>
      </w:r>
      <w:r w:rsidR="006E622A" w:rsidRPr="006E622A">
        <w:rPr>
          <w:rFonts w:ascii="Times New Roman" w:eastAsia="Cambria" w:hAnsi="Times New Roman"/>
          <w:szCs w:val="24"/>
          <w:vertAlign w:val="superscript"/>
          <w:lang w:eastAsia="ja-JP"/>
        </w:rPr>
        <w:footnoteReference w:id="568"/>
      </w:r>
      <w:r w:rsidR="00E3272A">
        <w:rPr>
          <w:rFonts w:ascii="Times New Roman" w:eastAsia="Cambria" w:hAnsi="Times New Roman"/>
          <w:szCs w:val="24"/>
          <w:lang w:eastAsia="ja-JP"/>
        </w:rPr>
        <w:t>The</w:t>
      </w:r>
      <w:r w:rsidR="006E622A" w:rsidRPr="006E622A">
        <w:rPr>
          <w:rFonts w:ascii="Times New Roman" w:eastAsia="Cambria" w:hAnsi="Times New Roman"/>
          <w:szCs w:val="24"/>
          <w:lang w:eastAsia="ja-JP"/>
        </w:rPr>
        <w:t xml:space="preserve"> holistic approach examines the relationship between the victim, the offender, the society and the criminal justice system.</w:t>
      </w:r>
      <w:r w:rsidR="007D29E0">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This is in contrary to the initial offender centred approach.</w:t>
      </w:r>
    </w:p>
    <w:p w14:paraId="1811DD35" w14:textId="77777777" w:rsidR="009169D9" w:rsidRDefault="009169D9" w:rsidP="005D5E10">
      <w:pPr>
        <w:spacing w:after="0" w:line="480" w:lineRule="auto"/>
        <w:jc w:val="both"/>
        <w:rPr>
          <w:rFonts w:ascii="Times New Roman" w:eastAsia="Cambria" w:hAnsi="Times New Roman"/>
          <w:szCs w:val="24"/>
          <w:lang w:eastAsia="ja-JP"/>
        </w:rPr>
      </w:pPr>
    </w:p>
    <w:p w14:paraId="02B0B806" w14:textId="72DE1A52" w:rsidR="006E622A" w:rsidRDefault="00F15CDA" w:rsidP="00BF2C0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In brief, i</w:t>
      </w:r>
      <w:r w:rsidR="006E622A" w:rsidRPr="006E622A">
        <w:rPr>
          <w:rFonts w:ascii="Times New Roman" w:eastAsia="Cambria" w:hAnsi="Times New Roman"/>
          <w:szCs w:val="24"/>
          <w:lang w:eastAsia="ja-JP"/>
        </w:rPr>
        <w:t>t may be inferred that the ICC aligns itself with the recognition and enforcement of victims’ rights. Nonetheless, this does not mean that it is victim-focused</w:t>
      </w:r>
      <w:r w:rsidR="005B181C">
        <w:rPr>
          <w:rFonts w:ascii="Times New Roman" w:eastAsia="Cambria" w:hAnsi="Times New Roman"/>
          <w:szCs w:val="24"/>
          <w:lang w:eastAsia="ja-JP"/>
        </w:rPr>
        <w:t xml:space="preserve"> or gives victims’ rights primacy over the accused's</w:t>
      </w:r>
      <w:r w:rsidR="006E622A" w:rsidRPr="006E622A">
        <w:rPr>
          <w:rFonts w:ascii="Times New Roman" w:eastAsia="Cambria" w:hAnsi="Times New Roman"/>
          <w:szCs w:val="24"/>
          <w:lang w:eastAsia="ja-JP"/>
        </w:rPr>
        <w:t xml:space="preserve"> rights.</w:t>
      </w:r>
      <w:r>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 xml:space="preserve">There is a possibility that this situation may be improved if the restorative justice values are reconciled with the </w:t>
      </w:r>
      <w:r w:rsidR="005B181C">
        <w:rPr>
          <w:rFonts w:ascii="Times New Roman" w:eastAsia="Cambria" w:hAnsi="Times New Roman"/>
          <w:szCs w:val="24"/>
          <w:lang w:eastAsia="ja-JP"/>
        </w:rPr>
        <w:t>ICC's traditional criminal justice system</w:t>
      </w:r>
      <w:r w:rsidR="006E622A" w:rsidRPr="006E622A">
        <w:rPr>
          <w:rFonts w:ascii="Times New Roman" w:eastAsia="Cambria" w:hAnsi="Times New Roman"/>
          <w:szCs w:val="24"/>
          <w:lang w:eastAsia="ja-JP"/>
        </w:rPr>
        <w:t>.</w:t>
      </w:r>
    </w:p>
    <w:p w14:paraId="50906B36" w14:textId="77777777" w:rsidR="00BF2C0A" w:rsidRDefault="00BF2C0A" w:rsidP="00BF2C0A">
      <w:pPr>
        <w:spacing w:after="0" w:line="480" w:lineRule="auto"/>
        <w:jc w:val="both"/>
        <w:rPr>
          <w:rFonts w:ascii="Times New Roman" w:eastAsia="Cambria" w:hAnsi="Times New Roman"/>
          <w:szCs w:val="24"/>
          <w:lang w:eastAsia="ja-JP"/>
        </w:rPr>
      </w:pPr>
    </w:p>
    <w:p w14:paraId="4F6DD6D4" w14:textId="425721D5" w:rsidR="00937C53" w:rsidRPr="006E622A" w:rsidRDefault="00D269A9" w:rsidP="00BF2C0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What follows is a description of the </w:t>
      </w:r>
      <w:r w:rsidR="00937C53">
        <w:rPr>
          <w:rFonts w:ascii="Times New Roman" w:eastAsia="Cambria" w:hAnsi="Times New Roman"/>
          <w:szCs w:val="24"/>
          <w:lang w:eastAsia="ja-JP"/>
        </w:rPr>
        <w:t xml:space="preserve">rationale behind participation by using the Edwards theory of </w:t>
      </w:r>
      <w:r w:rsidR="005B181C">
        <w:rPr>
          <w:rFonts w:ascii="Times New Roman" w:eastAsia="Cambria" w:hAnsi="Times New Roman"/>
          <w:szCs w:val="24"/>
          <w:lang w:eastAsia="ja-JP"/>
        </w:rPr>
        <w:t>involvement</w:t>
      </w:r>
      <w:r w:rsidR="00937C53">
        <w:rPr>
          <w:rFonts w:ascii="Times New Roman" w:eastAsia="Cambria" w:hAnsi="Times New Roman"/>
          <w:szCs w:val="24"/>
          <w:lang w:eastAsia="ja-JP"/>
        </w:rPr>
        <w:t>.</w:t>
      </w:r>
      <w:r w:rsidR="00E32928">
        <w:rPr>
          <w:rFonts w:ascii="Times New Roman" w:eastAsia="Cambria" w:hAnsi="Times New Roman"/>
          <w:szCs w:val="24"/>
          <w:lang w:eastAsia="ja-JP"/>
        </w:rPr>
        <w:t xml:space="preserve"> </w:t>
      </w:r>
      <w:r>
        <w:rPr>
          <w:rFonts w:ascii="Times New Roman" w:eastAsia="Cambria" w:hAnsi="Times New Roman"/>
          <w:szCs w:val="24"/>
          <w:lang w:eastAsia="ja-JP"/>
        </w:rPr>
        <w:t>I will present a detailed account of the argument for this theory.</w:t>
      </w:r>
    </w:p>
    <w:p w14:paraId="43D75630" w14:textId="77777777" w:rsidR="006E622A" w:rsidRPr="006E622A" w:rsidRDefault="006E622A" w:rsidP="00BF2C0A">
      <w:pPr>
        <w:spacing w:after="0" w:line="480" w:lineRule="auto"/>
        <w:jc w:val="both"/>
        <w:rPr>
          <w:rFonts w:ascii="Times New Roman" w:eastAsia="Cambria" w:hAnsi="Times New Roman"/>
          <w:szCs w:val="24"/>
          <w:lang w:eastAsia="ja-JP"/>
        </w:rPr>
      </w:pPr>
    </w:p>
    <w:p w14:paraId="37123ABE" w14:textId="77777777" w:rsidR="006E622A" w:rsidRPr="006E622A" w:rsidRDefault="006E622A" w:rsidP="006E622A">
      <w:pPr>
        <w:spacing w:after="0" w:line="240" w:lineRule="auto"/>
        <w:jc w:val="both"/>
        <w:rPr>
          <w:rFonts w:ascii="Times New Roman" w:eastAsia="Cambria" w:hAnsi="Times New Roman"/>
          <w:szCs w:val="24"/>
          <w:lang w:eastAsia="ja-JP"/>
        </w:rPr>
      </w:pPr>
    </w:p>
    <w:p w14:paraId="5164538E" w14:textId="664BA9E9" w:rsidR="006E622A" w:rsidRPr="00E32928" w:rsidRDefault="00993B7A" w:rsidP="00A44B61">
      <w:pPr>
        <w:pStyle w:val="Heading3"/>
      </w:pPr>
      <w:r>
        <w:t xml:space="preserve"> </w:t>
      </w:r>
      <w:bookmarkStart w:id="38" w:name="_Toc60235815"/>
      <w:r w:rsidR="007B1EC2" w:rsidRPr="00BA1EFB">
        <w:t>3.3.</w:t>
      </w:r>
      <w:r w:rsidR="006130C1">
        <w:t>3</w:t>
      </w:r>
      <w:r w:rsidR="006E622A" w:rsidRPr="00BA1EFB">
        <w:t xml:space="preserve">  Edwards</w:t>
      </w:r>
      <w:r w:rsidR="00BA1EFB">
        <w:t>’</w:t>
      </w:r>
      <w:r w:rsidR="006E622A" w:rsidRPr="00BA1EFB">
        <w:t xml:space="preserve"> form of participation</w:t>
      </w:r>
      <w:bookmarkEnd w:id="38"/>
      <w:r w:rsidR="006E622A" w:rsidRPr="00BA1EFB">
        <w:t xml:space="preserve"> </w:t>
      </w:r>
    </w:p>
    <w:p w14:paraId="10E641D6" w14:textId="7CA3D29B" w:rsidR="008E48F4" w:rsidRDefault="0004618B" w:rsidP="00755AC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While some w</w:t>
      </w:r>
      <w:r w:rsidR="00E9797F">
        <w:rPr>
          <w:rFonts w:ascii="Times New Roman" w:eastAsia="Cambria" w:hAnsi="Times New Roman"/>
          <w:szCs w:val="24"/>
          <w:lang w:eastAsia="ja-JP"/>
        </w:rPr>
        <w:t>riters have suggested the</w:t>
      </w:r>
      <w:r>
        <w:rPr>
          <w:rFonts w:ascii="Times New Roman" w:eastAsia="Cambria" w:hAnsi="Times New Roman"/>
          <w:szCs w:val="24"/>
          <w:lang w:eastAsia="ja-JP"/>
        </w:rPr>
        <w:t xml:space="preserve"> </w:t>
      </w:r>
      <w:r w:rsidR="00481C1E">
        <w:rPr>
          <w:rFonts w:ascii="Times New Roman" w:eastAsia="Cambria" w:hAnsi="Times New Roman"/>
          <w:szCs w:val="24"/>
          <w:lang w:eastAsia="ja-JP"/>
        </w:rPr>
        <w:t>‘</w:t>
      </w:r>
      <w:r>
        <w:rPr>
          <w:rFonts w:ascii="Times New Roman" w:eastAsia="Cambria" w:hAnsi="Times New Roman"/>
          <w:szCs w:val="24"/>
          <w:lang w:eastAsia="ja-JP"/>
        </w:rPr>
        <w:t>balance approach</w:t>
      </w:r>
      <w:r w:rsidR="00481C1E">
        <w:rPr>
          <w:rFonts w:ascii="Times New Roman" w:eastAsia="Cambria" w:hAnsi="Times New Roman"/>
          <w:szCs w:val="24"/>
          <w:lang w:eastAsia="ja-JP"/>
        </w:rPr>
        <w:t>’</w:t>
      </w:r>
      <w:r w:rsidR="00E9797F">
        <w:rPr>
          <w:rFonts w:ascii="Times New Roman" w:eastAsia="Cambria" w:hAnsi="Times New Roman"/>
          <w:szCs w:val="24"/>
          <w:lang w:eastAsia="ja-JP"/>
        </w:rPr>
        <w:t xml:space="preserve"> as</w:t>
      </w:r>
      <w:r>
        <w:rPr>
          <w:rFonts w:ascii="Times New Roman" w:eastAsia="Cambria" w:hAnsi="Times New Roman"/>
          <w:szCs w:val="24"/>
          <w:lang w:eastAsia="ja-JP"/>
        </w:rPr>
        <w:t xml:space="preserve"> </w:t>
      </w:r>
      <w:r w:rsidR="00E9797F">
        <w:rPr>
          <w:rFonts w:ascii="Times New Roman" w:eastAsia="Cambria" w:hAnsi="Times New Roman"/>
          <w:szCs w:val="24"/>
          <w:lang w:eastAsia="ja-JP"/>
        </w:rPr>
        <w:t>a rationale behind victims’ participation,</w:t>
      </w:r>
      <w:r w:rsidR="001532C5">
        <w:rPr>
          <w:rFonts w:ascii="Times New Roman" w:eastAsia="Cambria" w:hAnsi="Times New Roman"/>
          <w:szCs w:val="24"/>
          <w:lang w:eastAsia="ja-JP"/>
        </w:rPr>
        <w:t xml:space="preserve"> </w:t>
      </w:r>
      <w:r w:rsidR="00A0507E">
        <w:rPr>
          <w:rFonts w:ascii="Times New Roman" w:eastAsia="Cambria" w:hAnsi="Times New Roman"/>
          <w:szCs w:val="24"/>
          <w:lang w:eastAsia="ja-JP"/>
        </w:rPr>
        <w:t>t</w:t>
      </w:r>
      <w:r w:rsidR="000346AA">
        <w:rPr>
          <w:rFonts w:ascii="Times New Roman" w:eastAsia="Cambria" w:hAnsi="Times New Roman"/>
          <w:szCs w:val="24"/>
          <w:lang w:eastAsia="ja-JP"/>
        </w:rPr>
        <w:t>he researcher</w:t>
      </w:r>
      <w:r w:rsidR="00F666C8">
        <w:rPr>
          <w:rFonts w:ascii="Times New Roman" w:eastAsia="Cambria" w:hAnsi="Times New Roman"/>
          <w:szCs w:val="24"/>
          <w:lang w:eastAsia="ja-JP"/>
        </w:rPr>
        <w:t xml:space="preserve"> shall review victims’ involvement in the ICC criminal trial by using the Edwards framework of dispositive and non-dispositive participation.</w:t>
      </w:r>
      <w:r w:rsidR="003A5FDD">
        <w:rPr>
          <w:rFonts w:ascii="Times New Roman" w:eastAsia="Cambria" w:hAnsi="Times New Roman"/>
          <w:szCs w:val="24"/>
          <w:lang w:eastAsia="ja-JP"/>
        </w:rPr>
        <w:t xml:space="preserve"> </w:t>
      </w:r>
      <w:r w:rsidR="00FF14BF">
        <w:rPr>
          <w:rFonts w:ascii="Times New Roman" w:eastAsia="Cambria" w:hAnsi="Times New Roman"/>
          <w:szCs w:val="24"/>
          <w:lang w:eastAsia="ja-JP"/>
        </w:rPr>
        <w:t>The researcher</w:t>
      </w:r>
      <w:r w:rsidR="00F666C8">
        <w:rPr>
          <w:rFonts w:ascii="Times New Roman" w:eastAsia="Cambria" w:hAnsi="Times New Roman"/>
          <w:szCs w:val="24"/>
          <w:lang w:eastAsia="ja-JP"/>
        </w:rPr>
        <w:t xml:space="preserve"> prefer</w:t>
      </w:r>
      <w:r w:rsidR="00FF14BF">
        <w:rPr>
          <w:rFonts w:ascii="Times New Roman" w:eastAsia="Cambria" w:hAnsi="Times New Roman"/>
          <w:szCs w:val="24"/>
          <w:lang w:eastAsia="ja-JP"/>
        </w:rPr>
        <w:t>s</w:t>
      </w:r>
      <w:r w:rsidR="00F666C8">
        <w:rPr>
          <w:rFonts w:ascii="Times New Roman" w:eastAsia="Cambria" w:hAnsi="Times New Roman"/>
          <w:szCs w:val="24"/>
          <w:lang w:eastAsia="ja-JP"/>
        </w:rPr>
        <w:t xml:space="preserve"> </w:t>
      </w:r>
      <w:r w:rsidR="003A5FDD">
        <w:rPr>
          <w:rFonts w:ascii="Times New Roman" w:eastAsia="Cambria" w:hAnsi="Times New Roman"/>
          <w:szCs w:val="24"/>
          <w:lang w:eastAsia="ja-JP"/>
        </w:rPr>
        <w:t xml:space="preserve">to use </w:t>
      </w:r>
      <w:r w:rsidR="00F666C8">
        <w:rPr>
          <w:rFonts w:ascii="Times New Roman" w:eastAsia="Cambria" w:hAnsi="Times New Roman"/>
          <w:szCs w:val="24"/>
          <w:lang w:eastAsia="ja-JP"/>
        </w:rPr>
        <w:t xml:space="preserve">Edwards’ theory because it </w:t>
      </w:r>
      <w:r w:rsidR="00FF14BF">
        <w:rPr>
          <w:rFonts w:ascii="Times New Roman" w:eastAsia="Cambria" w:hAnsi="Times New Roman"/>
          <w:szCs w:val="24"/>
          <w:lang w:eastAsia="ja-JP"/>
        </w:rPr>
        <w:t>analyses</w:t>
      </w:r>
      <w:r w:rsidR="003A5FDD">
        <w:rPr>
          <w:rFonts w:ascii="Times New Roman" w:eastAsia="Cambria" w:hAnsi="Times New Roman"/>
          <w:szCs w:val="24"/>
          <w:lang w:eastAsia="ja-JP"/>
        </w:rPr>
        <w:t xml:space="preserve"> the </w:t>
      </w:r>
      <w:r w:rsidR="003A5FDD">
        <w:rPr>
          <w:rFonts w:ascii="Times New Roman" w:eastAsia="Cambria" w:hAnsi="Times New Roman"/>
          <w:szCs w:val="24"/>
          <w:lang w:eastAsia="ja-JP"/>
        </w:rPr>
        <w:lastRenderedPageBreak/>
        <w:t>relationship betwe</w:t>
      </w:r>
      <w:r w:rsidR="007B1EC2">
        <w:rPr>
          <w:rFonts w:ascii="Times New Roman" w:eastAsia="Cambria" w:hAnsi="Times New Roman"/>
          <w:szCs w:val="24"/>
          <w:lang w:eastAsia="ja-JP"/>
        </w:rPr>
        <w:t>en victims and the decision-makers</w:t>
      </w:r>
      <w:r w:rsidR="00CF5550">
        <w:rPr>
          <w:rFonts w:ascii="Times New Roman" w:eastAsia="Cambria" w:hAnsi="Times New Roman"/>
          <w:szCs w:val="24"/>
          <w:lang w:eastAsia="ja-JP"/>
        </w:rPr>
        <w:t xml:space="preserve"> a</w:t>
      </w:r>
      <w:r w:rsidR="007B1EC2">
        <w:rPr>
          <w:rFonts w:ascii="Times New Roman" w:eastAsia="Cambria" w:hAnsi="Times New Roman"/>
          <w:szCs w:val="24"/>
          <w:lang w:eastAsia="ja-JP"/>
        </w:rPr>
        <w:t>s well as how victims’ participation influences the decision and interests of victims.</w:t>
      </w:r>
      <w:r w:rsidR="00FA0B6A">
        <w:rPr>
          <w:rFonts w:ascii="Times New Roman" w:eastAsia="Cambria" w:hAnsi="Times New Roman"/>
          <w:szCs w:val="24"/>
          <w:lang w:eastAsia="ja-JP"/>
        </w:rPr>
        <w:t xml:space="preserve"> </w:t>
      </w:r>
      <w:r w:rsidR="00655888">
        <w:rPr>
          <w:rFonts w:ascii="Times New Roman" w:eastAsia="Cambria" w:hAnsi="Times New Roman"/>
          <w:szCs w:val="24"/>
          <w:lang w:eastAsia="ja-JP"/>
        </w:rPr>
        <w:t>Victims’ interests could be considered through procedural and su</w:t>
      </w:r>
      <w:r w:rsidR="00FA0B6A">
        <w:rPr>
          <w:rFonts w:ascii="Times New Roman" w:eastAsia="Cambria" w:hAnsi="Times New Roman"/>
          <w:szCs w:val="24"/>
          <w:lang w:eastAsia="ja-JP"/>
        </w:rPr>
        <w:t>bsta</w:t>
      </w:r>
      <w:r w:rsidR="00655888">
        <w:rPr>
          <w:rFonts w:ascii="Times New Roman" w:eastAsia="Cambria" w:hAnsi="Times New Roman"/>
          <w:szCs w:val="24"/>
          <w:lang w:eastAsia="ja-JP"/>
        </w:rPr>
        <w:t>ntive justice for victims</w:t>
      </w:r>
      <w:r w:rsidR="008E48F4">
        <w:rPr>
          <w:rFonts w:ascii="Times New Roman" w:eastAsia="Cambria" w:hAnsi="Times New Roman"/>
          <w:szCs w:val="24"/>
          <w:lang w:eastAsia="ja-JP"/>
        </w:rPr>
        <w:t>.</w:t>
      </w:r>
      <w:r w:rsidR="008E48F4">
        <w:rPr>
          <w:rStyle w:val="FootnoteReference"/>
          <w:rFonts w:ascii="Times New Roman" w:eastAsia="Cambria" w:hAnsi="Times New Roman"/>
          <w:szCs w:val="24"/>
          <w:lang w:eastAsia="ja-JP"/>
        </w:rPr>
        <w:footnoteReference w:id="569"/>
      </w:r>
      <w:r w:rsidR="00655888">
        <w:rPr>
          <w:rFonts w:ascii="Times New Roman" w:eastAsia="Cambria" w:hAnsi="Times New Roman"/>
          <w:szCs w:val="24"/>
          <w:lang w:eastAsia="ja-JP"/>
        </w:rPr>
        <w:t>The procedural aspects involve the trial process and the rights afforded to victims.</w:t>
      </w:r>
    </w:p>
    <w:p w14:paraId="6C785AA6" w14:textId="77777777" w:rsidR="00FA0B6A" w:rsidRDefault="00FA0B6A" w:rsidP="00755ACB">
      <w:pPr>
        <w:spacing w:after="0" w:line="480" w:lineRule="auto"/>
        <w:jc w:val="both"/>
        <w:rPr>
          <w:rFonts w:ascii="Times New Roman" w:eastAsia="Cambria" w:hAnsi="Times New Roman"/>
          <w:szCs w:val="24"/>
          <w:lang w:eastAsia="ja-JP"/>
        </w:rPr>
      </w:pPr>
    </w:p>
    <w:p w14:paraId="6238E2B8" w14:textId="444CFAB0" w:rsidR="009E4654" w:rsidRDefault="00FA0B6A" w:rsidP="00FA0B6A">
      <w:pPr>
        <w:spacing w:after="0" w:line="480" w:lineRule="auto"/>
        <w:jc w:val="both"/>
        <w:rPr>
          <w:rFonts w:ascii="Times New Roman" w:eastAsia="Cambria" w:hAnsi="Times New Roman"/>
          <w:szCs w:val="24"/>
          <w:lang w:eastAsia="ja-JP"/>
        </w:rPr>
      </w:pPr>
      <w:r w:rsidRPr="00FA0B6A">
        <w:rPr>
          <w:rFonts w:ascii="Times New Roman" w:eastAsia="Cambria" w:hAnsi="Times New Roman"/>
          <w:szCs w:val="24"/>
          <w:lang w:eastAsia="ja-JP"/>
        </w:rPr>
        <w:t>One of the rationale</w:t>
      </w:r>
      <w:r>
        <w:rPr>
          <w:rFonts w:ascii="Times New Roman" w:eastAsia="Cambria" w:hAnsi="Times New Roman"/>
          <w:szCs w:val="24"/>
          <w:lang w:eastAsia="ja-JP"/>
        </w:rPr>
        <w:t>s</w:t>
      </w:r>
      <w:r w:rsidRPr="00FA0B6A">
        <w:rPr>
          <w:rFonts w:ascii="Times New Roman" w:eastAsia="Cambria" w:hAnsi="Times New Roman"/>
          <w:szCs w:val="24"/>
          <w:lang w:eastAsia="ja-JP"/>
        </w:rPr>
        <w:t xml:space="preserve"> behind victim participation is empowerment. Victims are empowered as primary stakeholders with ‘</w:t>
      </w:r>
      <w:r w:rsidRPr="00FA0B6A">
        <w:rPr>
          <w:rFonts w:ascii="Times New Roman" w:eastAsia="Cambria" w:hAnsi="Times New Roman"/>
          <w:i/>
          <w:szCs w:val="24"/>
          <w:lang w:eastAsia="ja-JP"/>
        </w:rPr>
        <w:t>decision-making clout’</w:t>
      </w:r>
      <w:r w:rsidRPr="00FA0B6A">
        <w:rPr>
          <w:rFonts w:ascii="Times New Roman" w:eastAsia="Cambria" w:hAnsi="Times New Roman"/>
          <w:szCs w:val="24"/>
          <w:lang w:eastAsia="ja-JP"/>
        </w:rPr>
        <w:t xml:space="preserve"> over processes that affect them and their communities</w:t>
      </w:r>
      <w:r w:rsidR="00F062B0">
        <w:rPr>
          <w:rFonts w:ascii="Times New Roman" w:eastAsia="Cambria" w:hAnsi="Times New Roman"/>
          <w:szCs w:val="24"/>
          <w:lang w:eastAsia="ja-JP"/>
        </w:rPr>
        <w:t>.</w:t>
      </w:r>
      <w:r w:rsidRPr="00FA0B6A">
        <w:rPr>
          <w:rFonts w:ascii="Times New Roman" w:eastAsia="Cambria" w:hAnsi="Times New Roman"/>
          <w:szCs w:val="24"/>
          <w:vertAlign w:val="superscript"/>
          <w:lang w:eastAsia="ja-JP"/>
        </w:rPr>
        <w:footnoteReference w:id="570"/>
      </w:r>
      <w:r w:rsidR="00F062B0">
        <w:rPr>
          <w:rFonts w:ascii="Times New Roman" w:eastAsia="Cambria" w:hAnsi="Times New Roman"/>
          <w:szCs w:val="24"/>
          <w:lang w:eastAsia="ja-JP"/>
        </w:rPr>
        <w:t xml:space="preserve"> T</w:t>
      </w:r>
      <w:r w:rsidRPr="00FA0B6A">
        <w:rPr>
          <w:rFonts w:ascii="Times New Roman" w:eastAsia="Cambria" w:hAnsi="Times New Roman"/>
          <w:szCs w:val="24"/>
          <w:lang w:eastAsia="ja-JP"/>
        </w:rPr>
        <w:t>his empowerment is referred to as full empowerment for victims as decision-makers.</w:t>
      </w:r>
      <w:r w:rsidR="00FF14BF">
        <w:rPr>
          <w:rFonts w:ascii="Times New Roman" w:eastAsia="Cambria" w:hAnsi="Times New Roman"/>
          <w:szCs w:val="24"/>
          <w:lang w:eastAsia="ja-JP"/>
        </w:rPr>
        <w:t xml:space="preserve"> </w:t>
      </w:r>
      <w:r w:rsidR="009E4654">
        <w:rPr>
          <w:rFonts w:ascii="Times New Roman" w:eastAsia="Cambria" w:hAnsi="Times New Roman"/>
          <w:szCs w:val="24"/>
          <w:lang w:eastAsia="ja-JP"/>
        </w:rPr>
        <w:t>The scope of participation for victims at the ICC</w:t>
      </w:r>
      <w:r w:rsidR="008228BE">
        <w:rPr>
          <w:rFonts w:ascii="Times New Roman" w:eastAsia="Cambria" w:hAnsi="Times New Roman"/>
          <w:szCs w:val="24"/>
          <w:lang w:eastAsia="ja-JP"/>
        </w:rPr>
        <w:t xml:space="preserve"> is</w:t>
      </w:r>
      <w:r w:rsidR="009E4654">
        <w:rPr>
          <w:rFonts w:ascii="Times New Roman" w:eastAsia="Cambria" w:hAnsi="Times New Roman"/>
          <w:szCs w:val="24"/>
          <w:lang w:eastAsia="ja-JP"/>
        </w:rPr>
        <w:t xml:space="preserve"> deeply rooted</w:t>
      </w:r>
      <w:r w:rsidR="008228BE">
        <w:rPr>
          <w:rFonts w:ascii="Times New Roman" w:eastAsia="Cambria" w:hAnsi="Times New Roman"/>
          <w:szCs w:val="24"/>
          <w:lang w:eastAsia="ja-JP"/>
        </w:rPr>
        <w:t xml:space="preserve"> in their</w:t>
      </w:r>
      <w:r w:rsidR="009E4654">
        <w:rPr>
          <w:rFonts w:ascii="Times New Roman" w:eastAsia="Cambria" w:hAnsi="Times New Roman"/>
          <w:szCs w:val="24"/>
          <w:lang w:eastAsia="ja-JP"/>
        </w:rPr>
        <w:t xml:space="preserve"> interests during the proceedings. Victims’ interests are used as metrics for their degree of involvement-a provision enshrined in Article 68(3).</w:t>
      </w:r>
      <w:r w:rsidR="00FF14BF">
        <w:rPr>
          <w:rFonts w:ascii="Times New Roman" w:eastAsia="Cambria" w:hAnsi="Times New Roman"/>
          <w:szCs w:val="24"/>
          <w:lang w:eastAsia="ja-JP"/>
        </w:rPr>
        <w:t xml:space="preserve"> </w:t>
      </w:r>
      <w:r w:rsidR="009E4654">
        <w:rPr>
          <w:rFonts w:ascii="Times New Roman" w:eastAsia="Cambria" w:hAnsi="Times New Roman"/>
          <w:szCs w:val="24"/>
          <w:lang w:eastAsia="ja-JP"/>
        </w:rPr>
        <w:t>Procedural rights enhance their role during criminal trials</w:t>
      </w:r>
      <w:r w:rsidR="00FF14BF">
        <w:rPr>
          <w:rFonts w:ascii="Times New Roman" w:eastAsia="Cambria" w:hAnsi="Times New Roman"/>
          <w:szCs w:val="24"/>
          <w:lang w:eastAsia="ja-JP"/>
        </w:rPr>
        <w:t>.</w:t>
      </w:r>
      <w:r w:rsidR="00FF14BF">
        <w:rPr>
          <w:rStyle w:val="FootnoteReference"/>
          <w:rFonts w:ascii="Times New Roman" w:eastAsia="Cambria" w:hAnsi="Times New Roman"/>
          <w:szCs w:val="24"/>
          <w:lang w:eastAsia="ja-JP"/>
        </w:rPr>
        <w:footnoteReference w:id="571"/>
      </w:r>
      <w:r w:rsidRPr="00FA0B6A">
        <w:rPr>
          <w:rFonts w:ascii="Times New Roman" w:eastAsia="Cambria" w:hAnsi="Times New Roman"/>
          <w:szCs w:val="24"/>
          <w:lang w:eastAsia="ja-JP"/>
        </w:rPr>
        <w:t xml:space="preserve"> </w:t>
      </w:r>
      <w:r w:rsidR="00F062B0">
        <w:rPr>
          <w:rFonts w:ascii="Times New Roman" w:eastAsia="Cambria" w:hAnsi="Times New Roman"/>
          <w:szCs w:val="24"/>
          <w:lang w:eastAsia="ja-JP"/>
        </w:rPr>
        <w:t>D</w:t>
      </w:r>
      <w:r w:rsidR="009E4654">
        <w:rPr>
          <w:rFonts w:ascii="Times New Roman" w:eastAsia="Cambria" w:hAnsi="Times New Roman"/>
          <w:szCs w:val="24"/>
          <w:lang w:eastAsia="ja-JP"/>
        </w:rPr>
        <w:t>uring criminal proceedings</w:t>
      </w:r>
      <w:r w:rsidR="00FF14BF">
        <w:rPr>
          <w:rFonts w:ascii="Times New Roman" w:eastAsia="Cambria" w:hAnsi="Times New Roman"/>
          <w:szCs w:val="24"/>
          <w:lang w:eastAsia="ja-JP"/>
        </w:rPr>
        <w:t>, v</w:t>
      </w:r>
      <w:r w:rsidR="009E4654">
        <w:rPr>
          <w:rFonts w:ascii="Times New Roman" w:eastAsia="Cambria" w:hAnsi="Times New Roman"/>
          <w:szCs w:val="24"/>
          <w:lang w:eastAsia="ja-JP"/>
        </w:rPr>
        <w:t>ictim participation is besieged with challenges of determination of guilt, the quest for truth-finding, protection of public interests</w:t>
      </w:r>
      <w:r w:rsidR="005B181C">
        <w:rPr>
          <w:rFonts w:ascii="Times New Roman" w:eastAsia="Cambria" w:hAnsi="Times New Roman"/>
          <w:szCs w:val="24"/>
          <w:lang w:eastAsia="ja-JP"/>
        </w:rPr>
        <w:t>, and respect for the accused's fair trial rights</w:t>
      </w:r>
      <w:r w:rsidR="009E4654">
        <w:rPr>
          <w:rFonts w:ascii="Times New Roman" w:eastAsia="Cambria" w:hAnsi="Times New Roman"/>
          <w:szCs w:val="24"/>
          <w:lang w:eastAsia="ja-JP"/>
        </w:rPr>
        <w:t>.</w:t>
      </w:r>
      <w:r w:rsidR="009E4654">
        <w:rPr>
          <w:rStyle w:val="FootnoteReference"/>
          <w:rFonts w:ascii="Times New Roman" w:eastAsia="Cambria" w:hAnsi="Times New Roman"/>
          <w:szCs w:val="24"/>
          <w:lang w:eastAsia="ja-JP"/>
        </w:rPr>
        <w:footnoteReference w:id="572"/>
      </w:r>
      <w:r w:rsidR="009E4654">
        <w:rPr>
          <w:rFonts w:ascii="Times New Roman" w:eastAsia="Cambria" w:hAnsi="Times New Roman"/>
          <w:szCs w:val="24"/>
          <w:lang w:eastAsia="ja-JP"/>
        </w:rPr>
        <w:t xml:space="preserve"> These pre-existing competing ends become complicated for the position of victims before sentencing.</w:t>
      </w:r>
      <w:r w:rsidR="009E4654">
        <w:rPr>
          <w:rStyle w:val="FootnoteReference"/>
          <w:rFonts w:ascii="Times New Roman" w:eastAsia="Cambria" w:hAnsi="Times New Roman"/>
          <w:szCs w:val="24"/>
          <w:lang w:eastAsia="ja-JP"/>
        </w:rPr>
        <w:footnoteReference w:id="573"/>
      </w:r>
    </w:p>
    <w:p w14:paraId="6D3FB2DF" w14:textId="4D7A8C80" w:rsidR="00777F17" w:rsidRDefault="00777F17" w:rsidP="00FA0B6A">
      <w:pPr>
        <w:spacing w:after="0" w:line="480" w:lineRule="auto"/>
        <w:jc w:val="both"/>
        <w:rPr>
          <w:rFonts w:ascii="Times New Roman" w:eastAsia="Cambria" w:hAnsi="Times New Roman"/>
          <w:szCs w:val="24"/>
          <w:lang w:eastAsia="ja-JP"/>
        </w:rPr>
      </w:pPr>
    </w:p>
    <w:p w14:paraId="0E9AA8FA" w14:textId="63EBDB0B" w:rsidR="001A1DD9" w:rsidRDefault="00777F17" w:rsidP="00FA0B6A">
      <w:pPr>
        <w:spacing w:after="0" w:line="480" w:lineRule="auto"/>
        <w:jc w:val="both"/>
        <w:rPr>
          <w:rFonts w:ascii="Times New Roman" w:eastAsia="Cambria" w:hAnsi="Times New Roman"/>
          <w:szCs w:val="24"/>
          <w:lang w:eastAsia="ja-JP"/>
        </w:rPr>
      </w:pPr>
      <w:proofErr w:type="spellStart"/>
      <w:r>
        <w:rPr>
          <w:rFonts w:ascii="Times New Roman" w:eastAsia="Cambria" w:hAnsi="Times New Roman"/>
          <w:szCs w:val="24"/>
          <w:lang w:eastAsia="ja-JP"/>
        </w:rPr>
        <w:lastRenderedPageBreak/>
        <w:t>Doak</w:t>
      </w:r>
      <w:proofErr w:type="spellEnd"/>
      <w:r>
        <w:rPr>
          <w:rFonts w:ascii="Times New Roman" w:eastAsia="Cambria" w:hAnsi="Times New Roman"/>
          <w:szCs w:val="24"/>
          <w:lang w:eastAsia="ja-JP"/>
        </w:rPr>
        <w:t xml:space="preserve"> divides the impact of victim participation in the criminal trial into two-structural barriers and normative barrier.</w:t>
      </w:r>
      <w:r>
        <w:rPr>
          <w:rStyle w:val="FootnoteReference"/>
          <w:rFonts w:ascii="Times New Roman" w:eastAsia="Cambria" w:hAnsi="Times New Roman"/>
          <w:szCs w:val="24"/>
          <w:lang w:eastAsia="ja-JP"/>
        </w:rPr>
        <w:footnoteReference w:id="574"/>
      </w:r>
      <w:r>
        <w:rPr>
          <w:rFonts w:ascii="Times New Roman" w:eastAsia="Cambria" w:hAnsi="Times New Roman"/>
          <w:szCs w:val="24"/>
          <w:lang w:eastAsia="ja-JP"/>
        </w:rPr>
        <w:t>Given that the ICC is primarily adversarial, the incorporation of victim involvement destabilises the equality of arms; an offset of the “structured setting between the Prosecutor and the defendant.</w:t>
      </w:r>
      <w:r>
        <w:rPr>
          <w:rStyle w:val="FootnoteReference"/>
          <w:rFonts w:ascii="Times New Roman" w:eastAsia="Cambria" w:hAnsi="Times New Roman"/>
          <w:szCs w:val="24"/>
          <w:lang w:eastAsia="ja-JP"/>
        </w:rPr>
        <w:footnoteReference w:id="575"/>
      </w:r>
      <w:r>
        <w:rPr>
          <w:rFonts w:ascii="Times New Roman" w:eastAsia="Cambria" w:hAnsi="Times New Roman"/>
          <w:szCs w:val="24"/>
          <w:lang w:eastAsia="ja-JP"/>
        </w:rPr>
        <w:t>Consequently, this may lead to a prolonged criminal trial and a clog in the wheel of victim participation.</w:t>
      </w:r>
      <w:r>
        <w:rPr>
          <w:rStyle w:val="FootnoteReference"/>
          <w:rFonts w:ascii="Times New Roman" w:eastAsia="Cambria" w:hAnsi="Times New Roman"/>
          <w:szCs w:val="24"/>
          <w:lang w:eastAsia="ja-JP"/>
        </w:rPr>
        <w:footnoteReference w:id="576"/>
      </w:r>
      <w:r>
        <w:rPr>
          <w:rFonts w:ascii="Times New Roman" w:eastAsia="Cambria" w:hAnsi="Times New Roman"/>
          <w:szCs w:val="24"/>
          <w:lang w:eastAsia="ja-JP"/>
        </w:rPr>
        <w:t xml:space="preserve">Concerning the normative barrier, Ashworth argued that the </w:t>
      </w:r>
      <w:r w:rsidR="005B181C">
        <w:rPr>
          <w:rFonts w:ascii="Times New Roman" w:eastAsia="Cambria" w:hAnsi="Times New Roman"/>
          <w:szCs w:val="24"/>
          <w:lang w:eastAsia="ja-JP"/>
        </w:rPr>
        <w:t>criminal justice system's mandate</w:t>
      </w:r>
      <w:r>
        <w:rPr>
          <w:rFonts w:ascii="Times New Roman" w:eastAsia="Cambria" w:hAnsi="Times New Roman"/>
          <w:szCs w:val="24"/>
          <w:lang w:eastAsia="ja-JP"/>
        </w:rPr>
        <w:t xml:space="preserve"> is retributive justice for the protection of public interests as opposed to individual interests.</w:t>
      </w:r>
      <w:r>
        <w:rPr>
          <w:rStyle w:val="FootnoteReference"/>
          <w:rFonts w:ascii="Times New Roman" w:eastAsia="Cambria" w:hAnsi="Times New Roman"/>
          <w:szCs w:val="24"/>
          <w:lang w:eastAsia="ja-JP"/>
        </w:rPr>
        <w:footnoteReference w:id="577"/>
      </w:r>
      <w:r>
        <w:rPr>
          <w:rFonts w:ascii="Times New Roman" w:eastAsia="Cambria" w:hAnsi="Times New Roman"/>
          <w:szCs w:val="24"/>
          <w:lang w:eastAsia="ja-JP"/>
        </w:rPr>
        <w:t xml:space="preserve">Punitive measures are set in place for social control and wrongdoing; an approach for </w:t>
      </w:r>
      <w:r w:rsidR="005B181C">
        <w:rPr>
          <w:rFonts w:ascii="Times New Roman" w:eastAsia="Cambria" w:hAnsi="Times New Roman"/>
          <w:szCs w:val="24"/>
          <w:lang w:eastAsia="ja-JP"/>
        </w:rPr>
        <w:t>preserving</w:t>
      </w:r>
      <w:r>
        <w:rPr>
          <w:rFonts w:ascii="Times New Roman" w:eastAsia="Cambria" w:hAnsi="Times New Roman"/>
          <w:szCs w:val="24"/>
          <w:lang w:eastAsia="ja-JP"/>
        </w:rPr>
        <w:t xml:space="preserve"> </w:t>
      </w:r>
      <w:r w:rsidR="00C74389">
        <w:rPr>
          <w:rFonts w:ascii="Times New Roman" w:eastAsia="Cambria" w:hAnsi="Times New Roman"/>
          <w:szCs w:val="24"/>
          <w:lang w:eastAsia="ja-JP"/>
        </w:rPr>
        <w:t xml:space="preserve">the </w:t>
      </w:r>
      <w:r>
        <w:rPr>
          <w:rFonts w:ascii="Times New Roman" w:eastAsia="Cambria" w:hAnsi="Times New Roman"/>
          <w:szCs w:val="24"/>
          <w:lang w:eastAsia="ja-JP"/>
        </w:rPr>
        <w:t>common good. Therefore, it is distracting to incorporate individual interests. The court should prioritise public good over private interests.</w:t>
      </w:r>
      <w:r>
        <w:rPr>
          <w:rStyle w:val="FootnoteReference"/>
          <w:rFonts w:ascii="Times New Roman" w:eastAsia="Cambria" w:hAnsi="Times New Roman"/>
          <w:szCs w:val="24"/>
          <w:lang w:eastAsia="ja-JP"/>
        </w:rPr>
        <w:footnoteReference w:id="578"/>
      </w:r>
      <w:r>
        <w:rPr>
          <w:rFonts w:ascii="Times New Roman" w:eastAsia="Cambria" w:hAnsi="Times New Roman"/>
          <w:szCs w:val="24"/>
          <w:lang w:eastAsia="ja-JP"/>
        </w:rPr>
        <w:t>According to Ashworth, to maintain objectivity in criminal justice, victims interests will inadvertently be relegated.</w:t>
      </w:r>
      <w:r>
        <w:rPr>
          <w:rStyle w:val="FootnoteReference"/>
          <w:rFonts w:ascii="Times New Roman" w:eastAsia="Cambria" w:hAnsi="Times New Roman"/>
          <w:szCs w:val="24"/>
          <w:lang w:eastAsia="ja-JP"/>
        </w:rPr>
        <w:footnoteReference w:id="579"/>
      </w:r>
      <w:r>
        <w:rPr>
          <w:rFonts w:ascii="Times New Roman" w:eastAsia="Cambria" w:hAnsi="Times New Roman"/>
          <w:szCs w:val="24"/>
          <w:lang w:eastAsia="ja-JP"/>
        </w:rPr>
        <w:t xml:space="preserve"> Since Ashwo</w:t>
      </w:r>
      <w:r w:rsidR="00340D66">
        <w:rPr>
          <w:rFonts w:ascii="Times New Roman" w:eastAsia="Cambria" w:hAnsi="Times New Roman"/>
          <w:szCs w:val="24"/>
          <w:lang w:eastAsia="ja-JP"/>
        </w:rPr>
        <w:t>rth propounds</w:t>
      </w:r>
      <w:r>
        <w:rPr>
          <w:rFonts w:ascii="Times New Roman" w:eastAsia="Cambria" w:hAnsi="Times New Roman"/>
          <w:szCs w:val="24"/>
          <w:lang w:eastAsia="ja-JP"/>
        </w:rPr>
        <w:t xml:space="preserve"> the preservation of objectivity and legitimacy of the criminal justice system</w:t>
      </w:r>
      <w:r w:rsidR="00340D66">
        <w:rPr>
          <w:rFonts w:ascii="Times New Roman" w:eastAsia="Cambria" w:hAnsi="Times New Roman"/>
          <w:szCs w:val="24"/>
          <w:lang w:eastAsia="ja-JP"/>
        </w:rPr>
        <w:t xml:space="preserve"> over victims interests in sentencing</w:t>
      </w:r>
      <w:r>
        <w:rPr>
          <w:rFonts w:ascii="Times New Roman" w:eastAsia="Cambria" w:hAnsi="Times New Roman"/>
          <w:szCs w:val="24"/>
          <w:lang w:eastAsia="ja-JP"/>
        </w:rPr>
        <w:t xml:space="preserve">, his assertion questions the status and implications of victim involvement in criminal trials. Interestingly, </w:t>
      </w:r>
      <w:proofErr w:type="spellStart"/>
      <w:r>
        <w:rPr>
          <w:rFonts w:ascii="Times New Roman" w:eastAsia="Cambria" w:hAnsi="Times New Roman"/>
          <w:szCs w:val="24"/>
          <w:lang w:eastAsia="ja-JP"/>
        </w:rPr>
        <w:t>Doak</w:t>
      </w:r>
      <w:proofErr w:type="spellEnd"/>
      <w:r>
        <w:rPr>
          <w:rFonts w:ascii="Times New Roman" w:eastAsia="Cambria" w:hAnsi="Times New Roman"/>
          <w:szCs w:val="24"/>
          <w:lang w:eastAsia="ja-JP"/>
        </w:rPr>
        <w:t xml:space="preserve"> submits that considering </w:t>
      </w:r>
      <w:r>
        <w:rPr>
          <w:rFonts w:ascii="Times New Roman" w:eastAsia="Cambria" w:hAnsi="Times New Roman"/>
          <w:szCs w:val="24"/>
          <w:lang w:eastAsia="ja-JP"/>
        </w:rPr>
        <w:lastRenderedPageBreak/>
        <w:t>victims</w:t>
      </w:r>
      <w:r w:rsidR="00340D66">
        <w:rPr>
          <w:rFonts w:ascii="Times New Roman" w:eastAsia="Cambria" w:hAnsi="Times New Roman"/>
          <w:szCs w:val="24"/>
          <w:lang w:eastAsia="ja-JP"/>
        </w:rPr>
        <w:t xml:space="preserve">' interests in the criminal justice system ensures transparency and checks in the system, </w:t>
      </w:r>
      <w:r w:rsidR="00C74389">
        <w:rPr>
          <w:rFonts w:ascii="Times New Roman" w:eastAsia="Cambria" w:hAnsi="Times New Roman"/>
          <w:szCs w:val="24"/>
          <w:lang w:eastAsia="ja-JP"/>
        </w:rPr>
        <w:t>legitimising</w:t>
      </w:r>
      <w:r>
        <w:rPr>
          <w:rFonts w:ascii="Times New Roman" w:eastAsia="Cambria" w:hAnsi="Times New Roman"/>
          <w:szCs w:val="24"/>
          <w:lang w:eastAsia="ja-JP"/>
        </w:rPr>
        <w:t xml:space="preserve"> the system.</w:t>
      </w:r>
      <w:r>
        <w:rPr>
          <w:rStyle w:val="FootnoteReference"/>
          <w:rFonts w:ascii="Times New Roman" w:eastAsia="Cambria" w:hAnsi="Times New Roman"/>
          <w:szCs w:val="24"/>
          <w:lang w:eastAsia="ja-JP"/>
        </w:rPr>
        <w:footnoteReference w:id="580"/>
      </w:r>
      <w:r w:rsidR="00E03368">
        <w:rPr>
          <w:rFonts w:ascii="Times New Roman" w:eastAsia="Cambria" w:hAnsi="Times New Roman"/>
          <w:szCs w:val="24"/>
          <w:lang w:eastAsia="ja-JP"/>
        </w:rPr>
        <w:t xml:space="preserve"> Victim involvement during trials may contribute to the </w:t>
      </w:r>
      <w:r w:rsidR="00340D66">
        <w:rPr>
          <w:rFonts w:ascii="Times New Roman" w:eastAsia="Cambria" w:hAnsi="Times New Roman"/>
          <w:szCs w:val="24"/>
          <w:lang w:eastAsia="ja-JP"/>
        </w:rPr>
        <w:t>court's legitimacy</w:t>
      </w:r>
      <w:r w:rsidR="00C74389">
        <w:rPr>
          <w:rFonts w:ascii="Times New Roman" w:eastAsia="Cambria" w:hAnsi="Times New Roman"/>
          <w:szCs w:val="24"/>
          <w:lang w:eastAsia="ja-JP"/>
        </w:rPr>
        <w:t xml:space="preserve">. </w:t>
      </w:r>
      <w:r w:rsidR="00D9378B">
        <w:rPr>
          <w:rFonts w:ascii="Times New Roman" w:eastAsia="Cambria" w:hAnsi="Times New Roman"/>
          <w:szCs w:val="24"/>
          <w:lang w:eastAsia="ja-JP"/>
        </w:rPr>
        <w:t>Simultaneously</w:t>
      </w:r>
      <w:r w:rsidR="00C74389">
        <w:rPr>
          <w:rFonts w:ascii="Times New Roman" w:eastAsia="Cambria" w:hAnsi="Times New Roman"/>
          <w:szCs w:val="24"/>
          <w:lang w:eastAsia="ja-JP"/>
        </w:rPr>
        <w:t>, the court should properly manage their participation to minimise procedural challenges that might arise due to</w:t>
      </w:r>
      <w:r w:rsidR="004417A6">
        <w:rPr>
          <w:rFonts w:ascii="Times New Roman" w:eastAsia="Cambria" w:hAnsi="Times New Roman"/>
          <w:szCs w:val="24"/>
          <w:lang w:eastAsia="ja-JP"/>
        </w:rPr>
        <w:t xml:space="preserve"> their participation in a predominantly adversarial setting. </w:t>
      </w:r>
    </w:p>
    <w:p w14:paraId="69FDF68F" w14:textId="77777777" w:rsidR="001A1DD9" w:rsidRDefault="001A1DD9" w:rsidP="00FA0B6A">
      <w:pPr>
        <w:spacing w:after="0" w:line="480" w:lineRule="auto"/>
        <w:jc w:val="both"/>
        <w:rPr>
          <w:rFonts w:ascii="Times New Roman" w:eastAsia="Cambria" w:hAnsi="Times New Roman"/>
          <w:szCs w:val="24"/>
          <w:lang w:eastAsia="ja-JP"/>
        </w:rPr>
      </w:pPr>
    </w:p>
    <w:p w14:paraId="603A7D13" w14:textId="66BA8932" w:rsidR="00FA0B6A" w:rsidRDefault="00FA0B6A" w:rsidP="00FA0B6A">
      <w:pPr>
        <w:spacing w:after="0" w:line="480" w:lineRule="auto"/>
        <w:jc w:val="both"/>
        <w:rPr>
          <w:rFonts w:ascii="Times New Roman" w:eastAsia="Cambria" w:hAnsi="Times New Roman"/>
          <w:szCs w:val="24"/>
          <w:lang w:eastAsia="ja-JP"/>
        </w:rPr>
      </w:pPr>
      <w:r w:rsidRPr="00FA0B6A">
        <w:rPr>
          <w:rFonts w:ascii="Times New Roman" w:eastAsia="Cambria" w:hAnsi="Times New Roman"/>
          <w:szCs w:val="24"/>
          <w:lang w:eastAsia="ja-JP"/>
        </w:rPr>
        <w:t xml:space="preserve"> Victims are </w:t>
      </w:r>
      <w:r w:rsidR="007B6139">
        <w:rPr>
          <w:rFonts w:ascii="Times New Roman" w:eastAsia="Cambria" w:hAnsi="Times New Roman"/>
          <w:szCs w:val="24"/>
          <w:lang w:eastAsia="ja-JP"/>
        </w:rPr>
        <w:t>likened</w:t>
      </w:r>
      <w:r w:rsidRPr="00FA0B6A">
        <w:rPr>
          <w:rFonts w:ascii="Times New Roman" w:eastAsia="Cambria" w:hAnsi="Times New Roman"/>
          <w:szCs w:val="24"/>
          <w:lang w:eastAsia="ja-JP"/>
        </w:rPr>
        <w:t xml:space="preserve"> </w:t>
      </w:r>
      <w:r w:rsidR="007B6139">
        <w:rPr>
          <w:rFonts w:ascii="Times New Roman" w:eastAsia="Cambria" w:hAnsi="Times New Roman"/>
          <w:szCs w:val="24"/>
          <w:lang w:eastAsia="ja-JP"/>
        </w:rPr>
        <w:t>to</w:t>
      </w:r>
      <w:r w:rsidRPr="00FA0B6A">
        <w:rPr>
          <w:rFonts w:ascii="Times New Roman" w:eastAsia="Cambria" w:hAnsi="Times New Roman"/>
          <w:szCs w:val="24"/>
          <w:lang w:eastAsia="ja-JP"/>
        </w:rPr>
        <w:t xml:space="preserve"> stakeholders in the proceedings</w:t>
      </w:r>
      <w:r w:rsidR="00FF14BF">
        <w:rPr>
          <w:rFonts w:ascii="Times New Roman" w:eastAsia="Cambria" w:hAnsi="Times New Roman"/>
          <w:szCs w:val="24"/>
          <w:lang w:eastAsia="ja-JP"/>
        </w:rPr>
        <w:t>;</w:t>
      </w:r>
      <w:r w:rsidRPr="00FA0B6A">
        <w:rPr>
          <w:rFonts w:ascii="Times New Roman" w:eastAsia="Cambria" w:hAnsi="Times New Roman"/>
          <w:szCs w:val="24"/>
          <w:lang w:eastAsia="ja-JP"/>
        </w:rPr>
        <w:t xml:space="preserve"> this entails their interests as well as influence in the proceedings.</w:t>
      </w:r>
      <w:r w:rsidR="00400E77">
        <w:rPr>
          <w:rFonts w:ascii="Times New Roman" w:eastAsia="Cambria" w:hAnsi="Times New Roman"/>
          <w:szCs w:val="24"/>
          <w:lang w:eastAsia="ja-JP"/>
        </w:rPr>
        <w:t xml:space="preserve"> Victims interests as a </w:t>
      </w:r>
      <w:r w:rsidRPr="00FA0B6A">
        <w:rPr>
          <w:rFonts w:ascii="Times New Roman" w:eastAsia="Cambria" w:hAnsi="Times New Roman"/>
          <w:szCs w:val="24"/>
          <w:lang w:eastAsia="ja-JP"/>
        </w:rPr>
        <w:t xml:space="preserve">stakeholder should be considered to enhance the value of the </w:t>
      </w:r>
      <w:r w:rsidR="00F55399">
        <w:rPr>
          <w:rFonts w:ascii="Times New Roman" w:eastAsia="Cambria" w:hAnsi="Times New Roman"/>
          <w:szCs w:val="24"/>
          <w:lang w:eastAsia="ja-JP"/>
        </w:rPr>
        <w:t>ICC</w:t>
      </w:r>
      <w:r w:rsidRPr="00FA0B6A">
        <w:rPr>
          <w:rFonts w:ascii="Times New Roman" w:eastAsia="Cambria" w:hAnsi="Times New Roman"/>
          <w:szCs w:val="24"/>
          <w:lang w:eastAsia="ja-JP"/>
        </w:rPr>
        <w:t>.</w:t>
      </w:r>
      <w:r w:rsidR="00F55399" w:rsidRPr="00FA0B6A">
        <w:rPr>
          <w:rFonts w:ascii="Times New Roman" w:eastAsia="Cambria" w:hAnsi="Times New Roman"/>
          <w:szCs w:val="24"/>
          <w:lang w:eastAsia="ja-JP"/>
        </w:rPr>
        <w:t xml:space="preserve"> </w:t>
      </w:r>
      <w:r w:rsidR="0047479B">
        <w:rPr>
          <w:rFonts w:ascii="Times New Roman" w:eastAsia="Cambria" w:hAnsi="Times New Roman"/>
          <w:szCs w:val="24"/>
          <w:lang w:eastAsia="ja-JP"/>
        </w:rPr>
        <w:t>T</w:t>
      </w:r>
      <w:r w:rsidRPr="00FA0B6A">
        <w:rPr>
          <w:rFonts w:ascii="Times New Roman" w:eastAsia="Cambria" w:hAnsi="Times New Roman"/>
          <w:szCs w:val="24"/>
          <w:lang w:eastAsia="ja-JP"/>
        </w:rPr>
        <w:t>he needs of each stakeholder</w:t>
      </w:r>
      <w:r w:rsidR="0047479B">
        <w:rPr>
          <w:rFonts w:ascii="Times New Roman" w:eastAsia="Cambria" w:hAnsi="Times New Roman"/>
          <w:szCs w:val="24"/>
          <w:lang w:eastAsia="ja-JP"/>
        </w:rPr>
        <w:t xml:space="preserve"> </w:t>
      </w:r>
      <w:r w:rsidR="009E4654">
        <w:rPr>
          <w:rFonts w:ascii="Times New Roman" w:eastAsia="Cambria" w:hAnsi="Times New Roman"/>
          <w:szCs w:val="24"/>
          <w:lang w:eastAsia="ja-JP"/>
        </w:rPr>
        <w:t>are</w:t>
      </w:r>
      <w:r w:rsidR="0047479B">
        <w:rPr>
          <w:rFonts w:ascii="Times New Roman" w:eastAsia="Cambria" w:hAnsi="Times New Roman"/>
          <w:szCs w:val="24"/>
          <w:lang w:eastAsia="ja-JP"/>
        </w:rPr>
        <w:t xml:space="preserve"> valuable.</w:t>
      </w:r>
      <w:r w:rsidRPr="00FA0B6A">
        <w:rPr>
          <w:rFonts w:ascii="Times New Roman" w:eastAsia="Cambria" w:hAnsi="Times New Roman"/>
          <w:szCs w:val="24"/>
          <w:lang w:eastAsia="ja-JP"/>
        </w:rPr>
        <w:t xml:space="preserve"> It examines the role and influence of victims in criminal trials.</w:t>
      </w:r>
      <w:r>
        <w:rPr>
          <w:rFonts w:ascii="Times New Roman" w:eastAsia="Cambria" w:hAnsi="Times New Roman"/>
          <w:szCs w:val="24"/>
          <w:lang w:eastAsia="ja-JP"/>
        </w:rPr>
        <w:t xml:space="preserve"> </w:t>
      </w:r>
      <w:r w:rsidRPr="00FA0B6A">
        <w:rPr>
          <w:rFonts w:ascii="Times New Roman" w:eastAsia="Cambria" w:hAnsi="Times New Roman"/>
          <w:szCs w:val="24"/>
          <w:lang w:eastAsia="ja-JP"/>
        </w:rPr>
        <w:t xml:space="preserve">Participation may either be real empowerment for victims to influence </w:t>
      </w:r>
      <w:r>
        <w:rPr>
          <w:rFonts w:ascii="Times New Roman" w:eastAsia="Cambria" w:hAnsi="Times New Roman"/>
          <w:szCs w:val="24"/>
          <w:lang w:eastAsia="ja-JP"/>
        </w:rPr>
        <w:t xml:space="preserve">the </w:t>
      </w:r>
      <w:r w:rsidRPr="00FA0B6A">
        <w:rPr>
          <w:rFonts w:ascii="Times New Roman" w:eastAsia="Cambria" w:hAnsi="Times New Roman"/>
          <w:szCs w:val="24"/>
          <w:lang w:eastAsia="ja-JP"/>
        </w:rPr>
        <w:t>outcome of decision-making or passive involvement.</w:t>
      </w:r>
      <w:r w:rsidRPr="00FA0B6A">
        <w:rPr>
          <w:rFonts w:ascii="Times New Roman" w:eastAsia="Cambria" w:hAnsi="Times New Roman"/>
          <w:szCs w:val="24"/>
          <w:vertAlign w:val="superscript"/>
          <w:lang w:eastAsia="ja-JP"/>
        </w:rPr>
        <w:footnoteReference w:id="581"/>
      </w:r>
      <w:r w:rsidRPr="00FA0B6A">
        <w:rPr>
          <w:rFonts w:ascii="Times New Roman" w:eastAsia="Cambria" w:hAnsi="Times New Roman"/>
          <w:szCs w:val="24"/>
          <w:lang w:eastAsia="ja-JP"/>
        </w:rPr>
        <w:t xml:space="preserve"> </w:t>
      </w:r>
      <w:r w:rsidR="007B6139">
        <w:rPr>
          <w:rFonts w:ascii="Times New Roman" w:eastAsia="Cambria" w:hAnsi="Times New Roman"/>
          <w:szCs w:val="24"/>
          <w:lang w:eastAsia="ja-JP"/>
        </w:rPr>
        <w:t xml:space="preserve">Either way, it </w:t>
      </w:r>
      <w:r w:rsidRPr="00FA0B6A">
        <w:rPr>
          <w:rFonts w:ascii="Times New Roman" w:eastAsia="Cambria" w:hAnsi="Times New Roman"/>
          <w:szCs w:val="24"/>
          <w:lang w:eastAsia="ja-JP"/>
        </w:rPr>
        <w:t xml:space="preserve">could be </w:t>
      </w:r>
      <w:r>
        <w:rPr>
          <w:rFonts w:ascii="Times New Roman" w:eastAsia="Cambria" w:hAnsi="Times New Roman"/>
          <w:szCs w:val="24"/>
          <w:lang w:eastAsia="ja-JP"/>
        </w:rPr>
        <w:t xml:space="preserve">a </w:t>
      </w:r>
      <w:r w:rsidRPr="00FA0B6A">
        <w:rPr>
          <w:rFonts w:ascii="Times New Roman" w:eastAsia="Cambria" w:hAnsi="Times New Roman"/>
          <w:szCs w:val="24"/>
          <w:lang w:eastAsia="ja-JP"/>
        </w:rPr>
        <w:t>real power, which affect</w:t>
      </w:r>
      <w:r>
        <w:rPr>
          <w:rFonts w:ascii="Times New Roman" w:eastAsia="Cambria" w:hAnsi="Times New Roman"/>
          <w:szCs w:val="24"/>
          <w:lang w:eastAsia="ja-JP"/>
        </w:rPr>
        <w:t>s</w:t>
      </w:r>
      <w:r w:rsidRPr="00FA0B6A">
        <w:rPr>
          <w:rFonts w:ascii="Times New Roman" w:eastAsia="Cambria" w:hAnsi="Times New Roman"/>
          <w:szCs w:val="24"/>
          <w:lang w:eastAsia="ja-JP"/>
        </w:rPr>
        <w:t xml:space="preserve"> the decision or just a means to an end.</w:t>
      </w:r>
      <w:r w:rsidR="007B6139">
        <w:rPr>
          <w:rStyle w:val="FootnoteReference"/>
          <w:rFonts w:ascii="Times New Roman" w:eastAsia="Cambria" w:hAnsi="Times New Roman"/>
          <w:szCs w:val="24"/>
          <w:lang w:eastAsia="ja-JP"/>
        </w:rPr>
        <w:footnoteReference w:id="582"/>
      </w:r>
      <w:r w:rsidR="00695307">
        <w:rPr>
          <w:rFonts w:ascii="Times New Roman" w:eastAsia="Cambria" w:hAnsi="Times New Roman"/>
          <w:szCs w:val="24"/>
          <w:lang w:eastAsia="ja-JP"/>
        </w:rPr>
        <w:t>A means to an end connotes victims as a tool in the process</w:t>
      </w:r>
      <w:r w:rsidR="00400E77">
        <w:rPr>
          <w:rFonts w:ascii="Times New Roman" w:eastAsia="Cambria" w:hAnsi="Times New Roman"/>
          <w:szCs w:val="24"/>
          <w:lang w:eastAsia="ja-JP"/>
        </w:rPr>
        <w:t>,</w:t>
      </w:r>
      <w:r w:rsidR="00695307">
        <w:rPr>
          <w:rFonts w:ascii="Times New Roman" w:eastAsia="Cambria" w:hAnsi="Times New Roman"/>
          <w:szCs w:val="24"/>
          <w:lang w:eastAsia="ja-JP"/>
        </w:rPr>
        <w:t xml:space="preserve"> but their position is relatively better than the initial instrumentalization in </w:t>
      </w:r>
      <w:r w:rsidR="00400E77">
        <w:rPr>
          <w:rFonts w:ascii="Times New Roman" w:eastAsia="Cambria" w:hAnsi="Times New Roman"/>
          <w:szCs w:val="24"/>
          <w:lang w:eastAsia="ja-JP"/>
        </w:rPr>
        <w:t xml:space="preserve">a </w:t>
      </w:r>
      <w:r w:rsidR="00695307">
        <w:rPr>
          <w:rFonts w:ascii="Times New Roman" w:eastAsia="Cambria" w:hAnsi="Times New Roman"/>
          <w:szCs w:val="24"/>
          <w:lang w:eastAsia="ja-JP"/>
        </w:rPr>
        <w:t>criminal trial.</w:t>
      </w:r>
    </w:p>
    <w:p w14:paraId="09CC2D65" w14:textId="78F62E44" w:rsidR="0047479B" w:rsidRDefault="0047479B" w:rsidP="00FA0B6A">
      <w:pPr>
        <w:spacing w:after="0" w:line="480" w:lineRule="auto"/>
        <w:jc w:val="both"/>
        <w:rPr>
          <w:rFonts w:ascii="Times New Roman" w:eastAsia="Cambria" w:hAnsi="Times New Roman"/>
          <w:szCs w:val="24"/>
          <w:lang w:eastAsia="ja-JP"/>
        </w:rPr>
      </w:pPr>
    </w:p>
    <w:p w14:paraId="48522216" w14:textId="0F6BA666" w:rsidR="006E622A" w:rsidRPr="006E622A" w:rsidRDefault="00485805" w:rsidP="00755AC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E</w:t>
      </w:r>
      <w:r w:rsidR="006E622A" w:rsidRPr="006E622A">
        <w:rPr>
          <w:rFonts w:ascii="Times New Roman" w:eastAsia="Cambria" w:hAnsi="Times New Roman"/>
          <w:szCs w:val="24"/>
          <w:lang w:eastAsia="ja-JP"/>
        </w:rPr>
        <w:t>dwards opines that assessing the effectiveness of participation is best obtained by analysing the concept of victim involvement in decision-making rather than creating ‘balance’ between the rights of the accused</w:t>
      </w:r>
      <w:r>
        <w:rPr>
          <w:rFonts w:ascii="Times New Roman" w:eastAsia="Cambria" w:hAnsi="Times New Roman"/>
          <w:szCs w:val="24"/>
          <w:lang w:eastAsia="ja-JP"/>
        </w:rPr>
        <w:t xml:space="preserve"> and victims’ rights</w:t>
      </w:r>
      <w:r w:rsidR="006E622A" w:rsidRPr="006E622A">
        <w:rPr>
          <w:rFonts w:ascii="Times New Roman" w:eastAsia="Cambria" w:hAnsi="Times New Roman"/>
          <w:szCs w:val="24"/>
          <w:lang w:eastAsia="ja-JP"/>
        </w:rPr>
        <w:t>.</w:t>
      </w:r>
      <w:r w:rsidR="006E622A" w:rsidRPr="006E622A">
        <w:rPr>
          <w:rFonts w:ascii="Times New Roman" w:eastAsia="Cambria" w:hAnsi="Times New Roman"/>
          <w:szCs w:val="24"/>
          <w:vertAlign w:val="superscript"/>
          <w:lang w:eastAsia="ja-JP"/>
        </w:rPr>
        <w:footnoteReference w:id="583"/>
      </w:r>
      <w:r w:rsidR="006E622A" w:rsidRPr="006E622A">
        <w:rPr>
          <w:rFonts w:ascii="Times New Roman" w:eastAsia="Cambria" w:hAnsi="Times New Roman"/>
          <w:szCs w:val="24"/>
          <w:lang w:eastAsia="ja-JP"/>
        </w:rPr>
        <w:t xml:space="preserve"> From this</w:t>
      </w:r>
      <w:r w:rsidR="001532C5">
        <w:rPr>
          <w:rFonts w:ascii="Times New Roman" w:eastAsia="Cambria" w:hAnsi="Times New Roman"/>
          <w:szCs w:val="24"/>
          <w:lang w:eastAsia="ja-JP"/>
        </w:rPr>
        <w:t>,</w:t>
      </w:r>
      <w:r w:rsidR="006E622A" w:rsidRPr="006E622A">
        <w:rPr>
          <w:rFonts w:ascii="Times New Roman" w:eastAsia="Cambria" w:hAnsi="Times New Roman"/>
          <w:szCs w:val="24"/>
          <w:lang w:eastAsia="ja-JP"/>
        </w:rPr>
        <w:t xml:space="preserve"> flows meaningful participation for victims. From his perspective,  the ‘</w:t>
      </w:r>
      <w:r w:rsidR="006E622A" w:rsidRPr="006E622A">
        <w:rPr>
          <w:rFonts w:ascii="Times New Roman" w:eastAsia="Cambria" w:hAnsi="Times New Roman"/>
          <w:i/>
          <w:szCs w:val="24"/>
          <w:lang w:eastAsia="ja-JP"/>
        </w:rPr>
        <w:t>balance approach’</w:t>
      </w:r>
      <w:r w:rsidR="006E622A" w:rsidRPr="006E622A">
        <w:rPr>
          <w:rFonts w:ascii="Times New Roman" w:eastAsia="Cambria" w:hAnsi="Times New Roman"/>
          <w:szCs w:val="24"/>
          <w:lang w:eastAsia="ja-JP"/>
        </w:rPr>
        <w:t xml:space="preserve">  may not provide the desired results.</w:t>
      </w:r>
      <w:r w:rsidR="00FA0B6A">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This section will critically evaluate the forms of participation and</w:t>
      </w:r>
      <w:r w:rsidR="001532C5">
        <w:rPr>
          <w:rFonts w:ascii="Times New Roman" w:eastAsia="Cambria" w:hAnsi="Times New Roman"/>
          <w:szCs w:val="24"/>
          <w:lang w:eastAsia="ja-JP"/>
        </w:rPr>
        <w:t xml:space="preserve"> t</w:t>
      </w:r>
      <w:r w:rsidR="00340D66">
        <w:rPr>
          <w:rFonts w:ascii="Times New Roman" w:eastAsia="Cambria" w:hAnsi="Times New Roman"/>
          <w:szCs w:val="24"/>
          <w:lang w:eastAsia="ja-JP"/>
        </w:rPr>
        <w:t>he extent to which</w:t>
      </w:r>
      <w:r w:rsidR="001532C5">
        <w:rPr>
          <w:rFonts w:ascii="Times New Roman" w:eastAsia="Cambria" w:hAnsi="Times New Roman"/>
          <w:szCs w:val="24"/>
          <w:lang w:eastAsia="ja-JP"/>
        </w:rPr>
        <w:t xml:space="preserve"> it influences victims’ rights and interests</w:t>
      </w:r>
      <w:r w:rsidR="006E622A" w:rsidRPr="006E622A">
        <w:rPr>
          <w:rFonts w:ascii="Times New Roman" w:eastAsia="Cambria" w:hAnsi="Times New Roman"/>
          <w:szCs w:val="24"/>
          <w:lang w:eastAsia="ja-JP"/>
        </w:rPr>
        <w:t>. Edwards proposed four different participatory roles for victims.</w:t>
      </w:r>
      <w:r w:rsidR="00FA0B6A">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With this model, each participatory form is used to assess its influence on the decision- making process.</w:t>
      </w:r>
    </w:p>
    <w:p w14:paraId="11F2780B" w14:textId="77777777" w:rsidR="006E622A" w:rsidRPr="006E622A" w:rsidRDefault="006E622A" w:rsidP="00755ACB">
      <w:pPr>
        <w:spacing w:after="0" w:line="480" w:lineRule="auto"/>
        <w:jc w:val="both"/>
        <w:rPr>
          <w:rFonts w:ascii="Times New Roman" w:eastAsia="Cambria" w:hAnsi="Times New Roman"/>
          <w:szCs w:val="24"/>
          <w:lang w:eastAsia="ja-JP"/>
        </w:rPr>
      </w:pPr>
    </w:p>
    <w:p w14:paraId="1DF3ED81" w14:textId="2FDB4523" w:rsidR="006B0AE0" w:rsidRDefault="006E622A" w:rsidP="005E3936">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A generally accepted definition of participation is lacking.</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It can be loosely described as the act of taking part in an activity.</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As a result of its unsettled concept, participation encompasses A)being in control B)having a say,  C)Being treated with dignity and respect. These definitions have been applied to situations within the ambience of victim emancipation.</w:t>
      </w:r>
      <w:r w:rsidRPr="006E622A">
        <w:rPr>
          <w:rFonts w:ascii="Times New Roman" w:eastAsia="Cambria" w:hAnsi="Times New Roman"/>
          <w:szCs w:val="24"/>
          <w:vertAlign w:val="superscript"/>
          <w:lang w:eastAsia="ja-JP"/>
        </w:rPr>
        <w:footnoteReference w:id="584"/>
      </w:r>
      <w:r w:rsidRPr="006E622A">
        <w:rPr>
          <w:rFonts w:ascii="Times New Roman" w:eastAsia="Cambria" w:hAnsi="Times New Roman"/>
          <w:szCs w:val="24"/>
          <w:lang w:eastAsia="ja-JP"/>
        </w:rPr>
        <w:t xml:space="preserve">  </w:t>
      </w:r>
    </w:p>
    <w:p w14:paraId="31EB277C" w14:textId="77777777" w:rsidR="006B0AE0" w:rsidRPr="006E622A" w:rsidRDefault="006B0AE0" w:rsidP="005E3936">
      <w:pPr>
        <w:spacing w:after="0" w:line="480" w:lineRule="auto"/>
        <w:jc w:val="both"/>
        <w:rPr>
          <w:rFonts w:ascii="Times New Roman" w:eastAsia="Cambria" w:hAnsi="Times New Roman"/>
          <w:szCs w:val="24"/>
          <w:lang w:eastAsia="ja-JP"/>
        </w:rPr>
      </w:pPr>
    </w:p>
    <w:p w14:paraId="25568DAD" w14:textId="68FE14E7" w:rsidR="006E622A" w:rsidRPr="00400E77" w:rsidRDefault="006E622A" w:rsidP="00794BAF">
      <w:pPr>
        <w:spacing w:after="0" w:line="480" w:lineRule="auto"/>
        <w:jc w:val="both"/>
        <w:rPr>
          <w:rFonts w:ascii="Times New Roman" w:eastAsia="Cambria" w:hAnsi="Times New Roman"/>
          <w:szCs w:val="24"/>
          <w:vertAlign w:val="superscript"/>
          <w:lang w:eastAsia="ja-JP"/>
        </w:rPr>
      </w:pPr>
      <w:r w:rsidRPr="006E622A">
        <w:rPr>
          <w:rFonts w:ascii="Times New Roman" w:eastAsia="Cambria" w:hAnsi="Times New Roman"/>
          <w:szCs w:val="24"/>
          <w:lang w:eastAsia="ja-JP"/>
        </w:rPr>
        <w:t>Edwards points out from his theory that participation should be direct and active.</w:t>
      </w:r>
      <w:r w:rsidR="00485805">
        <w:rPr>
          <w:rStyle w:val="FootnoteReference"/>
          <w:rFonts w:ascii="Times New Roman" w:eastAsia="Cambria" w:hAnsi="Times New Roman"/>
          <w:szCs w:val="24"/>
          <w:lang w:eastAsia="ja-JP"/>
        </w:rPr>
        <w:footnoteReference w:id="585"/>
      </w:r>
      <w:r w:rsidRPr="006E622A">
        <w:rPr>
          <w:rFonts w:ascii="Times New Roman" w:eastAsia="Cambria" w:hAnsi="Times New Roman"/>
          <w:szCs w:val="24"/>
          <w:lang w:eastAsia="ja-JP"/>
        </w:rPr>
        <w:t xml:space="preserve">These forms of participation make a distinction between the relationship </w:t>
      </w:r>
      <w:r w:rsidR="00FA0B6A">
        <w:rPr>
          <w:rFonts w:ascii="Times New Roman" w:eastAsia="Cambria" w:hAnsi="Times New Roman"/>
          <w:szCs w:val="24"/>
          <w:lang w:eastAsia="ja-JP"/>
        </w:rPr>
        <w:t>of the victim and the decision-</w:t>
      </w:r>
      <w:r w:rsidRPr="006E622A">
        <w:rPr>
          <w:rFonts w:ascii="Times New Roman" w:eastAsia="Cambria" w:hAnsi="Times New Roman"/>
          <w:szCs w:val="24"/>
          <w:lang w:eastAsia="ja-JP"/>
        </w:rPr>
        <w:t xml:space="preserve">maker. He referred to this as four typologies, with further division into </w:t>
      </w:r>
      <w:r w:rsidR="00E32928">
        <w:rPr>
          <w:rFonts w:ascii="Times New Roman" w:eastAsia="Cambria" w:hAnsi="Times New Roman"/>
          <w:szCs w:val="24"/>
          <w:lang w:eastAsia="ja-JP"/>
        </w:rPr>
        <w:t xml:space="preserve">a </w:t>
      </w:r>
      <w:r w:rsidRPr="006E622A">
        <w:rPr>
          <w:rFonts w:ascii="Times New Roman" w:eastAsia="Cambria" w:hAnsi="Times New Roman"/>
          <w:szCs w:val="24"/>
          <w:lang w:eastAsia="ja-JP"/>
        </w:rPr>
        <w:t xml:space="preserve">dispositive and non-dispositive </w:t>
      </w:r>
      <w:r w:rsidR="001D071A">
        <w:rPr>
          <w:rFonts w:ascii="Times New Roman" w:eastAsia="Cambria" w:hAnsi="Times New Roman"/>
          <w:szCs w:val="24"/>
          <w:lang w:eastAsia="ja-JP"/>
        </w:rPr>
        <w:t>category</w:t>
      </w:r>
      <w:r w:rsidRPr="006E622A">
        <w:rPr>
          <w:rFonts w:ascii="Times New Roman" w:eastAsia="Cambria" w:hAnsi="Times New Roman"/>
          <w:szCs w:val="24"/>
          <w:lang w:eastAsia="ja-JP"/>
        </w:rPr>
        <w:t xml:space="preserve">. Under the non-dispositive </w:t>
      </w:r>
      <w:r w:rsidRPr="006E622A">
        <w:rPr>
          <w:rFonts w:ascii="Times New Roman" w:eastAsia="Cambria" w:hAnsi="Times New Roman"/>
          <w:szCs w:val="24"/>
          <w:lang w:eastAsia="ja-JP"/>
        </w:rPr>
        <w:lastRenderedPageBreak/>
        <w:t>category, the three forms of participation are consultation, information-provision and expression. For this category, the victim is not the decision-maker</w:t>
      </w:r>
      <w:r w:rsidR="00FA0B6A">
        <w:rPr>
          <w:rFonts w:ascii="Times New Roman" w:eastAsia="Cambria" w:hAnsi="Times New Roman"/>
          <w:szCs w:val="24"/>
          <w:lang w:eastAsia="ja-JP"/>
        </w:rPr>
        <w:t>,</w:t>
      </w:r>
      <w:r w:rsidRPr="006E622A">
        <w:rPr>
          <w:rFonts w:ascii="Times New Roman" w:eastAsia="Cambria" w:hAnsi="Times New Roman"/>
          <w:szCs w:val="24"/>
          <w:lang w:eastAsia="ja-JP"/>
        </w:rPr>
        <w:t xml:space="preserve"> but </w:t>
      </w:r>
      <w:r w:rsidR="00632776">
        <w:rPr>
          <w:rFonts w:ascii="Times New Roman" w:eastAsia="Cambria" w:hAnsi="Times New Roman"/>
          <w:szCs w:val="24"/>
          <w:lang w:eastAsia="ja-JP"/>
        </w:rPr>
        <w:t>t</w:t>
      </w:r>
      <w:r w:rsidRPr="006E622A">
        <w:rPr>
          <w:rFonts w:ascii="Times New Roman" w:eastAsia="Cambria" w:hAnsi="Times New Roman"/>
          <w:szCs w:val="24"/>
          <w:lang w:eastAsia="ja-JP"/>
        </w:rPr>
        <w:t>he</w:t>
      </w:r>
      <w:r w:rsidR="00632776">
        <w:rPr>
          <w:rFonts w:ascii="Times New Roman" w:eastAsia="Cambria" w:hAnsi="Times New Roman"/>
          <w:szCs w:val="24"/>
          <w:lang w:eastAsia="ja-JP"/>
        </w:rPr>
        <w:t>y</w:t>
      </w:r>
      <w:r w:rsidRPr="006E622A">
        <w:rPr>
          <w:rFonts w:ascii="Times New Roman" w:eastAsia="Cambria" w:hAnsi="Times New Roman"/>
          <w:szCs w:val="24"/>
          <w:lang w:eastAsia="ja-JP"/>
        </w:rPr>
        <w:t xml:space="preserve"> may influence the decision.</w:t>
      </w:r>
      <w:r w:rsidR="00632776">
        <w:rPr>
          <w:rStyle w:val="FootnoteReference"/>
          <w:rFonts w:ascii="Times New Roman" w:eastAsia="Cambria" w:hAnsi="Times New Roman"/>
          <w:szCs w:val="24"/>
          <w:lang w:eastAsia="ja-JP"/>
        </w:rPr>
        <w:footnoteReference w:id="586"/>
      </w:r>
      <w:r w:rsidR="00400E77">
        <w:rPr>
          <w:rFonts w:ascii="Times New Roman" w:eastAsia="Cambria" w:hAnsi="Times New Roman"/>
          <w:szCs w:val="24"/>
          <w:lang w:eastAsia="ja-JP"/>
        </w:rPr>
        <w:t xml:space="preserve"> </w:t>
      </w:r>
      <w:r w:rsidRPr="006E622A">
        <w:rPr>
          <w:rFonts w:ascii="Times New Roman" w:eastAsia="Cambria" w:hAnsi="Times New Roman"/>
          <w:szCs w:val="24"/>
          <w:lang w:eastAsia="ja-JP"/>
        </w:rPr>
        <w:t>On the other hand, the dispositive category comprises one form of participation, known as control. With control, the victim is akin to the decision-maker.</w:t>
      </w:r>
      <w:r w:rsidR="00632776">
        <w:rPr>
          <w:rFonts w:ascii="Times New Roman" w:eastAsia="Cambria" w:hAnsi="Times New Roman"/>
          <w:szCs w:val="24"/>
          <w:lang w:eastAsia="ja-JP"/>
        </w:rPr>
        <w:t xml:space="preserve"> They are</w:t>
      </w:r>
      <w:r w:rsidR="004C4C95">
        <w:rPr>
          <w:rFonts w:ascii="Times New Roman" w:eastAsia="Cambria" w:hAnsi="Times New Roman"/>
          <w:szCs w:val="24"/>
          <w:lang w:eastAsia="ja-JP"/>
        </w:rPr>
        <w:t xml:space="preserve"> in total control of the decision-making process.</w:t>
      </w:r>
    </w:p>
    <w:p w14:paraId="0485E039" w14:textId="77777777" w:rsidR="006E622A" w:rsidRPr="006E622A" w:rsidRDefault="006E622A" w:rsidP="005E3936">
      <w:pPr>
        <w:spacing w:after="0" w:line="480" w:lineRule="auto"/>
        <w:jc w:val="both"/>
        <w:rPr>
          <w:rFonts w:ascii="Times New Roman" w:eastAsia="Cambria" w:hAnsi="Times New Roman"/>
          <w:szCs w:val="24"/>
          <w:lang w:eastAsia="ja-JP"/>
        </w:rPr>
      </w:pPr>
    </w:p>
    <w:p w14:paraId="1EF78AEE" w14:textId="75D969F2" w:rsidR="00D11E9F" w:rsidRDefault="0002137C" w:rsidP="00E5159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Concerning control, </w:t>
      </w:r>
      <w:r w:rsidR="006E622A" w:rsidRPr="006E622A">
        <w:rPr>
          <w:rFonts w:ascii="Times New Roman" w:eastAsia="Cambria" w:hAnsi="Times New Roman"/>
          <w:szCs w:val="24"/>
          <w:lang w:eastAsia="ja-JP"/>
        </w:rPr>
        <w:t>Edwards assesses this through the relationship of victims with influence and control. Some commenters also corroborate this theory.</w:t>
      </w:r>
      <w:r w:rsidR="00FA0B6A">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 xml:space="preserve">Thibaut and Walker identified two types of </w:t>
      </w:r>
      <w:r w:rsidR="00340D66">
        <w:rPr>
          <w:rFonts w:ascii="Times New Roman" w:eastAsia="Cambria" w:hAnsi="Times New Roman"/>
          <w:szCs w:val="24"/>
          <w:lang w:eastAsia="ja-JP"/>
        </w:rPr>
        <w:t>authority</w:t>
      </w:r>
      <w:r w:rsidR="006E622A" w:rsidRPr="006E622A">
        <w:rPr>
          <w:rFonts w:ascii="Times New Roman" w:eastAsia="Cambria" w:hAnsi="Times New Roman"/>
          <w:szCs w:val="24"/>
          <w:lang w:eastAsia="ja-JP"/>
        </w:rPr>
        <w:t xml:space="preserve"> that parties might have over the procedure used in dispute resolution.</w:t>
      </w:r>
      <w:r w:rsidR="006E622A" w:rsidRPr="006E622A">
        <w:rPr>
          <w:rFonts w:ascii="Times New Roman" w:eastAsia="Cambria" w:hAnsi="Times New Roman"/>
          <w:szCs w:val="24"/>
          <w:vertAlign w:val="superscript"/>
          <w:lang w:eastAsia="ja-JP"/>
        </w:rPr>
        <w:footnoteReference w:id="587"/>
      </w:r>
      <w:r w:rsidR="006E622A" w:rsidRPr="006E622A">
        <w:rPr>
          <w:rFonts w:ascii="Times New Roman" w:eastAsia="Cambria" w:hAnsi="Times New Roman"/>
          <w:szCs w:val="24"/>
          <w:lang w:eastAsia="ja-JP"/>
        </w:rPr>
        <w:t>These are process control and decision control. They made a distinction between these two aspect</w:t>
      </w:r>
      <w:r w:rsidR="00FA0B6A">
        <w:rPr>
          <w:rFonts w:ascii="Times New Roman" w:eastAsia="Cambria" w:hAnsi="Times New Roman"/>
          <w:szCs w:val="24"/>
          <w:lang w:eastAsia="ja-JP"/>
        </w:rPr>
        <w:t>s</w:t>
      </w:r>
      <w:r w:rsidR="006E622A" w:rsidRPr="006E622A">
        <w:rPr>
          <w:rFonts w:ascii="Times New Roman" w:eastAsia="Cambria" w:hAnsi="Times New Roman"/>
          <w:szCs w:val="24"/>
          <w:lang w:eastAsia="ja-JP"/>
        </w:rPr>
        <w:t xml:space="preserve"> of control. The significant difference between the two is that while the process control involves ‘the control over the opportunity to present evidence’, the decision control focuses on the </w:t>
      </w:r>
      <w:r w:rsidR="00D9378B">
        <w:rPr>
          <w:rFonts w:ascii="Times New Roman" w:eastAsia="Cambria" w:hAnsi="Times New Roman"/>
          <w:szCs w:val="24"/>
          <w:lang w:eastAsia="ja-JP"/>
        </w:rPr>
        <w:t>victims' ability</w:t>
      </w:r>
      <w:r w:rsidR="006E622A" w:rsidRPr="006E622A">
        <w:rPr>
          <w:rFonts w:ascii="Times New Roman" w:eastAsia="Cambria" w:hAnsi="Times New Roman"/>
          <w:szCs w:val="24"/>
          <w:lang w:eastAsia="ja-JP"/>
        </w:rPr>
        <w:t xml:space="preserve"> to exercise control over the final decision.</w:t>
      </w:r>
      <w:r w:rsidR="006E622A" w:rsidRPr="006E622A">
        <w:rPr>
          <w:rFonts w:ascii="Times New Roman" w:eastAsia="Cambria" w:hAnsi="Times New Roman"/>
          <w:szCs w:val="24"/>
          <w:vertAlign w:val="superscript"/>
          <w:lang w:eastAsia="ja-JP"/>
        </w:rPr>
        <w:footnoteReference w:id="588"/>
      </w:r>
      <w:r w:rsidR="006E622A" w:rsidRPr="006E622A">
        <w:rPr>
          <w:rFonts w:ascii="Times New Roman" w:eastAsia="Cambria" w:hAnsi="Times New Roman"/>
          <w:szCs w:val="24"/>
          <w:lang w:eastAsia="ja-JP"/>
        </w:rPr>
        <w:t xml:space="preserve"> </w:t>
      </w:r>
      <w:r w:rsidR="00400E77">
        <w:rPr>
          <w:rFonts w:ascii="Times New Roman" w:eastAsia="Cambria" w:hAnsi="Times New Roman"/>
          <w:szCs w:val="24"/>
          <w:lang w:eastAsia="ja-JP"/>
        </w:rPr>
        <w:t>D</w:t>
      </w:r>
      <w:r w:rsidR="006E622A" w:rsidRPr="006E622A">
        <w:rPr>
          <w:rFonts w:ascii="Times New Roman" w:eastAsia="Cambria" w:hAnsi="Times New Roman"/>
          <w:szCs w:val="24"/>
          <w:lang w:eastAsia="ja-JP"/>
        </w:rPr>
        <w:t>ata from the transcripts reveal that victims have, to some extent</w:t>
      </w:r>
      <w:r w:rsidR="00400E77">
        <w:rPr>
          <w:rFonts w:ascii="Times New Roman" w:eastAsia="Cambria" w:hAnsi="Times New Roman"/>
          <w:szCs w:val="24"/>
          <w:lang w:eastAsia="ja-JP"/>
        </w:rPr>
        <w:t>,</w:t>
      </w:r>
      <w:r w:rsidR="006E622A" w:rsidRPr="006E622A">
        <w:rPr>
          <w:rFonts w:ascii="Times New Roman" w:eastAsia="Cambria" w:hAnsi="Times New Roman"/>
          <w:szCs w:val="24"/>
          <w:lang w:eastAsia="ja-JP"/>
        </w:rPr>
        <w:t xml:space="preserve"> a degree of control over the process.</w:t>
      </w:r>
      <w:r>
        <w:rPr>
          <w:rFonts w:ascii="Times New Roman" w:eastAsia="Cambria" w:hAnsi="Times New Roman"/>
          <w:szCs w:val="24"/>
          <w:lang w:eastAsia="ja-JP"/>
        </w:rPr>
        <w:t xml:space="preserve"> </w:t>
      </w:r>
      <w:r w:rsidR="00E32928">
        <w:rPr>
          <w:rFonts w:ascii="Times New Roman" w:eastAsia="Cambria" w:hAnsi="Times New Roman"/>
          <w:szCs w:val="24"/>
          <w:lang w:eastAsia="ja-JP"/>
        </w:rPr>
        <w:t>P</w:t>
      </w:r>
      <w:r w:rsidR="006E622A" w:rsidRPr="006E622A">
        <w:rPr>
          <w:rFonts w:ascii="Times New Roman" w:eastAsia="Cambria" w:hAnsi="Times New Roman"/>
          <w:szCs w:val="24"/>
          <w:lang w:eastAsia="ja-JP"/>
        </w:rPr>
        <w:t>artic</w:t>
      </w:r>
      <w:r>
        <w:rPr>
          <w:rFonts w:ascii="Times New Roman" w:eastAsia="Cambria" w:hAnsi="Times New Roman"/>
          <w:szCs w:val="24"/>
          <w:lang w:eastAsia="ja-JP"/>
        </w:rPr>
        <w:t>i</w:t>
      </w:r>
      <w:r w:rsidR="006E622A" w:rsidRPr="006E622A">
        <w:rPr>
          <w:rFonts w:ascii="Times New Roman" w:eastAsia="Cambria" w:hAnsi="Times New Roman"/>
          <w:szCs w:val="24"/>
          <w:lang w:eastAsia="ja-JP"/>
        </w:rPr>
        <w:t>patory rights,</w:t>
      </w:r>
      <w:r w:rsidR="006E622A" w:rsidRPr="006E622A">
        <w:rPr>
          <w:rFonts w:ascii="Times New Roman" w:eastAsia="Cambria" w:hAnsi="Times New Roman"/>
          <w:szCs w:val="24"/>
          <w:vertAlign w:val="superscript"/>
          <w:lang w:eastAsia="ja-JP"/>
        </w:rPr>
        <w:footnoteReference w:id="589"/>
      </w:r>
      <w:r w:rsidR="006E622A" w:rsidRPr="006E622A">
        <w:rPr>
          <w:rFonts w:ascii="Times New Roman" w:eastAsia="Cambria" w:hAnsi="Times New Roman"/>
          <w:szCs w:val="24"/>
          <w:lang w:eastAsia="ja-JP"/>
        </w:rPr>
        <w:t xml:space="preserve"> through LRVs,</w:t>
      </w:r>
      <w:r w:rsidR="006E622A" w:rsidRPr="006E622A">
        <w:rPr>
          <w:rFonts w:ascii="Times New Roman" w:eastAsia="Cambria" w:hAnsi="Times New Roman"/>
          <w:szCs w:val="24"/>
          <w:vertAlign w:val="superscript"/>
          <w:lang w:eastAsia="ja-JP"/>
        </w:rPr>
        <w:footnoteReference w:id="590"/>
      </w:r>
      <w:r w:rsidR="006E622A" w:rsidRPr="006E622A">
        <w:rPr>
          <w:rFonts w:ascii="Times New Roman" w:eastAsia="Cambria" w:hAnsi="Times New Roman"/>
          <w:szCs w:val="24"/>
          <w:lang w:eastAsia="ja-JP"/>
        </w:rPr>
        <w:t xml:space="preserve"> questi</w:t>
      </w:r>
      <w:r w:rsidR="00E5159A">
        <w:rPr>
          <w:rFonts w:ascii="Times New Roman" w:eastAsia="Cambria" w:hAnsi="Times New Roman"/>
          <w:szCs w:val="24"/>
          <w:lang w:eastAsia="ja-JP"/>
        </w:rPr>
        <w:t>oning of witnesses,</w:t>
      </w:r>
      <w:r w:rsidR="006E622A" w:rsidRPr="006E622A">
        <w:rPr>
          <w:rFonts w:ascii="Times New Roman" w:eastAsia="Cambria" w:hAnsi="Times New Roman"/>
          <w:szCs w:val="24"/>
          <w:lang w:eastAsia="ja-JP"/>
        </w:rPr>
        <w:t xml:space="preserve"> adm</w:t>
      </w:r>
      <w:r>
        <w:rPr>
          <w:rFonts w:ascii="Times New Roman" w:eastAsia="Cambria" w:hAnsi="Times New Roman"/>
          <w:szCs w:val="24"/>
          <w:lang w:eastAsia="ja-JP"/>
        </w:rPr>
        <w:t xml:space="preserve">issibility and relevancy of </w:t>
      </w:r>
      <w:r w:rsidR="006E622A" w:rsidRPr="006E622A">
        <w:rPr>
          <w:rFonts w:ascii="Times New Roman" w:eastAsia="Cambria" w:hAnsi="Times New Roman"/>
          <w:szCs w:val="24"/>
          <w:lang w:eastAsia="ja-JP"/>
        </w:rPr>
        <w:t>evidence,</w:t>
      </w:r>
      <w:r w:rsidR="006E622A" w:rsidRPr="006E622A">
        <w:rPr>
          <w:rFonts w:ascii="Times New Roman" w:eastAsia="Cambria" w:hAnsi="Times New Roman"/>
          <w:szCs w:val="24"/>
          <w:vertAlign w:val="superscript"/>
          <w:lang w:eastAsia="ja-JP"/>
        </w:rPr>
        <w:footnoteReference w:id="591"/>
      </w:r>
      <w:r w:rsidR="006E622A" w:rsidRPr="006E622A">
        <w:rPr>
          <w:rFonts w:ascii="Times New Roman" w:eastAsia="Cambria" w:hAnsi="Times New Roman"/>
          <w:szCs w:val="24"/>
          <w:lang w:eastAsia="ja-JP"/>
        </w:rPr>
        <w:t xml:space="preserve"> sentencing, and decisions of the Court.</w:t>
      </w:r>
      <w:r w:rsidR="006E622A" w:rsidRPr="006E622A">
        <w:rPr>
          <w:rFonts w:ascii="Times New Roman" w:eastAsia="Cambria" w:hAnsi="Times New Roman"/>
          <w:szCs w:val="24"/>
          <w:vertAlign w:val="superscript"/>
          <w:lang w:eastAsia="ja-JP"/>
        </w:rPr>
        <w:footnoteReference w:id="592"/>
      </w:r>
      <w:r w:rsidR="006E622A" w:rsidRPr="006E622A">
        <w:rPr>
          <w:rFonts w:ascii="Times New Roman" w:eastAsia="Cambria" w:hAnsi="Times New Roman"/>
          <w:szCs w:val="24"/>
          <w:lang w:eastAsia="ja-JP"/>
        </w:rPr>
        <w:t xml:space="preserve"> </w:t>
      </w:r>
      <w:r w:rsidR="00FA0B6A">
        <w:rPr>
          <w:rFonts w:ascii="Times New Roman" w:eastAsia="Cambria" w:hAnsi="Times New Roman"/>
          <w:szCs w:val="24"/>
          <w:lang w:eastAsia="ja-JP"/>
        </w:rPr>
        <w:t>Also</w:t>
      </w:r>
      <w:r w:rsidR="006E622A" w:rsidRPr="006E622A">
        <w:rPr>
          <w:rFonts w:ascii="Times New Roman" w:eastAsia="Cambria" w:hAnsi="Times New Roman"/>
          <w:szCs w:val="24"/>
          <w:lang w:eastAsia="ja-JP"/>
        </w:rPr>
        <w:t xml:space="preserve">, victims are allowed, through their LRVs to submit </w:t>
      </w:r>
      <w:r w:rsidR="006E622A" w:rsidRPr="006E622A">
        <w:rPr>
          <w:rFonts w:ascii="Times New Roman" w:eastAsia="Cambria" w:hAnsi="Times New Roman"/>
          <w:szCs w:val="24"/>
          <w:lang w:eastAsia="ja-JP"/>
        </w:rPr>
        <w:lastRenderedPageBreak/>
        <w:t>observations(oral and written), representations,</w:t>
      </w:r>
      <w:r w:rsidR="006E622A" w:rsidRPr="006E622A">
        <w:rPr>
          <w:rFonts w:ascii="Times New Roman" w:eastAsia="Cambria" w:hAnsi="Times New Roman"/>
          <w:szCs w:val="24"/>
          <w:vertAlign w:val="superscript"/>
          <w:lang w:eastAsia="ja-JP"/>
        </w:rPr>
        <w:footnoteReference w:id="593"/>
      </w:r>
      <w:r w:rsidR="006E622A" w:rsidRPr="006E622A">
        <w:rPr>
          <w:rFonts w:ascii="Times New Roman" w:eastAsia="Cambria" w:hAnsi="Times New Roman"/>
          <w:szCs w:val="24"/>
          <w:lang w:eastAsia="ja-JP"/>
        </w:rPr>
        <w:t xml:space="preserve"> participating in hearings,</w:t>
      </w:r>
      <w:r w:rsidR="006E622A" w:rsidRPr="006E622A">
        <w:rPr>
          <w:rFonts w:ascii="Times New Roman" w:eastAsia="Cambria" w:hAnsi="Times New Roman"/>
          <w:szCs w:val="24"/>
          <w:vertAlign w:val="superscript"/>
          <w:lang w:eastAsia="ja-JP"/>
        </w:rPr>
        <w:footnoteReference w:id="594"/>
      </w:r>
      <w:r w:rsidR="006E622A" w:rsidRPr="006E622A">
        <w:rPr>
          <w:rFonts w:ascii="Times New Roman" w:eastAsia="Cambria" w:hAnsi="Times New Roman"/>
          <w:szCs w:val="24"/>
          <w:lang w:eastAsia="ja-JP"/>
        </w:rPr>
        <w:t xml:space="preserve">  attending trials,</w:t>
      </w:r>
      <w:r w:rsidR="006E622A" w:rsidRPr="006E622A">
        <w:rPr>
          <w:rFonts w:ascii="Times New Roman" w:eastAsia="Cambria" w:hAnsi="Times New Roman"/>
          <w:szCs w:val="24"/>
          <w:vertAlign w:val="superscript"/>
          <w:lang w:eastAsia="ja-JP"/>
        </w:rPr>
        <w:footnoteReference w:id="595"/>
      </w:r>
      <w:r w:rsidR="006E622A" w:rsidRPr="006E622A">
        <w:rPr>
          <w:rFonts w:ascii="Times New Roman" w:eastAsia="Cambria" w:hAnsi="Times New Roman"/>
          <w:szCs w:val="24"/>
          <w:lang w:eastAsia="ja-JP"/>
        </w:rPr>
        <w:t>The adversarial system</w:t>
      </w:r>
      <w:r w:rsidR="00FA0B6A">
        <w:rPr>
          <w:rFonts w:ascii="Times New Roman" w:eastAsia="Cambria" w:hAnsi="Times New Roman"/>
          <w:szCs w:val="24"/>
          <w:lang w:eastAsia="ja-JP"/>
        </w:rPr>
        <w:t>,</w:t>
      </w:r>
      <w:r w:rsidR="006E622A" w:rsidRPr="006E622A">
        <w:rPr>
          <w:rFonts w:ascii="Times New Roman" w:eastAsia="Cambria" w:hAnsi="Times New Roman"/>
          <w:szCs w:val="24"/>
          <w:lang w:eastAsia="ja-JP"/>
        </w:rPr>
        <w:t xml:space="preserve"> in particular limits the extent of control victims can have in the presentation of evidence and decision-making. </w:t>
      </w:r>
    </w:p>
    <w:p w14:paraId="316924E1" w14:textId="164C6EE5" w:rsidR="00FA0B6A" w:rsidRDefault="00400E77" w:rsidP="00D11E9F">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T</w:t>
      </w:r>
      <w:r w:rsidRPr="006E622A">
        <w:rPr>
          <w:rFonts w:ascii="Times New Roman" w:eastAsia="Cambria" w:hAnsi="Times New Roman"/>
          <w:szCs w:val="24"/>
          <w:lang w:eastAsia="ja-JP"/>
        </w:rPr>
        <w:t xml:space="preserve">he decision-maker is </w:t>
      </w:r>
      <w:r w:rsidR="00340D66">
        <w:rPr>
          <w:rFonts w:ascii="Times New Roman" w:eastAsia="Cambria" w:hAnsi="Times New Roman"/>
          <w:szCs w:val="24"/>
          <w:lang w:eastAsia="ja-JP"/>
        </w:rPr>
        <w:t>obligated</w:t>
      </w:r>
      <w:r w:rsidRPr="006E622A">
        <w:rPr>
          <w:rFonts w:ascii="Times New Roman" w:eastAsia="Cambria" w:hAnsi="Times New Roman"/>
          <w:szCs w:val="24"/>
          <w:lang w:eastAsia="ja-JP"/>
        </w:rPr>
        <w:t xml:space="preserve"> to identify and use the victims ‘preference’ in decision-making</w:t>
      </w:r>
      <w:r>
        <w:rPr>
          <w:rFonts w:ascii="Times New Roman" w:eastAsia="Cambria" w:hAnsi="Times New Roman"/>
          <w:szCs w:val="24"/>
          <w:lang w:eastAsia="ja-JP"/>
        </w:rPr>
        <w:t xml:space="preserve"> while t</w:t>
      </w:r>
      <w:r w:rsidRPr="006E622A">
        <w:rPr>
          <w:rFonts w:ascii="Times New Roman" w:eastAsia="Cambria" w:hAnsi="Times New Roman"/>
          <w:szCs w:val="24"/>
          <w:lang w:eastAsia="ja-JP"/>
        </w:rPr>
        <w:t xml:space="preserve">he victim </w:t>
      </w:r>
      <w:r>
        <w:rPr>
          <w:rFonts w:ascii="Times New Roman" w:eastAsia="Cambria" w:hAnsi="Times New Roman"/>
          <w:szCs w:val="24"/>
          <w:lang w:eastAsia="ja-JP"/>
        </w:rPr>
        <w:t xml:space="preserve">must </w:t>
      </w:r>
      <w:r w:rsidRPr="006E622A">
        <w:rPr>
          <w:rFonts w:ascii="Times New Roman" w:eastAsia="Cambria" w:hAnsi="Times New Roman"/>
          <w:szCs w:val="24"/>
          <w:lang w:eastAsia="ja-JP"/>
        </w:rPr>
        <w:t>submit his preference to the decision-maker</w:t>
      </w:r>
      <w:r>
        <w:rPr>
          <w:rFonts w:ascii="Times New Roman" w:eastAsia="Cambria" w:hAnsi="Times New Roman"/>
          <w:szCs w:val="24"/>
          <w:lang w:eastAsia="ja-JP"/>
        </w:rPr>
        <w:t>.</w:t>
      </w:r>
      <w:r w:rsidR="00D11E9F" w:rsidRPr="006E622A">
        <w:rPr>
          <w:rFonts w:ascii="Times New Roman" w:eastAsia="Cambria" w:hAnsi="Times New Roman"/>
          <w:szCs w:val="24"/>
          <w:vertAlign w:val="superscript"/>
          <w:lang w:eastAsia="ja-JP"/>
        </w:rPr>
        <w:footnoteReference w:id="596"/>
      </w:r>
      <w:r w:rsidR="00D11E9F" w:rsidRPr="006E622A">
        <w:rPr>
          <w:rFonts w:ascii="Times New Roman" w:eastAsia="Cambria" w:hAnsi="Times New Roman"/>
          <w:szCs w:val="24"/>
          <w:lang w:eastAsia="ja-JP"/>
        </w:rPr>
        <w:t>Hence the victim has control over the process of decis</w:t>
      </w:r>
      <w:r w:rsidR="00FA0B6A">
        <w:rPr>
          <w:rFonts w:ascii="Times New Roman" w:eastAsia="Cambria" w:hAnsi="Times New Roman"/>
          <w:szCs w:val="24"/>
          <w:lang w:eastAsia="ja-JP"/>
        </w:rPr>
        <w:t>i</w:t>
      </w:r>
      <w:r w:rsidR="00D11E9F" w:rsidRPr="006E622A">
        <w:rPr>
          <w:rFonts w:ascii="Times New Roman" w:eastAsia="Cambria" w:hAnsi="Times New Roman"/>
          <w:szCs w:val="24"/>
          <w:lang w:eastAsia="ja-JP"/>
        </w:rPr>
        <w:t>on-maker</w:t>
      </w:r>
      <w:r>
        <w:rPr>
          <w:rFonts w:ascii="Times New Roman" w:eastAsia="Cambria" w:hAnsi="Times New Roman"/>
          <w:szCs w:val="24"/>
          <w:lang w:eastAsia="ja-JP"/>
        </w:rPr>
        <w:t>.</w:t>
      </w:r>
      <w:r w:rsidR="00FA0B6A">
        <w:rPr>
          <w:rFonts w:ascii="Times New Roman" w:eastAsia="Cambria" w:hAnsi="Times New Roman"/>
          <w:szCs w:val="24"/>
          <w:lang w:eastAsia="ja-JP"/>
        </w:rPr>
        <w:t xml:space="preserve"> </w:t>
      </w:r>
      <w:r w:rsidR="00D11E9F" w:rsidRPr="006E622A">
        <w:rPr>
          <w:rFonts w:ascii="Times New Roman" w:eastAsia="Cambria" w:hAnsi="Times New Roman"/>
          <w:szCs w:val="24"/>
          <w:lang w:eastAsia="ja-JP"/>
        </w:rPr>
        <w:t xml:space="preserve">However, each form of participation is either based on </w:t>
      </w:r>
      <w:r w:rsidR="00FA0B6A">
        <w:rPr>
          <w:rFonts w:ascii="Times New Roman" w:eastAsia="Cambria" w:hAnsi="Times New Roman"/>
          <w:szCs w:val="24"/>
          <w:lang w:eastAsia="ja-JP"/>
        </w:rPr>
        <w:t xml:space="preserve">a </w:t>
      </w:r>
      <w:r w:rsidR="00D11E9F" w:rsidRPr="006E622A">
        <w:rPr>
          <w:rFonts w:ascii="Times New Roman" w:eastAsia="Cambria" w:hAnsi="Times New Roman"/>
          <w:szCs w:val="24"/>
          <w:lang w:eastAsia="ja-JP"/>
        </w:rPr>
        <w:t>symbolic voice or an influencing voice or control.</w:t>
      </w:r>
      <w:r w:rsidR="00D11E9F">
        <w:rPr>
          <w:rFonts w:ascii="Times New Roman" w:eastAsia="Cambria" w:hAnsi="Times New Roman"/>
          <w:szCs w:val="24"/>
          <w:lang w:eastAsia="ja-JP"/>
        </w:rPr>
        <w:t xml:space="preserve"> </w:t>
      </w:r>
      <w:r>
        <w:rPr>
          <w:rFonts w:ascii="Times New Roman" w:eastAsia="Cambria" w:hAnsi="Times New Roman"/>
          <w:szCs w:val="24"/>
          <w:lang w:eastAsia="ja-JP"/>
        </w:rPr>
        <w:t xml:space="preserve">With </w:t>
      </w:r>
      <w:r w:rsidR="00D11E9F" w:rsidRPr="006E622A">
        <w:rPr>
          <w:rFonts w:ascii="Times New Roman" w:eastAsia="Cambria" w:hAnsi="Times New Roman"/>
          <w:szCs w:val="24"/>
          <w:lang w:eastAsia="ja-JP"/>
        </w:rPr>
        <w:t xml:space="preserve">the ICC, the control of decision –making is entirely left to the </w:t>
      </w:r>
      <w:r w:rsidR="00340D66">
        <w:rPr>
          <w:rFonts w:ascii="Times New Roman" w:eastAsia="Cambria" w:hAnsi="Times New Roman"/>
          <w:szCs w:val="24"/>
          <w:lang w:eastAsia="ja-JP"/>
        </w:rPr>
        <w:t>Court's discretion</w:t>
      </w:r>
      <w:r w:rsidR="00D11E9F" w:rsidRPr="006E622A">
        <w:rPr>
          <w:rFonts w:ascii="Times New Roman" w:eastAsia="Cambria" w:hAnsi="Times New Roman"/>
          <w:szCs w:val="24"/>
          <w:lang w:eastAsia="ja-JP"/>
        </w:rPr>
        <w:t>.</w:t>
      </w:r>
    </w:p>
    <w:p w14:paraId="18BA0B43" w14:textId="77777777" w:rsidR="00CF5550" w:rsidRDefault="00CF5550" w:rsidP="00D11E9F">
      <w:pPr>
        <w:spacing w:after="0" w:line="480" w:lineRule="auto"/>
        <w:jc w:val="both"/>
        <w:rPr>
          <w:rFonts w:ascii="Times New Roman" w:eastAsia="Cambria" w:hAnsi="Times New Roman"/>
          <w:szCs w:val="24"/>
          <w:vertAlign w:val="superscript"/>
          <w:lang w:eastAsia="ja-JP"/>
        </w:rPr>
      </w:pPr>
    </w:p>
    <w:p w14:paraId="250CBF90" w14:textId="69FFA8D9" w:rsidR="006E622A" w:rsidRPr="006E622A" w:rsidRDefault="00340D66" w:rsidP="00E5159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Regarding the non-dispositive category, consultation centres on identifying and considering</w:t>
      </w:r>
      <w:r w:rsidR="006E622A" w:rsidRPr="006E622A">
        <w:rPr>
          <w:rFonts w:ascii="Times New Roman" w:eastAsia="Cambria" w:hAnsi="Times New Roman"/>
          <w:szCs w:val="24"/>
          <w:lang w:eastAsia="ja-JP"/>
        </w:rPr>
        <w:t xml:space="preserve"> the views and opinions about guidelines and strategies to be used in the formulation of policies or decisions.</w:t>
      </w:r>
      <w:r w:rsidR="006E622A" w:rsidRPr="006E622A">
        <w:rPr>
          <w:rFonts w:ascii="Times New Roman" w:eastAsia="Cambria" w:hAnsi="Times New Roman"/>
          <w:szCs w:val="24"/>
          <w:vertAlign w:val="superscript"/>
          <w:lang w:eastAsia="ja-JP"/>
        </w:rPr>
        <w:footnoteReference w:id="597"/>
      </w:r>
      <w:r w:rsidR="006E622A" w:rsidRPr="006E622A">
        <w:rPr>
          <w:rFonts w:ascii="Times New Roman" w:eastAsia="Cambria" w:hAnsi="Times New Roman"/>
          <w:szCs w:val="24"/>
          <w:lang w:eastAsia="ja-JP"/>
        </w:rPr>
        <w:t>Cambridge dictionary defines ‘consultation’ as ‘the process of discussing something with someone to get their advice or opinion about’</w:t>
      </w:r>
      <w:r w:rsidR="006E622A" w:rsidRPr="006E622A">
        <w:rPr>
          <w:rFonts w:ascii="Times New Roman" w:eastAsia="Cambria" w:hAnsi="Times New Roman"/>
          <w:szCs w:val="24"/>
          <w:vertAlign w:val="superscript"/>
          <w:lang w:eastAsia="ja-JP"/>
        </w:rPr>
        <w:footnoteReference w:id="598"/>
      </w:r>
      <w:r w:rsidR="006E622A" w:rsidRPr="006E622A">
        <w:rPr>
          <w:rFonts w:ascii="Times New Roman" w:eastAsia="Cambria" w:hAnsi="Times New Roman"/>
          <w:szCs w:val="24"/>
          <w:lang w:eastAsia="ja-JP"/>
        </w:rPr>
        <w:t xml:space="preserve"> The consultation connotes the process of seeking the opinions and views of victims during the criminal proceedings. It also means that the criminal justice system or decision-maker is obliged to seek victims views and concerns</w:t>
      </w:r>
      <w:r w:rsidR="00400E77">
        <w:rPr>
          <w:rFonts w:ascii="Times New Roman" w:eastAsia="Cambria" w:hAnsi="Times New Roman"/>
          <w:szCs w:val="24"/>
          <w:lang w:eastAsia="ja-JP"/>
        </w:rPr>
        <w:t>. However,</w:t>
      </w:r>
      <w:r w:rsidR="006E622A" w:rsidRPr="006E622A">
        <w:rPr>
          <w:rFonts w:ascii="Times New Roman" w:eastAsia="Cambria" w:hAnsi="Times New Roman"/>
          <w:szCs w:val="24"/>
          <w:lang w:eastAsia="ja-JP"/>
        </w:rPr>
        <w:t xml:space="preserve"> it is not under an obligation to include these views and opinions in the final decision.</w:t>
      </w:r>
      <w:r w:rsidR="006E622A" w:rsidRPr="006E622A">
        <w:rPr>
          <w:rFonts w:ascii="Times New Roman" w:eastAsia="Cambria" w:hAnsi="Times New Roman"/>
          <w:szCs w:val="24"/>
          <w:vertAlign w:val="superscript"/>
          <w:lang w:eastAsia="ja-JP"/>
        </w:rPr>
        <w:footnoteReference w:id="599"/>
      </w:r>
      <w:r w:rsidR="006E622A" w:rsidRPr="006E622A">
        <w:rPr>
          <w:rFonts w:ascii="Times New Roman" w:eastAsia="Cambria" w:hAnsi="Times New Roman"/>
          <w:szCs w:val="24"/>
          <w:lang w:eastAsia="ja-JP"/>
        </w:rPr>
        <w:t xml:space="preserve"> These views and concerns need to be balanced with other </w:t>
      </w:r>
      <w:r w:rsidR="00400E77">
        <w:rPr>
          <w:rFonts w:ascii="Times New Roman" w:eastAsia="Cambria" w:hAnsi="Times New Roman"/>
          <w:szCs w:val="24"/>
          <w:lang w:eastAsia="ja-JP"/>
        </w:rPr>
        <w:t>essential</w:t>
      </w:r>
      <w:r w:rsidR="006E622A" w:rsidRPr="006E622A">
        <w:rPr>
          <w:rFonts w:ascii="Times New Roman" w:eastAsia="Cambria" w:hAnsi="Times New Roman"/>
          <w:szCs w:val="24"/>
          <w:lang w:eastAsia="ja-JP"/>
        </w:rPr>
        <w:t xml:space="preserve"> factors. It should be noted </w:t>
      </w:r>
      <w:r w:rsidR="006E622A" w:rsidRPr="006E622A">
        <w:rPr>
          <w:rFonts w:ascii="Times New Roman" w:eastAsia="Cambria" w:hAnsi="Times New Roman"/>
          <w:szCs w:val="24"/>
          <w:lang w:eastAsia="ja-JP"/>
        </w:rPr>
        <w:lastRenderedPageBreak/>
        <w:t xml:space="preserve">that these views and concerns may influence the decisions, but there are other competing factors. Hence, consultation may not have an impact on the outcome concerning the victims' intentions and expectations. It is considered being a means to an end or due diligence. One criticism of this form of participation is that it might create false expectations for the victims who feel their contribution will have a </w:t>
      </w:r>
      <w:r w:rsidR="00E32928">
        <w:rPr>
          <w:rFonts w:ascii="Times New Roman" w:eastAsia="Cambria" w:hAnsi="Times New Roman"/>
          <w:szCs w:val="24"/>
          <w:lang w:eastAsia="ja-JP"/>
        </w:rPr>
        <w:t>considerabl</w:t>
      </w:r>
      <w:r w:rsidR="006E622A" w:rsidRPr="006E622A">
        <w:rPr>
          <w:rFonts w:ascii="Times New Roman" w:eastAsia="Cambria" w:hAnsi="Times New Roman"/>
          <w:szCs w:val="24"/>
          <w:lang w:eastAsia="ja-JP"/>
        </w:rPr>
        <w:t>e impact on the decision.</w:t>
      </w:r>
    </w:p>
    <w:p w14:paraId="751DC323" w14:textId="77777777" w:rsidR="006E622A" w:rsidRPr="006E622A" w:rsidRDefault="006E622A" w:rsidP="00E5159A">
      <w:pPr>
        <w:spacing w:after="0" w:line="480" w:lineRule="auto"/>
        <w:jc w:val="both"/>
        <w:rPr>
          <w:rFonts w:ascii="Times New Roman" w:eastAsia="Cambria" w:hAnsi="Times New Roman"/>
          <w:szCs w:val="24"/>
          <w:lang w:eastAsia="ja-JP"/>
        </w:rPr>
      </w:pPr>
    </w:p>
    <w:p w14:paraId="11D40F07" w14:textId="7FC6DA1C" w:rsidR="006E622A" w:rsidRPr="006E622A" w:rsidRDefault="006E622A" w:rsidP="00E5159A">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 xml:space="preserve">The provision of </w:t>
      </w:r>
      <w:r w:rsidR="00FA0B6A">
        <w:rPr>
          <w:rFonts w:ascii="Times New Roman" w:eastAsia="Cambria" w:hAnsi="Times New Roman"/>
          <w:szCs w:val="24"/>
          <w:lang w:eastAsia="ja-JP"/>
        </w:rPr>
        <w:t>A</w:t>
      </w:r>
      <w:r w:rsidRPr="006E622A">
        <w:rPr>
          <w:rFonts w:ascii="Times New Roman" w:eastAsia="Cambria" w:hAnsi="Times New Roman"/>
          <w:szCs w:val="24"/>
          <w:lang w:eastAsia="ja-JP"/>
        </w:rPr>
        <w:t>rticle 68(3)</w:t>
      </w:r>
      <w:r w:rsidRPr="006E622A">
        <w:rPr>
          <w:rFonts w:ascii="Times New Roman" w:eastAsia="Cambria" w:hAnsi="Times New Roman"/>
          <w:szCs w:val="24"/>
          <w:vertAlign w:val="superscript"/>
          <w:lang w:eastAsia="ja-JP"/>
        </w:rPr>
        <w:footnoteReference w:id="600"/>
      </w:r>
      <w:r w:rsidRPr="006E622A">
        <w:rPr>
          <w:rFonts w:ascii="Times New Roman" w:eastAsia="Cambria" w:hAnsi="Times New Roman"/>
          <w:szCs w:val="24"/>
          <w:lang w:eastAsia="ja-JP"/>
        </w:rPr>
        <w:t xml:space="preserve"> depicts the implications of consultation.</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The discretion given to the court in determining the appropriate stage of participation reinforces the use of consulta</w:t>
      </w:r>
      <w:r w:rsidR="0043320C">
        <w:rPr>
          <w:rFonts w:ascii="Times New Roman" w:eastAsia="Cambria" w:hAnsi="Times New Roman"/>
          <w:szCs w:val="24"/>
          <w:lang w:eastAsia="ja-JP"/>
        </w:rPr>
        <w:t>tion as a form of participation;</w:t>
      </w:r>
      <w:r w:rsidR="00FA0B6A">
        <w:rPr>
          <w:rFonts w:ascii="Times New Roman" w:eastAsia="Cambria" w:hAnsi="Times New Roman"/>
          <w:szCs w:val="24"/>
          <w:lang w:eastAsia="ja-JP"/>
        </w:rPr>
        <w:t xml:space="preserve"> </w:t>
      </w:r>
      <w:r w:rsidR="0043320C">
        <w:rPr>
          <w:rFonts w:ascii="Times New Roman" w:eastAsia="Cambria" w:hAnsi="Times New Roman"/>
          <w:szCs w:val="24"/>
          <w:lang w:eastAsia="ja-JP"/>
        </w:rPr>
        <w:t xml:space="preserve">judicial discretion to determine the </w:t>
      </w:r>
      <w:r w:rsidR="00340D66">
        <w:rPr>
          <w:rFonts w:ascii="Times New Roman" w:eastAsia="Cambria" w:hAnsi="Times New Roman"/>
          <w:szCs w:val="24"/>
          <w:lang w:eastAsia="ja-JP"/>
        </w:rPr>
        <w:t>proper</w:t>
      </w:r>
      <w:r w:rsidR="0043320C">
        <w:rPr>
          <w:rFonts w:ascii="Times New Roman" w:eastAsia="Cambria" w:hAnsi="Times New Roman"/>
          <w:szCs w:val="24"/>
          <w:lang w:eastAsia="ja-JP"/>
        </w:rPr>
        <w:t xml:space="preserve"> stage </w:t>
      </w:r>
      <w:r w:rsidR="00340D66">
        <w:rPr>
          <w:rFonts w:ascii="Times New Roman" w:eastAsia="Cambria" w:hAnsi="Times New Roman"/>
          <w:szCs w:val="24"/>
          <w:lang w:eastAsia="ja-JP"/>
        </w:rPr>
        <w:t>of involvement</w:t>
      </w:r>
      <w:r w:rsidR="00632776">
        <w:rPr>
          <w:rFonts w:ascii="Times New Roman" w:eastAsia="Cambria" w:hAnsi="Times New Roman"/>
          <w:szCs w:val="24"/>
          <w:lang w:eastAsia="ja-JP"/>
        </w:rPr>
        <w:t>, and considering the victims' views and concern</w:t>
      </w:r>
      <w:r w:rsidR="0043320C">
        <w:rPr>
          <w:rFonts w:ascii="Times New Roman" w:eastAsia="Cambria" w:hAnsi="Times New Roman"/>
          <w:szCs w:val="24"/>
          <w:lang w:eastAsia="ja-JP"/>
        </w:rPr>
        <w:t xml:space="preserve">s. </w:t>
      </w:r>
      <w:r w:rsidRPr="006E622A">
        <w:rPr>
          <w:rFonts w:ascii="Times New Roman" w:eastAsia="Cambria" w:hAnsi="Times New Roman"/>
          <w:szCs w:val="24"/>
          <w:lang w:eastAsia="ja-JP"/>
        </w:rPr>
        <w:t xml:space="preserve">In the same vein, Article 61 appears to demonstrate that victims have </w:t>
      </w:r>
      <w:r w:rsidR="00FA0B6A">
        <w:rPr>
          <w:rFonts w:ascii="Times New Roman" w:eastAsia="Cambria" w:hAnsi="Times New Roman"/>
          <w:szCs w:val="24"/>
          <w:lang w:eastAsia="ja-JP"/>
        </w:rPr>
        <w:t xml:space="preserve">an </w:t>
      </w:r>
      <w:r w:rsidRPr="006E622A">
        <w:rPr>
          <w:rFonts w:ascii="Times New Roman" w:eastAsia="Cambria" w:hAnsi="Times New Roman"/>
          <w:szCs w:val="24"/>
          <w:lang w:eastAsia="ja-JP"/>
        </w:rPr>
        <w:t>interest in participation.</w:t>
      </w:r>
      <w:r w:rsidRPr="006E622A">
        <w:rPr>
          <w:rFonts w:ascii="Times New Roman" w:eastAsia="Cambria" w:hAnsi="Times New Roman"/>
          <w:szCs w:val="24"/>
          <w:vertAlign w:val="superscript"/>
          <w:lang w:eastAsia="ja-JP"/>
        </w:rPr>
        <w:footnoteReference w:id="601"/>
      </w:r>
      <w:r w:rsidR="008C785E">
        <w:rPr>
          <w:rFonts w:ascii="Times New Roman" w:eastAsia="Cambria" w:hAnsi="Times New Roman"/>
          <w:szCs w:val="24"/>
          <w:lang w:eastAsia="ja-JP"/>
        </w:rPr>
        <w:t xml:space="preserve">It </w:t>
      </w:r>
      <w:r w:rsidRPr="006E622A">
        <w:rPr>
          <w:rFonts w:ascii="Times New Roman" w:eastAsia="Cambria" w:hAnsi="Times New Roman"/>
          <w:szCs w:val="24"/>
          <w:lang w:eastAsia="ja-JP"/>
        </w:rPr>
        <w:t>includes, amongst other things, the avenue to influence the content of the charges</w:t>
      </w:r>
      <w:r w:rsidR="008C785E">
        <w:rPr>
          <w:rFonts w:ascii="Times New Roman" w:eastAsia="Cambria" w:hAnsi="Times New Roman"/>
          <w:szCs w:val="24"/>
          <w:lang w:eastAsia="ja-JP"/>
        </w:rPr>
        <w:t xml:space="preserve">; </w:t>
      </w:r>
      <w:r w:rsidRPr="006E622A">
        <w:rPr>
          <w:rFonts w:ascii="Times New Roman" w:eastAsia="Cambria" w:hAnsi="Times New Roman"/>
          <w:szCs w:val="24"/>
          <w:lang w:eastAsia="ja-JP"/>
        </w:rPr>
        <w:t>consultation, because the victims may make an application for amendment of the charges.</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For instance, the LRV </w:t>
      </w:r>
      <w:r w:rsidR="008C785E">
        <w:rPr>
          <w:rFonts w:ascii="Times New Roman" w:eastAsia="Cambria" w:hAnsi="Times New Roman"/>
          <w:szCs w:val="24"/>
          <w:lang w:eastAsia="ja-JP"/>
        </w:rPr>
        <w:t>requested</w:t>
      </w:r>
      <w:r w:rsidRPr="006E622A">
        <w:rPr>
          <w:rFonts w:ascii="Times New Roman" w:eastAsia="Cambria" w:hAnsi="Times New Roman"/>
          <w:szCs w:val="24"/>
          <w:lang w:eastAsia="ja-JP"/>
        </w:rPr>
        <w:t xml:space="preserve"> the Prosecutor to</w:t>
      </w:r>
      <w:r w:rsidR="008C785E">
        <w:rPr>
          <w:rFonts w:ascii="Times New Roman" w:eastAsia="Cambria" w:hAnsi="Times New Roman"/>
          <w:szCs w:val="24"/>
          <w:lang w:eastAsia="ja-JP"/>
        </w:rPr>
        <w:t xml:space="preserve"> include </w:t>
      </w:r>
      <w:r w:rsidRPr="006E622A">
        <w:rPr>
          <w:rFonts w:ascii="Times New Roman" w:eastAsia="Cambria" w:hAnsi="Times New Roman"/>
          <w:szCs w:val="24"/>
          <w:lang w:eastAsia="ja-JP"/>
        </w:rPr>
        <w:t xml:space="preserve">of </w:t>
      </w:r>
      <w:r w:rsidR="008C785E">
        <w:rPr>
          <w:rFonts w:ascii="Times New Roman" w:eastAsia="Cambria" w:hAnsi="Times New Roman"/>
          <w:szCs w:val="24"/>
          <w:lang w:eastAsia="ja-JP"/>
        </w:rPr>
        <w:t xml:space="preserve">inhumane treatment and </w:t>
      </w:r>
      <w:r w:rsidR="0043320C">
        <w:rPr>
          <w:rFonts w:ascii="Times New Roman" w:eastAsia="Cambria" w:hAnsi="Times New Roman"/>
          <w:szCs w:val="24"/>
          <w:lang w:eastAsia="ja-JP"/>
        </w:rPr>
        <w:t xml:space="preserve">SGBV </w:t>
      </w:r>
      <w:r w:rsidR="008C785E">
        <w:rPr>
          <w:rFonts w:ascii="Times New Roman" w:eastAsia="Cambria" w:hAnsi="Times New Roman"/>
          <w:szCs w:val="24"/>
          <w:lang w:eastAsia="ja-JP"/>
        </w:rPr>
        <w:t xml:space="preserve">to </w:t>
      </w:r>
      <w:r w:rsidR="0043320C">
        <w:rPr>
          <w:rFonts w:ascii="Times New Roman" w:eastAsia="Cambria" w:hAnsi="Times New Roman"/>
          <w:szCs w:val="24"/>
          <w:lang w:eastAsia="ja-JP"/>
        </w:rPr>
        <w:t>the charges.</w:t>
      </w:r>
      <w:r w:rsidR="002F3014">
        <w:rPr>
          <w:rStyle w:val="FootnoteReference"/>
          <w:rFonts w:ascii="Times New Roman" w:eastAsia="Cambria" w:hAnsi="Times New Roman"/>
          <w:szCs w:val="24"/>
          <w:lang w:eastAsia="ja-JP"/>
        </w:rPr>
        <w:footnoteReference w:id="602"/>
      </w:r>
    </w:p>
    <w:p w14:paraId="0F513605" w14:textId="77777777" w:rsidR="006E622A" w:rsidRPr="006E622A" w:rsidRDefault="006E622A" w:rsidP="006E622A">
      <w:pPr>
        <w:spacing w:after="0"/>
        <w:jc w:val="both"/>
        <w:rPr>
          <w:rFonts w:ascii="Times New Roman" w:eastAsia="Cambria" w:hAnsi="Times New Roman"/>
          <w:szCs w:val="24"/>
          <w:lang w:eastAsia="ja-JP"/>
        </w:rPr>
      </w:pPr>
    </w:p>
    <w:p w14:paraId="5FAAAACF" w14:textId="1D8951AE" w:rsidR="006E622A" w:rsidRPr="006E622A" w:rsidRDefault="00340D66" w:rsidP="0043320C">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This form of non-dispositive participation may create a two-way obligation on the authorities and victims regarding information provision</w:t>
      </w:r>
      <w:r w:rsidR="006E622A" w:rsidRPr="006E622A">
        <w:rPr>
          <w:rFonts w:ascii="Times New Roman" w:eastAsia="Cambria" w:hAnsi="Times New Roman"/>
          <w:szCs w:val="24"/>
          <w:lang w:eastAsia="ja-JP"/>
        </w:rPr>
        <w:t>.</w:t>
      </w:r>
      <w:r w:rsidR="00FA0B6A">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The authority may have to se</w:t>
      </w:r>
      <w:r w:rsidR="0043320C">
        <w:rPr>
          <w:rFonts w:ascii="Times New Roman" w:eastAsia="Cambria" w:hAnsi="Times New Roman"/>
          <w:szCs w:val="24"/>
          <w:lang w:eastAsia="ja-JP"/>
        </w:rPr>
        <w:t>ek information from the victims</w:t>
      </w:r>
      <w:r w:rsidR="006E622A" w:rsidRPr="006E622A">
        <w:rPr>
          <w:rFonts w:ascii="Times New Roman" w:eastAsia="Cambria" w:hAnsi="Times New Roman"/>
          <w:szCs w:val="24"/>
          <w:lang w:eastAsia="ja-JP"/>
        </w:rPr>
        <w:t>, and the victim has to provide information to the authority. The form of participation is less restrictive because victims provide information to the decision-maker based on specifications of the decision-</w:t>
      </w:r>
      <w:proofErr w:type="spellStart"/>
      <w:r w:rsidR="006E622A" w:rsidRPr="006E622A">
        <w:rPr>
          <w:rFonts w:ascii="Times New Roman" w:eastAsia="Cambria" w:hAnsi="Times New Roman"/>
          <w:szCs w:val="24"/>
          <w:lang w:eastAsia="ja-JP"/>
        </w:rPr>
        <w:t>maker.This</w:t>
      </w:r>
      <w:proofErr w:type="spellEnd"/>
      <w:r w:rsidR="006E622A" w:rsidRPr="006E622A">
        <w:rPr>
          <w:rFonts w:ascii="Times New Roman" w:eastAsia="Cambria" w:hAnsi="Times New Roman"/>
          <w:szCs w:val="24"/>
          <w:lang w:eastAsia="ja-JP"/>
        </w:rPr>
        <w:t xml:space="preserve"> is reflected in Article 64(6)(b) (c) ((d)</w:t>
      </w:r>
      <w:r w:rsidR="00400E77">
        <w:rPr>
          <w:rFonts w:ascii="Times New Roman" w:eastAsia="Cambria" w:hAnsi="Times New Roman"/>
          <w:szCs w:val="24"/>
          <w:lang w:eastAsia="ja-JP"/>
        </w:rPr>
        <w:t>.It</w:t>
      </w:r>
      <w:r w:rsidR="006E622A" w:rsidRPr="006E622A">
        <w:rPr>
          <w:rFonts w:ascii="Times New Roman" w:eastAsia="Cambria" w:hAnsi="Times New Roman"/>
          <w:szCs w:val="24"/>
          <w:lang w:eastAsia="ja-JP"/>
        </w:rPr>
        <w:t xml:space="preserve"> includes the request for evidence from witnesses or victim</w:t>
      </w:r>
      <w:r w:rsidR="00FA0B6A">
        <w:rPr>
          <w:rFonts w:ascii="Times New Roman" w:eastAsia="Cambria" w:hAnsi="Times New Roman"/>
          <w:szCs w:val="24"/>
          <w:lang w:eastAsia="ja-JP"/>
        </w:rPr>
        <w:t>-witnesse</w:t>
      </w:r>
      <w:r w:rsidR="006E622A" w:rsidRPr="006E622A">
        <w:rPr>
          <w:rFonts w:ascii="Times New Roman" w:eastAsia="Cambria" w:hAnsi="Times New Roman"/>
          <w:szCs w:val="24"/>
          <w:lang w:eastAsia="ja-JP"/>
        </w:rPr>
        <w:t>s</w:t>
      </w:r>
      <w:r>
        <w:rPr>
          <w:rFonts w:ascii="Times New Roman" w:eastAsia="Cambria" w:hAnsi="Times New Roman"/>
          <w:szCs w:val="24"/>
          <w:lang w:eastAsia="ja-JP"/>
        </w:rPr>
        <w:t>, which expresses victims' place</w:t>
      </w:r>
      <w:r w:rsidR="006E622A" w:rsidRPr="006E622A">
        <w:rPr>
          <w:rFonts w:ascii="Times New Roman" w:eastAsia="Cambria" w:hAnsi="Times New Roman"/>
          <w:szCs w:val="24"/>
          <w:lang w:eastAsia="ja-JP"/>
        </w:rPr>
        <w:t xml:space="preserve"> as witnesses in most common law jurisdictions.</w:t>
      </w:r>
      <w:r w:rsidR="00075A69">
        <w:rPr>
          <w:rFonts w:ascii="Times New Roman" w:eastAsia="Cambria" w:hAnsi="Times New Roman"/>
          <w:szCs w:val="24"/>
          <w:lang w:eastAsia="ja-JP"/>
        </w:rPr>
        <w:t xml:space="preserve"> </w:t>
      </w:r>
      <w:r w:rsidR="0084260F">
        <w:rPr>
          <w:rFonts w:ascii="Times New Roman" w:eastAsia="Cambria" w:hAnsi="Times New Roman"/>
          <w:szCs w:val="24"/>
          <w:lang w:eastAsia="ja-JP"/>
        </w:rPr>
        <w:t>Hence, t</w:t>
      </w:r>
      <w:r w:rsidR="006E622A" w:rsidRPr="006E622A">
        <w:rPr>
          <w:rFonts w:ascii="Times New Roman" w:eastAsia="Cambria" w:hAnsi="Times New Roman"/>
          <w:szCs w:val="24"/>
          <w:lang w:eastAsia="ja-JP"/>
        </w:rPr>
        <w:t xml:space="preserve">he </w:t>
      </w:r>
      <w:proofErr w:type="spellStart"/>
      <w:r w:rsidR="006E622A" w:rsidRPr="006E622A">
        <w:rPr>
          <w:rFonts w:ascii="Times New Roman" w:eastAsia="Cambria" w:hAnsi="Times New Roman"/>
          <w:szCs w:val="24"/>
          <w:lang w:eastAsia="ja-JP"/>
        </w:rPr>
        <w:t>instrumentalisation</w:t>
      </w:r>
      <w:proofErr w:type="spellEnd"/>
      <w:r w:rsidR="006E622A" w:rsidRPr="006E622A">
        <w:rPr>
          <w:rFonts w:ascii="Times New Roman" w:eastAsia="Cambria" w:hAnsi="Times New Roman"/>
          <w:szCs w:val="24"/>
          <w:lang w:eastAsia="ja-JP"/>
        </w:rPr>
        <w:t xml:space="preserve"> of victims in criminal proceedings.</w:t>
      </w:r>
      <w:r w:rsidR="00075A69">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The practical examples were found in the ICTY and ICTR.</w:t>
      </w:r>
      <w:r w:rsidR="00FA0B6A">
        <w:rPr>
          <w:rFonts w:ascii="Times New Roman" w:eastAsia="Cambria" w:hAnsi="Times New Roman"/>
          <w:szCs w:val="24"/>
          <w:lang w:eastAsia="ja-JP"/>
        </w:rPr>
        <w:t xml:space="preserve"> </w:t>
      </w:r>
      <w:r w:rsidR="00400E77">
        <w:rPr>
          <w:rFonts w:ascii="Times New Roman" w:eastAsia="Cambria" w:hAnsi="Times New Roman"/>
          <w:szCs w:val="24"/>
          <w:lang w:eastAsia="ja-JP"/>
        </w:rPr>
        <w:t>Information provision</w:t>
      </w:r>
      <w:r w:rsidR="006E622A" w:rsidRPr="006E622A">
        <w:rPr>
          <w:rFonts w:ascii="Times New Roman" w:eastAsia="Cambria" w:hAnsi="Times New Roman"/>
          <w:szCs w:val="24"/>
          <w:lang w:eastAsia="ja-JP"/>
        </w:rPr>
        <w:t xml:space="preserve"> does not recognise the interests of </w:t>
      </w:r>
      <w:r w:rsidR="0084260F">
        <w:rPr>
          <w:rFonts w:ascii="Times New Roman" w:eastAsia="Cambria" w:hAnsi="Times New Roman"/>
          <w:szCs w:val="24"/>
          <w:lang w:eastAsia="ja-JP"/>
        </w:rPr>
        <w:t>victims</w:t>
      </w:r>
      <w:r w:rsidR="006E622A" w:rsidRPr="006E622A">
        <w:rPr>
          <w:rFonts w:ascii="Times New Roman" w:eastAsia="Cambria" w:hAnsi="Times New Roman"/>
          <w:szCs w:val="24"/>
          <w:lang w:eastAsia="ja-JP"/>
        </w:rPr>
        <w:t>.</w:t>
      </w:r>
      <w:r w:rsidR="00FA0B6A">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 xml:space="preserve">Christie </w:t>
      </w:r>
      <w:r w:rsidR="008C785E">
        <w:rPr>
          <w:rFonts w:ascii="Times New Roman" w:eastAsia="Cambria" w:hAnsi="Times New Roman"/>
          <w:szCs w:val="24"/>
          <w:lang w:eastAsia="ja-JP"/>
        </w:rPr>
        <w:t>and some victim-centric approach have</w:t>
      </w:r>
      <w:r w:rsidR="006E622A" w:rsidRPr="006E622A">
        <w:rPr>
          <w:rFonts w:ascii="Times New Roman" w:eastAsia="Cambria" w:hAnsi="Times New Roman"/>
          <w:szCs w:val="24"/>
          <w:lang w:eastAsia="ja-JP"/>
        </w:rPr>
        <w:t xml:space="preserve"> criticised this approach</w:t>
      </w:r>
      <w:r w:rsidR="008C785E">
        <w:rPr>
          <w:rFonts w:ascii="Times New Roman" w:eastAsia="Cambria" w:hAnsi="Times New Roman"/>
          <w:szCs w:val="24"/>
          <w:lang w:eastAsia="ja-JP"/>
        </w:rPr>
        <w:t xml:space="preserve"> because it reduces victims’</w:t>
      </w:r>
      <w:r w:rsidR="00EF4774">
        <w:rPr>
          <w:rFonts w:ascii="Times New Roman" w:eastAsia="Cambria" w:hAnsi="Times New Roman"/>
          <w:szCs w:val="24"/>
          <w:lang w:eastAsia="ja-JP"/>
        </w:rPr>
        <w:t xml:space="preserve"> </w:t>
      </w:r>
      <w:r w:rsidR="008C785E">
        <w:rPr>
          <w:rFonts w:ascii="Times New Roman" w:eastAsia="Cambria" w:hAnsi="Times New Roman"/>
          <w:szCs w:val="24"/>
          <w:lang w:eastAsia="ja-JP"/>
        </w:rPr>
        <w:t>visibility</w:t>
      </w:r>
      <w:r w:rsidR="006E622A" w:rsidRPr="006E622A">
        <w:rPr>
          <w:rFonts w:ascii="Times New Roman" w:eastAsia="Cambria" w:hAnsi="Times New Roman"/>
          <w:szCs w:val="24"/>
          <w:lang w:eastAsia="ja-JP"/>
        </w:rPr>
        <w:t xml:space="preserve"> in criminal </w:t>
      </w:r>
      <w:r w:rsidR="008C785E">
        <w:rPr>
          <w:rFonts w:ascii="Times New Roman" w:eastAsia="Cambria" w:hAnsi="Times New Roman"/>
          <w:szCs w:val="24"/>
          <w:lang w:eastAsia="ja-JP"/>
        </w:rPr>
        <w:t>proceedings</w:t>
      </w:r>
      <w:r w:rsidR="006E622A" w:rsidRPr="006E622A">
        <w:rPr>
          <w:rFonts w:ascii="Times New Roman" w:eastAsia="Cambria" w:hAnsi="Times New Roman"/>
          <w:szCs w:val="24"/>
          <w:lang w:eastAsia="ja-JP"/>
        </w:rPr>
        <w:t>.</w:t>
      </w:r>
      <w:r w:rsidR="006E622A" w:rsidRPr="006E622A">
        <w:rPr>
          <w:rFonts w:ascii="Times New Roman" w:eastAsia="Cambria" w:hAnsi="Times New Roman"/>
          <w:szCs w:val="24"/>
          <w:vertAlign w:val="superscript"/>
          <w:lang w:eastAsia="ja-JP"/>
        </w:rPr>
        <w:footnoteReference w:id="603"/>
      </w:r>
      <w:r w:rsidR="006E622A" w:rsidRPr="006E622A">
        <w:rPr>
          <w:rFonts w:ascii="Times New Roman" w:eastAsia="Cambria" w:hAnsi="Times New Roman"/>
          <w:szCs w:val="24"/>
          <w:lang w:eastAsia="ja-JP"/>
        </w:rPr>
        <w:t xml:space="preserve"> The controversies surrounding this came into play during the </w:t>
      </w:r>
      <w:r w:rsidR="004338FC">
        <w:rPr>
          <w:rFonts w:ascii="Times New Roman" w:eastAsia="Cambria" w:hAnsi="Times New Roman"/>
          <w:szCs w:val="24"/>
          <w:lang w:eastAsia="ja-JP"/>
        </w:rPr>
        <w:t xml:space="preserve">trial </w:t>
      </w:r>
      <w:r w:rsidR="006E622A" w:rsidRPr="006E622A">
        <w:rPr>
          <w:rFonts w:ascii="Times New Roman" w:eastAsia="Cambria" w:hAnsi="Times New Roman"/>
          <w:szCs w:val="24"/>
          <w:lang w:eastAsia="ja-JP"/>
        </w:rPr>
        <w:t xml:space="preserve">stage in </w:t>
      </w:r>
      <w:r w:rsidR="00400E77">
        <w:rPr>
          <w:rFonts w:ascii="Times New Roman" w:eastAsia="Cambria" w:hAnsi="Times New Roman"/>
          <w:szCs w:val="24"/>
          <w:lang w:eastAsia="ja-JP"/>
        </w:rPr>
        <w:t xml:space="preserve">the </w:t>
      </w:r>
      <w:r w:rsidR="006E622A" w:rsidRPr="006E622A">
        <w:rPr>
          <w:rFonts w:ascii="Times New Roman" w:eastAsia="Cambria" w:hAnsi="Times New Roman"/>
          <w:szCs w:val="24"/>
          <w:lang w:eastAsia="ja-JP"/>
        </w:rPr>
        <w:t>Lubanga case.</w:t>
      </w:r>
      <w:r w:rsidR="00075A69">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How appropriate is the participation of victims at this stage</w:t>
      </w:r>
      <w:r w:rsidR="00FA0B6A">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This will be discussed in the later section.</w:t>
      </w:r>
    </w:p>
    <w:p w14:paraId="31679F8A" w14:textId="77777777" w:rsidR="006E622A" w:rsidRPr="006E622A" w:rsidRDefault="006E622A" w:rsidP="006E622A">
      <w:pPr>
        <w:spacing w:after="0"/>
        <w:jc w:val="both"/>
        <w:rPr>
          <w:rFonts w:ascii="Times New Roman" w:eastAsia="Cambria" w:hAnsi="Times New Roman"/>
          <w:szCs w:val="24"/>
          <w:lang w:eastAsia="ja-JP"/>
        </w:rPr>
      </w:pPr>
    </w:p>
    <w:p w14:paraId="6F6050E3" w14:textId="0A707BA5" w:rsidR="006E622A" w:rsidRPr="006E622A" w:rsidRDefault="006E622A" w:rsidP="00557356">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Fu</w:t>
      </w:r>
      <w:r w:rsidR="00FA0B6A">
        <w:rPr>
          <w:rFonts w:ascii="Times New Roman" w:eastAsia="Cambria" w:hAnsi="Times New Roman"/>
          <w:szCs w:val="24"/>
          <w:lang w:eastAsia="ja-JP"/>
        </w:rPr>
        <w:t>r</w:t>
      </w:r>
      <w:r w:rsidRPr="006E622A">
        <w:rPr>
          <w:rFonts w:ascii="Times New Roman" w:eastAsia="Cambria" w:hAnsi="Times New Roman"/>
          <w:szCs w:val="24"/>
          <w:lang w:eastAsia="ja-JP"/>
        </w:rPr>
        <w:t>thermore, the 1985 UN Declaration of principles provide</w:t>
      </w:r>
      <w:r w:rsidR="00FA0B6A">
        <w:rPr>
          <w:rFonts w:ascii="Times New Roman" w:eastAsia="Cambria" w:hAnsi="Times New Roman"/>
          <w:szCs w:val="24"/>
          <w:lang w:eastAsia="ja-JP"/>
        </w:rPr>
        <w:t>s</w:t>
      </w:r>
      <w:r w:rsidRPr="006E622A">
        <w:rPr>
          <w:rFonts w:ascii="Times New Roman" w:eastAsia="Cambria" w:hAnsi="Times New Roman"/>
          <w:szCs w:val="24"/>
          <w:lang w:eastAsia="ja-JP"/>
        </w:rPr>
        <w:t xml:space="preserve"> for </w:t>
      </w:r>
      <w:r w:rsidR="00340D66">
        <w:rPr>
          <w:rFonts w:ascii="Times New Roman" w:eastAsia="Cambria" w:hAnsi="Times New Roman"/>
          <w:szCs w:val="24"/>
          <w:lang w:eastAsia="ja-JP"/>
        </w:rPr>
        <w:t>victims' right</w:t>
      </w:r>
      <w:r w:rsidRPr="006E622A">
        <w:rPr>
          <w:rFonts w:ascii="Times New Roman" w:eastAsia="Cambria" w:hAnsi="Times New Roman"/>
          <w:szCs w:val="24"/>
          <w:lang w:eastAsia="ja-JP"/>
        </w:rPr>
        <w:t xml:space="preserve"> to receive </w:t>
      </w:r>
      <w:r w:rsidR="000C78FF">
        <w:rPr>
          <w:rFonts w:ascii="Times New Roman" w:eastAsia="Cambria" w:hAnsi="Times New Roman"/>
          <w:szCs w:val="24"/>
          <w:lang w:eastAsia="ja-JP"/>
        </w:rPr>
        <w:t>and</w:t>
      </w:r>
      <w:r w:rsidRPr="006E622A">
        <w:rPr>
          <w:rFonts w:ascii="Times New Roman" w:eastAsia="Cambria" w:hAnsi="Times New Roman"/>
          <w:szCs w:val="24"/>
          <w:lang w:eastAsia="ja-JP"/>
        </w:rPr>
        <w:t xml:space="preserve"> give information.</w:t>
      </w:r>
      <w:r w:rsidRPr="006E622A">
        <w:rPr>
          <w:rFonts w:ascii="Times New Roman" w:eastAsia="Cambria" w:hAnsi="Times New Roman"/>
          <w:szCs w:val="24"/>
          <w:vertAlign w:val="superscript"/>
          <w:lang w:eastAsia="ja-JP"/>
        </w:rPr>
        <w:footnoteReference w:id="604"/>
      </w:r>
      <w:r w:rsidRPr="006E622A">
        <w:rPr>
          <w:rFonts w:ascii="Times New Roman" w:eastAsia="Cambria" w:hAnsi="Times New Roman"/>
          <w:szCs w:val="24"/>
          <w:lang w:eastAsia="ja-JP"/>
        </w:rPr>
        <w:t xml:space="preserve">This </w:t>
      </w:r>
      <w:r w:rsidR="00EF4774">
        <w:rPr>
          <w:rFonts w:ascii="Times New Roman" w:eastAsia="Cambria" w:hAnsi="Times New Roman"/>
          <w:szCs w:val="24"/>
          <w:lang w:eastAsia="ja-JP"/>
        </w:rPr>
        <w:t xml:space="preserve">right </w:t>
      </w:r>
      <w:r w:rsidRPr="006E622A">
        <w:rPr>
          <w:rFonts w:ascii="Times New Roman" w:eastAsia="Cambria" w:hAnsi="Times New Roman"/>
          <w:szCs w:val="24"/>
          <w:lang w:eastAsia="ja-JP"/>
        </w:rPr>
        <w:t>falls under access to justice and fair treatment.</w:t>
      </w:r>
      <w:r w:rsidRPr="006E622A">
        <w:rPr>
          <w:rFonts w:ascii="Times New Roman" w:eastAsia="Cambria" w:hAnsi="Times New Roman"/>
          <w:szCs w:val="24"/>
          <w:vertAlign w:val="superscript"/>
          <w:lang w:eastAsia="ja-JP"/>
        </w:rPr>
        <w:footnoteReference w:id="605"/>
      </w:r>
      <w:r w:rsidR="00557356">
        <w:rPr>
          <w:rFonts w:ascii="Times New Roman" w:eastAsia="Cambria" w:hAnsi="Times New Roman"/>
          <w:szCs w:val="24"/>
          <w:lang w:eastAsia="ja-JP"/>
        </w:rPr>
        <w:t xml:space="preserve"> This principle</w:t>
      </w:r>
      <w:r w:rsidRPr="006E622A">
        <w:rPr>
          <w:rFonts w:ascii="Times New Roman" w:eastAsia="Cambria" w:hAnsi="Times New Roman"/>
          <w:szCs w:val="24"/>
          <w:lang w:eastAsia="ja-JP"/>
        </w:rPr>
        <w:t xml:space="preserve"> state</w:t>
      </w:r>
      <w:r w:rsidR="00340D66">
        <w:rPr>
          <w:rFonts w:ascii="Times New Roman" w:eastAsia="Cambria" w:hAnsi="Times New Roman"/>
          <w:szCs w:val="24"/>
          <w:lang w:eastAsia="ja-JP"/>
        </w:rPr>
        <w:t xml:space="preserve">s that informing victims of their roles, scope, and timing of the case, particularly where they request this information, facilitates the </w:t>
      </w:r>
      <w:r w:rsidR="00340D66">
        <w:rPr>
          <w:rFonts w:ascii="Times New Roman" w:eastAsia="Cambria" w:hAnsi="Times New Roman"/>
          <w:szCs w:val="24"/>
          <w:lang w:eastAsia="ja-JP"/>
        </w:rPr>
        <w:lastRenderedPageBreak/>
        <w:t>responsiveness of judicial and administrative processes to the victims' need</w:t>
      </w:r>
      <w:r w:rsidRPr="006E622A">
        <w:rPr>
          <w:rFonts w:ascii="Times New Roman" w:eastAsia="Cambria" w:hAnsi="Times New Roman"/>
          <w:szCs w:val="24"/>
          <w:lang w:eastAsia="ja-JP"/>
        </w:rPr>
        <w:t>s.</w:t>
      </w:r>
      <w:r w:rsidRPr="006E622A">
        <w:rPr>
          <w:rFonts w:ascii="Times New Roman" w:eastAsia="Cambria" w:hAnsi="Times New Roman"/>
          <w:szCs w:val="24"/>
          <w:vertAlign w:val="superscript"/>
          <w:lang w:eastAsia="ja-JP"/>
        </w:rPr>
        <w:footnoteReference w:id="606"/>
      </w:r>
      <w:r w:rsidRPr="006E622A">
        <w:rPr>
          <w:rFonts w:ascii="Times New Roman" w:eastAsia="Cambria" w:hAnsi="Times New Roman"/>
          <w:szCs w:val="24"/>
          <w:lang w:eastAsia="ja-JP"/>
        </w:rPr>
        <w:t xml:space="preserve"> </w:t>
      </w:r>
      <w:r w:rsidR="00EF4774">
        <w:rPr>
          <w:rFonts w:ascii="Times New Roman" w:eastAsia="Cambria" w:hAnsi="Times New Roman"/>
          <w:szCs w:val="24"/>
          <w:lang w:eastAsia="ja-JP"/>
        </w:rPr>
        <w:t xml:space="preserve"> Receiving and giving information </w:t>
      </w:r>
      <w:r w:rsidRPr="006E622A">
        <w:rPr>
          <w:rFonts w:ascii="Times New Roman" w:eastAsia="Cambria" w:hAnsi="Times New Roman"/>
          <w:szCs w:val="24"/>
          <w:lang w:eastAsia="ja-JP"/>
        </w:rPr>
        <w:t>may be argued to constitute part of the procedure.</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However, it appears this may be challenging in practice</w:t>
      </w:r>
    </w:p>
    <w:p w14:paraId="5D0C19E9" w14:textId="77777777" w:rsidR="006E622A" w:rsidRPr="006E622A" w:rsidRDefault="006E622A" w:rsidP="00557356">
      <w:pPr>
        <w:spacing w:after="0" w:line="480" w:lineRule="auto"/>
        <w:jc w:val="both"/>
        <w:rPr>
          <w:rFonts w:ascii="Times New Roman" w:eastAsia="Cambria" w:hAnsi="Times New Roman"/>
          <w:szCs w:val="24"/>
          <w:lang w:eastAsia="ja-JP"/>
        </w:rPr>
      </w:pPr>
    </w:p>
    <w:p w14:paraId="344AECD1" w14:textId="095BF707" w:rsidR="006E622A" w:rsidRDefault="006E622A" w:rsidP="00D11E9F">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 xml:space="preserve">The </w:t>
      </w:r>
      <w:r w:rsidR="00E366AE">
        <w:rPr>
          <w:rFonts w:ascii="Times New Roman" w:eastAsia="Cambria" w:hAnsi="Times New Roman"/>
          <w:szCs w:val="24"/>
          <w:lang w:eastAsia="ja-JP"/>
        </w:rPr>
        <w:t>final</w:t>
      </w:r>
      <w:r w:rsidRPr="006E622A">
        <w:rPr>
          <w:rFonts w:ascii="Times New Roman" w:eastAsia="Cambria" w:hAnsi="Times New Roman"/>
          <w:szCs w:val="24"/>
          <w:lang w:eastAsia="ja-JP"/>
        </w:rPr>
        <w:t xml:space="preserve"> form of non-dispositive participation is expression.</w:t>
      </w:r>
      <w:r w:rsidR="00075A69">
        <w:rPr>
          <w:rFonts w:ascii="Times New Roman" w:eastAsia="Cambria" w:hAnsi="Times New Roman"/>
          <w:szCs w:val="24"/>
          <w:lang w:eastAsia="ja-JP"/>
        </w:rPr>
        <w:t xml:space="preserve"> </w:t>
      </w:r>
      <w:r w:rsidRPr="006E622A">
        <w:rPr>
          <w:rFonts w:ascii="Times New Roman" w:eastAsia="Cambria" w:hAnsi="Times New Roman"/>
          <w:szCs w:val="24"/>
          <w:lang w:eastAsia="ja-JP"/>
        </w:rPr>
        <w:t>As far as expression is concerned,</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it is a very loose form of </w:t>
      </w:r>
      <w:r w:rsidR="00340D66">
        <w:rPr>
          <w:rFonts w:ascii="Times New Roman" w:eastAsia="Cambria" w:hAnsi="Times New Roman"/>
          <w:szCs w:val="24"/>
          <w:lang w:eastAsia="ja-JP"/>
        </w:rPr>
        <w:t>involvement</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607"/>
      </w:r>
      <w:r w:rsidRPr="006E622A">
        <w:rPr>
          <w:rFonts w:ascii="Times New Roman" w:eastAsia="Cambria" w:hAnsi="Times New Roman"/>
          <w:szCs w:val="24"/>
          <w:lang w:eastAsia="ja-JP"/>
        </w:rPr>
        <w:t xml:space="preserve">While the authorities are obliged to provide </w:t>
      </w:r>
      <w:r w:rsidR="00FA0B6A">
        <w:rPr>
          <w:rFonts w:ascii="Times New Roman" w:eastAsia="Cambria" w:hAnsi="Times New Roman"/>
          <w:szCs w:val="24"/>
          <w:lang w:eastAsia="ja-JP"/>
        </w:rPr>
        <w:t xml:space="preserve">an </w:t>
      </w:r>
      <w:r w:rsidRPr="006E622A">
        <w:rPr>
          <w:rFonts w:ascii="Times New Roman" w:eastAsia="Cambria" w:hAnsi="Times New Roman"/>
          <w:szCs w:val="24"/>
          <w:lang w:eastAsia="ja-JP"/>
        </w:rPr>
        <w:t>opportunity for expression,  victims are not under any obligation to respond.</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With expression, victims are allowed to tell their story and emote. Most times, the expression does not influence decision-making.</w:t>
      </w:r>
      <w:r w:rsidR="00FA0B6A">
        <w:rPr>
          <w:rFonts w:ascii="Times New Roman" w:eastAsia="Cambria" w:hAnsi="Times New Roman"/>
          <w:szCs w:val="24"/>
          <w:lang w:eastAsia="ja-JP"/>
        </w:rPr>
        <w:t xml:space="preserve"> </w:t>
      </w:r>
      <w:r w:rsidRPr="006E622A">
        <w:rPr>
          <w:rFonts w:ascii="Times New Roman" w:eastAsia="Cambria" w:hAnsi="Times New Roman"/>
          <w:szCs w:val="24"/>
          <w:lang w:eastAsia="ja-JP"/>
        </w:rPr>
        <w:t>It is seen as an acknowledg</w:t>
      </w:r>
      <w:r w:rsidR="00FA0B6A">
        <w:rPr>
          <w:rFonts w:ascii="Times New Roman" w:eastAsia="Cambria" w:hAnsi="Times New Roman"/>
          <w:szCs w:val="24"/>
          <w:lang w:eastAsia="ja-JP"/>
        </w:rPr>
        <w:t>e</w:t>
      </w:r>
      <w:r w:rsidRPr="006E622A">
        <w:rPr>
          <w:rFonts w:ascii="Times New Roman" w:eastAsia="Cambria" w:hAnsi="Times New Roman"/>
          <w:szCs w:val="24"/>
          <w:lang w:eastAsia="ja-JP"/>
        </w:rPr>
        <w:t>ment of victims’ presence</w:t>
      </w:r>
      <w:r w:rsidR="00E32928">
        <w:rPr>
          <w:rFonts w:ascii="Times New Roman" w:eastAsia="Cambria" w:hAnsi="Times New Roman"/>
          <w:szCs w:val="24"/>
          <w:lang w:eastAsia="ja-JP"/>
        </w:rPr>
        <w:t>.</w:t>
      </w:r>
      <w:r w:rsidRPr="006E622A">
        <w:rPr>
          <w:rFonts w:ascii="Times New Roman" w:eastAsia="Cambria" w:hAnsi="Times New Roman"/>
          <w:szCs w:val="24"/>
          <w:lang w:eastAsia="ja-JP"/>
        </w:rPr>
        <w:t xml:space="preserve"> The form of participation is similar to Victim-Impact Statements(VIS).</w:t>
      </w:r>
      <w:r w:rsidRPr="006E622A">
        <w:rPr>
          <w:rFonts w:ascii="Times New Roman" w:eastAsia="Cambria" w:hAnsi="Times New Roman"/>
          <w:szCs w:val="24"/>
          <w:vertAlign w:val="superscript"/>
          <w:lang w:eastAsia="ja-JP"/>
        </w:rPr>
        <w:footnoteReference w:id="608"/>
      </w:r>
      <w:r w:rsidR="000C78FF">
        <w:rPr>
          <w:rFonts w:ascii="Times New Roman" w:eastAsia="Cambria" w:hAnsi="Times New Roman"/>
          <w:szCs w:val="24"/>
          <w:lang w:eastAsia="ja-JP"/>
        </w:rPr>
        <w:t>It</w:t>
      </w:r>
      <w:r w:rsidR="00D11E9F">
        <w:rPr>
          <w:rFonts w:ascii="Times New Roman" w:eastAsia="Cambria" w:hAnsi="Times New Roman"/>
          <w:szCs w:val="24"/>
          <w:lang w:eastAsia="ja-JP"/>
        </w:rPr>
        <w:t xml:space="preserve"> is prevalent i</w:t>
      </w:r>
      <w:r w:rsidRPr="006E622A">
        <w:rPr>
          <w:rFonts w:ascii="Times New Roman" w:eastAsia="Cambria" w:hAnsi="Times New Roman"/>
          <w:szCs w:val="24"/>
          <w:lang w:eastAsia="ja-JP"/>
        </w:rPr>
        <w:t>n common law traditions</w:t>
      </w:r>
      <w:r w:rsidR="00E366AE">
        <w:rPr>
          <w:rFonts w:ascii="Times New Roman" w:eastAsia="Cambria" w:hAnsi="Times New Roman"/>
          <w:szCs w:val="24"/>
          <w:lang w:eastAsia="ja-JP"/>
        </w:rPr>
        <w:t xml:space="preserve"> which are</w:t>
      </w:r>
      <w:r w:rsidRPr="006E622A">
        <w:rPr>
          <w:rFonts w:ascii="Times New Roman" w:eastAsia="Cambria" w:hAnsi="Times New Roman"/>
          <w:szCs w:val="24"/>
          <w:lang w:eastAsia="ja-JP"/>
        </w:rPr>
        <w:t xml:space="preserve"> usually done</w:t>
      </w:r>
      <w:r w:rsidR="00D11E9F">
        <w:rPr>
          <w:rFonts w:ascii="Times New Roman" w:eastAsia="Cambria" w:hAnsi="Times New Roman"/>
          <w:szCs w:val="24"/>
          <w:lang w:eastAsia="ja-JP"/>
        </w:rPr>
        <w:t xml:space="preserve"> before sentencing.</w:t>
      </w:r>
      <w:r w:rsidR="00FA0B6A">
        <w:rPr>
          <w:rFonts w:ascii="Times New Roman" w:eastAsia="Cambria" w:hAnsi="Times New Roman"/>
          <w:szCs w:val="24"/>
          <w:lang w:eastAsia="ja-JP"/>
        </w:rPr>
        <w:t xml:space="preserve"> </w:t>
      </w:r>
      <w:r w:rsidR="00D11E9F">
        <w:rPr>
          <w:rFonts w:ascii="Times New Roman" w:eastAsia="Cambria" w:hAnsi="Times New Roman"/>
          <w:szCs w:val="24"/>
          <w:lang w:eastAsia="ja-JP"/>
        </w:rPr>
        <w:t>The decision-</w:t>
      </w:r>
      <w:r w:rsidRPr="006E622A">
        <w:rPr>
          <w:rFonts w:ascii="Times New Roman" w:eastAsia="Cambria" w:hAnsi="Times New Roman"/>
          <w:szCs w:val="24"/>
          <w:lang w:eastAsia="ja-JP"/>
        </w:rPr>
        <w:t xml:space="preserve">maker could use this in the determination of sentencing for the accused. </w:t>
      </w:r>
    </w:p>
    <w:p w14:paraId="396BDA5A" w14:textId="77777777" w:rsidR="00F02833" w:rsidRDefault="00F02833" w:rsidP="00974E2B">
      <w:pPr>
        <w:spacing w:after="0" w:line="240" w:lineRule="auto"/>
        <w:jc w:val="both"/>
        <w:rPr>
          <w:rFonts w:ascii="Times New Roman" w:eastAsia="Cambria" w:hAnsi="Times New Roman"/>
          <w:sz w:val="22"/>
          <w:lang w:eastAsia="ja-JP"/>
        </w:rPr>
      </w:pPr>
    </w:p>
    <w:p w14:paraId="79A49305" w14:textId="28207EC4" w:rsidR="00F02833" w:rsidRPr="00FA0B6A" w:rsidRDefault="00F02833" w:rsidP="00FA0B6A">
      <w:pPr>
        <w:spacing w:after="0" w:line="480" w:lineRule="auto"/>
        <w:jc w:val="both"/>
        <w:rPr>
          <w:rFonts w:ascii="Times New Roman" w:eastAsia="Cambria" w:hAnsi="Times New Roman"/>
          <w:szCs w:val="24"/>
          <w:lang w:eastAsia="ja-JP"/>
        </w:rPr>
      </w:pPr>
      <w:r w:rsidRPr="00FA0B6A">
        <w:rPr>
          <w:rFonts w:ascii="Times New Roman" w:eastAsia="Cambria" w:hAnsi="Times New Roman"/>
          <w:szCs w:val="24"/>
          <w:lang w:eastAsia="ja-JP"/>
        </w:rPr>
        <w:t>This section has focused on the forms of participation as laid down by Edwards.</w:t>
      </w:r>
      <w:r w:rsidR="00FA0B6A">
        <w:rPr>
          <w:rFonts w:ascii="Times New Roman" w:eastAsia="Cambria" w:hAnsi="Times New Roman"/>
          <w:szCs w:val="24"/>
          <w:lang w:eastAsia="ja-JP"/>
        </w:rPr>
        <w:t xml:space="preserve"> </w:t>
      </w:r>
      <w:r w:rsidRPr="00FA0B6A">
        <w:rPr>
          <w:rFonts w:ascii="Times New Roman" w:eastAsia="Cambria" w:hAnsi="Times New Roman"/>
          <w:szCs w:val="24"/>
          <w:lang w:eastAsia="ja-JP"/>
        </w:rPr>
        <w:t>Each of the sub-categor</w:t>
      </w:r>
      <w:r w:rsidR="00E32928">
        <w:rPr>
          <w:rFonts w:ascii="Times New Roman" w:eastAsia="Cambria" w:hAnsi="Times New Roman"/>
          <w:szCs w:val="24"/>
          <w:lang w:eastAsia="ja-JP"/>
        </w:rPr>
        <w:t>ies</w:t>
      </w:r>
      <w:r w:rsidRPr="00FA0B6A">
        <w:rPr>
          <w:rFonts w:ascii="Times New Roman" w:eastAsia="Cambria" w:hAnsi="Times New Roman"/>
          <w:szCs w:val="24"/>
          <w:lang w:eastAsia="ja-JP"/>
        </w:rPr>
        <w:t xml:space="preserve"> defined the level of influence</w:t>
      </w:r>
      <w:r w:rsidR="009D0C81">
        <w:rPr>
          <w:rFonts w:ascii="Times New Roman" w:eastAsia="Cambria" w:hAnsi="Times New Roman"/>
          <w:szCs w:val="24"/>
          <w:lang w:eastAsia="ja-JP"/>
        </w:rPr>
        <w:t xml:space="preserve"> which</w:t>
      </w:r>
      <w:r w:rsidRPr="00FA0B6A">
        <w:rPr>
          <w:rFonts w:ascii="Times New Roman" w:eastAsia="Cambria" w:hAnsi="Times New Roman"/>
          <w:szCs w:val="24"/>
          <w:lang w:eastAsia="ja-JP"/>
        </w:rPr>
        <w:t xml:space="preserve"> victims possess</w:t>
      </w:r>
      <w:r w:rsidR="00974E2B" w:rsidRPr="00FA0B6A">
        <w:rPr>
          <w:rFonts w:ascii="Times New Roman" w:eastAsia="Cambria" w:hAnsi="Times New Roman"/>
          <w:szCs w:val="24"/>
          <w:lang w:eastAsia="ja-JP"/>
        </w:rPr>
        <w:t>.</w:t>
      </w:r>
      <w:r w:rsidR="00FA0B6A">
        <w:rPr>
          <w:rFonts w:ascii="Times New Roman" w:eastAsia="Cambria" w:hAnsi="Times New Roman"/>
          <w:szCs w:val="24"/>
          <w:lang w:eastAsia="ja-JP"/>
        </w:rPr>
        <w:t xml:space="preserve"> </w:t>
      </w:r>
      <w:r w:rsidR="00974E2B" w:rsidRPr="00FA0B6A">
        <w:rPr>
          <w:rFonts w:ascii="Times New Roman" w:eastAsia="Cambria" w:hAnsi="Times New Roman"/>
          <w:szCs w:val="24"/>
          <w:lang w:eastAsia="ja-JP"/>
        </w:rPr>
        <w:t xml:space="preserve">The following section shall evaluate the modalities </w:t>
      </w:r>
      <w:r w:rsidR="00E32928">
        <w:rPr>
          <w:rFonts w:ascii="Times New Roman" w:eastAsia="Cambria" w:hAnsi="Times New Roman"/>
          <w:szCs w:val="24"/>
          <w:lang w:eastAsia="ja-JP"/>
        </w:rPr>
        <w:t>of involvement</w:t>
      </w:r>
      <w:r w:rsidR="00974E2B" w:rsidRPr="00FA0B6A">
        <w:rPr>
          <w:rFonts w:ascii="Times New Roman" w:eastAsia="Cambria" w:hAnsi="Times New Roman"/>
          <w:szCs w:val="24"/>
          <w:lang w:eastAsia="ja-JP"/>
        </w:rPr>
        <w:t xml:space="preserve"> to set a foundation for victims’ procedural rights.</w:t>
      </w:r>
    </w:p>
    <w:p w14:paraId="03BB8A69" w14:textId="7A1E2961" w:rsidR="00F01F51" w:rsidRPr="00A44B61" w:rsidRDefault="00394C1C" w:rsidP="00364EC8">
      <w:pPr>
        <w:pStyle w:val="Heading4"/>
        <w:rPr>
          <w:rFonts w:eastAsia="Cambria"/>
        </w:rPr>
      </w:pPr>
      <w:r w:rsidRPr="00A44B61">
        <w:lastRenderedPageBreak/>
        <w:t>3.</w:t>
      </w:r>
      <w:r w:rsidR="00D93F88" w:rsidRPr="00A44B61">
        <w:t>3</w:t>
      </w:r>
      <w:r w:rsidRPr="00A44B61">
        <w:t>.</w:t>
      </w:r>
      <w:r w:rsidR="00D93F88" w:rsidRPr="00A44B61">
        <w:t>3.1</w:t>
      </w:r>
      <w:r w:rsidRPr="00A44B61">
        <w:t xml:space="preserve"> </w:t>
      </w:r>
      <w:r w:rsidR="00075A69" w:rsidRPr="00A44B61">
        <w:t>Modalities for participation</w:t>
      </w:r>
    </w:p>
    <w:p w14:paraId="19506698" w14:textId="1EE4B3C4" w:rsidR="00561067" w:rsidRDefault="00446F29" w:rsidP="00D416C0">
      <w:pPr>
        <w:spacing w:after="0" w:line="480" w:lineRule="auto"/>
        <w:jc w:val="both"/>
        <w:rPr>
          <w:rFonts w:ascii="Times New Roman" w:hAnsi="Times New Roman"/>
          <w:szCs w:val="24"/>
        </w:rPr>
      </w:pPr>
      <w:r>
        <w:rPr>
          <w:rFonts w:ascii="Times New Roman" w:hAnsi="Times New Roman"/>
          <w:szCs w:val="24"/>
        </w:rPr>
        <w:t>T</w:t>
      </w:r>
      <w:r w:rsidR="00075A69" w:rsidRPr="006E622A">
        <w:rPr>
          <w:rFonts w:ascii="Times New Roman" w:hAnsi="Times New Roman"/>
          <w:szCs w:val="24"/>
        </w:rPr>
        <w:t>his sec</w:t>
      </w:r>
      <w:r w:rsidR="00394C1C">
        <w:rPr>
          <w:rFonts w:ascii="Times New Roman" w:hAnsi="Times New Roman"/>
          <w:szCs w:val="24"/>
        </w:rPr>
        <w:t xml:space="preserve">tion shall examine </w:t>
      </w:r>
      <w:r w:rsidR="00D416C0">
        <w:rPr>
          <w:rFonts w:ascii="Times New Roman" w:hAnsi="Times New Roman"/>
          <w:szCs w:val="24"/>
        </w:rPr>
        <w:t xml:space="preserve">the </w:t>
      </w:r>
      <w:r w:rsidR="00394C1C">
        <w:rPr>
          <w:rFonts w:ascii="Times New Roman" w:hAnsi="Times New Roman"/>
          <w:szCs w:val="24"/>
        </w:rPr>
        <w:t>method of participation.</w:t>
      </w:r>
      <w:r w:rsidR="00D416C0">
        <w:rPr>
          <w:rFonts w:ascii="Times New Roman" w:hAnsi="Times New Roman"/>
          <w:szCs w:val="24"/>
        </w:rPr>
        <w:t xml:space="preserve"> </w:t>
      </w:r>
      <w:r w:rsidR="000C78FF">
        <w:rPr>
          <w:rFonts w:ascii="Times New Roman" w:hAnsi="Times New Roman"/>
          <w:szCs w:val="24"/>
        </w:rPr>
        <w:t xml:space="preserve">It </w:t>
      </w:r>
      <w:r w:rsidR="00394C1C">
        <w:rPr>
          <w:rFonts w:ascii="Times New Roman" w:hAnsi="Times New Roman"/>
          <w:szCs w:val="24"/>
        </w:rPr>
        <w:t>grant</w:t>
      </w:r>
      <w:r w:rsidR="00961153">
        <w:rPr>
          <w:rFonts w:ascii="Times New Roman" w:hAnsi="Times New Roman"/>
          <w:szCs w:val="24"/>
        </w:rPr>
        <w:t>s victims procedural rights.</w:t>
      </w:r>
      <w:r w:rsidR="00D416C0">
        <w:rPr>
          <w:rFonts w:ascii="Times New Roman" w:hAnsi="Times New Roman"/>
          <w:szCs w:val="24"/>
        </w:rPr>
        <w:t xml:space="preserve"> </w:t>
      </w:r>
      <w:r w:rsidR="00561067">
        <w:rPr>
          <w:rFonts w:ascii="Times New Roman" w:hAnsi="Times New Roman"/>
          <w:szCs w:val="24"/>
        </w:rPr>
        <w:t>It might equally be said</w:t>
      </w:r>
      <w:r w:rsidR="00961153">
        <w:rPr>
          <w:rFonts w:ascii="Times New Roman" w:hAnsi="Times New Roman"/>
          <w:szCs w:val="24"/>
        </w:rPr>
        <w:t xml:space="preserve"> that modalities of participation</w:t>
      </w:r>
      <w:r w:rsidR="00561067">
        <w:rPr>
          <w:rFonts w:ascii="Times New Roman" w:hAnsi="Times New Roman"/>
          <w:szCs w:val="24"/>
        </w:rPr>
        <w:t xml:space="preserve"> determine the means of participation.</w:t>
      </w:r>
      <w:r w:rsidR="00E32928">
        <w:rPr>
          <w:rFonts w:ascii="Times New Roman" w:hAnsi="Times New Roman"/>
          <w:szCs w:val="24"/>
        </w:rPr>
        <w:t xml:space="preserve"> </w:t>
      </w:r>
    </w:p>
    <w:p w14:paraId="46D13541" w14:textId="77777777" w:rsidR="000572E1" w:rsidRDefault="000572E1" w:rsidP="00D416C0">
      <w:pPr>
        <w:spacing w:after="0" w:line="480" w:lineRule="auto"/>
        <w:jc w:val="both"/>
        <w:rPr>
          <w:rFonts w:ascii="Times New Roman" w:hAnsi="Times New Roman"/>
          <w:szCs w:val="24"/>
        </w:rPr>
      </w:pPr>
    </w:p>
    <w:p w14:paraId="7EBB8916" w14:textId="270882BE" w:rsidR="00DD5AF6" w:rsidRDefault="00DD5AF6" w:rsidP="00DD5AF6">
      <w:pPr>
        <w:autoSpaceDE w:val="0"/>
        <w:autoSpaceDN w:val="0"/>
        <w:adjustRightInd w:val="0"/>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The statutory provision that victims may present their views and concerns on matters which affect their pers</w:t>
      </w:r>
      <w:r w:rsidR="005156C6">
        <w:rPr>
          <w:rFonts w:ascii="Times New Roman" w:eastAsia="Cambria" w:hAnsi="Times New Roman"/>
          <w:szCs w:val="24"/>
          <w:lang w:eastAsia="ja-JP"/>
        </w:rPr>
        <w:t xml:space="preserve">onal interests </w:t>
      </w:r>
      <w:r w:rsidRPr="006E622A">
        <w:rPr>
          <w:rFonts w:ascii="Times New Roman" w:eastAsia="Cambria" w:hAnsi="Times New Roman"/>
          <w:szCs w:val="24"/>
          <w:lang w:eastAsia="ja-JP"/>
        </w:rPr>
        <w:t xml:space="preserve">has been given </w:t>
      </w:r>
      <w:r w:rsidR="005156C6">
        <w:rPr>
          <w:rFonts w:ascii="Times New Roman" w:eastAsia="Cambria" w:hAnsi="Times New Roman"/>
          <w:szCs w:val="24"/>
          <w:lang w:eastAsia="ja-JP"/>
        </w:rPr>
        <w:t xml:space="preserve">a </w:t>
      </w:r>
      <w:r w:rsidRPr="006E622A">
        <w:rPr>
          <w:rFonts w:ascii="Times New Roman" w:eastAsia="Cambria" w:hAnsi="Times New Roman"/>
          <w:szCs w:val="24"/>
          <w:lang w:eastAsia="ja-JP"/>
        </w:rPr>
        <w:t>different interpretation.</w:t>
      </w:r>
      <w:r w:rsidR="005156C6">
        <w:rPr>
          <w:rFonts w:ascii="Times New Roman" w:eastAsia="Cambria" w:hAnsi="Times New Roman"/>
          <w:szCs w:val="24"/>
          <w:lang w:eastAsia="ja-JP"/>
        </w:rPr>
        <w:t xml:space="preserve"> </w:t>
      </w:r>
      <w:r w:rsidRPr="006E622A">
        <w:rPr>
          <w:rFonts w:ascii="Times New Roman" w:eastAsia="Cambria" w:hAnsi="Times New Roman"/>
          <w:szCs w:val="24"/>
          <w:lang w:eastAsia="ja-JP"/>
        </w:rPr>
        <w:t>A decision reached concluded that victims are permitted to question witnesses and introduce evidence.</w:t>
      </w:r>
      <w:r w:rsidRPr="006E622A">
        <w:rPr>
          <w:rFonts w:ascii="Times New Roman" w:eastAsia="Cambria" w:hAnsi="Times New Roman"/>
          <w:szCs w:val="24"/>
          <w:vertAlign w:val="superscript"/>
          <w:lang w:eastAsia="ja-JP"/>
        </w:rPr>
        <w:footnoteReference w:id="609"/>
      </w:r>
      <w:r w:rsidRPr="006E622A">
        <w:rPr>
          <w:rFonts w:ascii="Times New Roman" w:eastAsia="Cambria" w:hAnsi="Times New Roman"/>
          <w:szCs w:val="24"/>
          <w:lang w:eastAsia="ja-JP"/>
        </w:rPr>
        <w:t xml:space="preserve"> The Trial Chamber opined that the right to </w:t>
      </w:r>
      <w:r w:rsidR="005156C6">
        <w:rPr>
          <w:rFonts w:ascii="Times New Roman" w:eastAsia="Cambria" w:hAnsi="Times New Roman"/>
          <w:szCs w:val="24"/>
          <w:lang w:eastAsia="ja-JP"/>
        </w:rPr>
        <w:t>submit</w:t>
      </w:r>
      <w:r w:rsidRPr="006E622A">
        <w:rPr>
          <w:rFonts w:ascii="Times New Roman" w:eastAsia="Cambria" w:hAnsi="Times New Roman"/>
          <w:szCs w:val="24"/>
          <w:lang w:eastAsia="ja-JP"/>
        </w:rPr>
        <w:t xml:space="preserve"> evidence during trials before the Court is not exclusive to the parties.</w:t>
      </w:r>
      <w:r w:rsidR="005156C6">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It stated that the Court has the general right to request the presentation of all evidence necessary </w:t>
      </w:r>
      <w:r w:rsidR="00340D66">
        <w:rPr>
          <w:rFonts w:ascii="Times New Roman" w:eastAsia="Cambria" w:hAnsi="Times New Roman"/>
          <w:szCs w:val="24"/>
          <w:lang w:eastAsia="ja-JP"/>
        </w:rPr>
        <w:t>to determine</w:t>
      </w:r>
      <w:r w:rsidRPr="006E622A">
        <w:rPr>
          <w:rFonts w:ascii="Times New Roman" w:eastAsia="Cambria" w:hAnsi="Times New Roman"/>
          <w:szCs w:val="24"/>
          <w:lang w:eastAsia="ja-JP"/>
        </w:rPr>
        <w:t xml:space="preserve"> truth.</w:t>
      </w:r>
      <w:r w:rsidRPr="006E622A">
        <w:rPr>
          <w:rFonts w:ascii="Times New Roman" w:eastAsia="Cambria" w:hAnsi="Times New Roman"/>
          <w:szCs w:val="24"/>
          <w:vertAlign w:val="superscript"/>
          <w:lang w:eastAsia="ja-JP"/>
        </w:rPr>
        <w:footnoteReference w:id="610"/>
      </w:r>
      <w:r w:rsidRPr="006E622A">
        <w:rPr>
          <w:rFonts w:ascii="Times New Roman" w:eastAsia="Cambria" w:hAnsi="Times New Roman"/>
          <w:szCs w:val="24"/>
          <w:lang w:eastAsia="ja-JP"/>
        </w:rPr>
        <w:t xml:space="preserve"> </w:t>
      </w:r>
      <w:r w:rsidR="000572E1">
        <w:rPr>
          <w:rFonts w:ascii="Times New Roman" w:eastAsia="Cambria" w:hAnsi="Times New Roman"/>
          <w:szCs w:val="24"/>
          <w:lang w:eastAsia="ja-JP"/>
        </w:rPr>
        <w:t>I</w:t>
      </w:r>
      <w:r w:rsidRPr="006E622A">
        <w:rPr>
          <w:rFonts w:ascii="Times New Roman" w:eastAsia="Cambria" w:hAnsi="Times New Roman"/>
          <w:szCs w:val="24"/>
          <w:lang w:eastAsia="ja-JP"/>
        </w:rPr>
        <w:t xml:space="preserve">t is within the </w:t>
      </w:r>
      <w:r w:rsidR="00340D66">
        <w:rPr>
          <w:rFonts w:ascii="Times New Roman" w:eastAsia="Cambria" w:hAnsi="Times New Roman"/>
          <w:szCs w:val="24"/>
          <w:lang w:eastAsia="ja-JP"/>
        </w:rPr>
        <w:t>courts' purview</w:t>
      </w:r>
      <w:r w:rsidRPr="006E622A">
        <w:rPr>
          <w:rFonts w:ascii="Times New Roman" w:eastAsia="Cambria" w:hAnsi="Times New Roman"/>
          <w:szCs w:val="24"/>
          <w:lang w:eastAsia="ja-JP"/>
        </w:rPr>
        <w:t xml:space="preserve"> to shape the extent of involvement of victims in the proceedings.</w:t>
      </w:r>
      <w:r w:rsidR="005156C6">
        <w:rPr>
          <w:rFonts w:ascii="Times New Roman" w:eastAsia="Cambria" w:hAnsi="Times New Roman"/>
          <w:szCs w:val="24"/>
          <w:lang w:eastAsia="ja-JP"/>
        </w:rPr>
        <w:t xml:space="preserve"> </w:t>
      </w:r>
      <w:r w:rsidRPr="006E622A">
        <w:rPr>
          <w:rFonts w:ascii="Times New Roman" w:eastAsia="Cambria" w:hAnsi="Times New Roman"/>
          <w:szCs w:val="24"/>
          <w:lang w:eastAsia="ja-JP"/>
        </w:rPr>
        <w:t>Although victims are third parties to the proceedings,</w:t>
      </w:r>
      <w:r w:rsidR="00DC1313">
        <w:rPr>
          <w:rFonts w:ascii="Times New Roman" w:eastAsia="Cambria" w:hAnsi="Times New Roman"/>
          <w:szCs w:val="24"/>
          <w:lang w:eastAsia="ja-JP"/>
        </w:rPr>
        <w:t xml:space="preserve"> </w:t>
      </w:r>
      <w:r w:rsidR="00340D66">
        <w:rPr>
          <w:rFonts w:ascii="Times New Roman" w:eastAsia="Cambria" w:hAnsi="Times New Roman"/>
          <w:szCs w:val="24"/>
          <w:lang w:eastAsia="ja-JP"/>
        </w:rPr>
        <w:t>the Court could extend their rights(presentation of evidence)</w:t>
      </w:r>
      <w:r w:rsidRPr="006E622A">
        <w:rPr>
          <w:rFonts w:ascii="Times New Roman" w:eastAsia="Cambria" w:hAnsi="Times New Roman"/>
          <w:szCs w:val="24"/>
          <w:lang w:eastAsia="ja-JP"/>
        </w:rPr>
        <w:t xml:space="preserve"> to facilitate the determination of truth.</w:t>
      </w:r>
      <w:r w:rsidR="005156C6">
        <w:rPr>
          <w:rFonts w:ascii="Times New Roman" w:eastAsia="Cambria" w:hAnsi="Times New Roman"/>
          <w:szCs w:val="24"/>
          <w:lang w:eastAsia="ja-JP"/>
        </w:rPr>
        <w:t xml:space="preserve"> </w:t>
      </w:r>
      <w:r w:rsidR="000572E1">
        <w:rPr>
          <w:rFonts w:ascii="Times New Roman" w:eastAsia="Cambria" w:hAnsi="Times New Roman"/>
          <w:szCs w:val="24"/>
          <w:lang w:eastAsia="ja-JP"/>
        </w:rPr>
        <w:t>Therefore, the Rome Statute limits</w:t>
      </w:r>
      <w:r w:rsidRPr="006E622A">
        <w:rPr>
          <w:rFonts w:ascii="Times New Roman" w:eastAsia="Cambria" w:hAnsi="Times New Roman"/>
          <w:szCs w:val="24"/>
          <w:lang w:eastAsia="ja-JP"/>
        </w:rPr>
        <w:t xml:space="preserve"> </w:t>
      </w:r>
      <w:r w:rsidR="000572E1">
        <w:rPr>
          <w:rFonts w:ascii="Times New Roman" w:eastAsia="Cambria" w:hAnsi="Times New Roman"/>
          <w:szCs w:val="24"/>
          <w:lang w:eastAsia="ja-JP"/>
        </w:rPr>
        <w:t>the</w:t>
      </w:r>
      <w:r w:rsidRPr="006E622A">
        <w:rPr>
          <w:rFonts w:ascii="Times New Roman" w:eastAsia="Cambria" w:hAnsi="Times New Roman"/>
          <w:szCs w:val="24"/>
          <w:lang w:eastAsia="ja-JP"/>
        </w:rPr>
        <w:t xml:space="preserve"> </w:t>
      </w:r>
      <w:r w:rsidR="00340D66">
        <w:rPr>
          <w:rFonts w:ascii="Times New Roman" w:eastAsia="Cambria" w:hAnsi="Times New Roman"/>
          <w:szCs w:val="24"/>
          <w:lang w:eastAsia="ja-JP"/>
        </w:rPr>
        <w:t>victims' right</w:t>
      </w:r>
      <w:r w:rsidRPr="006E622A">
        <w:rPr>
          <w:rFonts w:ascii="Times New Roman" w:eastAsia="Cambria" w:hAnsi="Times New Roman"/>
          <w:szCs w:val="24"/>
          <w:lang w:eastAsia="ja-JP"/>
        </w:rPr>
        <w:t xml:space="preserve"> to participate </w:t>
      </w:r>
      <w:r w:rsidR="000572E1">
        <w:rPr>
          <w:rFonts w:ascii="Times New Roman" w:eastAsia="Cambria" w:hAnsi="Times New Roman"/>
          <w:szCs w:val="24"/>
          <w:lang w:eastAsia="ja-JP"/>
        </w:rPr>
        <w:t>in</w:t>
      </w:r>
      <w:r w:rsidRPr="006E622A">
        <w:rPr>
          <w:rFonts w:ascii="Times New Roman" w:eastAsia="Cambria" w:hAnsi="Times New Roman"/>
          <w:szCs w:val="24"/>
          <w:lang w:eastAsia="ja-JP"/>
        </w:rPr>
        <w:t xml:space="preserve"> evidence rel</w:t>
      </w:r>
      <w:r w:rsidR="005156C6">
        <w:rPr>
          <w:rFonts w:ascii="Times New Roman" w:eastAsia="Cambria" w:hAnsi="Times New Roman"/>
          <w:szCs w:val="24"/>
          <w:lang w:eastAsia="ja-JP"/>
        </w:rPr>
        <w:t>e</w:t>
      </w:r>
      <w:r w:rsidRPr="006E622A">
        <w:rPr>
          <w:rFonts w:ascii="Times New Roman" w:eastAsia="Cambria" w:hAnsi="Times New Roman"/>
          <w:szCs w:val="24"/>
          <w:lang w:eastAsia="ja-JP"/>
        </w:rPr>
        <w:t>vant to the determination of truth.</w:t>
      </w:r>
      <w:r w:rsidRPr="006E622A">
        <w:rPr>
          <w:rFonts w:ascii="Times New Roman" w:eastAsia="Cambria" w:hAnsi="Times New Roman"/>
          <w:szCs w:val="24"/>
          <w:vertAlign w:val="superscript"/>
          <w:lang w:eastAsia="ja-JP"/>
        </w:rPr>
        <w:footnoteReference w:id="611"/>
      </w:r>
    </w:p>
    <w:p w14:paraId="7B87196F" w14:textId="77777777" w:rsidR="00DD5AF6" w:rsidRPr="006E622A" w:rsidRDefault="00DD5AF6" w:rsidP="00DD5AF6">
      <w:pPr>
        <w:autoSpaceDE w:val="0"/>
        <w:autoSpaceDN w:val="0"/>
        <w:adjustRightInd w:val="0"/>
        <w:spacing w:after="0" w:line="480" w:lineRule="auto"/>
        <w:jc w:val="both"/>
        <w:rPr>
          <w:rFonts w:ascii="Times New Roman" w:eastAsia="Cambria" w:hAnsi="Times New Roman"/>
          <w:szCs w:val="24"/>
          <w:lang w:eastAsia="ja-JP"/>
        </w:rPr>
      </w:pPr>
    </w:p>
    <w:p w14:paraId="08E7AEB0" w14:textId="62645C9D" w:rsidR="00DD5AF6" w:rsidRPr="006E622A" w:rsidRDefault="00DD5AF6" w:rsidP="00DD5AF6">
      <w:pPr>
        <w:autoSpaceDE w:val="0"/>
        <w:autoSpaceDN w:val="0"/>
        <w:adjustRightInd w:val="0"/>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Unsatisfied with the ruling, the ICC Prosecutor sought leave to appeal the decision.</w:t>
      </w:r>
      <w:r w:rsidRPr="006E622A">
        <w:rPr>
          <w:rFonts w:ascii="Times New Roman" w:eastAsia="Cambria" w:hAnsi="Times New Roman"/>
          <w:szCs w:val="24"/>
          <w:vertAlign w:val="superscript"/>
          <w:lang w:eastAsia="ja-JP"/>
        </w:rPr>
        <w:footnoteReference w:id="612"/>
      </w:r>
      <w:r w:rsidRPr="006E622A">
        <w:rPr>
          <w:rFonts w:ascii="Times New Roman" w:eastAsia="Cambria" w:hAnsi="Times New Roman"/>
          <w:szCs w:val="24"/>
          <w:lang w:eastAsia="ja-JP"/>
        </w:rPr>
        <w:t xml:space="preserve">The Prosecutor contended that the TC provided </w:t>
      </w:r>
      <w:r w:rsidR="00340D66">
        <w:rPr>
          <w:rFonts w:ascii="Times New Roman" w:eastAsia="Cambria" w:hAnsi="Times New Roman"/>
          <w:szCs w:val="24"/>
          <w:lang w:eastAsia="ja-JP"/>
        </w:rPr>
        <w:t xml:space="preserve">extensive participation </w:t>
      </w:r>
      <w:r w:rsidR="00340D66">
        <w:rPr>
          <w:rFonts w:ascii="Times New Roman" w:eastAsia="Cambria" w:hAnsi="Times New Roman"/>
          <w:szCs w:val="24"/>
          <w:lang w:eastAsia="ja-JP"/>
        </w:rPr>
        <w:lastRenderedPageBreak/>
        <w:t>modalities that</w:t>
      </w:r>
      <w:r w:rsidRPr="006E622A">
        <w:rPr>
          <w:rFonts w:ascii="Times New Roman" w:eastAsia="Cambria" w:hAnsi="Times New Roman"/>
          <w:szCs w:val="24"/>
          <w:lang w:eastAsia="ja-JP"/>
        </w:rPr>
        <w:t xml:space="preserve"> exceeded the ‘expression of views and concerns’.</w:t>
      </w:r>
      <w:r w:rsidRPr="006E622A">
        <w:rPr>
          <w:rFonts w:ascii="Times New Roman" w:eastAsia="Cambria" w:hAnsi="Times New Roman"/>
          <w:szCs w:val="24"/>
          <w:vertAlign w:val="superscript"/>
          <w:lang w:eastAsia="ja-JP"/>
        </w:rPr>
        <w:footnoteReference w:id="613"/>
      </w:r>
      <w:r w:rsidRPr="006E622A">
        <w:rPr>
          <w:rFonts w:ascii="Times New Roman" w:eastAsia="Cambria" w:hAnsi="Times New Roman"/>
          <w:szCs w:val="24"/>
          <w:lang w:eastAsia="ja-JP"/>
        </w:rPr>
        <w:t>In the Prosecutor’s words,  ‘</w:t>
      </w:r>
      <w:r w:rsidRPr="005156C6">
        <w:rPr>
          <w:rFonts w:ascii="Times New Roman" w:eastAsia="Cambria" w:hAnsi="Times New Roman"/>
          <w:szCs w:val="24"/>
          <w:lang w:eastAsia="ja-JP"/>
        </w:rPr>
        <w:t>modalities of participation may not infringe upon the parties rights or overlap with the exclusive function of the Prosecution</w:t>
      </w:r>
      <w:r w:rsidRPr="00DD5AF6">
        <w:rPr>
          <w:rFonts w:ascii="Times New Roman" w:eastAsia="Cambria" w:hAnsi="Times New Roman"/>
          <w:i/>
          <w:szCs w:val="24"/>
          <w:lang w:eastAsia="ja-JP"/>
        </w:rPr>
        <w:t>”</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614"/>
      </w:r>
      <w:r w:rsidRPr="006E622A">
        <w:rPr>
          <w:rFonts w:ascii="Times New Roman" w:eastAsia="Cambria" w:hAnsi="Times New Roman"/>
          <w:szCs w:val="24"/>
          <w:lang w:eastAsia="ja-JP"/>
        </w:rPr>
        <w:t xml:space="preserve">The Prosecutor urged the court to give a restrictive interpretation to prevent the victims from usurping the </w:t>
      </w:r>
      <w:r w:rsidR="00340D66">
        <w:rPr>
          <w:rFonts w:ascii="Times New Roman" w:eastAsia="Cambria" w:hAnsi="Times New Roman"/>
          <w:szCs w:val="24"/>
          <w:lang w:eastAsia="ja-JP"/>
        </w:rPr>
        <w:t xml:space="preserve">parties' exclusive rights </w:t>
      </w:r>
      <w:r w:rsidRPr="006E622A">
        <w:rPr>
          <w:rFonts w:ascii="Times New Roman" w:eastAsia="Cambria" w:hAnsi="Times New Roman"/>
          <w:szCs w:val="24"/>
          <w:lang w:eastAsia="ja-JP"/>
        </w:rPr>
        <w:t>(to tender evidence).</w:t>
      </w:r>
    </w:p>
    <w:p w14:paraId="3B25570D" w14:textId="77777777" w:rsidR="00DD5AF6" w:rsidRPr="006E622A" w:rsidRDefault="00DD5AF6" w:rsidP="00DD5AF6">
      <w:pPr>
        <w:autoSpaceDE w:val="0"/>
        <w:autoSpaceDN w:val="0"/>
        <w:adjustRightInd w:val="0"/>
        <w:spacing w:after="0" w:line="480" w:lineRule="auto"/>
        <w:jc w:val="both"/>
        <w:rPr>
          <w:rFonts w:ascii="Times New Roman" w:eastAsia="Cambria" w:hAnsi="Times New Roman"/>
          <w:szCs w:val="24"/>
          <w:lang w:eastAsia="ja-JP"/>
        </w:rPr>
      </w:pPr>
    </w:p>
    <w:p w14:paraId="228961A5" w14:textId="13144D57" w:rsidR="00DD5AF6" w:rsidRPr="006E622A" w:rsidRDefault="00DD5AF6" w:rsidP="00DD5AF6">
      <w:pPr>
        <w:autoSpaceDE w:val="0"/>
        <w:autoSpaceDN w:val="0"/>
        <w:adjustRightInd w:val="0"/>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 xml:space="preserve">In its Judgement, the AC stated that the right to lead evidence and challenge </w:t>
      </w:r>
      <w:r w:rsidR="00517E51">
        <w:rPr>
          <w:rFonts w:ascii="Times New Roman" w:eastAsia="Cambria" w:hAnsi="Times New Roman"/>
          <w:szCs w:val="24"/>
          <w:lang w:eastAsia="ja-JP"/>
        </w:rPr>
        <w:t>evidence's admissibility</w:t>
      </w:r>
      <w:r w:rsidRPr="006E622A">
        <w:rPr>
          <w:rFonts w:ascii="Times New Roman" w:eastAsia="Cambria" w:hAnsi="Times New Roman"/>
          <w:szCs w:val="24"/>
          <w:lang w:eastAsia="ja-JP"/>
        </w:rPr>
        <w:t xml:space="preserve"> is within the </w:t>
      </w:r>
      <w:r w:rsidR="00340D66">
        <w:rPr>
          <w:rFonts w:ascii="Times New Roman" w:eastAsia="Cambria" w:hAnsi="Times New Roman"/>
          <w:szCs w:val="24"/>
          <w:lang w:eastAsia="ja-JP"/>
        </w:rPr>
        <w:t>Prosecutor and Defence autonomy</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615"/>
      </w:r>
      <w:r w:rsidRPr="006E622A">
        <w:rPr>
          <w:rFonts w:ascii="Times New Roman" w:eastAsia="Cambria" w:hAnsi="Times New Roman"/>
          <w:szCs w:val="24"/>
          <w:lang w:eastAsia="ja-JP"/>
        </w:rPr>
        <w:t xml:space="preserve"> However, none of the provis</w:t>
      </w:r>
      <w:r w:rsidR="00ED16E0">
        <w:rPr>
          <w:rFonts w:ascii="Times New Roman" w:eastAsia="Cambria" w:hAnsi="Times New Roman"/>
          <w:szCs w:val="24"/>
          <w:lang w:eastAsia="ja-JP"/>
        </w:rPr>
        <w:t>i</w:t>
      </w:r>
      <w:r w:rsidRPr="006E622A">
        <w:rPr>
          <w:rFonts w:ascii="Times New Roman" w:eastAsia="Cambria" w:hAnsi="Times New Roman"/>
          <w:szCs w:val="24"/>
          <w:lang w:eastAsia="ja-JP"/>
        </w:rPr>
        <w:t xml:space="preserve">ons of the Rome Statute ‘prevents victims </w:t>
      </w:r>
      <w:r w:rsidR="005156C6">
        <w:rPr>
          <w:rFonts w:ascii="Times New Roman" w:eastAsia="Cambria" w:hAnsi="Times New Roman"/>
          <w:szCs w:val="24"/>
          <w:lang w:eastAsia="ja-JP"/>
        </w:rPr>
        <w:t>from participating</w:t>
      </w:r>
      <w:r>
        <w:rPr>
          <w:rFonts w:ascii="Times New Roman" w:eastAsia="Cambria" w:hAnsi="Times New Roman"/>
          <w:szCs w:val="24"/>
          <w:lang w:eastAsia="ja-JP"/>
        </w:rPr>
        <w:t xml:space="preserve"> in these ways.</w:t>
      </w:r>
      <w:r w:rsidR="005156C6">
        <w:rPr>
          <w:rFonts w:ascii="Times New Roman" w:eastAsia="Cambria" w:hAnsi="Times New Roman"/>
          <w:szCs w:val="24"/>
          <w:lang w:eastAsia="ja-JP"/>
        </w:rPr>
        <w:t xml:space="preserve"> </w:t>
      </w:r>
      <w:r>
        <w:rPr>
          <w:rFonts w:ascii="Times New Roman" w:eastAsia="Cambria" w:hAnsi="Times New Roman"/>
          <w:szCs w:val="24"/>
          <w:lang w:eastAsia="ja-JP"/>
        </w:rPr>
        <w:t>The AC notes:</w:t>
      </w:r>
    </w:p>
    <w:p w14:paraId="0B73BB34" w14:textId="77777777" w:rsidR="00DD5AF6" w:rsidRPr="006E622A" w:rsidRDefault="00DD5AF6" w:rsidP="00DD5AF6">
      <w:pPr>
        <w:autoSpaceDE w:val="0"/>
        <w:autoSpaceDN w:val="0"/>
        <w:adjustRightInd w:val="0"/>
        <w:spacing w:after="0" w:line="240" w:lineRule="auto"/>
        <w:jc w:val="both"/>
        <w:rPr>
          <w:rFonts w:ascii="Times New Roman" w:eastAsia="Cambria" w:hAnsi="Times New Roman"/>
          <w:szCs w:val="24"/>
          <w:lang w:eastAsia="ja-JP"/>
        </w:rPr>
      </w:pPr>
    </w:p>
    <w:p w14:paraId="71E17F92" w14:textId="77777777" w:rsidR="00DD5AF6" w:rsidRDefault="00DD5AF6" w:rsidP="006604DD">
      <w:pPr>
        <w:autoSpaceDE w:val="0"/>
        <w:autoSpaceDN w:val="0"/>
        <w:adjustRightInd w:val="0"/>
        <w:spacing w:after="0"/>
        <w:jc w:val="center"/>
        <w:rPr>
          <w:rFonts w:ascii="Times New Roman" w:eastAsia="Cambria" w:hAnsi="Times New Roman"/>
          <w:szCs w:val="24"/>
          <w:lang w:eastAsia="ja-JP"/>
        </w:rPr>
      </w:pPr>
      <w:r w:rsidRPr="006E622A">
        <w:rPr>
          <w:rFonts w:ascii="Times New Roman" w:eastAsia="Cambria" w:hAnsi="Times New Roman"/>
          <w:szCs w:val="24"/>
          <w:lang w:eastAsia="ja-JP"/>
        </w:rPr>
        <w:t>“</w:t>
      </w:r>
      <w:r w:rsidRPr="005156C6">
        <w:rPr>
          <w:rFonts w:ascii="Times New Roman" w:eastAsia="Cambria" w:hAnsi="Times New Roman"/>
          <w:szCs w:val="24"/>
          <w:lang w:eastAsia="ja-JP"/>
        </w:rPr>
        <w:t>if victims were generally and under all circumstances precluded from tendering evidence relating to the guilt or innocence of the accused from challenging the admissibility or relevance of evidence (victims) right to participate in the trial would potentially become ineffectual</w:t>
      </w:r>
      <w:r w:rsidR="005156C6">
        <w:rPr>
          <w:rFonts w:ascii="Times New Roman" w:eastAsia="Cambria" w:hAnsi="Times New Roman"/>
          <w:szCs w:val="24"/>
          <w:lang w:eastAsia="ja-JP"/>
        </w:rPr>
        <w:t>.</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616"/>
      </w:r>
    </w:p>
    <w:p w14:paraId="72E80164" w14:textId="77777777" w:rsidR="00DD5AF6" w:rsidRDefault="00DD5AF6" w:rsidP="00DD5AF6">
      <w:pPr>
        <w:autoSpaceDE w:val="0"/>
        <w:autoSpaceDN w:val="0"/>
        <w:adjustRightInd w:val="0"/>
        <w:spacing w:after="0" w:line="240" w:lineRule="auto"/>
        <w:jc w:val="both"/>
        <w:rPr>
          <w:rFonts w:ascii="Times New Roman" w:eastAsia="Cambria" w:hAnsi="Times New Roman"/>
          <w:szCs w:val="24"/>
          <w:lang w:eastAsia="ja-JP"/>
        </w:rPr>
      </w:pPr>
    </w:p>
    <w:p w14:paraId="498A552F" w14:textId="77777777" w:rsidR="00DD5AF6" w:rsidRPr="006E622A" w:rsidRDefault="00DD5AF6" w:rsidP="00DD5AF6">
      <w:pPr>
        <w:autoSpaceDE w:val="0"/>
        <w:autoSpaceDN w:val="0"/>
        <w:adjustRightInd w:val="0"/>
        <w:spacing w:after="0" w:line="240" w:lineRule="auto"/>
        <w:jc w:val="both"/>
        <w:rPr>
          <w:rFonts w:ascii="Times New Roman" w:eastAsia="Cambria" w:hAnsi="Times New Roman"/>
          <w:color w:val="000000"/>
          <w:szCs w:val="24"/>
          <w:lang w:eastAsia="ja-JP"/>
        </w:rPr>
      </w:pPr>
      <w:r w:rsidRPr="006E622A">
        <w:rPr>
          <w:rFonts w:ascii="Times New Roman" w:eastAsia="Cambria" w:hAnsi="Times New Roman"/>
          <w:szCs w:val="24"/>
          <w:lang w:eastAsia="ja-JP"/>
        </w:rPr>
        <w:t xml:space="preserve"> </w:t>
      </w:r>
    </w:p>
    <w:p w14:paraId="5AF2CFA7" w14:textId="3D388748" w:rsidR="003F113F" w:rsidRPr="006E622A" w:rsidRDefault="00946743" w:rsidP="003F113F">
      <w:pPr>
        <w:spacing w:after="0" w:line="480" w:lineRule="auto"/>
        <w:jc w:val="both"/>
        <w:rPr>
          <w:rFonts w:ascii="Times New Roman" w:eastAsia="Cambria" w:hAnsi="Times New Roman"/>
          <w:szCs w:val="24"/>
          <w:lang w:eastAsia="ja-JP"/>
        </w:rPr>
      </w:pPr>
      <w:r w:rsidRPr="0002771D">
        <w:rPr>
          <w:rFonts w:ascii="Times New Roman" w:hAnsi="Times New Roman"/>
          <w:szCs w:val="24"/>
        </w:rPr>
        <w:t>From the above, it can be seen that there</w:t>
      </w:r>
      <w:r w:rsidR="0002771D">
        <w:rPr>
          <w:rFonts w:ascii="Times New Roman" w:hAnsi="Times New Roman"/>
          <w:szCs w:val="24"/>
        </w:rPr>
        <w:t xml:space="preserve"> are</w:t>
      </w:r>
      <w:r w:rsidRPr="0002771D">
        <w:rPr>
          <w:rFonts w:ascii="Times New Roman" w:hAnsi="Times New Roman"/>
          <w:szCs w:val="24"/>
        </w:rPr>
        <w:t xml:space="preserve"> different pathways for victim involvement</w:t>
      </w:r>
      <w:r w:rsidR="005156C6">
        <w:rPr>
          <w:rFonts w:ascii="Times New Roman" w:hAnsi="Times New Roman"/>
          <w:szCs w:val="24"/>
        </w:rPr>
        <w:t xml:space="preserve">; </w:t>
      </w:r>
      <w:r w:rsidRPr="0002771D">
        <w:rPr>
          <w:rFonts w:ascii="Times New Roman" w:hAnsi="Times New Roman"/>
          <w:szCs w:val="24"/>
        </w:rPr>
        <w:t>nonetheless, these modalities for participation are less generalisable.</w:t>
      </w:r>
      <w:r w:rsidR="005156C6">
        <w:rPr>
          <w:rFonts w:ascii="Times New Roman" w:hAnsi="Times New Roman"/>
          <w:szCs w:val="24"/>
        </w:rPr>
        <w:t xml:space="preserve"> </w:t>
      </w:r>
      <w:r w:rsidR="00DD37DF">
        <w:rPr>
          <w:rFonts w:ascii="Times New Roman" w:hAnsi="Times New Roman"/>
          <w:szCs w:val="24"/>
        </w:rPr>
        <w:t>It depends on a case by case basis.</w:t>
      </w:r>
      <w:r w:rsidR="003F113F" w:rsidRPr="003F113F">
        <w:rPr>
          <w:rFonts w:ascii="Times New Roman" w:eastAsia="Cambria" w:hAnsi="Times New Roman"/>
          <w:szCs w:val="24"/>
          <w:lang w:eastAsia="ja-JP"/>
        </w:rPr>
        <w:t xml:space="preserve"> </w:t>
      </w:r>
      <w:r w:rsidR="003F113F" w:rsidRPr="006E622A">
        <w:rPr>
          <w:rFonts w:ascii="Times New Roman" w:eastAsia="Cambria" w:hAnsi="Times New Roman"/>
          <w:szCs w:val="24"/>
          <w:lang w:eastAsia="ja-JP"/>
        </w:rPr>
        <w:t>The Rome Statute leaves the modalities of participation to the discretion of the Chamber.</w:t>
      </w:r>
      <w:r w:rsidR="005156C6">
        <w:rPr>
          <w:rFonts w:ascii="Times New Roman" w:eastAsia="Cambria" w:hAnsi="Times New Roman"/>
          <w:szCs w:val="24"/>
          <w:lang w:eastAsia="ja-JP"/>
        </w:rPr>
        <w:t xml:space="preserve"> </w:t>
      </w:r>
      <w:r w:rsidR="003F113F" w:rsidRPr="006E622A">
        <w:rPr>
          <w:rFonts w:ascii="Times New Roman" w:eastAsia="Cambria" w:hAnsi="Times New Roman"/>
          <w:szCs w:val="24"/>
          <w:lang w:eastAsia="ja-JP"/>
        </w:rPr>
        <w:t xml:space="preserve">This means that there is no value for determining </w:t>
      </w:r>
      <w:r w:rsidR="003F113F" w:rsidRPr="006E622A">
        <w:rPr>
          <w:rFonts w:ascii="Times New Roman" w:eastAsia="Cambria" w:hAnsi="Times New Roman"/>
          <w:szCs w:val="24"/>
          <w:lang w:eastAsia="ja-JP"/>
        </w:rPr>
        <w:lastRenderedPageBreak/>
        <w:t>participation.</w:t>
      </w:r>
      <w:r w:rsidR="005156C6">
        <w:rPr>
          <w:rFonts w:ascii="Times New Roman" w:eastAsia="Cambria" w:hAnsi="Times New Roman"/>
          <w:szCs w:val="24"/>
          <w:lang w:eastAsia="ja-JP"/>
        </w:rPr>
        <w:t xml:space="preserve"> </w:t>
      </w:r>
      <w:r w:rsidR="003F113F" w:rsidRPr="006E622A">
        <w:rPr>
          <w:rFonts w:ascii="Times New Roman" w:eastAsia="Cambria" w:hAnsi="Times New Roman"/>
          <w:szCs w:val="24"/>
          <w:lang w:eastAsia="ja-JP"/>
        </w:rPr>
        <w:t>Rather, the Chamber decid</w:t>
      </w:r>
      <w:r w:rsidR="003F113F">
        <w:rPr>
          <w:rFonts w:ascii="Times New Roman" w:eastAsia="Cambria" w:hAnsi="Times New Roman"/>
          <w:szCs w:val="24"/>
          <w:lang w:eastAsia="ja-JP"/>
        </w:rPr>
        <w:t>ed that</w:t>
      </w:r>
      <w:r w:rsidR="003F113F" w:rsidRPr="006E622A">
        <w:rPr>
          <w:rFonts w:ascii="Times New Roman" w:eastAsia="Cambria" w:hAnsi="Times New Roman"/>
          <w:szCs w:val="24"/>
          <w:lang w:eastAsia="ja-JP"/>
        </w:rPr>
        <w:t xml:space="preserve"> participation based on the presentation of evidence at a particular point during the case. In response to an application for victims’ participation, the chamber evaluate</w:t>
      </w:r>
      <w:r w:rsidR="005156C6">
        <w:rPr>
          <w:rFonts w:ascii="Times New Roman" w:eastAsia="Cambria" w:hAnsi="Times New Roman"/>
          <w:szCs w:val="24"/>
          <w:lang w:eastAsia="ja-JP"/>
        </w:rPr>
        <w:t>s</w:t>
      </w:r>
      <w:r w:rsidR="003F113F" w:rsidRPr="006E622A">
        <w:rPr>
          <w:rFonts w:ascii="Times New Roman" w:eastAsia="Cambria" w:hAnsi="Times New Roman"/>
          <w:szCs w:val="24"/>
          <w:lang w:eastAsia="ja-JP"/>
        </w:rPr>
        <w:t xml:space="preserve"> a connection between victims’ interests and the Prosecution’s presentation of evidence.</w:t>
      </w:r>
      <w:r w:rsidR="005156C6">
        <w:rPr>
          <w:rFonts w:ascii="Times New Roman" w:eastAsia="Cambria" w:hAnsi="Times New Roman"/>
          <w:szCs w:val="24"/>
          <w:lang w:eastAsia="ja-JP"/>
        </w:rPr>
        <w:t xml:space="preserve"> </w:t>
      </w:r>
      <w:r w:rsidR="000572E1">
        <w:rPr>
          <w:rFonts w:ascii="Times New Roman" w:eastAsia="Cambria" w:hAnsi="Times New Roman"/>
          <w:szCs w:val="24"/>
          <w:lang w:eastAsia="ja-JP"/>
        </w:rPr>
        <w:t>Suppose the victims’ application passes the personal interests test at the particular stage of the proceedings. In that case</w:t>
      </w:r>
      <w:r w:rsidR="003F113F" w:rsidRPr="006E622A">
        <w:rPr>
          <w:rFonts w:ascii="Times New Roman" w:eastAsia="Cambria" w:hAnsi="Times New Roman"/>
          <w:szCs w:val="24"/>
          <w:lang w:eastAsia="ja-JP"/>
        </w:rPr>
        <w:t xml:space="preserve">, </w:t>
      </w:r>
      <w:r w:rsidR="00DC1313">
        <w:rPr>
          <w:rFonts w:ascii="Times New Roman" w:eastAsia="Cambria" w:hAnsi="Times New Roman"/>
          <w:szCs w:val="24"/>
          <w:lang w:eastAsia="ja-JP"/>
        </w:rPr>
        <w:t>despite the absence of victims’ locus</w:t>
      </w:r>
      <w:r w:rsidR="006A77B4">
        <w:rPr>
          <w:rFonts w:ascii="Times New Roman" w:eastAsia="Cambria" w:hAnsi="Times New Roman"/>
          <w:szCs w:val="24"/>
          <w:lang w:eastAsia="ja-JP"/>
        </w:rPr>
        <w:t xml:space="preserve"> </w:t>
      </w:r>
      <w:r w:rsidR="00DC1313">
        <w:rPr>
          <w:rFonts w:ascii="Times New Roman" w:eastAsia="Cambria" w:hAnsi="Times New Roman"/>
          <w:szCs w:val="24"/>
          <w:lang w:eastAsia="ja-JP"/>
        </w:rPr>
        <w:t xml:space="preserve">standi, </w:t>
      </w:r>
      <w:r w:rsidR="003F113F" w:rsidRPr="006E622A">
        <w:rPr>
          <w:rFonts w:ascii="Times New Roman" w:eastAsia="Cambria" w:hAnsi="Times New Roman"/>
          <w:szCs w:val="24"/>
          <w:lang w:eastAsia="ja-JP"/>
        </w:rPr>
        <w:t xml:space="preserve">the Chamber </w:t>
      </w:r>
      <w:r w:rsidR="00DC1313">
        <w:rPr>
          <w:rFonts w:ascii="Times New Roman" w:eastAsia="Cambria" w:hAnsi="Times New Roman"/>
          <w:szCs w:val="24"/>
          <w:lang w:eastAsia="ja-JP"/>
        </w:rPr>
        <w:t>is empowered to</w:t>
      </w:r>
      <w:r w:rsidR="003F113F" w:rsidRPr="006E622A">
        <w:rPr>
          <w:rFonts w:ascii="Times New Roman" w:eastAsia="Cambria" w:hAnsi="Times New Roman"/>
          <w:szCs w:val="24"/>
          <w:lang w:eastAsia="ja-JP"/>
        </w:rPr>
        <w:t xml:space="preserve"> decide whether the mode of participation is appropriate and consistent with the </w:t>
      </w:r>
      <w:r w:rsidR="00340D66">
        <w:rPr>
          <w:rFonts w:ascii="Times New Roman" w:eastAsia="Cambria" w:hAnsi="Times New Roman"/>
          <w:szCs w:val="24"/>
          <w:lang w:eastAsia="ja-JP"/>
        </w:rPr>
        <w:t>defence's fair rights trial</w:t>
      </w:r>
      <w:r w:rsidR="003F113F" w:rsidRPr="006E622A">
        <w:rPr>
          <w:rFonts w:ascii="Times New Roman" w:eastAsia="Cambria" w:hAnsi="Times New Roman"/>
          <w:szCs w:val="24"/>
          <w:lang w:eastAsia="ja-JP"/>
        </w:rPr>
        <w:t xml:space="preserve">. </w:t>
      </w:r>
    </w:p>
    <w:p w14:paraId="301522DE" w14:textId="77777777" w:rsidR="005156C6" w:rsidRDefault="005156C6" w:rsidP="00383B4A">
      <w:pPr>
        <w:spacing w:after="0" w:line="480" w:lineRule="auto"/>
        <w:jc w:val="both"/>
        <w:rPr>
          <w:rFonts w:ascii="Times New Roman" w:hAnsi="Times New Roman"/>
          <w:szCs w:val="24"/>
        </w:rPr>
      </w:pPr>
    </w:p>
    <w:p w14:paraId="35E77963" w14:textId="65F356DE" w:rsidR="00ED2279" w:rsidRPr="00383B4A" w:rsidRDefault="00075A69" w:rsidP="00383B4A">
      <w:pPr>
        <w:spacing w:after="0" w:line="480" w:lineRule="auto"/>
        <w:jc w:val="both"/>
        <w:rPr>
          <w:rFonts w:ascii="Times New Roman" w:hAnsi="Times New Roman"/>
          <w:szCs w:val="24"/>
        </w:rPr>
      </w:pPr>
      <w:r w:rsidRPr="00383B4A">
        <w:rPr>
          <w:rFonts w:ascii="Times New Roman" w:hAnsi="Times New Roman"/>
          <w:szCs w:val="24"/>
        </w:rPr>
        <w:t>Having discussed the modalities and pre</w:t>
      </w:r>
      <w:r w:rsidR="00AC4D40">
        <w:rPr>
          <w:rFonts w:ascii="Times New Roman" w:hAnsi="Times New Roman"/>
          <w:szCs w:val="24"/>
        </w:rPr>
        <w:t>-</w:t>
      </w:r>
      <w:r w:rsidRPr="00383B4A">
        <w:rPr>
          <w:rFonts w:ascii="Times New Roman" w:hAnsi="Times New Roman"/>
          <w:szCs w:val="24"/>
        </w:rPr>
        <w:t>requisites for participation, the</w:t>
      </w:r>
      <w:r w:rsidR="006B6EB2" w:rsidRPr="00383B4A">
        <w:rPr>
          <w:rFonts w:ascii="Times New Roman" w:hAnsi="Times New Roman"/>
          <w:szCs w:val="24"/>
        </w:rPr>
        <w:t xml:space="preserve"> following section describes</w:t>
      </w:r>
      <w:r w:rsidRPr="00383B4A">
        <w:rPr>
          <w:rFonts w:ascii="Times New Roman" w:hAnsi="Times New Roman"/>
          <w:szCs w:val="24"/>
        </w:rPr>
        <w:t xml:space="preserve"> </w:t>
      </w:r>
      <w:r w:rsidR="00340D66">
        <w:rPr>
          <w:rFonts w:ascii="Times New Roman" w:hAnsi="Times New Roman"/>
          <w:szCs w:val="24"/>
        </w:rPr>
        <w:t>victims' procedural right</w:t>
      </w:r>
      <w:r w:rsidR="00E27338" w:rsidRPr="00383B4A">
        <w:rPr>
          <w:rFonts w:ascii="Times New Roman" w:hAnsi="Times New Roman"/>
          <w:szCs w:val="24"/>
        </w:rPr>
        <w:t>s and its applicability to further victims’ interests.</w:t>
      </w:r>
    </w:p>
    <w:p w14:paraId="0C28A389" w14:textId="77777777" w:rsidR="00ED2279" w:rsidRPr="00383B4A" w:rsidRDefault="00ED2279" w:rsidP="00383B4A">
      <w:pPr>
        <w:spacing w:after="0" w:line="480" w:lineRule="auto"/>
        <w:jc w:val="both"/>
        <w:rPr>
          <w:rFonts w:ascii="Times New Roman" w:hAnsi="Times New Roman"/>
          <w:szCs w:val="24"/>
        </w:rPr>
      </w:pPr>
    </w:p>
    <w:p w14:paraId="0E1666B6" w14:textId="15A61E35" w:rsidR="006E622A" w:rsidRPr="00BA1EFB" w:rsidRDefault="005B12CD" w:rsidP="00364EC8">
      <w:pPr>
        <w:pStyle w:val="Heading2"/>
      </w:pPr>
      <w:bookmarkStart w:id="39" w:name="_Toc60235816"/>
      <w:r>
        <w:t>3.</w:t>
      </w:r>
      <w:r w:rsidR="00CA05F5">
        <w:t>4</w:t>
      </w:r>
      <w:r>
        <w:t>.1</w:t>
      </w:r>
      <w:r w:rsidR="006E622A" w:rsidRPr="00BA1EFB">
        <w:t>Procedural rights of victim</w:t>
      </w:r>
      <w:r w:rsidR="005156C6">
        <w:t>s</w:t>
      </w:r>
      <w:r w:rsidR="006E622A" w:rsidRPr="00BA1EFB">
        <w:t>.</w:t>
      </w:r>
      <w:bookmarkEnd w:id="39"/>
    </w:p>
    <w:p w14:paraId="2404BF15" w14:textId="77777777" w:rsidR="00517E51" w:rsidRDefault="00290AD8" w:rsidP="00517E51">
      <w:pPr>
        <w:spacing w:after="0" w:line="480" w:lineRule="auto"/>
        <w:jc w:val="both"/>
        <w:rPr>
          <w:rFonts w:ascii="Times New Roman" w:eastAsia="Cambria" w:hAnsi="Times New Roman"/>
          <w:szCs w:val="24"/>
          <w:lang w:eastAsia="ja-JP"/>
        </w:rPr>
      </w:pPr>
      <w:r w:rsidRPr="00383B4A">
        <w:rPr>
          <w:rFonts w:ascii="Times New Roman" w:eastAsia="Cambria" w:hAnsi="Times New Roman"/>
          <w:szCs w:val="24"/>
          <w:lang w:eastAsia="ja-JP"/>
        </w:rPr>
        <w:t>Tur</w:t>
      </w:r>
      <w:r w:rsidR="00A64E90">
        <w:rPr>
          <w:rFonts w:ascii="Times New Roman" w:eastAsia="Cambria" w:hAnsi="Times New Roman"/>
          <w:szCs w:val="24"/>
          <w:lang w:eastAsia="ja-JP"/>
        </w:rPr>
        <w:t>n</w:t>
      </w:r>
      <w:r w:rsidRPr="00383B4A">
        <w:rPr>
          <w:rFonts w:ascii="Times New Roman" w:eastAsia="Cambria" w:hAnsi="Times New Roman"/>
          <w:szCs w:val="24"/>
          <w:lang w:eastAsia="ja-JP"/>
        </w:rPr>
        <w:t xml:space="preserve">ing now to </w:t>
      </w:r>
      <w:r w:rsidR="00340D66">
        <w:rPr>
          <w:rFonts w:ascii="Times New Roman" w:eastAsia="Cambria" w:hAnsi="Times New Roman"/>
          <w:szCs w:val="24"/>
          <w:lang w:eastAsia="ja-JP"/>
        </w:rPr>
        <w:t>victims' procedural right</w:t>
      </w:r>
      <w:r w:rsidRPr="00383B4A">
        <w:rPr>
          <w:rFonts w:ascii="Times New Roman" w:eastAsia="Cambria" w:hAnsi="Times New Roman"/>
          <w:szCs w:val="24"/>
          <w:lang w:eastAsia="ja-JP"/>
        </w:rPr>
        <w:t>s</w:t>
      </w:r>
      <w:r w:rsidR="006E622A" w:rsidRPr="00383B4A">
        <w:rPr>
          <w:rFonts w:ascii="Times New Roman" w:eastAsia="Cambria" w:hAnsi="Times New Roman"/>
          <w:szCs w:val="24"/>
          <w:lang w:eastAsia="ja-JP"/>
        </w:rPr>
        <w:t>,</w:t>
      </w:r>
      <w:r w:rsidR="00263CE9" w:rsidRPr="00383B4A">
        <w:rPr>
          <w:rFonts w:ascii="Times New Roman" w:eastAsia="Cambria" w:hAnsi="Times New Roman"/>
          <w:szCs w:val="24"/>
          <w:lang w:eastAsia="ja-JP"/>
        </w:rPr>
        <w:t xml:space="preserve"> </w:t>
      </w:r>
      <w:r w:rsidR="006E622A" w:rsidRPr="00383B4A">
        <w:rPr>
          <w:rFonts w:ascii="Times New Roman" w:eastAsia="Cambria" w:hAnsi="Times New Roman"/>
          <w:szCs w:val="24"/>
          <w:lang w:eastAsia="ja-JP"/>
        </w:rPr>
        <w:t xml:space="preserve">this section will focus on </w:t>
      </w:r>
      <w:r w:rsidR="00517E51">
        <w:rPr>
          <w:rFonts w:ascii="Times New Roman" w:eastAsia="Cambria" w:hAnsi="Times New Roman"/>
          <w:szCs w:val="24"/>
          <w:lang w:eastAsia="ja-JP"/>
        </w:rPr>
        <w:t>victims' procedural statu</w:t>
      </w:r>
      <w:r w:rsidRPr="00383B4A">
        <w:rPr>
          <w:rFonts w:ascii="Times New Roman" w:eastAsia="Cambria" w:hAnsi="Times New Roman"/>
          <w:szCs w:val="24"/>
          <w:lang w:eastAsia="ja-JP"/>
        </w:rPr>
        <w:t>s via the procedural rights</w:t>
      </w:r>
      <w:r w:rsidR="006A4806">
        <w:rPr>
          <w:rFonts w:ascii="Times New Roman" w:eastAsia="Cambria" w:hAnsi="Times New Roman"/>
          <w:szCs w:val="24"/>
          <w:lang w:eastAsia="ja-JP"/>
        </w:rPr>
        <w:t xml:space="preserve"> applicable</w:t>
      </w:r>
      <w:r w:rsidRPr="00383B4A">
        <w:rPr>
          <w:rFonts w:ascii="Times New Roman" w:eastAsia="Cambria" w:hAnsi="Times New Roman"/>
          <w:szCs w:val="24"/>
          <w:lang w:eastAsia="ja-JP"/>
        </w:rPr>
        <w:t xml:space="preserve"> </w:t>
      </w:r>
      <w:r w:rsidR="00263CE9" w:rsidRPr="00383B4A">
        <w:rPr>
          <w:rFonts w:ascii="Times New Roman" w:eastAsia="Cambria" w:hAnsi="Times New Roman"/>
          <w:szCs w:val="24"/>
          <w:lang w:eastAsia="ja-JP"/>
        </w:rPr>
        <w:t>to them.</w:t>
      </w:r>
      <w:r w:rsidR="005156C6">
        <w:rPr>
          <w:rFonts w:ascii="Times New Roman" w:eastAsia="Cambria" w:hAnsi="Times New Roman"/>
          <w:szCs w:val="24"/>
          <w:lang w:eastAsia="ja-JP"/>
        </w:rPr>
        <w:t xml:space="preserve"> </w:t>
      </w:r>
      <w:r w:rsidR="00B677AF">
        <w:rPr>
          <w:rFonts w:ascii="Times New Roman" w:eastAsia="Cambria" w:hAnsi="Times New Roman"/>
          <w:szCs w:val="24"/>
          <w:lang w:eastAsia="ja-JP"/>
        </w:rPr>
        <w:t>The procedural sta</w:t>
      </w:r>
      <w:r w:rsidR="00E47060">
        <w:rPr>
          <w:rFonts w:ascii="Times New Roman" w:eastAsia="Cambria" w:hAnsi="Times New Roman"/>
          <w:szCs w:val="24"/>
          <w:lang w:eastAsia="ja-JP"/>
        </w:rPr>
        <w:t>t</w:t>
      </w:r>
      <w:r w:rsidR="00B677AF">
        <w:rPr>
          <w:rFonts w:ascii="Times New Roman" w:eastAsia="Cambria" w:hAnsi="Times New Roman"/>
          <w:szCs w:val="24"/>
          <w:lang w:eastAsia="ja-JP"/>
        </w:rPr>
        <w:t>us of victim confers victims participatory rights which entitles them to express their views and concerns.</w:t>
      </w:r>
      <w:r w:rsidR="00B677AF">
        <w:rPr>
          <w:rStyle w:val="FootnoteReference"/>
          <w:rFonts w:ascii="Times New Roman" w:eastAsia="Cambria" w:hAnsi="Times New Roman"/>
          <w:szCs w:val="24"/>
          <w:lang w:eastAsia="ja-JP"/>
        </w:rPr>
        <w:footnoteReference w:id="617"/>
      </w:r>
      <w:r w:rsidR="00E47060">
        <w:rPr>
          <w:rFonts w:ascii="Times New Roman" w:eastAsia="Cambria" w:hAnsi="Times New Roman"/>
          <w:szCs w:val="24"/>
          <w:lang w:eastAsia="ja-JP"/>
        </w:rPr>
        <w:t xml:space="preserve">It seems </w:t>
      </w:r>
      <w:r w:rsidR="000572E1">
        <w:rPr>
          <w:rFonts w:ascii="Times New Roman" w:eastAsia="Cambria" w:hAnsi="Times New Roman"/>
          <w:szCs w:val="24"/>
          <w:lang w:eastAsia="ja-JP"/>
        </w:rPr>
        <w:t xml:space="preserve">that </w:t>
      </w:r>
      <w:r w:rsidR="00E47060">
        <w:rPr>
          <w:rFonts w:ascii="Times New Roman" w:eastAsia="Cambria" w:hAnsi="Times New Roman"/>
          <w:szCs w:val="24"/>
          <w:lang w:eastAsia="ja-JP"/>
        </w:rPr>
        <w:t xml:space="preserve">the concept of </w:t>
      </w:r>
      <w:r w:rsidR="005156C6">
        <w:rPr>
          <w:rFonts w:ascii="Times New Roman" w:eastAsia="Cambria" w:hAnsi="Times New Roman"/>
          <w:szCs w:val="24"/>
          <w:lang w:eastAsia="ja-JP"/>
        </w:rPr>
        <w:t xml:space="preserve">the </w:t>
      </w:r>
      <w:r w:rsidR="00E47060">
        <w:rPr>
          <w:rFonts w:ascii="Times New Roman" w:eastAsia="Cambria" w:hAnsi="Times New Roman"/>
          <w:szCs w:val="24"/>
          <w:lang w:eastAsia="ja-JP"/>
        </w:rPr>
        <w:t>procedural status of victims is not settled.</w:t>
      </w:r>
      <w:r w:rsidR="005156C6">
        <w:rPr>
          <w:rFonts w:ascii="Times New Roman" w:eastAsia="Cambria" w:hAnsi="Times New Roman"/>
          <w:szCs w:val="24"/>
          <w:lang w:eastAsia="ja-JP"/>
        </w:rPr>
        <w:t xml:space="preserve"> </w:t>
      </w:r>
      <w:r w:rsidR="00E47060">
        <w:rPr>
          <w:rFonts w:ascii="Times New Roman" w:eastAsia="Cambria" w:hAnsi="Times New Roman"/>
          <w:szCs w:val="24"/>
          <w:lang w:eastAsia="ja-JP"/>
        </w:rPr>
        <w:t xml:space="preserve">The following passage espouses the reasoning behind such </w:t>
      </w:r>
      <w:r w:rsidR="005156C6">
        <w:rPr>
          <w:rFonts w:ascii="Times New Roman" w:eastAsia="Cambria" w:hAnsi="Times New Roman"/>
          <w:szCs w:val="24"/>
          <w:lang w:eastAsia="ja-JP"/>
        </w:rPr>
        <w:t xml:space="preserve">a </w:t>
      </w:r>
      <w:r w:rsidR="00E47060">
        <w:rPr>
          <w:rFonts w:ascii="Times New Roman" w:eastAsia="Cambria" w:hAnsi="Times New Roman"/>
          <w:szCs w:val="24"/>
          <w:lang w:eastAsia="ja-JP"/>
        </w:rPr>
        <w:t>statement:</w:t>
      </w:r>
    </w:p>
    <w:p w14:paraId="170743FB" w14:textId="77777777" w:rsidR="00517E51" w:rsidRDefault="00517E51" w:rsidP="00517E51">
      <w:pPr>
        <w:spacing w:after="0" w:line="480" w:lineRule="auto"/>
        <w:jc w:val="both"/>
        <w:rPr>
          <w:rFonts w:ascii="Times New Roman" w:eastAsia="Cambria" w:hAnsi="Times New Roman"/>
          <w:szCs w:val="24"/>
          <w:lang w:eastAsia="ja-JP"/>
        </w:rPr>
      </w:pPr>
    </w:p>
    <w:p w14:paraId="361CDBD3" w14:textId="652351D5" w:rsidR="00084F8B" w:rsidRPr="00517E51" w:rsidRDefault="005156C6" w:rsidP="00517E51">
      <w:pPr>
        <w:spacing w:after="0" w:line="480" w:lineRule="auto"/>
        <w:jc w:val="both"/>
        <w:rPr>
          <w:rStyle w:val="QuoteChar"/>
          <w:rFonts w:ascii="Times New Roman" w:eastAsia="Cambria" w:hAnsi="Times New Roman"/>
          <w:i w:val="0"/>
          <w:iCs w:val="0"/>
          <w:color w:val="auto"/>
          <w:szCs w:val="24"/>
          <w:lang w:eastAsia="ja-JP"/>
        </w:rPr>
      </w:pPr>
      <w:r>
        <w:rPr>
          <w:rStyle w:val="QuoteChar"/>
          <w:rFonts w:eastAsia="Cambria"/>
        </w:rPr>
        <w:lastRenderedPageBreak/>
        <w:t>“</w:t>
      </w:r>
      <w:r w:rsidR="00E47060" w:rsidRPr="005156C6">
        <w:rPr>
          <w:rStyle w:val="QuoteChar"/>
          <w:rFonts w:ascii="Times New Roman" w:eastAsia="Cambria" w:hAnsi="Times New Roman"/>
          <w:i w:val="0"/>
        </w:rPr>
        <w:t>Procedural status of victim” is unknown to law</w:t>
      </w:r>
      <w:r w:rsidR="000572E1">
        <w:rPr>
          <w:rStyle w:val="QuoteChar"/>
          <w:rFonts w:ascii="Times New Roman" w:eastAsia="Cambria" w:hAnsi="Times New Roman"/>
          <w:i w:val="0"/>
        </w:rPr>
        <w:t>.</w:t>
      </w:r>
      <w:r w:rsidRPr="005156C6">
        <w:rPr>
          <w:rStyle w:val="QuoteChar"/>
          <w:rFonts w:ascii="Times New Roman" w:eastAsia="Cambria" w:hAnsi="Times New Roman"/>
          <w:i w:val="0"/>
        </w:rPr>
        <w:t xml:space="preserve"> </w:t>
      </w:r>
      <w:r w:rsidR="00E47060" w:rsidRPr="005156C6">
        <w:rPr>
          <w:rStyle w:val="QuoteChar"/>
          <w:rFonts w:ascii="Times New Roman" w:eastAsia="Cambria" w:hAnsi="Times New Roman"/>
          <w:i w:val="0"/>
        </w:rPr>
        <w:t xml:space="preserve">Such status is fraught with </w:t>
      </w:r>
    </w:p>
    <w:p w14:paraId="445713F8" w14:textId="77777777" w:rsidR="00084F8B" w:rsidRDefault="00E47060" w:rsidP="006604DD">
      <w:pPr>
        <w:spacing w:after="0" w:line="480" w:lineRule="auto"/>
        <w:jc w:val="center"/>
        <w:rPr>
          <w:rStyle w:val="QuoteChar"/>
          <w:rFonts w:ascii="Times New Roman" w:eastAsia="Cambria" w:hAnsi="Times New Roman"/>
          <w:i w:val="0"/>
        </w:rPr>
      </w:pPr>
      <w:r w:rsidRPr="005156C6">
        <w:rPr>
          <w:rStyle w:val="QuoteChar"/>
          <w:rFonts w:ascii="Times New Roman" w:eastAsia="Cambria" w:hAnsi="Times New Roman"/>
          <w:i w:val="0"/>
        </w:rPr>
        <w:t>confusion and opens the door to victims intruding into the investigation process,</w:t>
      </w:r>
    </w:p>
    <w:p w14:paraId="47E36F9B" w14:textId="0C2A0D90" w:rsidR="00E47060" w:rsidRDefault="00E47060" w:rsidP="006604DD">
      <w:pPr>
        <w:spacing w:after="0" w:line="480" w:lineRule="auto"/>
        <w:jc w:val="center"/>
        <w:rPr>
          <w:rFonts w:ascii="Times New Roman" w:eastAsia="Cambria" w:hAnsi="Times New Roman"/>
          <w:szCs w:val="24"/>
          <w:lang w:eastAsia="ja-JP"/>
        </w:rPr>
      </w:pPr>
      <w:r w:rsidRPr="005156C6">
        <w:rPr>
          <w:rStyle w:val="QuoteChar"/>
          <w:rFonts w:ascii="Times New Roman" w:eastAsia="Cambria" w:hAnsi="Times New Roman"/>
          <w:i w:val="0"/>
        </w:rPr>
        <w:t xml:space="preserve"> the exclusive province of the prosecutor</w:t>
      </w:r>
      <w:r w:rsidR="005156C6">
        <w:rPr>
          <w:rStyle w:val="QuoteChar"/>
          <w:rFonts w:eastAsia="Cambria"/>
        </w:rPr>
        <w:t>.</w:t>
      </w:r>
      <w:r>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618"/>
      </w:r>
    </w:p>
    <w:p w14:paraId="7B3D5E4E" w14:textId="77777777" w:rsidR="006A4806" w:rsidRDefault="006A4806" w:rsidP="00383B4A">
      <w:pPr>
        <w:spacing w:after="0" w:line="480" w:lineRule="auto"/>
        <w:jc w:val="both"/>
        <w:rPr>
          <w:rFonts w:ascii="Times New Roman" w:eastAsia="Cambria" w:hAnsi="Times New Roman"/>
          <w:szCs w:val="24"/>
          <w:lang w:eastAsia="ja-JP"/>
        </w:rPr>
      </w:pPr>
    </w:p>
    <w:p w14:paraId="7C57BDBC" w14:textId="476957CE" w:rsidR="00E47060" w:rsidRDefault="00E47060" w:rsidP="006E1403">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Although th</w:t>
      </w:r>
      <w:r w:rsidR="000572E1">
        <w:rPr>
          <w:rFonts w:ascii="Times New Roman" w:eastAsia="Cambria" w:hAnsi="Times New Roman"/>
          <w:szCs w:val="24"/>
          <w:lang w:eastAsia="ja-JP"/>
        </w:rPr>
        <w:t xml:space="preserve">e prosecutor(appellant) remarked this </w:t>
      </w:r>
      <w:r w:rsidR="006A4806">
        <w:rPr>
          <w:rFonts w:ascii="Times New Roman" w:eastAsia="Cambria" w:hAnsi="Times New Roman"/>
          <w:szCs w:val="24"/>
          <w:lang w:eastAsia="ja-JP"/>
        </w:rPr>
        <w:t>to support</w:t>
      </w:r>
      <w:r>
        <w:rPr>
          <w:rFonts w:ascii="Times New Roman" w:eastAsia="Cambria" w:hAnsi="Times New Roman"/>
          <w:szCs w:val="24"/>
          <w:lang w:eastAsia="ja-JP"/>
        </w:rPr>
        <w:t xml:space="preserve"> his opposition to </w:t>
      </w:r>
      <w:r w:rsidR="00A16DA1">
        <w:rPr>
          <w:rFonts w:ascii="Times New Roman" w:eastAsia="Cambria" w:hAnsi="Times New Roman"/>
          <w:szCs w:val="24"/>
          <w:lang w:eastAsia="ja-JP"/>
        </w:rPr>
        <w:t>victims' participation</w:t>
      </w:r>
      <w:r>
        <w:rPr>
          <w:rFonts w:ascii="Times New Roman" w:eastAsia="Cambria" w:hAnsi="Times New Roman"/>
          <w:szCs w:val="24"/>
          <w:lang w:eastAsia="ja-JP"/>
        </w:rPr>
        <w:t xml:space="preserve"> in the investigative process,</w:t>
      </w:r>
      <w:r w:rsidR="00765674">
        <w:rPr>
          <w:rFonts w:ascii="Times New Roman" w:eastAsia="Cambria" w:hAnsi="Times New Roman"/>
          <w:szCs w:val="24"/>
          <w:lang w:eastAsia="ja-JP"/>
        </w:rPr>
        <w:t xml:space="preserve"> the </w:t>
      </w:r>
      <w:r w:rsidR="00340D66">
        <w:rPr>
          <w:rFonts w:ascii="Times New Roman" w:eastAsia="Cambria" w:hAnsi="Times New Roman"/>
          <w:szCs w:val="24"/>
          <w:lang w:eastAsia="ja-JP"/>
        </w:rPr>
        <w:t>Appeals Chamber's determination</w:t>
      </w:r>
      <w:r w:rsidR="00765674">
        <w:rPr>
          <w:rFonts w:ascii="Times New Roman" w:eastAsia="Cambria" w:hAnsi="Times New Roman"/>
          <w:szCs w:val="24"/>
          <w:lang w:eastAsia="ja-JP"/>
        </w:rPr>
        <w:t xml:space="preserve"> supports the prosecutor’s arguments. It states as follows</w:t>
      </w:r>
      <w:r w:rsidR="00813E74">
        <w:rPr>
          <w:rFonts w:ascii="Times New Roman" w:eastAsia="Cambria" w:hAnsi="Times New Roman"/>
          <w:szCs w:val="24"/>
          <w:lang w:eastAsia="ja-JP"/>
        </w:rPr>
        <w:t>:</w:t>
      </w:r>
    </w:p>
    <w:p w14:paraId="4D16C89C" w14:textId="77777777" w:rsidR="006A4806" w:rsidRDefault="006A4806" w:rsidP="00383B4A">
      <w:pPr>
        <w:spacing w:after="0" w:line="480" w:lineRule="auto"/>
        <w:jc w:val="both"/>
        <w:rPr>
          <w:rFonts w:ascii="Times New Roman" w:eastAsia="Cambria" w:hAnsi="Times New Roman"/>
          <w:szCs w:val="24"/>
          <w:lang w:eastAsia="ja-JP"/>
        </w:rPr>
      </w:pPr>
    </w:p>
    <w:p w14:paraId="7E1AF77D" w14:textId="3551DC27" w:rsidR="006A4806" w:rsidRDefault="00CD2949" w:rsidP="006604DD">
      <w:pPr>
        <w:spacing w:after="0" w:line="480" w:lineRule="auto"/>
        <w:jc w:val="center"/>
        <w:rPr>
          <w:rStyle w:val="QuoteChar"/>
          <w:rFonts w:eastAsia="Cambria"/>
        </w:rPr>
      </w:pPr>
      <w:r w:rsidRPr="006A4806">
        <w:rPr>
          <w:rStyle w:val="QuoteChar"/>
          <w:rFonts w:eastAsia="Cambria"/>
        </w:rPr>
        <w:t>“</w:t>
      </w:r>
      <w:r w:rsidRPr="005156C6">
        <w:rPr>
          <w:rStyle w:val="QuoteChar"/>
          <w:rFonts w:ascii="Times New Roman" w:eastAsia="Cambria" w:hAnsi="Times New Roman"/>
          <w:i w:val="0"/>
        </w:rPr>
        <w:t xml:space="preserve">The notion of </w:t>
      </w:r>
      <w:r w:rsidR="00A16DA1">
        <w:rPr>
          <w:rStyle w:val="QuoteChar"/>
          <w:rFonts w:ascii="Times New Roman" w:eastAsia="Cambria" w:hAnsi="Times New Roman"/>
          <w:i w:val="0"/>
        </w:rPr>
        <w:t xml:space="preserve">the </w:t>
      </w:r>
      <w:r w:rsidRPr="005156C6">
        <w:rPr>
          <w:rStyle w:val="QuoteChar"/>
          <w:rFonts w:ascii="Times New Roman" w:eastAsia="Cambria" w:hAnsi="Times New Roman"/>
          <w:i w:val="0"/>
        </w:rPr>
        <w:t>procedural status of victims is nowhere defined, and it is difficult to attach a specific meaning to it.</w:t>
      </w:r>
      <w:r w:rsidR="00DB5CE1" w:rsidRPr="005156C6">
        <w:rPr>
          <w:rStyle w:val="QuoteChar"/>
          <w:rFonts w:ascii="Times New Roman" w:eastAsia="Cambria" w:hAnsi="Times New Roman"/>
          <w:i w:val="0"/>
        </w:rPr>
        <w:t xml:space="preserve"> “</w:t>
      </w:r>
      <w:r w:rsidR="006A4806" w:rsidRPr="005156C6">
        <w:rPr>
          <w:rStyle w:val="QuoteChar"/>
          <w:rFonts w:ascii="Times New Roman" w:eastAsia="Cambria" w:hAnsi="Times New Roman"/>
          <w:i w:val="0"/>
        </w:rPr>
        <w:t>Are there</w:t>
      </w:r>
      <w:r w:rsidRPr="005156C6">
        <w:rPr>
          <w:rStyle w:val="QuoteChar"/>
          <w:rFonts w:ascii="Times New Roman" w:eastAsia="Cambria" w:hAnsi="Times New Roman"/>
          <w:i w:val="0"/>
        </w:rPr>
        <w:t xml:space="preserve"> other forms of victims</w:t>
      </w:r>
      <w:r w:rsidRPr="006A4806">
        <w:rPr>
          <w:rStyle w:val="QuoteChar"/>
          <w:rFonts w:eastAsia="Cambria"/>
        </w:rPr>
        <w:t xml:space="preserve"> </w:t>
      </w:r>
      <w:r w:rsidRPr="005156C6">
        <w:rPr>
          <w:rStyle w:val="QuoteChar"/>
          <w:rFonts w:ascii="Times New Roman" w:eastAsia="Cambria" w:hAnsi="Times New Roman"/>
          <w:i w:val="0"/>
        </w:rPr>
        <w:t>status?...</w:t>
      </w:r>
      <w:r w:rsidR="00A16DA1">
        <w:rPr>
          <w:rStyle w:val="QuoteChar"/>
          <w:rFonts w:ascii="Times New Roman" w:eastAsia="Cambria" w:hAnsi="Times New Roman"/>
          <w:i w:val="0"/>
        </w:rPr>
        <w:t xml:space="preserve"> </w:t>
      </w:r>
      <w:r w:rsidRPr="005156C6">
        <w:rPr>
          <w:rStyle w:val="QuoteChar"/>
          <w:rFonts w:ascii="Times New Roman" w:eastAsia="Cambria" w:hAnsi="Times New Roman"/>
          <w:i w:val="0"/>
        </w:rPr>
        <w:t>Moreover, is there a substantive victim status in contrast to a procedural one</w:t>
      </w:r>
      <w:r w:rsidRPr="006A4806">
        <w:rPr>
          <w:rStyle w:val="QuoteChar"/>
          <w:rFonts w:eastAsia="Cambria"/>
        </w:rPr>
        <w:t>?”</w:t>
      </w:r>
      <w:r w:rsidR="00CF6D76">
        <w:rPr>
          <w:rStyle w:val="FootnoteReference"/>
          <w:rFonts w:ascii="Times New Roman" w:eastAsia="Cambria" w:hAnsi="Times New Roman"/>
          <w:szCs w:val="24"/>
          <w:lang w:eastAsia="ja-JP"/>
        </w:rPr>
        <w:footnoteReference w:id="619"/>
      </w:r>
    </w:p>
    <w:p w14:paraId="6B95690C" w14:textId="77777777" w:rsidR="006604DD" w:rsidRDefault="006604DD" w:rsidP="006604DD">
      <w:pPr>
        <w:spacing w:after="0" w:line="480" w:lineRule="auto"/>
        <w:jc w:val="center"/>
        <w:rPr>
          <w:rFonts w:eastAsia="Cambria"/>
          <w:lang w:eastAsia="ja-JP"/>
        </w:rPr>
      </w:pPr>
    </w:p>
    <w:p w14:paraId="5DEBEE43" w14:textId="08D9317D" w:rsidR="00CD2949" w:rsidRPr="006E0AD7" w:rsidRDefault="00DB5CE1" w:rsidP="006E0AD7">
      <w:pPr>
        <w:spacing w:after="0" w:line="480" w:lineRule="auto"/>
        <w:jc w:val="both"/>
        <w:rPr>
          <w:rFonts w:ascii="Times New Roman" w:eastAsia="Cambria" w:hAnsi="Times New Roman"/>
          <w:szCs w:val="24"/>
          <w:lang w:eastAsia="ja-JP"/>
        </w:rPr>
      </w:pPr>
      <w:r w:rsidRPr="00DB5CE1">
        <w:rPr>
          <w:rFonts w:ascii="Times New Roman" w:eastAsia="Cambria" w:hAnsi="Times New Roman"/>
          <w:lang w:eastAsia="ja-JP"/>
        </w:rPr>
        <w:t xml:space="preserve">In addition, the AC noted that the word ‘procedural’ means something related to </w:t>
      </w:r>
      <w:r w:rsidR="00084F8B">
        <w:rPr>
          <w:rFonts w:ascii="Times New Roman" w:eastAsia="Cambria" w:hAnsi="Times New Roman"/>
          <w:lang w:eastAsia="ja-JP"/>
        </w:rPr>
        <w:t xml:space="preserve">the </w:t>
      </w:r>
      <w:r w:rsidRPr="00DB5CE1">
        <w:rPr>
          <w:rFonts w:ascii="Times New Roman" w:eastAsia="Cambria" w:hAnsi="Times New Roman"/>
          <w:lang w:eastAsia="ja-JP"/>
        </w:rPr>
        <w:t>procedure</w:t>
      </w:r>
      <w:r w:rsidR="0025481E">
        <w:rPr>
          <w:rFonts w:ascii="Times New Roman" w:eastAsia="Cambria" w:hAnsi="Times New Roman"/>
          <w:lang w:eastAsia="ja-JP"/>
        </w:rPr>
        <w:t>.</w:t>
      </w:r>
      <w:r w:rsidR="00084F8B">
        <w:rPr>
          <w:rFonts w:ascii="Times New Roman" w:eastAsia="Cambria" w:hAnsi="Times New Roman"/>
          <w:lang w:eastAsia="ja-JP"/>
        </w:rPr>
        <w:t xml:space="preserve"> </w:t>
      </w:r>
      <w:r w:rsidR="002D7DF0">
        <w:rPr>
          <w:rFonts w:ascii="Times New Roman" w:eastAsia="Cambria" w:hAnsi="Times New Roman"/>
          <w:lang w:eastAsia="ja-JP"/>
        </w:rPr>
        <w:t xml:space="preserve">A code which regulates the judicial power known as ‘adjectival </w:t>
      </w:r>
      <w:proofErr w:type="spellStart"/>
      <w:r w:rsidR="002D7DF0">
        <w:rPr>
          <w:rFonts w:ascii="Times New Roman" w:eastAsia="Cambria" w:hAnsi="Times New Roman"/>
          <w:lang w:eastAsia="ja-JP"/>
        </w:rPr>
        <w:t>law’.</w:t>
      </w:r>
      <w:r w:rsidR="006E0AD7">
        <w:rPr>
          <w:rFonts w:ascii="Times New Roman" w:eastAsia="Cambria" w:hAnsi="Times New Roman"/>
          <w:lang w:eastAsia="ja-JP"/>
        </w:rPr>
        <w:t>It</w:t>
      </w:r>
      <w:proofErr w:type="spellEnd"/>
      <w:r w:rsidR="006E0AD7">
        <w:rPr>
          <w:rFonts w:ascii="Times New Roman" w:eastAsia="Cambria" w:hAnsi="Times New Roman"/>
          <w:lang w:eastAsia="ja-JP"/>
        </w:rPr>
        <w:t xml:space="preserve"> is distinguished from substantive law which was described as “</w:t>
      </w:r>
      <w:r w:rsidR="00CD2949" w:rsidRPr="00F96331">
        <w:rPr>
          <w:rFonts w:ascii="Times New Roman" w:hAnsi="Times New Roman"/>
        </w:rPr>
        <w:t>definitive of the rights, duties and</w:t>
      </w:r>
      <w:r w:rsidR="00280C23" w:rsidRPr="00F96331">
        <w:rPr>
          <w:rFonts w:ascii="Times New Roman" w:hAnsi="Times New Roman"/>
        </w:rPr>
        <w:t xml:space="preserve"> </w:t>
      </w:r>
      <w:r w:rsidR="00CD2949" w:rsidRPr="00F96331">
        <w:rPr>
          <w:rFonts w:ascii="Times New Roman" w:hAnsi="Times New Roman"/>
        </w:rPr>
        <w:t>obligations of a person. The word "status" signifies a person's legal condition, whether personal or proprietary, Procedure is not of itself determinative of the status of any</w:t>
      </w:r>
      <w:r w:rsidRPr="00F96331">
        <w:rPr>
          <w:rFonts w:ascii="Times New Roman" w:hAnsi="Times New Roman"/>
        </w:rPr>
        <w:t xml:space="preserve"> </w:t>
      </w:r>
      <w:r w:rsidR="00CD2949" w:rsidRPr="00F96331">
        <w:rPr>
          <w:rFonts w:ascii="Times New Roman" w:hAnsi="Times New Roman"/>
        </w:rPr>
        <w:t>perso</w:t>
      </w:r>
      <w:r w:rsidR="00CD2949" w:rsidRPr="005156C6">
        <w:rPr>
          <w:rFonts w:ascii="Times New Roman" w:hAnsi="Times New Roman"/>
          <w:i/>
        </w:rPr>
        <w:t>n</w:t>
      </w:r>
      <w:r w:rsidR="00CD2949" w:rsidRPr="00DB5CE1">
        <w:rPr>
          <w:rFonts w:ascii="Times New Roman" w:hAnsi="Times New Roman"/>
          <w:i/>
          <w:szCs w:val="24"/>
        </w:rPr>
        <w:t>.</w:t>
      </w:r>
      <w:r w:rsidR="00CD2949">
        <w:rPr>
          <w:rFonts w:ascii="Times New Roman" w:hAnsi="Times New Roman"/>
          <w:szCs w:val="24"/>
        </w:rPr>
        <w:t>”</w:t>
      </w:r>
      <w:r w:rsidR="00CD2949">
        <w:rPr>
          <w:rStyle w:val="FootnoteReference"/>
          <w:rFonts w:ascii="Times New Roman" w:hAnsi="Times New Roman"/>
          <w:szCs w:val="24"/>
        </w:rPr>
        <w:footnoteReference w:id="620"/>
      </w:r>
    </w:p>
    <w:p w14:paraId="26BC327F" w14:textId="77777777" w:rsidR="00A16DA1" w:rsidRDefault="00A16DA1" w:rsidP="006E1403">
      <w:pPr>
        <w:spacing w:line="480" w:lineRule="auto"/>
        <w:jc w:val="both"/>
        <w:rPr>
          <w:rFonts w:ascii="Times New Roman" w:hAnsi="Times New Roman"/>
        </w:rPr>
      </w:pPr>
    </w:p>
    <w:p w14:paraId="7EA863A9" w14:textId="5C7B870D" w:rsidR="00084F8B" w:rsidRDefault="006E1403" w:rsidP="006E1403">
      <w:pPr>
        <w:spacing w:line="480" w:lineRule="auto"/>
        <w:jc w:val="both"/>
        <w:rPr>
          <w:rFonts w:ascii="Times New Roman" w:eastAsia="Cambria" w:hAnsi="Times New Roman"/>
          <w:szCs w:val="24"/>
          <w:vertAlign w:val="superscript"/>
          <w:lang w:eastAsia="ja-JP"/>
        </w:rPr>
      </w:pPr>
      <w:r>
        <w:rPr>
          <w:rFonts w:ascii="Times New Roman" w:eastAsia="Cambria" w:hAnsi="Times New Roman"/>
        </w:rPr>
        <w:lastRenderedPageBreak/>
        <w:t xml:space="preserve">Procedural status is a precondition for </w:t>
      </w:r>
      <w:r w:rsidR="005156C6">
        <w:rPr>
          <w:rFonts w:ascii="Times New Roman" w:eastAsia="Cambria" w:hAnsi="Times New Roman"/>
        </w:rPr>
        <w:t xml:space="preserve">a </w:t>
      </w:r>
      <w:r>
        <w:rPr>
          <w:rFonts w:ascii="Times New Roman" w:eastAsia="Cambria" w:hAnsi="Times New Roman"/>
        </w:rPr>
        <w:t>victim to participate.</w:t>
      </w:r>
      <w:r w:rsidR="005156C6">
        <w:rPr>
          <w:rFonts w:ascii="Times New Roman" w:eastAsia="Cambria" w:hAnsi="Times New Roman"/>
        </w:rPr>
        <w:t xml:space="preserve"> </w:t>
      </w:r>
      <w:r>
        <w:rPr>
          <w:rFonts w:ascii="Times New Roman" w:eastAsia="Cambria" w:hAnsi="Times New Roman"/>
        </w:rPr>
        <w:t xml:space="preserve">From the procedural status emerges </w:t>
      </w:r>
      <w:r>
        <w:rPr>
          <w:rFonts w:ascii="Times New Roman" w:eastAsia="Cambria" w:hAnsi="Times New Roman"/>
          <w:szCs w:val="24"/>
          <w:lang w:eastAsia="ja-JP"/>
        </w:rPr>
        <w:t>t</w:t>
      </w:r>
      <w:r w:rsidR="006E622A" w:rsidRPr="00383B4A">
        <w:rPr>
          <w:rFonts w:ascii="Times New Roman" w:eastAsia="Cambria" w:hAnsi="Times New Roman"/>
          <w:szCs w:val="24"/>
          <w:lang w:eastAsia="ja-JP"/>
        </w:rPr>
        <w:t>he procedural rights available to victims</w:t>
      </w:r>
      <w:r>
        <w:rPr>
          <w:rFonts w:ascii="Times New Roman" w:eastAsia="Cambria" w:hAnsi="Times New Roman"/>
          <w:szCs w:val="24"/>
          <w:lang w:eastAsia="ja-JP"/>
        </w:rPr>
        <w:t xml:space="preserve">, </w:t>
      </w:r>
      <w:r w:rsidR="001A2C06">
        <w:rPr>
          <w:rFonts w:ascii="Times New Roman" w:eastAsia="Cambria" w:hAnsi="Times New Roman"/>
          <w:szCs w:val="24"/>
          <w:lang w:eastAsia="ja-JP"/>
        </w:rPr>
        <w:t>contributing</w:t>
      </w:r>
      <w:r w:rsidR="00340D66">
        <w:rPr>
          <w:rFonts w:ascii="Times New Roman" w:eastAsia="Cambria" w:hAnsi="Times New Roman"/>
          <w:szCs w:val="24"/>
          <w:lang w:eastAsia="ja-JP"/>
        </w:rPr>
        <w:t xml:space="preserve"> to</w:t>
      </w:r>
      <w:r w:rsidR="006E622A" w:rsidRPr="00383B4A">
        <w:rPr>
          <w:rFonts w:ascii="Times New Roman" w:eastAsia="Cambria" w:hAnsi="Times New Roman"/>
          <w:szCs w:val="24"/>
          <w:lang w:eastAsia="ja-JP"/>
        </w:rPr>
        <w:t xml:space="preserve"> their access to justice. It is worthy of mention that the realisation of these rights </w:t>
      </w:r>
      <w:r w:rsidR="005156C6">
        <w:rPr>
          <w:rFonts w:ascii="Times New Roman" w:eastAsia="Cambria" w:hAnsi="Times New Roman"/>
          <w:szCs w:val="24"/>
          <w:lang w:eastAsia="ja-JP"/>
        </w:rPr>
        <w:t>is</w:t>
      </w:r>
      <w:r w:rsidR="006E622A" w:rsidRPr="00383B4A">
        <w:rPr>
          <w:rFonts w:ascii="Times New Roman" w:eastAsia="Cambria" w:hAnsi="Times New Roman"/>
          <w:szCs w:val="24"/>
          <w:lang w:eastAsia="ja-JP"/>
        </w:rPr>
        <w:t xml:space="preserve"> not automatic.</w:t>
      </w:r>
      <w:r w:rsidR="006B6EB2" w:rsidRPr="00383B4A">
        <w:rPr>
          <w:rFonts w:ascii="Times New Roman" w:eastAsia="Cambria" w:hAnsi="Times New Roman"/>
          <w:szCs w:val="24"/>
          <w:lang w:eastAsia="ja-JP"/>
        </w:rPr>
        <w:t xml:space="preserve"> </w:t>
      </w:r>
      <w:r w:rsidR="006E622A" w:rsidRPr="00383B4A">
        <w:rPr>
          <w:rFonts w:ascii="Times New Roman" w:eastAsia="Cambria" w:hAnsi="Times New Roman"/>
          <w:szCs w:val="24"/>
          <w:lang w:eastAsia="ja-JP"/>
        </w:rPr>
        <w:t xml:space="preserve">They </w:t>
      </w:r>
      <w:r w:rsidR="005156C6">
        <w:rPr>
          <w:rFonts w:ascii="Times New Roman" w:eastAsia="Cambria" w:hAnsi="Times New Roman"/>
          <w:szCs w:val="24"/>
          <w:lang w:eastAsia="ja-JP"/>
        </w:rPr>
        <w:t>hav</w:t>
      </w:r>
      <w:r w:rsidR="006E622A" w:rsidRPr="00383B4A">
        <w:rPr>
          <w:rFonts w:ascii="Times New Roman" w:eastAsia="Cambria" w:hAnsi="Times New Roman"/>
          <w:szCs w:val="24"/>
          <w:lang w:eastAsia="ja-JP"/>
        </w:rPr>
        <w:t>e left to judicial discretion</w:t>
      </w:r>
      <w:r w:rsidR="00084F8B">
        <w:rPr>
          <w:rFonts w:ascii="Times New Roman" w:eastAsia="Cambria" w:hAnsi="Times New Roman"/>
          <w:szCs w:val="24"/>
          <w:lang w:eastAsia="ja-JP"/>
        </w:rPr>
        <w:t>,</w:t>
      </w:r>
      <w:r w:rsidR="006E622A" w:rsidRPr="00383B4A">
        <w:rPr>
          <w:rFonts w:ascii="Times New Roman" w:eastAsia="Cambria" w:hAnsi="Times New Roman"/>
          <w:szCs w:val="24"/>
          <w:lang w:eastAsia="ja-JP"/>
        </w:rPr>
        <w:t xml:space="preserve"> i.e</w:t>
      </w:r>
      <w:r w:rsidR="005156C6">
        <w:rPr>
          <w:rFonts w:ascii="Times New Roman" w:eastAsia="Cambria" w:hAnsi="Times New Roman"/>
          <w:szCs w:val="24"/>
          <w:lang w:eastAsia="ja-JP"/>
        </w:rPr>
        <w:t>.</w:t>
      </w:r>
      <w:r w:rsidR="006E622A" w:rsidRPr="00383B4A">
        <w:rPr>
          <w:rFonts w:ascii="Times New Roman" w:eastAsia="Cambria" w:hAnsi="Times New Roman"/>
          <w:szCs w:val="24"/>
          <w:lang w:eastAsia="ja-JP"/>
        </w:rPr>
        <w:t xml:space="preserve"> the </w:t>
      </w:r>
      <w:r w:rsidR="006E622A" w:rsidRPr="006E622A">
        <w:rPr>
          <w:rFonts w:ascii="Times New Roman" w:eastAsia="Cambria" w:hAnsi="Times New Roman"/>
          <w:szCs w:val="24"/>
          <w:lang w:eastAsia="ja-JP"/>
        </w:rPr>
        <w:t xml:space="preserve">extent of their application depends on the </w:t>
      </w:r>
      <w:r w:rsidR="00340D66">
        <w:rPr>
          <w:rFonts w:ascii="Times New Roman" w:eastAsia="Cambria" w:hAnsi="Times New Roman"/>
          <w:szCs w:val="24"/>
          <w:lang w:eastAsia="ja-JP"/>
        </w:rPr>
        <w:t>court's decision/rulings</w:t>
      </w:r>
      <w:r w:rsidR="006E622A" w:rsidRPr="006E622A">
        <w:rPr>
          <w:rFonts w:ascii="Times New Roman" w:eastAsia="Cambria" w:hAnsi="Times New Roman"/>
          <w:szCs w:val="24"/>
          <w:lang w:eastAsia="ja-JP"/>
        </w:rPr>
        <w:t>.</w:t>
      </w:r>
      <w:r w:rsidR="005156C6">
        <w:rPr>
          <w:rFonts w:ascii="Times New Roman" w:eastAsia="Cambria" w:hAnsi="Times New Roman"/>
          <w:szCs w:val="24"/>
          <w:lang w:eastAsia="ja-JP"/>
        </w:rPr>
        <w:t xml:space="preserve"> </w:t>
      </w:r>
      <w:r w:rsidR="003E6660">
        <w:rPr>
          <w:rFonts w:ascii="Times New Roman" w:eastAsia="Cambria" w:hAnsi="Times New Roman"/>
          <w:szCs w:val="24"/>
          <w:lang w:eastAsia="ja-JP"/>
        </w:rPr>
        <w:t>These</w:t>
      </w:r>
      <w:r w:rsidR="006B6EB2">
        <w:rPr>
          <w:rFonts w:ascii="Times New Roman" w:eastAsia="Cambria" w:hAnsi="Times New Roman"/>
          <w:szCs w:val="24"/>
          <w:lang w:eastAsia="ja-JP"/>
        </w:rPr>
        <w:t xml:space="preserve"> rights may ensure the realisation of victims</w:t>
      </w:r>
      <w:r w:rsidR="003E6660">
        <w:rPr>
          <w:rFonts w:ascii="Times New Roman" w:eastAsia="Cambria" w:hAnsi="Times New Roman"/>
          <w:szCs w:val="24"/>
          <w:lang w:eastAsia="ja-JP"/>
        </w:rPr>
        <w:t>’</w:t>
      </w:r>
      <w:r w:rsidR="006B6EB2">
        <w:rPr>
          <w:rFonts w:ascii="Times New Roman" w:eastAsia="Cambria" w:hAnsi="Times New Roman"/>
          <w:szCs w:val="24"/>
          <w:lang w:eastAsia="ja-JP"/>
        </w:rPr>
        <w:t xml:space="preserve"> interests.</w:t>
      </w:r>
      <w:r w:rsidR="005156C6">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 xml:space="preserve">The UN Declaration set out </w:t>
      </w:r>
      <w:r w:rsidR="00340D66">
        <w:rPr>
          <w:rFonts w:ascii="Times New Roman" w:eastAsia="Cambria" w:hAnsi="Times New Roman"/>
          <w:szCs w:val="24"/>
          <w:lang w:eastAsia="ja-JP"/>
        </w:rPr>
        <w:t>some</w:t>
      </w:r>
      <w:r w:rsidR="006E622A" w:rsidRPr="006E622A">
        <w:rPr>
          <w:rFonts w:ascii="Times New Roman" w:eastAsia="Cambria" w:hAnsi="Times New Roman"/>
          <w:szCs w:val="24"/>
          <w:lang w:eastAsia="ja-JP"/>
        </w:rPr>
        <w:t xml:space="preserve"> rights to empower victims of crime and abuse of power.</w:t>
      </w:r>
    </w:p>
    <w:p w14:paraId="5BC5339E" w14:textId="4940E90C" w:rsidR="006E622A" w:rsidRPr="006E1403" w:rsidRDefault="006E622A" w:rsidP="006E1403">
      <w:pPr>
        <w:spacing w:line="480" w:lineRule="auto"/>
        <w:jc w:val="both"/>
        <w:rPr>
          <w:rFonts w:ascii="Times New Roman" w:eastAsia="Cambria" w:hAnsi="Times New Roman"/>
        </w:rPr>
      </w:pPr>
      <w:r w:rsidRPr="006E622A">
        <w:rPr>
          <w:rFonts w:ascii="Times New Roman" w:eastAsia="Cambria" w:hAnsi="Times New Roman"/>
          <w:szCs w:val="24"/>
          <w:lang w:eastAsia="ja-JP"/>
        </w:rPr>
        <w:t>Interestingly, th</w:t>
      </w:r>
      <w:r w:rsidR="00340D66">
        <w:rPr>
          <w:rFonts w:ascii="Times New Roman" w:eastAsia="Cambria" w:hAnsi="Times New Roman"/>
          <w:szCs w:val="24"/>
          <w:lang w:eastAsia="ja-JP"/>
        </w:rPr>
        <w:t>is instrument's preamble</w:t>
      </w:r>
      <w:r w:rsidRPr="006E622A">
        <w:rPr>
          <w:rFonts w:ascii="Times New Roman" w:eastAsia="Cambria" w:hAnsi="Times New Roman"/>
          <w:szCs w:val="24"/>
          <w:lang w:eastAsia="ja-JP"/>
        </w:rPr>
        <w:t xml:space="preserve"> accedes to the fact that </w:t>
      </w:r>
      <w:r w:rsidR="005156C6">
        <w:rPr>
          <w:rFonts w:ascii="Times New Roman" w:eastAsia="Cambria" w:hAnsi="Times New Roman"/>
          <w:szCs w:val="24"/>
          <w:lang w:eastAsia="ja-JP"/>
        </w:rPr>
        <w:t xml:space="preserve">the </w:t>
      </w:r>
      <w:r w:rsidRPr="006E622A">
        <w:rPr>
          <w:rFonts w:ascii="Times New Roman" w:eastAsia="Cambria" w:hAnsi="Times New Roman"/>
          <w:szCs w:val="24"/>
          <w:lang w:eastAsia="ja-JP"/>
        </w:rPr>
        <w:t>rights of victims have not been fully recognised.</w:t>
      </w:r>
      <w:r w:rsidRPr="006E622A">
        <w:rPr>
          <w:rFonts w:ascii="Times New Roman" w:eastAsia="Cambria" w:hAnsi="Times New Roman"/>
          <w:szCs w:val="24"/>
          <w:vertAlign w:val="superscript"/>
          <w:lang w:eastAsia="ja-JP"/>
        </w:rPr>
        <w:footnoteReference w:id="621"/>
      </w:r>
      <w:r w:rsidRPr="006E622A">
        <w:rPr>
          <w:rFonts w:ascii="Times New Roman" w:eastAsia="Cambria" w:hAnsi="Times New Roman"/>
          <w:szCs w:val="24"/>
          <w:lang w:eastAsia="ja-JP"/>
        </w:rPr>
        <w:t>The basic founding themes of victims</w:t>
      </w:r>
      <w:r w:rsidR="003E6660">
        <w:rPr>
          <w:rFonts w:ascii="Times New Roman" w:eastAsia="Cambria" w:hAnsi="Times New Roman"/>
          <w:szCs w:val="24"/>
          <w:lang w:eastAsia="ja-JP"/>
        </w:rPr>
        <w:t>’</w:t>
      </w:r>
      <w:r w:rsidRPr="006E622A">
        <w:rPr>
          <w:rFonts w:ascii="Times New Roman" w:eastAsia="Cambria" w:hAnsi="Times New Roman"/>
          <w:szCs w:val="24"/>
          <w:lang w:eastAsia="ja-JP"/>
        </w:rPr>
        <w:t xml:space="preserve"> rights</w:t>
      </w:r>
      <w:r w:rsidR="005156C6">
        <w:rPr>
          <w:rFonts w:ascii="Times New Roman" w:eastAsia="Cambria" w:hAnsi="Times New Roman"/>
          <w:szCs w:val="24"/>
          <w:lang w:eastAsia="ja-JP"/>
        </w:rPr>
        <w:t>,</w:t>
      </w:r>
      <w:r w:rsidRPr="006E622A">
        <w:rPr>
          <w:rFonts w:ascii="Times New Roman" w:eastAsia="Cambria" w:hAnsi="Times New Roman"/>
          <w:szCs w:val="24"/>
          <w:lang w:eastAsia="ja-JP"/>
        </w:rPr>
        <w:t xml:space="preserve"> according to this </w:t>
      </w:r>
      <w:r w:rsidRPr="00306C67">
        <w:rPr>
          <w:rFonts w:ascii="Times New Roman" w:eastAsia="Cambria" w:hAnsi="Times New Roman"/>
          <w:szCs w:val="24"/>
          <w:lang w:eastAsia="ja-JP"/>
        </w:rPr>
        <w:t>declaration is respect and recognition.</w:t>
      </w:r>
      <w:r w:rsidRPr="00306C67">
        <w:rPr>
          <w:rFonts w:ascii="Times New Roman" w:eastAsia="Cambria" w:hAnsi="Times New Roman"/>
          <w:szCs w:val="24"/>
          <w:vertAlign w:val="superscript"/>
          <w:lang w:eastAsia="ja-JP"/>
        </w:rPr>
        <w:footnoteReference w:id="622"/>
      </w:r>
      <w:r w:rsidRPr="00306C67">
        <w:rPr>
          <w:rFonts w:ascii="Times New Roman" w:eastAsia="Cambria" w:hAnsi="Times New Roman"/>
          <w:szCs w:val="24"/>
          <w:lang w:eastAsia="ja-JP"/>
        </w:rPr>
        <w:t>The recognition of a person is a right embedded in UDHR.</w:t>
      </w:r>
      <w:r w:rsidRPr="00306C67">
        <w:rPr>
          <w:rFonts w:ascii="Times New Roman" w:eastAsia="Cambria" w:hAnsi="Times New Roman"/>
          <w:szCs w:val="24"/>
          <w:vertAlign w:val="superscript"/>
          <w:lang w:eastAsia="ja-JP"/>
        </w:rPr>
        <w:footnoteReference w:id="623"/>
      </w:r>
      <w:r w:rsidRPr="00306C67">
        <w:rPr>
          <w:rFonts w:ascii="Times New Roman" w:eastAsia="Cambria" w:hAnsi="Times New Roman"/>
          <w:szCs w:val="24"/>
          <w:lang w:eastAsia="ja-JP"/>
        </w:rPr>
        <w:t xml:space="preserve"> The right of a person to recognition before the law may be construed as a precondition for the realisation o</w:t>
      </w:r>
      <w:r w:rsidR="00D711A4" w:rsidRPr="00306C67">
        <w:rPr>
          <w:rFonts w:ascii="Times New Roman" w:eastAsia="Cambria" w:hAnsi="Times New Roman"/>
          <w:szCs w:val="24"/>
          <w:lang w:eastAsia="ja-JP"/>
        </w:rPr>
        <w:t>f procedural rights for victims;</w:t>
      </w:r>
      <w:r w:rsidR="00306C67" w:rsidRPr="00306C67">
        <w:rPr>
          <w:rFonts w:ascii="Times New Roman" w:eastAsia="Cambria" w:hAnsi="Times New Roman"/>
          <w:szCs w:val="24"/>
          <w:lang w:eastAsia="ja-JP"/>
        </w:rPr>
        <w:t xml:space="preserve"> </w:t>
      </w:r>
      <w:r w:rsidR="00D711A4" w:rsidRPr="00306C67">
        <w:rPr>
          <w:rFonts w:ascii="Times New Roman" w:eastAsia="Cambria" w:hAnsi="Times New Roman"/>
          <w:szCs w:val="24"/>
          <w:lang w:eastAsia="ja-JP"/>
        </w:rPr>
        <w:t>hence, the emergence of procedural status.</w:t>
      </w:r>
      <w:r w:rsidRPr="00306C67">
        <w:rPr>
          <w:rFonts w:ascii="Times New Roman" w:eastAsia="Cambria" w:hAnsi="Times New Roman"/>
          <w:szCs w:val="24"/>
          <w:lang w:eastAsia="ja-JP"/>
        </w:rPr>
        <w:t xml:space="preserve"> The </w:t>
      </w:r>
      <w:r w:rsidR="00340D66">
        <w:rPr>
          <w:rFonts w:ascii="Times New Roman" w:eastAsia="Cambria" w:hAnsi="Times New Roman"/>
          <w:szCs w:val="24"/>
          <w:lang w:eastAsia="ja-JP"/>
        </w:rPr>
        <w:t>primary</w:t>
      </w:r>
      <w:r w:rsidRPr="00306C67">
        <w:rPr>
          <w:rFonts w:ascii="Times New Roman" w:eastAsia="Cambria" w:hAnsi="Times New Roman"/>
          <w:szCs w:val="24"/>
          <w:lang w:eastAsia="ja-JP"/>
        </w:rPr>
        <w:t xml:space="preserve"> rights listed in this declaration are</w:t>
      </w:r>
      <w:r w:rsidRPr="006E622A">
        <w:rPr>
          <w:rFonts w:ascii="Times New Roman" w:eastAsia="Cambria" w:hAnsi="Times New Roman"/>
          <w:szCs w:val="24"/>
          <w:lang w:eastAsia="ja-JP"/>
        </w:rPr>
        <w:t xml:space="preserve"> :</w:t>
      </w:r>
    </w:p>
    <w:p w14:paraId="375A1462" w14:textId="77777777" w:rsidR="006E622A" w:rsidRPr="006E622A" w:rsidRDefault="006E622A" w:rsidP="00306C67">
      <w:pPr>
        <w:numPr>
          <w:ilvl w:val="0"/>
          <w:numId w:val="3"/>
        </w:numPr>
        <w:spacing w:after="0" w:line="480" w:lineRule="auto"/>
        <w:contextualSpacing/>
        <w:jc w:val="both"/>
        <w:rPr>
          <w:rFonts w:ascii="Times New Roman" w:hAnsi="Times New Roman"/>
          <w:szCs w:val="24"/>
        </w:rPr>
      </w:pPr>
      <w:r w:rsidRPr="006E622A">
        <w:rPr>
          <w:rFonts w:ascii="Times New Roman" w:hAnsi="Times New Roman"/>
          <w:szCs w:val="24"/>
        </w:rPr>
        <w:t>Right to receive information</w:t>
      </w:r>
      <w:r w:rsidR="00D711A4">
        <w:rPr>
          <w:rFonts w:ascii="Times New Roman" w:hAnsi="Times New Roman"/>
          <w:szCs w:val="24"/>
        </w:rPr>
        <w:t>;</w:t>
      </w:r>
    </w:p>
    <w:p w14:paraId="15CCC13B" w14:textId="77777777" w:rsidR="006E622A" w:rsidRPr="006E622A" w:rsidRDefault="006E622A" w:rsidP="00306C67">
      <w:pPr>
        <w:numPr>
          <w:ilvl w:val="0"/>
          <w:numId w:val="3"/>
        </w:numPr>
        <w:spacing w:after="0" w:line="480" w:lineRule="auto"/>
        <w:contextualSpacing/>
        <w:jc w:val="both"/>
        <w:rPr>
          <w:rFonts w:ascii="Times New Roman" w:hAnsi="Times New Roman"/>
          <w:szCs w:val="24"/>
        </w:rPr>
      </w:pPr>
      <w:r w:rsidRPr="006E622A">
        <w:rPr>
          <w:rFonts w:ascii="Times New Roman" w:hAnsi="Times New Roman"/>
          <w:szCs w:val="24"/>
        </w:rPr>
        <w:t>Right to receive notification about the progress of the case</w:t>
      </w:r>
      <w:r w:rsidR="00D711A4">
        <w:rPr>
          <w:rFonts w:ascii="Times New Roman" w:hAnsi="Times New Roman"/>
          <w:szCs w:val="24"/>
        </w:rPr>
        <w:t>;</w:t>
      </w:r>
    </w:p>
    <w:p w14:paraId="6B1DAECD" w14:textId="77777777" w:rsidR="006E622A" w:rsidRPr="006E622A" w:rsidRDefault="006E622A" w:rsidP="00306C67">
      <w:pPr>
        <w:numPr>
          <w:ilvl w:val="0"/>
          <w:numId w:val="3"/>
        </w:numPr>
        <w:spacing w:after="0" w:line="480" w:lineRule="auto"/>
        <w:contextualSpacing/>
        <w:jc w:val="both"/>
        <w:rPr>
          <w:rFonts w:ascii="Times New Roman" w:hAnsi="Times New Roman"/>
          <w:szCs w:val="24"/>
        </w:rPr>
      </w:pPr>
      <w:r w:rsidRPr="006E622A">
        <w:rPr>
          <w:rFonts w:ascii="Times New Roman" w:hAnsi="Times New Roman"/>
          <w:szCs w:val="24"/>
        </w:rPr>
        <w:t>Right to express their views and concerns  at the appropriate stages in the criminal justice system</w:t>
      </w:r>
    </w:p>
    <w:p w14:paraId="6CC7DB6A" w14:textId="77777777" w:rsidR="006E622A" w:rsidRPr="006E622A" w:rsidRDefault="006E622A" w:rsidP="00306C67">
      <w:pPr>
        <w:numPr>
          <w:ilvl w:val="0"/>
          <w:numId w:val="3"/>
        </w:numPr>
        <w:spacing w:after="0" w:line="480" w:lineRule="auto"/>
        <w:contextualSpacing/>
        <w:jc w:val="both"/>
        <w:rPr>
          <w:rFonts w:ascii="Times New Roman" w:hAnsi="Times New Roman"/>
          <w:szCs w:val="24"/>
        </w:rPr>
      </w:pPr>
      <w:r w:rsidRPr="006E622A">
        <w:rPr>
          <w:rFonts w:ascii="Times New Roman" w:hAnsi="Times New Roman"/>
          <w:szCs w:val="24"/>
        </w:rPr>
        <w:t>Right to protection of their physical safety and privacy</w:t>
      </w:r>
      <w:r w:rsidR="00D711A4">
        <w:rPr>
          <w:rFonts w:ascii="Times New Roman" w:hAnsi="Times New Roman"/>
          <w:szCs w:val="24"/>
        </w:rPr>
        <w:t>;</w:t>
      </w:r>
    </w:p>
    <w:p w14:paraId="4A3975E8" w14:textId="77777777" w:rsidR="006E622A" w:rsidRDefault="006E622A" w:rsidP="00306C67">
      <w:pPr>
        <w:numPr>
          <w:ilvl w:val="0"/>
          <w:numId w:val="3"/>
        </w:numPr>
        <w:spacing w:after="0" w:line="480" w:lineRule="auto"/>
        <w:contextualSpacing/>
        <w:jc w:val="both"/>
        <w:rPr>
          <w:szCs w:val="24"/>
        </w:rPr>
      </w:pPr>
      <w:r w:rsidRPr="006E622A">
        <w:rPr>
          <w:rFonts w:ascii="Times New Roman" w:hAnsi="Times New Roman"/>
          <w:szCs w:val="24"/>
        </w:rPr>
        <w:lastRenderedPageBreak/>
        <w:t>Right to reparation from offender and compensation</w:t>
      </w:r>
      <w:r w:rsidR="003E6660">
        <w:rPr>
          <w:rFonts w:ascii="Times New Roman" w:hAnsi="Times New Roman"/>
          <w:szCs w:val="24"/>
        </w:rPr>
        <w:t xml:space="preserve"> </w:t>
      </w:r>
      <w:r w:rsidRPr="006E622A">
        <w:rPr>
          <w:rFonts w:ascii="Times New Roman" w:hAnsi="Times New Roman"/>
          <w:szCs w:val="24"/>
        </w:rPr>
        <w:t>from State</w:t>
      </w:r>
      <w:r w:rsidRPr="006E622A">
        <w:rPr>
          <w:szCs w:val="24"/>
        </w:rPr>
        <w:t>.</w:t>
      </w:r>
      <w:r w:rsidRPr="006E622A">
        <w:rPr>
          <w:szCs w:val="24"/>
          <w:vertAlign w:val="superscript"/>
        </w:rPr>
        <w:footnoteReference w:id="624"/>
      </w:r>
    </w:p>
    <w:p w14:paraId="196D1DA0" w14:textId="77777777" w:rsidR="003E6660" w:rsidRPr="003E6660" w:rsidRDefault="003E6660" w:rsidP="003E6660">
      <w:pPr>
        <w:spacing w:after="0" w:line="240" w:lineRule="auto"/>
        <w:ind w:left="720"/>
        <w:contextualSpacing/>
        <w:jc w:val="both"/>
        <w:rPr>
          <w:szCs w:val="24"/>
        </w:rPr>
      </w:pPr>
    </w:p>
    <w:p w14:paraId="0A163C86" w14:textId="01A1BB4E" w:rsidR="006E622A" w:rsidRDefault="000B0125" w:rsidP="00306C67">
      <w:pPr>
        <w:spacing w:after="0" w:line="480" w:lineRule="auto"/>
        <w:jc w:val="both"/>
        <w:rPr>
          <w:rFonts w:ascii="Times New Roman" w:eastAsia="Cambria" w:hAnsi="Times New Roman"/>
          <w:sz w:val="22"/>
          <w:szCs w:val="24"/>
          <w:lang w:eastAsia="ja-JP"/>
        </w:rPr>
      </w:pPr>
      <w:r w:rsidRPr="00306C67">
        <w:rPr>
          <w:rFonts w:ascii="Times New Roman" w:eastAsia="Cambria" w:hAnsi="Times New Roman"/>
          <w:szCs w:val="24"/>
          <w:lang w:eastAsia="ja-JP"/>
        </w:rPr>
        <w:t>Furthermore, t</w:t>
      </w:r>
      <w:r w:rsidR="006E622A" w:rsidRPr="00306C67">
        <w:rPr>
          <w:rFonts w:ascii="Times New Roman" w:eastAsia="Cambria" w:hAnsi="Times New Roman"/>
          <w:szCs w:val="24"/>
          <w:lang w:eastAsia="ja-JP"/>
        </w:rPr>
        <w:t>he Rome Statute provides additional rights like right to confidentiality,</w:t>
      </w:r>
      <w:r w:rsidR="006E622A" w:rsidRPr="00306C67">
        <w:rPr>
          <w:rFonts w:ascii="Times New Roman" w:eastAsia="Cambria" w:hAnsi="Times New Roman"/>
          <w:szCs w:val="24"/>
          <w:vertAlign w:val="superscript"/>
          <w:lang w:eastAsia="ja-JP"/>
        </w:rPr>
        <w:footnoteReference w:id="625"/>
      </w:r>
      <w:r w:rsidR="006E622A" w:rsidRPr="00306C67">
        <w:rPr>
          <w:rFonts w:ascii="Times New Roman" w:eastAsia="Cambria" w:hAnsi="Times New Roman"/>
          <w:szCs w:val="24"/>
          <w:lang w:eastAsia="ja-JP"/>
        </w:rPr>
        <w:t xml:space="preserve"> access to court documents and information</w:t>
      </w:r>
      <w:r w:rsidR="006E622A" w:rsidRPr="00306C67">
        <w:rPr>
          <w:rFonts w:ascii="Times New Roman" w:eastAsia="Cambria" w:hAnsi="Times New Roman"/>
          <w:szCs w:val="24"/>
          <w:vertAlign w:val="superscript"/>
          <w:lang w:eastAsia="ja-JP"/>
        </w:rPr>
        <w:footnoteReference w:id="626"/>
      </w:r>
      <w:r w:rsidR="006E622A" w:rsidRPr="00306C67">
        <w:rPr>
          <w:rFonts w:ascii="Times New Roman" w:eastAsia="Cambria" w:hAnsi="Times New Roman"/>
          <w:szCs w:val="24"/>
          <w:lang w:eastAsia="ja-JP"/>
        </w:rPr>
        <w:t xml:space="preserve"> right to legal representation,</w:t>
      </w:r>
      <w:r w:rsidR="006E622A" w:rsidRPr="00306C67">
        <w:rPr>
          <w:rFonts w:ascii="Times New Roman" w:eastAsia="Cambria" w:hAnsi="Times New Roman"/>
          <w:szCs w:val="24"/>
          <w:vertAlign w:val="superscript"/>
          <w:lang w:eastAsia="ja-JP"/>
        </w:rPr>
        <w:footnoteReference w:id="627"/>
      </w:r>
      <w:r w:rsidR="006E622A" w:rsidRPr="00306C67">
        <w:rPr>
          <w:rFonts w:ascii="Times New Roman" w:eastAsia="Cambria" w:hAnsi="Times New Roman"/>
          <w:szCs w:val="24"/>
          <w:lang w:eastAsia="ja-JP"/>
        </w:rPr>
        <w:t xml:space="preserve"> and the right to appeal reparation orders.</w:t>
      </w:r>
      <w:r w:rsidR="006E622A" w:rsidRPr="00306C67">
        <w:rPr>
          <w:rFonts w:ascii="Times New Roman" w:eastAsia="Cambria" w:hAnsi="Times New Roman"/>
          <w:szCs w:val="24"/>
          <w:vertAlign w:val="superscript"/>
          <w:lang w:eastAsia="ja-JP"/>
        </w:rPr>
        <w:footnoteReference w:id="628"/>
      </w:r>
      <w:r w:rsidR="006E622A" w:rsidRPr="00306C67">
        <w:rPr>
          <w:rFonts w:ascii="Times New Roman" w:eastAsia="Cambria" w:hAnsi="Times New Roman"/>
          <w:szCs w:val="24"/>
          <w:lang w:eastAsia="ja-JP"/>
        </w:rPr>
        <w:t xml:space="preserve">While these rights </w:t>
      </w:r>
      <w:r w:rsidR="003E6660" w:rsidRPr="00306C67">
        <w:rPr>
          <w:rFonts w:ascii="Times New Roman" w:eastAsia="Cambria" w:hAnsi="Times New Roman"/>
          <w:szCs w:val="24"/>
          <w:lang w:eastAsia="ja-JP"/>
        </w:rPr>
        <w:t>e</w:t>
      </w:r>
      <w:r w:rsidR="006E5C65" w:rsidRPr="00306C67">
        <w:rPr>
          <w:rFonts w:ascii="Times New Roman" w:eastAsia="Cambria" w:hAnsi="Times New Roman"/>
          <w:szCs w:val="24"/>
          <w:lang w:eastAsia="ja-JP"/>
        </w:rPr>
        <w:t xml:space="preserve">nlisted in the 1985 Declaration could enhance </w:t>
      </w:r>
      <w:r w:rsidR="006E622A" w:rsidRPr="00306C67">
        <w:rPr>
          <w:rFonts w:ascii="Times New Roman" w:eastAsia="Cambria" w:hAnsi="Times New Roman"/>
          <w:szCs w:val="24"/>
          <w:lang w:eastAsia="ja-JP"/>
        </w:rPr>
        <w:t>victims</w:t>
      </w:r>
      <w:r w:rsidR="00340D66">
        <w:rPr>
          <w:rFonts w:ascii="Times New Roman" w:eastAsia="Cambria" w:hAnsi="Times New Roman"/>
          <w:szCs w:val="24"/>
          <w:lang w:eastAsia="ja-JP"/>
        </w:rPr>
        <w:t>' status in the criminal justice system, one major drawback of applying these rights is the</w:t>
      </w:r>
      <w:r w:rsidR="006E622A" w:rsidRPr="00306C67">
        <w:rPr>
          <w:rFonts w:ascii="Times New Roman" w:eastAsia="Cambria" w:hAnsi="Times New Roman"/>
          <w:szCs w:val="24"/>
          <w:lang w:eastAsia="ja-JP"/>
        </w:rPr>
        <w:t xml:space="preserve"> non-binding nature of the declaration.</w:t>
      </w:r>
      <w:r w:rsidR="006E5C65" w:rsidRPr="00306C67">
        <w:rPr>
          <w:rFonts w:ascii="Times New Roman" w:eastAsia="Cambria" w:hAnsi="Times New Roman"/>
          <w:szCs w:val="24"/>
          <w:lang w:eastAsia="ja-JP"/>
        </w:rPr>
        <w:t xml:space="preserve"> </w:t>
      </w:r>
      <w:r w:rsidR="006E622A" w:rsidRPr="00306C67">
        <w:rPr>
          <w:rFonts w:ascii="Times New Roman" w:eastAsia="Cambria" w:hAnsi="Times New Roman"/>
          <w:szCs w:val="24"/>
          <w:lang w:eastAsia="ja-JP"/>
        </w:rPr>
        <w:t>The signatories to this declaration are not under any legal obligation to enforce these rights.</w:t>
      </w:r>
      <w:r w:rsidR="006E5C65" w:rsidRPr="00306C67">
        <w:rPr>
          <w:rFonts w:ascii="Times New Roman" w:eastAsia="Cambria" w:hAnsi="Times New Roman"/>
          <w:szCs w:val="24"/>
          <w:lang w:eastAsia="ja-JP"/>
        </w:rPr>
        <w:t xml:space="preserve"> </w:t>
      </w:r>
      <w:r w:rsidR="006E622A" w:rsidRPr="00306C67">
        <w:rPr>
          <w:rFonts w:ascii="Times New Roman" w:eastAsia="Cambria" w:hAnsi="Times New Roman"/>
          <w:szCs w:val="24"/>
          <w:lang w:eastAsia="ja-JP"/>
        </w:rPr>
        <w:t>It is rather persuasive.</w:t>
      </w:r>
      <w:r w:rsidR="006E5C65" w:rsidRPr="00306C67">
        <w:rPr>
          <w:rFonts w:ascii="Times New Roman" w:eastAsia="Cambria" w:hAnsi="Times New Roman"/>
          <w:szCs w:val="24"/>
          <w:lang w:eastAsia="ja-JP"/>
        </w:rPr>
        <w:t xml:space="preserve"> </w:t>
      </w:r>
      <w:r w:rsidR="006E622A" w:rsidRPr="00306C67">
        <w:rPr>
          <w:rFonts w:ascii="Times New Roman" w:eastAsia="Cambria" w:hAnsi="Times New Roman"/>
          <w:szCs w:val="24"/>
          <w:lang w:eastAsia="ja-JP"/>
        </w:rPr>
        <w:t>However, the Rome statute ha</w:t>
      </w:r>
      <w:r w:rsidR="00306C67">
        <w:rPr>
          <w:rFonts w:ascii="Times New Roman" w:eastAsia="Cambria" w:hAnsi="Times New Roman"/>
          <w:szCs w:val="24"/>
          <w:lang w:eastAsia="ja-JP"/>
        </w:rPr>
        <w:t>s</w:t>
      </w:r>
      <w:r w:rsidR="006E622A" w:rsidRPr="00306C67">
        <w:rPr>
          <w:rFonts w:ascii="Times New Roman" w:eastAsia="Cambria" w:hAnsi="Times New Roman"/>
          <w:szCs w:val="24"/>
          <w:lang w:eastAsia="ja-JP"/>
        </w:rPr>
        <w:t xml:space="preserve"> incorporated some of these rights.</w:t>
      </w:r>
      <w:r w:rsidR="00306C67">
        <w:rPr>
          <w:rFonts w:ascii="Times New Roman" w:eastAsia="Cambria" w:hAnsi="Times New Roman"/>
          <w:szCs w:val="24"/>
          <w:lang w:eastAsia="ja-JP"/>
        </w:rPr>
        <w:t xml:space="preserve"> </w:t>
      </w:r>
      <w:r w:rsidR="006E622A" w:rsidRPr="00306C67">
        <w:rPr>
          <w:rFonts w:ascii="Times New Roman" w:eastAsia="Cambria" w:hAnsi="Times New Roman"/>
          <w:szCs w:val="24"/>
          <w:lang w:eastAsia="ja-JP"/>
        </w:rPr>
        <w:t xml:space="preserve">This highlights the development in the area of victims’ rights. For instance, article 68(3) is a replica of principle 6(b) of the UN Declaration </w:t>
      </w:r>
      <w:r w:rsidR="00306C67">
        <w:rPr>
          <w:rFonts w:ascii="Times New Roman" w:eastAsia="Cambria" w:hAnsi="Times New Roman"/>
          <w:sz w:val="22"/>
          <w:szCs w:val="24"/>
          <w:lang w:eastAsia="ja-JP"/>
        </w:rPr>
        <w:t xml:space="preserve">which grants victims the </w:t>
      </w:r>
      <w:r w:rsidR="006E622A" w:rsidRPr="006E622A">
        <w:rPr>
          <w:rFonts w:ascii="Times New Roman" w:eastAsia="Cambria" w:hAnsi="Times New Roman"/>
          <w:sz w:val="22"/>
          <w:szCs w:val="24"/>
          <w:lang w:eastAsia="ja-JP"/>
        </w:rPr>
        <w:t xml:space="preserve">right to ‘express their views and concerns’. This provision strikes a balance between </w:t>
      </w:r>
      <w:r w:rsidR="00306C67">
        <w:rPr>
          <w:rFonts w:ascii="Times New Roman" w:eastAsia="Cambria" w:hAnsi="Times New Roman"/>
          <w:sz w:val="22"/>
          <w:szCs w:val="24"/>
          <w:lang w:eastAsia="ja-JP"/>
        </w:rPr>
        <w:t xml:space="preserve">an </w:t>
      </w:r>
      <w:r w:rsidR="006E622A" w:rsidRPr="006E622A">
        <w:rPr>
          <w:rFonts w:ascii="Times New Roman" w:eastAsia="Cambria" w:hAnsi="Times New Roman"/>
          <w:sz w:val="22"/>
          <w:szCs w:val="24"/>
          <w:lang w:eastAsia="ja-JP"/>
        </w:rPr>
        <w:t xml:space="preserve">adversarial and inquisitorial </w:t>
      </w:r>
      <w:r w:rsidR="00340D66">
        <w:rPr>
          <w:rFonts w:ascii="Times New Roman" w:eastAsia="Cambria" w:hAnsi="Times New Roman"/>
          <w:sz w:val="22"/>
          <w:szCs w:val="24"/>
          <w:lang w:eastAsia="ja-JP"/>
        </w:rPr>
        <w:t>criminal procedure system</w:t>
      </w:r>
      <w:r w:rsidR="006E622A" w:rsidRPr="006E622A">
        <w:rPr>
          <w:rFonts w:ascii="Times New Roman" w:eastAsia="Cambria" w:hAnsi="Times New Roman"/>
          <w:sz w:val="22"/>
          <w:szCs w:val="24"/>
          <w:lang w:eastAsia="ja-JP"/>
        </w:rPr>
        <w:t>,</w:t>
      </w:r>
      <w:r w:rsidR="006E622A" w:rsidRPr="006E622A">
        <w:rPr>
          <w:rFonts w:ascii="Times New Roman" w:eastAsia="Cambria" w:hAnsi="Times New Roman"/>
          <w:sz w:val="22"/>
          <w:szCs w:val="24"/>
          <w:vertAlign w:val="superscript"/>
          <w:lang w:eastAsia="ja-JP"/>
        </w:rPr>
        <w:footnoteReference w:id="629"/>
      </w:r>
      <w:r w:rsidR="006E622A" w:rsidRPr="006E622A">
        <w:rPr>
          <w:rFonts w:ascii="Times New Roman" w:eastAsia="Cambria" w:hAnsi="Times New Roman"/>
          <w:sz w:val="22"/>
          <w:szCs w:val="24"/>
          <w:lang w:eastAsia="ja-JP"/>
        </w:rPr>
        <w:t xml:space="preserve"> </w:t>
      </w:r>
      <w:r w:rsidR="00084F8B">
        <w:rPr>
          <w:rFonts w:ascii="Times New Roman" w:eastAsia="Cambria" w:hAnsi="Times New Roman"/>
          <w:sz w:val="22"/>
          <w:szCs w:val="24"/>
          <w:lang w:eastAsia="ja-JP"/>
        </w:rPr>
        <w:t>intending to be</w:t>
      </w:r>
      <w:r w:rsidR="006E622A" w:rsidRPr="006E622A">
        <w:rPr>
          <w:rFonts w:ascii="Times New Roman" w:eastAsia="Cambria" w:hAnsi="Times New Roman"/>
          <w:sz w:val="22"/>
          <w:szCs w:val="24"/>
          <w:lang w:eastAsia="ja-JP"/>
        </w:rPr>
        <w:t xml:space="preserve"> subject to judicial scrutiny.</w:t>
      </w:r>
      <w:r w:rsidR="006E5C65">
        <w:rPr>
          <w:rFonts w:ascii="Times New Roman" w:eastAsia="Cambria" w:hAnsi="Times New Roman"/>
          <w:sz w:val="22"/>
          <w:szCs w:val="24"/>
          <w:lang w:eastAsia="ja-JP"/>
        </w:rPr>
        <w:t xml:space="preserve"> </w:t>
      </w:r>
      <w:r w:rsidR="006E622A" w:rsidRPr="006E622A">
        <w:rPr>
          <w:rFonts w:ascii="Times New Roman" w:eastAsia="Cambria" w:hAnsi="Times New Roman"/>
          <w:sz w:val="22"/>
          <w:szCs w:val="24"/>
          <w:lang w:eastAsia="ja-JP"/>
        </w:rPr>
        <w:t>One may infer that the proliferation of these rights seems to be a  genuine response of human rights to the poor treatment of victims of crime</w:t>
      </w:r>
      <w:r w:rsidR="006E5C65">
        <w:rPr>
          <w:rFonts w:ascii="Times New Roman" w:eastAsia="Cambria" w:hAnsi="Times New Roman"/>
          <w:sz w:val="22"/>
          <w:szCs w:val="24"/>
          <w:lang w:eastAsia="ja-JP"/>
        </w:rPr>
        <w:t xml:space="preserve"> </w:t>
      </w:r>
      <w:r w:rsidR="006E622A" w:rsidRPr="006E622A">
        <w:rPr>
          <w:rFonts w:ascii="Times New Roman" w:eastAsia="Cambria" w:hAnsi="Times New Roman"/>
          <w:sz w:val="22"/>
          <w:szCs w:val="24"/>
          <w:lang w:eastAsia="ja-JP"/>
        </w:rPr>
        <w:t>in the criminal justice system.</w:t>
      </w:r>
      <w:r w:rsidR="00306C67">
        <w:rPr>
          <w:rFonts w:ascii="Times New Roman" w:eastAsia="Cambria" w:hAnsi="Times New Roman"/>
          <w:sz w:val="22"/>
          <w:szCs w:val="24"/>
          <w:lang w:eastAsia="ja-JP"/>
        </w:rPr>
        <w:t xml:space="preserve"> </w:t>
      </w:r>
      <w:r w:rsidR="006E622A" w:rsidRPr="006E622A">
        <w:rPr>
          <w:rFonts w:ascii="Times New Roman" w:eastAsia="Cambria" w:hAnsi="Times New Roman"/>
          <w:sz w:val="22"/>
          <w:szCs w:val="24"/>
          <w:lang w:eastAsia="ja-JP"/>
        </w:rPr>
        <w:t xml:space="preserve">Nevertheless, restrictions apply to the extent of </w:t>
      </w:r>
      <w:r w:rsidR="00340D66">
        <w:rPr>
          <w:rFonts w:ascii="Times New Roman" w:eastAsia="Cambria" w:hAnsi="Times New Roman"/>
          <w:sz w:val="22"/>
          <w:szCs w:val="24"/>
          <w:lang w:eastAsia="ja-JP"/>
        </w:rPr>
        <w:t>these rights' effectivenes</w:t>
      </w:r>
      <w:r w:rsidR="006E5C65">
        <w:rPr>
          <w:rFonts w:ascii="Times New Roman" w:eastAsia="Cambria" w:hAnsi="Times New Roman"/>
          <w:sz w:val="22"/>
          <w:szCs w:val="24"/>
          <w:lang w:eastAsia="ja-JP"/>
        </w:rPr>
        <w:t xml:space="preserve">s for victims access to </w:t>
      </w:r>
      <w:r w:rsidR="006E622A" w:rsidRPr="006E622A">
        <w:rPr>
          <w:rFonts w:ascii="Times New Roman" w:eastAsia="Cambria" w:hAnsi="Times New Roman"/>
          <w:sz w:val="22"/>
          <w:szCs w:val="24"/>
          <w:lang w:eastAsia="ja-JP"/>
        </w:rPr>
        <w:t>justice, given that the ICC is not a human rights court.</w:t>
      </w:r>
      <w:r w:rsidR="00306C67">
        <w:rPr>
          <w:rFonts w:ascii="Times New Roman" w:eastAsia="Cambria" w:hAnsi="Times New Roman"/>
          <w:sz w:val="22"/>
          <w:szCs w:val="24"/>
          <w:lang w:eastAsia="ja-JP"/>
        </w:rPr>
        <w:t xml:space="preserve"> </w:t>
      </w:r>
      <w:r w:rsidR="00EF1337">
        <w:rPr>
          <w:rFonts w:ascii="Times New Roman" w:eastAsia="Cambria" w:hAnsi="Times New Roman"/>
          <w:sz w:val="22"/>
          <w:szCs w:val="24"/>
          <w:lang w:eastAsia="ja-JP"/>
        </w:rPr>
        <w:t xml:space="preserve">The applicability of these procedural rights depends </w:t>
      </w:r>
      <w:r w:rsidR="0010656B">
        <w:rPr>
          <w:rFonts w:ascii="Times New Roman" w:eastAsia="Cambria" w:hAnsi="Times New Roman"/>
          <w:sz w:val="22"/>
          <w:szCs w:val="24"/>
          <w:lang w:eastAsia="ja-JP"/>
        </w:rPr>
        <w:t>on the background or framework within which the trial process is situated.</w:t>
      </w:r>
      <w:r w:rsidR="00EF1337">
        <w:rPr>
          <w:rFonts w:ascii="Times New Roman" w:eastAsia="Cambria" w:hAnsi="Times New Roman"/>
          <w:sz w:val="22"/>
          <w:szCs w:val="24"/>
          <w:lang w:eastAsia="ja-JP"/>
        </w:rPr>
        <w:t xml:space="preserve"> </w:t>
      </w:r>
    </w:p>
    <w:p w14:paraId="121C9967" w14:textId="77777777" w:rsidR="008D7A50" w:rsidRDefault="008D7A50" w:rsidP="008D7A50">
      <w:pPr>
        <w:spacing w:after="0" w:line="480" w:lineRule="auto"/>
        <w:jc w:val="both"/>
        <w:rPr>
          <w:rFonts w:ascii="Times New Roman" w:eastAsia="Cambria" w:hAnsi="Times New Roman"/>
          <w:sz w:val="22"/>
          <w:szCs w:val="24"/>
          <w:lang w:eastAsia="ja-JP"/>
        </w:rPr>
      </w:pPr>
    </w:p>
    <w:p w14:paraId="6E35CB26" w14:textId="489D9D5E" w:rsidR="008D7A50" w:rsidRDefault="00340D66" w:rsidP="008D7A50">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In her article, Aldana-Pindell suggests that victims must have access to the criminal process</w:t>
      </w:r>
      <w:r w:rsidR="008D7A50" w:rsidRPr="006E622A">
        <w:rPr>
          <w:rFonts w:ascii="Times New Roman" w:eastAsia="Cambria" w:hAnsi="Times New Roman"/>
          <w:szCs w:val="24"/>
          <w:lang w:eastAsia="ja-JP"/>
        </w:rPr>
        <w:t xml:space="preserve"> to guarantee the effectiveness of criminal prosecutions and hold States accountable to victims.</w:t>
      </w:r>
      <w:r w:rsidR="008D7A50" w:rsidRPr="006E622A">
        <w:rPr>
          <w:rFonts w:ascii="Times New Roman" w:eastAsia="Cambria" w:hAnsi="Times New Roman"/>
          <w:szCs w:val="24"/>
          <w:vertAlign w:val="superscript"/>
          <w:lang w:eastAsia="ja-JP"/>
        </w:rPr>
        <w:footnoteReference w:id="630"/>
      </w:r>
      <w:r w:rsidR="008D7A50" w:rsidRPr="006E622A">
        <w:rPr>
          <w:rFonts w:ascii="Times New Roman" w:eastAsia="Cambria" w:hAnsi="Times New Roman"/>
          <w:szCs w:val="24"/>
          <w:lang w:eastAsia="ja-JP"/>
        </w:rPr>
        <w:t>According to the Rome Statute, victims can participate at different stages of the proceedings</w:t>
      </w:r>
      <w:r w:rsidR="00306C67">
        <w:rPr>
          <w:rFonts w:ascii="Times New Roman" w:eastAsia="Cambria" w:hAnsi="Times New Roman"/>
          <w:szCs w:val="24"/>
          <w:lang w:eastAsia="ja-JP"/>
        </w:rPr>
        <w:t>,</w:t>
      </w:r>
      <w:r w:rsidR="008D7A50" w:rsidRPr="006E622A">
        <w:rPr>
          <w:rFonts w:ascii="Times New Roman" w:eastAsia="Cambria" w:hAnsi="Times New Roman"/>
          <w:szCs w:val="24"/>
          <w:lang w:eastAsia="ja-JP"/>
        </w:rPr>
        <w:t xml:space="preserve"> but this is made subject to the Chambers.</w:t>
      </w:r>
      <w:r w:rsidR="00306C67">
        <w:rPr>
          <w:rFonts w:ascii="Times New Roman" w:eastAsia="Cambria" w:hAnsi="Times New Roman"/>
          <w:szCs w:val="24"/>
          <w:lang w:eastAsia="ja-JP"/>
        </w:rPr>
        <w:t xml:space="preserve"> </w:t>
      </w:r>
      <w:r w:rsidR="00356332">
        <w:rPr>
          <w:rFonts w:ascii="Times New Roman" w:eastAsia="Cambria" w:hAnsi="Times New Roman"/>
          <w:szCs w:val="24"/>
          <w:lang w:eastAsia="ja-JP"/>
        </w:rPr>
        <w:t>Victims' procedural right</w:t>
      </w:r>
      <w:r w:rsidR="008D7A50" w:rsidRPr="006E622A">
        <w:rPr>
          <w:rFonts w:ascii="Times New Roman" w:eastAsia="Cambria" w:hAnsi="Times New Roman"/>
          <w:szCs w:val="24"/>
          <w:lang w:eastAsia="ja-JP"/>
        </w:rPr>
        <w:t xml:space="preserve">s are not absolute but must be exercised </w:t>
      </w:r>
      <w:r w:rsidR="00A16DA1">
        <w:rPr>
          <w:rFonts w:ascii="Times New Roman" w:eastAsia="Cambria" w:hAnsi="Times New Roman"/>
          <w:szCs w:val="24"/>
          <w:lang w:eastAsia="ja-JP"/>
        </w:rPr>
        <w:t>considering</w:t>
      </w:r>
      <w:r w:rsidR="008D7A50" w:rsidRPr="006E622A">
        <w:rPr>
          <w:rFonts w:ascii="Times New Roman" w:eastAsia="Cambria" w:hAnsi="Times New Roman"/>
          <w:szCs w:val="24"/>
          <w:lang w:eastAsia="ja-JP"/>
        </w:rPr>
        <w:t xml:space="preserve"> the </w:t>
      </w:r>
      <w:r>
        <w:rPr>
          <w:rFonts w:ascii="Times New Roman" w:eastAsia="Cambria" w:hAnsi="Times New Roman"/>
          <w:szCs w:val="24"/>
          <w:lang w:eastAsia="ja-JP"/>
        </w:rPr>
        <w:t>accused's rights</w:t>
      </w:r>
      <w:r w:rsidR="008D7A50" w:rsidRPr="006E622A">
        <w:rPr>
          <w:rFonts w:ascii="Times New Roman" w:eastAsia="Cambria" w:hAnsi="Times New Roman"/>
          <w:szCs w:val="24"/>
          <w:lang w:eastAsia="ja-JP"/>
        </w:rPr>
        <w:t xml:space="preserve"> and fair trial.</w:t>
      </w:r>
      <w:r w:rsidR="008D7A50" w:rsidRPr="006E622A">
        <w:rPr>
          <w:rFonts w:ascii="Times New Roman" w:eastAsia="Cambria" w:hAnsi="Times New Roman"/>
          <w:szCs w:val="24"/>
          <w:vertAlign w:val="superscript"/>
          <w:lang w:eastAsia="ja-JP"/>
        </w:rPr>
        <w:footnoteReference w:id="631"/>
      </w:r>
      <w:r w:rsidR="008D7A50" w:rsidRPr="006E622A">
        <w:rPr>
          <w:rFonts w:ascii="Times New Roman" w:eastAsia="Cambria" w:hAnsi="Times New Roman"/>
          <w:szCs w:val="24"/>
          <w:lang w:eastAsia="ja-JP"/>
        </w:rPr>
        <w:t xml:space="preserve"> Th</w:t>
      </w:r>
      <w:r w:rsidR="00C05D89">
        <w:rPr>
          <w:rFonts w:ascii="Times New Roman" w:eastAsia="Cambria" w:hAnsi="Times New Roman"/>
          <w:szCs w:val="24"/>
          <w:lang w:eastAsia="ja-JP"/>
        </w:rPr>
        <w:t>e exercise of these rights are</w:t>
      </w:r>
      <w:r w:rsidR="008D7A50" w:rsidRPr="006E622A">
        <w:rPr>
          <w:rFonts w:ascii="Times New Roman" w:eastAsia="Cambria" w:hAnsi="Times New Roman"/>
          <w:szCs w:val="24"/>
          <w:lang w:eastAsia="ja-JP"/>
        </w:rPr>
        <w:t xml:space="preserve"> determined on a case-by-case basis. The extent of applicability of procedural rights is not settled. </w:t>
      </w:r>
    </w:p>
    <w:p w14:paraId="20BF5CA1" w14:textId="77777777" w:rsidR="008D7A50" w:rsidRPr="006E622A" w:rsidRDefault="008D7A50" w:rsidP="00D711A4">
      <w:pPr>
        <w:spacing w:after="0" w:line="480" w:lineRule="auto"/>
        <w:jc w:val="both"/>
        <w:rPr>
          <w:rFonts w:ascii="Times New Roman" w:eastAsia="Cambria" w:hAnsi="Times New Roman"/>
          <w:sz w:val="22"/>
          <w:szCs w:val="24"/>
          <w:lang w:eastAsia="ja-JP"/>
        </w:rPr>
      </w:pPr>
    </w:p>
    <w:p w14:paraId="68514EA6" w14:textId="69974BDB" w:rsidR="006E622A" w:rsidRDefault="006E622A" w:rsidP="0010656B">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 xml:space="preserve">Findlay and </w:t>
      </w:r>
      <w:proofErr w:type="spellStart"/>
      <w:r w:rsidRPr="006E622A">
        <w:rPr>
          <w:rFonts w:ascii="Times New Roman" w:eastAsia="Cambria" w:hAnsi="Times New Roman"/>
          <w:szCs w:val="24"/>
          <w:lang w:eastAsia="ja-JP"/>
        </w:rPr>
        <w:t>Henham</w:t>
      </w:r>
      <w:proofErr w:type="spellEnd"/>
      <w:r w:rsidRPr="006E622A">
        <w:rPr>
          <w:rFonts w:ascii="Times New Roman" w:eastAsia="Cambria" w:hAnsi="Times New Roman"/>
          <w:szCs w:val="24"/>
          <w:lang w:eastAsia="ja-JP"/>
        </w:rPr>
        <w:t xml:space="preserve"> observe that procedural frameworks regulate trial in such a way that it predetermines the context of such trial</w:t>
      </w:r>
      <w:r w:rsidR="00340D66">
        <w:rPr>
          <w:rFonts w:ascii="Times New Roman" w:eastAsia="Cambria" w:hAnsi="Times New Roman"/>
          <w:szCs w:val="24"/>
          <w:lang w:eastAsia="ja-JP"/>
        </w:rPr>
        <w:t>. It is vital in setting ‘boundaries’ that</w:t>
      </w:r>
      <w:r w:rsidRPr="006E622A">
        <w:rPr>
          <w:rFonts w:ascii="Times New Roman" w:eastAsia="Cambria" w:hAnsi="Times New Roman"/>
          <w:szCs w:val="24"/>
          <w:lang w:eastAsia="ja-JP"/>
        </w:rPr>
        <w:t xml:space="preserve"> impels the avenue of ‘</w:t>
      </w:r>
      <w:r w:rsidRPr="006E622A">
        <w:rPr>
          <w:rFonts w:ascii="Times New Roman" w:eastAsia="Cambria" w:hAnsi="Times New Roman"/>
          <w:i/>
          <w:szCs w:val="24"/>
          <w:lang w:eastAsia="ja-JP"/>
        </w:rPr>
        <w:t>influence</w:t>
      </w:r>
      <w:r w:rsidRPr="006E622A">
        <w:rPr>
          <w:rFonts w:ascii="Times New Roman" w:eastAsia="Cambria" w:hAnsi="Times New Roman"/>
          <w:szCs w:val="24"/>
          <w:lang w:eastAsia="ja-JP"/>
        </w:rPr>
        <w:t>’ in decision making.</w:t>
      </w:r>
      <w:r w:rsidRPr="006E622A">
        <w:rPr>
          <w:rFonts w:ascii="Times New Roman" w:eastAsia="Cambria" w:hAnsi="Times New Roman"/>
          <w:szCs w:val="24"/>
          <w:vertAlign w:val="superscript"/>
          <w:lang w:eastAsia="ja-JP"/>
        </w:rPr>
        <w:footnoteReference w:id="632"/>
      </w:r>
      <w:r w:rsidRPr="006E622A">
        <w:rPr>
          <w:rFonts w:ascii="Times New Roman" w:eastAsia="Cambria" w:hAnsi="Times New Roman"/>
          <w:szCs w:val="24"/>
          <w:lang w:eastAsia="ja-JP"/>
        </w:rPr>
        <w:t xml:space="preserve"> </w:t>
      </w:r>
      <w:r w:rsidR="007D77D1">
        <w:rPr>
          <w:rFonts w:ascii="Times New Roman" w:eastAsia="Cambria" w:hAnsi="Times New Roman"/>
          <w:szCs w:val="24"/>
          <w:lang w:eastAsia="ja-JP"/>
        </w:rPr>
        <w:t xml:space="preserve">From this, </w:t>
      </w:r>
      <w:r w:rsidR="00306C67">
        <w:rPr>
          <w:rFonts w:ascii="Times New Roman" w:eastAsia="Cambria" w:hAnsi="Times New Roman"/>
          <w:szCs w:val="24"/>
          <w:lang w:eastAsia="ja-JP"/>
        </w:rPr>
        <w:t xml:space="preserve">the </w:t>
      </w:r>
      <w:r w:rsidR="007D77D1">
        <w:rPr>
          <w:rFonts w:ascii="Times New Roman" w:eastAsia="Cambria" w:hAnsi="Times New Roman"/>
          <w:szCs w:val="24"/>
          <w:lang w:eastAsia="ja-JP"/>
        </w:rPr>
        <w:t>role of victims</w:t>
      </w:r>
      <w:r w:rsidR="00340D66">
        <w:rPr>
          <w:rFonts w:ascii="Times New Roman" w:eastAsia="Cambria" w:hAnsi="Times New Roman"/>
          <w:szCs w:val="24"/>
          <w:lang w:eastAsia="ja-JP"/>
        </w:rPr>
        <w:t xml:space="preserve"> and</w:t>
      </w:r>
      <w:r w:rsidR="00306C67">
        <w:rPr>
          <w:rFonts w:ascii="Times New Roman" w:eastAsia="Cambria" w:hAnsi="Times New Roman"/>
          <w:szCs w:val="24"/>
          <w:lang w:eastAsia="ja-JP"/>
        </w:rPr>
        <w:t xml:space="preserve"> their procedural rights</w:t>
      </w:r>
      <w:r w:rsidR="0010656B">
        <w:rPr>
          <w:rFonts w:ascii="Times New Roman" w:eastAsia="Cambria" w:hAnsi="Times New Roman"/>
          <w:szCs w:val="24"/>
          <w:lang w:eastAsia="ja-JP"/>
        </w:rPr>
        <w:t xml:space="preserve"> are</w:t>
      </w:r>
      <w:r w:rsidR="007D77D1">
        <w:rPr>
          <w:rFonts w:ascii="Times New Roman" w:eastAsia="Cambria" w:hAnsi="Times New Roman"/>
          <w:szCs w:val="24"/>
          <w:lang w:eastAsia="ja-JP"/>
        </w:rPr>
        <w:t xml:space="preserve"> dictated by the procedural framework.</w:t>
      </w:r>
    </w:p>
    <w:p w14:paraId="12431F0F" w14:textId="77777777" w:rsidR="000E42F8" w:rsidRDefault="000E42F8" w:rsidP="0010656B">
      <w:pPr>
        <w:spacing w:after="0" w:line="480" w:lineRule="auto"/>
        <w:jc w:val="both"/>
        <w:rPr>
          <w:rFonts w:ascii="Times New Roman" w:eastAsia="Cambria" w:hAnsi="Times New Roman"/>
          <w:szCs w:val="24"/>
          <w:lang w:eastAsia="ja-JP"/>
        </w:rPr>
      </w:pPr>
    </w:p>
    <w:p w14:paraId="340B3361" w14:textId="77777777" w:rsidR="00993B7A" w:rsidRPr="006E622A" w:rsidRDefault="000E42F8" w:rsidP="0010656B">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T</w:t>
      </w:r>
      <w:r w:rsidR="00993B7A" w:rsidRPr="006E622A">
        <w:rPr>
          <w:rFonts w:ascii="Times New Roman" w:eastAsia="Cambria" w:hAnsi="Times New Roman"/>
          <w:szCs w:val="24"/>
          <w:lang w:eastAsia="ja-JP"/>
        </w:rPr>
        <w:t>he traditional forms of criminal justice may sabotage the involvement and extent of applicability of victims’ rights in the criminal justice system.</w:t>
      </w:r>
      <w:r w:rsidR="00993B7A" w:rsidRPr="006E622A">
        <w:rPr>
          <w:rFonts w:ascii="Times New Roman" w:eastAsia="Cambria" w:hAnsi="Times New Roman"/>
          <w:szCs w:val="24"/>
          <w:vertAlign w:val="superscript"/>
          <w:lang w:eastAsia="ja-JP"/>
        </w:rPr>
        <w:footnoteReference w:id="633"/>
      </w:r>
      <w:r>
        <w:rPr>
          <w:rFonts w:ascii="Times New Roman" w:eastAsia="Cambria" w:hAnsi="Times New Roman"/>
          <w:szCs w:val="24"/>
          <w:lang w:eastAsia="ja-JP"/>
        </w:rPr>
        <w:t xml:space="preserve"> Ashworth</w:t>
      </w:r>
      <w:r w:rsidR="00993B7A" w:rsidRPr="006E622A">
        <w:rPr>
          <w:rFonts w:ascii="Times New Roman" w:eastAsia="Cambria" w:hAnsi="Times New Roman"/>
          <w:szCs w:val="24"/>
          <w:lang w:eastAsia="ja-JP"/>
        </w:rPr>
        <w:t xml:space="preserve"> cautions that introducing victims into ‘an </w:t>
      </w:r>
      <w:r w:rsidR="00993B7A" w:rsidRPr="006E622A">
        <w:rPr>
          <w:rFonts w:ascii="Times New Roman" w:eastAsia="Cambria" w:hAnsi="Times New Roman"/>
          <w:i/>
          <w:szCs w:val="24"/>
          <w:lang w:eastAsia="ja-JP"/>
        </w:rPr>
        <w:t>already balanced system’</w:t>
      </w:r>
      <w:r w:rsidR="00993B7A" w:rsidRPr="006E622A">
        <w:rPr>
          <w:rFonts w:ascii="Times New Roman" w:eastAsia="Cambria" w:hAnsi="Times New Roman"/>
          <w:szCs w:val="24"/>
          <w:lang w:eastAsia="ja-JP"/>
        </w:rPr>
        <w:t xml:space="preserve">, </w:t>
      </w:r>
      <w:r>
        <w:rPr>
          <w:rFonts w:ascii="Times New Roman" w:eastAsia="Cambria" w:hAnsi="Times New Roman"/>
          <w:szCs w:val="24"/>
          <w:lang w:eastAsia="ja-JP"/>
        </w:rPr>
        <w:t>-</w:t>
      </w:r>
      <w:r w:rsidR="00993B7A" w:rsidRPr="006E622A">
        <w:rPr>
          <w:rFonts w:ascii="Times New Roman" w:eastAsia="Cambria" w:hAnsi="Times New Roman"/>
          <w:szCs w:val="24"/>
          <w:lang w:eastAsia="ja-JP"/>
        </w:rPr>
        <w:t>the defence and Prosecutor</w:t>
      </w:r>
      <w:r>
        <w:rPr>
          <w:rFonts w:ascii="Times New Roman" w:eastAsia="Cambria" w:hAnsi="Times New Roman"/>
          <w:szCs w:val="24"/>
          <w:lang w:eastAsia="ja-JP"/>
        </w:rPr>
        <w:t>-</w:t>
      </w:r>
      <w:r w:rsidR="00993B7A" w:rsidRPr="006E622A">
        <w:rPr>
          <w:rFonts w:ascii="Times New Roman" w:eastAsia="Cambria" w:hAnsi="Times New Roman"/>
          <w:szCs w:val="24"/>
          <w:lang w:eastAsia="ja-JP"/>
        </w:rPr>
        <w:t xml:space="preserve"> will result in remarkable consequences.</w:t>
      </w:r>
      <w:r w:rsidR="00993B7A" w:rsidRPr="006E622A">
        <w:rPr>
          <w:rFonts w:ascii="Times New Roman" w:eastAsia="Cambria" w:hAnsi="Times New Roman"/>
          <w:szCs w:val="24"/>
          <w:vertAlign w:val="superscript"/>
          <w:lang w:eastAsia="ja-JP"/>
        </w:rPr>
        <w:footnoteReference w:id="634"/>
      </w:r>
      <w:r w:rsidR="00993B7A" w:rsidRPr="006E622A">
        <w:rPr>
          <w:rFonts w:ascii="Times New Roman" w:eastAsia="Cambria" w:hAnsi="Times New Roman"/>
          <w:szCs w:val="24"/>
          <w:lang w:eastAsia="ja-JP"/>
        </w:rPr>
        <w:t xml:space="preserve"> </w:t>
      </w:r>
      <w:r w:rsidR="00932111">
        <w:rPr>
          <w:rFonts w:ascii="Times New Roman" w:eastAsia="Cambria" w:hAnsi="Times New Roman"/>
          <w:szCs w:val="24"/>
          <w:lang w:eastAsia="ja-JP"/>
        </w:rPr>
        <w:t xml:space="preserve">Little wonder the applicability of victims’ </w:t>
      </w:r>
      <w:r w:rsidR="00932111">
        <w:rPr>
          <w:rFonts w:ascii="Times New Roman" w:eastAsia="Cambria" w:hAnsi="Times New Roman"/>
          <w:szCs w:val="24"/>
          <w:lang w:eastAsia="ja-JP"/>
        </w:rPr>
        <w:lastRenderedPageBreak/>
        <w:t>rights</w:t>
      </w:r>
      <w:r w:rsidR="0010656B">
        <w:rPr>
          <w:rFonts w:ascii="Times New Roman" w:eastAsia="Cambria" w:hAnsi="Times New Roman"/>
          <w:szCs w:val="24"/>
          <w:lang w:eastAsia="ja-JP"/>
        </w:rPr>
        <w:t xml:space="preserve"> </w:t>
      </w:r>
      <w:r w:rsidR="00306C67">
        <w:rPr>
          <w:rFonts w:ascii="Times New Roman" w:eastAsia="Cambria" w:hAnsi="Times New Roman"/>
          <w:szCs w:val="24"/>
          <w:lang w:eastAsia="ja-JP"/>
        </w:rPr>
        <w:t>is</w:t>
      </w:r>
      <w:r w:rsidR="00932111">
        <w:rPr>
          <w:rFonts w:ascii="Times New Roman" w:eastAsia="Cambria" w:hAnsi="Times New Roman"/>
          <w:szCs w:val="24"/>
          <w:lang w:eastAsia="ja-JP"/>
        </w:rPr>
        <w:t xml:space="preserve"> limited.</w:t>
      </w:r>
      <w:r w:rsidR="00306C67">
        <w:rPr>
          <w:rFonts w:ascii="Times New Roman" w:eastAsia="Cambria" w:hAnsi="Times New Roman"/>
          <w:szCs w:val="24"/>
          <w:lang w:eastAsia="ja-JP"/>
        </w:rPr>
        <w:t xml:space="preserve"> </w:t>
      </w:r>
      <w:r>
        <w:rPr>
          <w:rFonts w:ascii="Times New Roman" w:eastAsia="Cambria" w:hAnsi="Times New Roman"/>
          <w:szCs w:val="24"/>
          <w:lang w:eastAsia="ja-JP"/>
        </w:rPr>
        <w:t>Pr</w:t>
      </w:r>
      <w:r w:rsidR="00993B7A" w:rsidRPr="006E622A">
        <w:rPr>
          <w:rFonts w:ascii="Times New Roman" w:eastAsia="Cambria" w:hAnsi="Times New Roman"/>
          <w:szCs w:val="24"/>
          <w:lang w:eastAsia="ja-JP"/>
        </w:rPr>
        <w:t>ocedural rights can improve the status of victims at the court.</w:t>
      </w:r>
      <w:r w:rsidR="00993B7A" w:rsidRPr="006E622A">
        <w:rPr>
          <w:rFonts w:ascii="Times New Roman" w:eastAsia="Cambria" w:hAnsi="Times New Roman"/>
          <w:szCs w:val="24"/>
          <w:vertAlign w:val="superscript"/>
          <w:lang w:eastAsia="ja-JP"/>
        </w:rPr>
        <w:footnoteReference w:id="635"/>
      </w:r>
      <w:r w:rsidR="00993B7A" w:rsidRPr="006E622A">
        <w:rPr>
          <w:rFonts w:ascii="Times New Roman" w:eastAsia="Cambria" w:hAnsi="Times New Roman"/>
          <w:szCs w:val="24"/>
          <w:lang w:eastAsia="ja-JP"/>
        </w:rPr>
        <w:t xml:space="preserve">These rights should be seen as </w:t>
      </w:r>
      <w:r w:rsidR="00306C67">
        <w:rPr>
          <w:rFonts w:ascii="Times New Roman" w:eastAsia="Cambria" w:hAnsi="Times New Roman"/>
          <w:szCs w:val="24"/>
          <w:lang w:eastAsia="ja-JP"/>
        </w:rPr>
        <w:t xml:space="preserve">the </w:t>
      </w:r>
      <w:r w:rsidR="00993B7A" w:rsidRPr="006E622A">
        <w:rPr>
          <w:rFonts w:ascii="Times New Roman" w:eastAsia="Cambria" w:hAnsi="Times New Roman"/>
          <w:szCs w:val="24"/>
          <w:lang w:eastAsia="ja-JP"/>
        </w:rPr>
        <w:t xml:space="preserve">property of the victims rather than elements that place them in the same level as the accused(defendant) the goal is not to compete with the accused or seek for balance. </w:t>
      </w:r>
      <w:r w:rsidR="00306C67">
        <w:rPr>
          <w:rFonts w:ascii="Times New Roman" w:eastAsia="Cambria" w:hAnsi="Times New Roman"/>
          <w:szCs w:val="24"/>
          <w:lang w:eastAsia="ja-JP"/>
        </w:rPr>
        <w:t>Instead</w:t>
      </w:r>
      <w:r w:rsidR="00993B7A" w:rsidRPr="006E622A">
        <w:rPr>
          <w:rFonts w:ascii="Times New Roman" w:eastAsia="Cambria" w:hAnsi="Times New Roman"/>
          <w:szCs w:val="24"/>
          <w:lang w:eastAsia="ja-JP"/>
        </w:rPr>
        <w:t>, these rights are pathways to accessing justice, as well as redressing the harm suffered by the victims.</w:t>
      </w:r>
      <w:r w:rsidR="00993B7A" w:rsidRPr="006E622A">
        <w:rPr>
          <w:rFonts w:ascii="Times New Roman" w:eastAsia="Cambria" w:hAnsi="Times New Roman"/>
          <w:szCs w:val="24"/>
          <w:vertAlign w:val="superscript"/>
          <w:lang w:eastAsia="ja-JP"/>
        </w:rPr>
        <w:footnoteReference w:id="636"/>
      </w:r>
      <w:r>
        <w:rPr>
          <w:rFonts w:ascii="Times New Roman" w:eastAsia="Cambria" w:hAnsi="Times New Roman"/>
          <w:szCs w:val="24"/>
          <w:lang w:eastAsia="ja-JP"/>
        </w:rPr>
        <w:t xml:space="preserve"> </w:t>
      </w:r>
      <w:r w:rsidR="00E65D63">
        <w:rPr>
          <w:rFonts w:ascii="Times New Roman" w:eastAsia="Cambria" w:hAnsi="Times New Roman"/>
          <w:szCs w:val="24"/>
          <w:lang w:eastAsia="ja-JP"/>
        </w:rPr>
        <w:t xml:space="preserve">If </w:t>
      </w:r>
      <w:r w:rsidR="00E65D63" w:rsidRPr="006E622A">
        <w:rPr>
          <w:rFonts w:ascii="Times New Roman" w:eastAsia="Cambria" w:hAnsi="Times New Roman"/>
          <w:szCs w:val="24"/>
          <w:lang w:eastAsia="ja-JP"/>
        </w:rPr>
        <w:t>extensive procedural rights are granted to victims,</w:t>
      </w:r>
      <w:r w:rsidR="00E65D63">
        <w:rPr>
          <w:rFonts w:ascii="Times New Roman" w:eastAsia="Cambria" w:hAnsi="Times New Roman"/>
          <w:szCs w:val="24"/>
          <w:lang w:eastAsia="ja-JP"/>
        </w:rPr>
        <w:t xml:space="preserve"> it may empower them.</w:t>
      </w:r>
    </w:p>
    <w:p w14:paraId="2CBEDB2B" w14:textId="77777777" w:rsidR="00993B7A" w:rsidRPr="006E622A" w:rsidRDefault="00993B7A" w:rsidP="00993B7A">
      <w:pPr>
        <w:spacing w:after="0" w:line="240" w:lineRule="auto"/>
        <w:jc w:val="both"/>
        <w:rPr>
          <w:rFonts w:ascii="Times New Roman" w:eastAsia="Cambria" w:hAnsi="Times New Roman"/>
          <w:szCs w:val="24"/>
          <w:lang w:eastAsia="ja-JP"/>
        </w:rPr>
      </w:pPr>
    </w:p>
    <w:p w14:paraId="30EACCAD" w14:textId="1D94E41E" w:rsidR="006E622A" w:rsidRDefault="00340D66" w:rsidP="008D7A50">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However, a severe weakness with this argument</w:t>
      </w:r>
      <w:r w:rsidR="00993B7A" w:rsidRPr="006E622A">
        <w:rPr>
          <w:rFonts w:ascii="Times New Roman" w:eastAsia="Cambria" w:hAnsi="Times New Roman"/>
          <w:szCs w:val="24"/>
          <w:lang w:eastAsia="ja-JP"/>
        </w:rPr>
        <w:t xml:space="preserve"> is that procedu</w:t>
      </w:r>
      <w:r w:rsidR="00DF5A53">
        <w:rPr>
          <w:rFonts w:ascii="Times New Roman" w:eastAsia="Cambria" w:hAnsi="Times New Roman"/>
          <w:szCs w:val="24"/>
          <w:lang w:eastAsia="ja-JP"/>
        </w:rPr>
        <w:t xml:space="preserve">ral rights </w:t>
      </w:r>
      <w:r w:rsidR="00306C67">
        <w:rPr>
          <w:rFonts w:ascii="Times New Roman" w:eastAsia="Cambria" w:hAnsi="Times New Roman"/>
          <w:szCs w:val="24"/>
          <w:lang w:eastAsia="ja-JP"/>
        </w:rPr>
        <w:t>are</w:t>
      </w:r>
      <w:r w:rsidR="00DF5A53">
        <w:rPr>
          <w:rFonts w:ascii="Times New Roman" w:eastAsia="Cambria" w:hAnsi="Times New Roman"/>
          <w:szCs w:val="24"/>
          <w:lang w:eastAsia="ja-JP"/>
        </w:rPr>
        <w:t xml:space="preserve"> a means to an end, rather than a substantive right.</w:t>
      </w:r>
      <w:r w:rsidR="008A58D7">
        <w:rPr>
          <w:rFonts w:ascii="Times New Roman" w:eastAsia="Cambria" w:hAnsi="Times New Roman"/>
          <w:szCs w:val="24"/>
          <w:lang w:eastAsia="ja-JP"/>
        </w:rPr>
        <w:t xml:space="preserve"> While it may contrib</w:t>
      </w:r>
      <w:r w:rsidR="00DF5A53">
        <w:rPr>
          <w:rFonts w:ascii="Times New Roman" w:eastAsia="Cambria" w:hAnsi="Times New Roman"/>
          <w:szCs w:val="24"/>
          <w:lang w:eastAsia="ja-JP"/>
        </w:rPr>
        <w:t>ute to</w:t>
      </w:r>
      <w:r>
        <w:rPr>
          <w:rFonts w:ascii="Times New Roman" w:eastAsia="Cambria" w:hAnsi="Times New Roman"/>
          <w:szCs w:val="24"/>
          <w:lang w:eastAsia="ja-JP"/>
        </w:rPr>
        <w:t xml:space="preserve"> victims’ access to justice, it might not</w:t>
      </w:r>
      <w:r w:rsidR="00993B7A" w:rsidRPr="006E622A">
        <w:rPr>
          <w:rFonts w:ascii="Times New Roman" w:eastAsia="Cambria" w:hAnsi="Times New Roman"/>
          <w:szCs w:val="24"/>
          <w:lang w:eastAsia="ja-JP"/>
        </w:rPr>
        <w:t xml:space="preserve"> guarantee justice for victims. </w:t>
      </w:r>
      <w:r w:rsidR="00B20EAE">
        <w:rPr>
          <w:rFonts w:ascii="Times New Roman" w:eastAsia="Cambria" w:hAnsi="Times New Roman"/>
          <w:szCs w:val="24"/>
          <w:lang w:eastAsia="ja-JP"/>
        </w:rPr>
        <w:t>Some additional factors like accused right</w:t>
      </w:r>
      <w:r w:rsidR="00993B7A" w:rsidRPr="006E622A">
        <w:rPr>
          <w:rFonts w:ascii="Times New Roman" w:eastAsia="Cambria" w:hAnsi="Times New Roman"/>
          <w:szCs w:val="24"/>
          <w:lang w:eastAsia="ja-JP"/>
        </w:rPr>
        <w:t>,  provisions of the Rome Statute, a</w:t>
      </w:r>
      <w:r>
        <w:rPr>
          <w:rFonts w:ascii="Times New Roman" w:eastAsia="Cambria" w:hAnsi="Times New Roman"/>
          <w:szCs w:val="24"/>
          <w:lang w:eastAsia="ja-JP"/>
        </w:rPr>
        <w:t>nd</w:t>
      </w:r>
      <w:r w:rsidR="00993B7A" w:rsidRPr="006E622A">
        <w:rPr>
          <w:rFonts w:ascii="Times New Roman" w:eastAsia="Cambria" w:hAnsi="Times New Roman"/>
          <w:szCs w:val="24"/>
          <w:lang w:eastAsia="ja-JP"/>
        </w:rPr>
        <w:t xml:space="preserve"> the ICC RPE</w:t>
      </w:r>
      <w:r w:rsidR="00B20EAE">
        <w:rPr>
          <w:rFonts w:ascii="Times New Roman" w:eastAsia="Cambria" w:hAnsi="Times New Roman"/>
          <w:szCs w:val="24"/>
          <w:lang w:eastAsia="ja-JP"/>
        </w:rPr>
        <w:t>,</w:t>
      </w:r>
      <w:r w:rsidR="00993B7A" w:rsidRPr="006E622A">
        <w:rPr>
          <w:rFonts w:ascii="Times New Roman" w:eastAsia="Cambria" w:hAnsi="Times New Roman"/>
          <w:szCs w:val="24"/>
          <w:lang w:eastAsia="ja-JP"/>
        </w:rPr>
        <w:t xml:space="preserve"> have to be factored in, during the criminal proceedings. Hence, </w:t>
      </w:r>
      <w:r>
        <w:rPr>
          <w:rFonts w:ascii="Times New Roman" w:eastAsia="Cambria" w:hAnsi="Times New Roman"/>
          <w:szCs w:val="24"/>
          <w:lang w:eastAsia="ja-JP"/>
        </w:rPr>
        <w:t>victims' procedural right</w:t>
      </w:r>
      <w:r w:rsidR="00993B7A" w:rsidRPr="006E622A">
        <w:rPr>
          <w:rFonts w:ascii="Times New Roman" w:eastAsia="Cambria" w:hAnsi="Times New Roman"/>
          <w:szCs w:val="24"/>
          <w:lang w:eastAsia="ja-JP"/>
        </w:rPr>
        <w:t>s may influence the decision,</w:t>
      </w:r>
      <w:r w:rsidR="008376A1">
        <w:rPr>
          <w:rFonts w:ascii="Times New Roman" w:eastAsia="Cambria" w:hAnsi="Times New Roman"/>
          <w:szCs w:val="24"/>
          <w:lang w:eastAsia="ja-JP"/>
        </w:rPr>
        <w:t xml:space="preserve"> </w:t>
      </w:r>
      <w:r w:rsidR="00993B7A" w:rsidRPr="006E622A">
        <w:rPr>
          <w:rFonts w:ascii="Times New Roman" w:eastAsia="Cambria" w:hAnsi="Times New Roman"/>
          <w:szCs w:val="24"/>
          <w:lang w:eastAsia="ja-JP"/>
        </w:rPr>
        <w:t xml:space="preserve">but, most times, it does not have a </w:t>
      </w:r>
      <w:r w:rsidR="00306C67">
        <w:rPr>
          <w:rFonts w:ascii="Times New Roman" w:eastAsia="Cambria" w:hAnsi="Times New Roman"/>
          <w:szCs w:val="24"/>
          <w:lang w:eastAsia="ja-JP"/>
        </w:rPr>
        <w:t>considerabl</w:t>
      </w:r>
      <w:r w:rsidR="00993B7A" w:rsidRPr="006E622A">
        <w:rPr>
          <w:rFonts w:ascii="Times New Roman" w:eastAsia="Cambria" w:hAnsi="Times New Roman"/>
          <w:szCs w:val="24"/>
          <w:lang w:eastAsia="ja-JP"/>
        </w:rPr>
        <w:t>e impact on the decision</w:t>
      </w:r>
      <w:r w:rsidR="008A58D7">
        <w:rPr>
          <w:rFonts w:ascii="Times New Roman" w:eastAsia="Cambria" w:hAnsi="Times New Roman"/>
          <w:szCs w:val="24"/>
          <w:lang w:eastAsia="ja-JP"/>
        </w:rPr>
        <w:t>s or outcome</w:t>
      </w:r>
      <w:r w:rsidR="00993B7A" w:rsidRPr="006E622A">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 xml:space="preserve"> </w:t>
      </w:r>
    </w:p>
    <w:p w14:paraId="3ABACA56" w14:textId="77777777" w:rsidR="00B17EA9" w:rsidRPr="006E622A" w:rsidRDefault="00B17EA9" w:rsidP="006E622A">
      <w:pPr>
        <w:spacing w:after="0"/>
        <w:jc w:val="both"/>
        <w:rPr>
          <w:rFonts w:ascii="Times New Roman" w:eastAsia="Cambria" w:hAnsi="Times New Roman"/>
          <w:szCs w:val="24"/>
          <w:lang w:eastAsia="ja-JP"/>
        </w:rPr>
      </w:pPr>
    </w:p>
    <w:p w14:paraId="2AF115A4" w14:textId="41E72CB1" w:rsidR="006E622A" w:rsidRDefault="006E622A" w:rsidP="005A5C7C">
      <w:pPr>
        <w:spacing w:after="0" w:line="480" w:lineRule="auto"/>
        <w:jc w:val="both"/>
        <w:rPr>
          <w:rFonts w:ascii="Times New Roman" w:hAnsi="Times New Roman"/>
          <w:szCs w:val="24"/>
        </w:rPr>
      </w:pPr>
      <w:r w:rsidRPr="006E622A">
        <w:rPr>
          <w:rFonts w:ascii="Times New Roman" w:hAnsi="Times New Roman"/>
          <w:szCs w:val="24"/>
        </w:rPr>
        <w:t>Interestingly</w:t>
      </w:r>
      <w:r w:rsidR="00340D66">
        <w:rPr>
          <w:rFonts w:ascii="Times New Roman" w:hAnsi="Times New Roman"/>
          <w:szCs w:val="24"/>
        </w:rPr>
        <w:t>, an issue came up in both  Lubanga and Katanga cases that question the set of procedural rights that could be attached to anonymous victims' procedural statu</w:t>
      </w:r>
      <w:r w:rsidRPr="006E622A">
        <w:rPr>
          <w:rFonts w:ascii="Times New Roman" w:hAnsi="Times New Roman"/>
          <w:szCs w:val="24"/>
        </w:rPr>
        <w:t>s.</w:t>
      </w:r>
      <w:r w:rsidR="008376A1">
        <w:rPr>
          <w:rFonts w:ascii="Times New Roman" w:hAnsi="Times New Roman"/>
          <w:szCs w:val="24"/>
        </w:rPr>
        <w:t xml:space="preserve"> </w:t>
      </w:r>
      <w:r w:rsidRPr="006E622A">
        <w:rPr>
          <w:rFonts w:ascii="Times New Roman" w:hAnsi="Times New Roman"/>
          <w:szCs w:val="24"/>
        </w:rPr>
        <w:t>The Chamber ruled in the Lubanga case that :</w:t>
      </w:r>
    </w:p>
    <w:p w14:paraId="7DD80A98" w14:textId="77777777" w:rsidR="00CA39FF" w:rsidRPr="006E622A" w:rsidRDefault="00CA39FF" w:rsidP="005A5C7C">
      <w:pPr>
        <w:spacing w:after="0" w:line="480" w:lineRule="auto"/>
        <w:jc w:val="both"/>
        <w:rPr>
          <w:rFonts w:ascii="Times New Roman" w:hAnsi="Times New Roman"/>
          <w:szCs w:val="24"/>
        </w:rPr>
      </w:pPr>
    </w:p>
    <w:p w14:paraId="3080E6B6" w14:textId="77777777" w:rsidR="00084F8B" w:rsidRDefault="006E622A" w:rsidP="00CA39FF">
      <w:pPr>
        <w:spacing w:after="0" w:line="480" w:lineRule="auto"/>
        <w:jc w:val="center"/>
        <w:rPr>
          <w:rFonts w:ascii="Times New Roman" w:hAnsi="Times New Roman"/>
          <w:iCs/>
          <w:szCs w:val="24"/>
        </w:rPr>
      </w:pPr>
      <w:r w:rsidRPr="006E622A">
        <w:rPr>
          <w:rFonts w:ascii="Times New Roman" w:hAnsi="Times New Roman"/>
          <w:szCs w:val="24"/>
        </w:rPr>
        <w:t>“</w:t>
      </w:r>
      <w:r w:rsidRPr="00084F8B">
        <w:rPr>
          <w:rFonts w:ascii="Times New Roman" w:hAnsi="Times New Roman"/>
          <w:iCs/>
          <w:szCs w:val="24"/>
        </w:rPr>
        <w:t xml:space="preserve">The fundamental principle prohibiting anonymous accusations would be violated, </w:t>
      </w:r>
    </w:p>
    <w:p w14:paraId="44C6542B" w14:textId="77777777" w:rsidR="00084F8B" w:rsidRDefault="006E622A" w:rsidP="00CA39FF">
      <w:pPr>
        <w:spacing w:after="0" w:line="480" w:lineRule="auto"/>
        <w:jc w:val="center"/>
        <w:rPr>
          <w:rFonts w:ascii="Times New Roman" w:hAnsi="Times New Roman"/>
          <w:iCs/>
          <w:szCs w:val="24"/>
        </w:rPr>
      </w:pPr>
      <w:r w:rsidRPr="00084F8B">
        <w:rPr>
          <w:rFonts w:ascii="Times New Roman" w:hAnsi="Times New Roman"/>
          <w:iCs/>
          <w:szCs w:val="24"/>
        </w:rPr>
        <w:lastRenderedPageBreak/>
        <w:t xml:space="preserve">if victims a/0001/06 to a/0003/06 were permitted to add any point of fact or any evidence at all to the Prosecution's case-file presented against Thomas Lubanga </w:t>
      </w:r>
    </w:p>
    <w:p w14:paraId="641B5723" w14:textId="5C1FA33D" w:rsidR="006E622A" w:rsidRPr="006E622A" w:rsidRDefault="006E622A" w:rsidP="00CA39FF">
      <w:pPr>
        <w:spacing w:after="0" w:line="480" w:lineRule="auto"/>
        <w:jc w:val="center"/>
        <w:rPr>
          <w:rFonts w:ascii="Times New Roman" w:hAnsi="Times New Roman"/>
          <w:szCs w:val="24"/>
        </w:rPr>
      </w:pPr>
      <w:proofErr w:type="spellStart"/>
      <w:r w:rsidRPr="00084F8B">
        <w:rPr>
          <w:rFonts w:ascii="Times New Roman" w:hAnsi="Times New Roman"/>
          <w:iCs/>
          <w:szCs w:val="24"/>
        </w:rPr>
        <w:t>Dyilo</w:t>
      </w:r>
      <w:proofErr w:type="spellEnd"/>
      <w:r w:rsidRPr="00084F8B">
        <w:rPr>
          <w:rFonts w:ascii="Times New Roman" w:hAnsi="Times New Roman"/>
          <w:iCs/>
          <w:szCs w:val="24"/>
        </w:rPr>
        <w:t xml:space="preserve"> i</w:t>
      </w:r>
      <w:r w:rsidR="008376A1" w:rsidRPr="00084F8B">
        <w:rPr>
          <w:rFonts w:ascii="Times New Roman" w:hAnsi="Times New Roman"/>
          <w:iCs/>
          <w:szCs w:val="24"/>
        </w:rPr>
        <w:t>s</w:t>
      </w:r>
      <w:r w:rsidRPr="00084F8B">
        <w:rPr>
          <w:rFonts w:ascii="Times New Roman" w:hAnsi="Times New Roman"/>
          <w:iCs/>
          <w:szCs w:val="24"/>
        </w:rPr>
        <w:t xml:space="preserve"> the notification of charges document and the list of evidence</w:t>
      </w:r>
      <w:r w:rsidRPr="006E622A">
        <w:rPr>
          <w:rFonts w:ascii="Times New Roman" w:hAnsi="Times New Roman"/>
          <w:i/>
          <w:szCs w:val="24"/>
        </w:rPr>
        <w:t>.”</w:t>
      </w:r>
      <w:r w:rsidRPr="006E622A">
        <w:rPr>
          <w:rFonts w:ascii="Times New Roman" w:hAnsi="Times New Roman"/>
          <w:i/>
          <w:szCs w:val="24"/>
          <w:vertAlign w:val="superscript"/>
        </w:rPr>
        <w:footnoteReference w:id="637"/>
      </w:r>
    </w:p>
    <w:p w14:paraId="07EAC58A" w14:textId="77777777" w:rsidR="00CA39FF" w:rsidRDefault="00CA39FF" w:rsidP="005A5C7C">
      <w:pPr>
        <w:spacing w:after="0" w:line="480" w:lineRule="auto"/>
        <w:jc w:val="both"/>
        <w:rPr>
          <w:rFonts w:ascii="Times New Roman" w:hAnsi="Times New Roman"/>
          <w:szCs w:val="24"/>
        </w:rPr>
      </w:pPr>
    </w:p>
    <w:p w14:paraId="54A90138" w14:textId="0DAC2D9E" w:rsidR="006E622A" w:rsidRPr="006E622A" w:rsidRDefault="006E622A" w:rsidP="005A5C7C">
      <w:pPr>
        <w:spacing w:after="0" w:line="480" w:lineRule="auto"/>
        <w:jc w:val="both"/>
        <w:rPr>
          <w:rFonts w:ascii="Times New Roman" w:hAnsi="Times New Roman"/>
          <w:szCs w:val="24"/>
        </w:rPr>
      </w:pPr>
      <w:r w:rsidRPr="006E622A">
        <w:rPr>
          <w:rFonts w:ascii="Times New Roman" w:hAnsi="Times New Roman"/>
          <w:szCs w:val="24"/>
        </w:rPr>
        <w:t>The single judge asserted that an anonymous victim c</w:t>
      </w:r>
      <w:r w:rsidR="00306C67">
        <w:rPr>
          <w:rFonts w:ascii="Times New Roman" w:hAnsi="Times New Roman"/>
          <w:szCs w:val="24"/>
        </w:rPr>
        <w:t>ould</w:t>
      </w:r>
      <w:r w:rsidRPr="006E622A">
        <w:rPr>
          <w:rFonts w:ascii="Times New Roman" w:hAnsi="Times New Roman"/>
          <w:szCs w:val="24"/>
        </w:rPr>
        <w:t xml:space="preserve"> participate effectively in the proceedings.</w:t>
      </w:r>
      <w:r w:rsidR="008376A1">
        <w:rPr>
          <w:rFonts w:ascii="Times New Roman" w:hAnsi="Times New Roman"/>
          <w:szCs w:val="24"/>
        </w:rPr>
        <w:t xml:space="preserve"> </w:t>
      </w:r>
      <w:r w:rsidRPr="006E622A">
        <w:rPr>
          <w:rFonts w:ascii="Times New Roman" w:hAnsi="Times New Roman"/>
          <w:szCs w:val="24"/>
        </w:rPr>
        <w:t>However, in order to prohibit anonymous accusations, the set of procedural rights available to anonymous victims will be restricted.</w:t>
      </w:r>
      <w:r w:rsidR="008376A1">
        <w:rPr>
          <w:rFonts w:ascii="Times New Roman" w:hAnsi="Times New Roman"/>
          <w:szCs w:val="24"/>
        </w:rPr>
        <w:t xml:space="preserve"> </w:t>
      </w:r>
      <w:r w:rsidRPr="006E622A">
        <w:rPr>
          <w:rFonts w:ascii="Times New Roman" w:hAnsi="Times New Roman"/>
          <w:szCs w:val="24"/>
        </w:rPr>
        <w:t>In the Chamber’s ruling,  victims granted anonymity are precluded from adding any point of fact or any evidence</w:t>
      </w:r>
      <w:r w:rsidR="0039581C">
        <w:rPr>
          <w:rFonts w:ascii="Times New Roman" w:hAnsi="Times New Roman"/>
          <w:szCs w:val="24"/>
        </w:rPr>
        <w:t xml:space="preserve">, </w:t>
      </w:r>
      <w:r w:rsidRPr="006E622A">
        <w:rPr>
          <w:rFonts w:ascii="Times New Roman" w:hAnsi="Times New Roman"/>
          <w:szCs w:val="24"/>
        </w:rPr>
        <w:t xml:space="preserve">nor question the witness(in accordance with the procedure set out in rule 91(3) of the Rules). Notwithstanding, the Chamber held that some procedural rights would be compatible with the anonymity of those granted </w:t>
      </w:r>
      <w:r w:rsidR="008376A1">
        <w:rPr>
          <w:rFonts w:ascii="Times New Roman" w:hAnsi="Times New Roman"/>
          <w:szCs w:val="24"/>
        </w:rPr>
        <w:t xml:space="preserve">the </w:t>
      </w:r>
      <w:r w:rsidR="00340D66">
        <w:rPr>
          <w:rFonts w:ascii="Times New Roman" w:hAnsi="Times New Roman"/>
          <w:szCs w:val="24"/>
        </w:rPr>
        <w:t>victim's procedural status</w:t>
      </w:r>
      <w:r w:rsidRPr="006E622A">
        <w:rPr>
          <w:rFonts w:ascii="Times New Roman" w:hAnsi="Times New Roman"/>
          <w:szCs w:val="24"/>
        </w:rPr>
        <w:t xml:space="preserve"> at the pre-trial stage.</w:t>
      </w:r>
      <w:r w:rsidR="008376A1">
        <w:rPr>
          <w:rFonts w:ascii="Times New Roman" w:hAnsi="Times New Roman"/>
          <w:szCs w:val="24"/>
        </w:rPr>
        <w:t xml:space="preserve"> </w:t>
      </w:r>
      <w:r w:rsidRPr="006E622A">
        <w:rPr>
          <w:rFonts w:ascii="Times New Roman" w:hAnsi="Times New Roman"/>
          <w:szCs w:val="24"/>
        </w:rPr>
        <w:t>These rights are:</w:t>
      </w:r>
    </w:p>
    <w:p w14:paraId="72A0A31F" w14:textId="77777777" w:rsidR="006E622A" w:rsidRPr="006E622A" w:rsidRDefault="00CF1717" w:rsidP="000526C1">
      <w:pPr>
        <w:numPr>
          <w:ilvl w:val="0"/>
          <w:numId w:val="2"/>
        </w:numPr>
        <w:spacing w:after="0" w:line="240" w:lineRule="auto"/>
        <w:contextualSpacing/>
        <w:jc w:val="both"/>
        <w:rPr>
          <w:rFonts w:ascii="Times New Roman" w:hAnsi="Times New Roman"/>
          <w:szCs w:val="24"/>
        </w:rPr>
      </w:pPr>
      <w:r>
        <w:rPr>
          <w:rFonts w:ascii="Times New Roman" w:hAnsi="Times New Roman"/>
          <w:szCs w:val="24"/>
        </w:rPr>
        <w:t>‘</w:t>
      </w:r>
      <w:r w:rsidR="006E622A" w:rsidRPr="006E622A">
        <w:rPr>
          <w:rFonts w:ascii="Times New Roman" w:hAnsi="Times New Roman"/>
          <w:szCs w:val="24"/>
        </w:rPr>
        <w:t>notification of the public documents contained in the record of the</w:t>
      </w:r>
    </w:p>
    <w:p w14:paraId="179EDE0A" w14:textId="77777777" w:rsidR="006E622A" w:rsidRPr="006E622A" w:rsidRDefault="006E622A" w:rsidP="00CF1717">
      <w:pPr>
        <w:spacing w:line="480" w:lineRule="auto"/>
        <w:ind w:left="720"/>
        <w:contextualSpacing/>
        <w:rPr>
          <w:rFonts w:ascii="Times New Roman" w:hAnsi="Times New Roman"/>
          <w:szCs w:val="24"/>
        </w:rPr>
      </w:pPr>
      <w:r w:rsidRPr="006E622A">
        <w:rPr>
          <w:rFonts w:ascii="Times New Roman" w:hAnsi="Times New Roman"/>
          <w:szCs w:val="24"/>
        </w:rPr>
        <w:t>relevant case;</w:t>
      </w:r>
    </w:p>
    <w:p w14:paraId="44B8F030" w14:textId="77777777" w:rsidR="006E622A" w:rsidRPr="006E622A" w:rsidRDefault="006E622A" w:rsidP="00CF1717">
      <w:pPr>
        <w:numPr>
          <w:ilvl w:val="0"/>
          <w:numId w:val="2"/>
        </w:numPr>
        <w:spacing w:after="0" w:line="480" w:lineRule="auto"/>
        <w:contextualSpacing/>
        <w:rPr>
          <w:rFonts w:ascii="Times New Roman" w:hAnsi="Times New Roman"/>
          <w:szCs w:val="24"/>
        </w:rPr>
      </w:pPr>
      <w:r w:rsidRPr="006E622A">
        <w:rPr>
          <w:rFonts w:ascii="Times New Roman" w:hAnsi="Times New Roman"/>
          <w:szCs w:val="24"/>
        </w:rPr>
        <w:t>attendance at  status conferences, or the parts of those status</w:t>
      </w:r>
    </w:p>
    <w:p w14:paraId="05E33104" w14:textId="77777777" w:rsidR="006E622A" w:rsidRPr="006E622A" w:rsidRDefault="006E622A" w:rsidP="00CF1717">
      <w:pPr>
        <w:spacing w:line="480" w:lineRule="auto"/>
        <w:ind w:left="720"/>
        <w:contextualSpacing/>
        <w:rPr>
          <w:rFonts w:ascii="Times New Roman" w:hAnsi="Times New Roman"/>
          <w:szCs w:val="24"/>
        </w:rPr>
      </w:pPr>
      <w:r w:rsidRPr="006E622A">
        <w:rPr>
          <w:rFonts w:ascii="Times New Roman" w:hAnsi="Times New Roman"/>
          <w:szCs w:val="24"/>
        </w:rPr>
        <w:t>conferences, which are to be held in public;</w:t>
      </w:r>
    </w:p>
    <w:p w14:paraId="77DC162E" w14:textId="77777777" w:rsidR="006E622A" w:rsidRPr="006E622A" w:rsidRDefault="006E622A" w:rsidP="00CF1717">
      <w:pPr>
        <w:numPr>
          <w:ilvl w:val="0"/>
          <w:numId w:val="2"/>
        </w:numPr>
        <w:spacing w:after="0" w:line="480" w:lineRule="auto"/>
        <w:contextualSpacing/>
        <w:rPr>
          <w:rFonts w:ascii="Times New Roman" w:hAnsi="Times New Roman"/>
          <w:szCs w:val="24"/>
        </w:rPr>
      </w:pPr>
      <w:r w:rsidRPr="006E622A">
        <w:rPr>
          <w:rFonts w:ascii="Times New Roman" w:hAnsi="Times New Roman"/>
          <w:szCs w:val="24"/>
        </w:rPr>
        <w:t>making opening and closing statements at the confirmation hearing, in</w:t>
      </w:r>
    </w:p>
    <w:p w14:paraId="514BD799" w14:textId="77777777" w:rsidR="006E622A" w:rsidRPr="006E622A" w:rsidRDefault="006E622A" w:rsidP="00CF1717">
      <w:pPr>
        <w:spacing w:line="480" w:lineRule="auto"/>
        <w:ind w:left="720"/>
        <w:contextualSpacing/>
        <w:rPr>
          <w:rFonts w:ascii="Times New Roman" w:hAnsi="Times New Roman"/>
          <w:szCs w:val="24"/>
        </w:rPr>
      </w:pPr>
      <w:r w:rsidRPr="006E622A">
        <w:rPr>
          <w:rFonts w:ascii="Times New Roman" w:hAnsi="Times New Roman"/>
          <w:szCs w:val="24"/>
        </w:rPr>
        <w:t>which they can, inter alia, address points of law, including the legal</w:t>
      </w:r>
    </w:p>
    <w:p w14:paraId="659AF035" w14:textId="77777777" w:rsidR="006E622A" w:rsidRPr="006E622A" w:rsidRDefault="006E622A" w:rsidP="00CF1717">
      <w:pPr>
        <w:spacing w:line="480" w:lineRule="auto"/>
        <w:ind w:left="720"/>
        <w:contextualSpacing/>
        <w:rPr>
          <w:rFonts w:ascii="Times New Roman" w:hAnsi="Times New Roman"/>
          <w:szCs w:val="24"/>
        </w:rPr>
      </w:pPr>
      <w:r w:rsidRPr="006E622A">
        <w:rPr>
          <w:rFonts w:ascii="Times New Roman" w:hAnsi="Times New Roman"/>
          <w:szCs w:val="24"/>
        </w:rPr>
        <w:t>characterisation of the modes of liability included in the Prosecution</w:t>
      </w:r>
    </w:p>
    <w:p w14:paraId="03FE031D" w14:textId="77777777" w:rsidR="006E622A" w:rsidRPr="006E622A" w:rsidRDefault="006E622A" w:rsidP="00CF1717">
      <w:pPr>
        <w:spacing w:line="480" w:lineRule="auto"/>
        <w:ind w:left="720"/>
        <w:contextualSpacing/>
        <w:rPr>
          <w:rFonts w:ascii="Times New Roman" w:hAnsi="Times New Roman"/>
          <w:szCs w:val="24"/>
        </w:rPr>
      </w:pPr>
      <w:r w:rsidRPr="006E622A">
        <w:rPr>
          <w:rFonts w:ascii="Times New Roman" w:hAnsi="Times New Roman"/>
          <w:szCs w:val="24"/>
        </w:rPr>
        <w:t>Charging Document; and</w:t>
      </w:r>
    </w:p>
    <w:p w14:paraId="42CA2B8E" w14:textId="77777777" w:rsidR="006E622A" w:rsidRPr="006E622A" w:rsidRDefault="006E622A" w:rsidP="00CF1717">
      <w:pPr>
        <w:spacing w:line="480" w:lineRule="auto"/>
        <w:ind w:left="720"/>
        <w:contextualSpacing/>
        <w:rPr>
          <w:rFonts w:ascii="Times New Roman" w:hAnsi="Times New Roman"/>
          <w:szCs w:val="24"/>
        </w:rPr>
      </w:pPr>
      <w:r w:rsidRPr="006E622A">
        <w:rPr>
          <w:rFonts w:ascii="Times New Roman" w:hAnsi="Times New Roman"/>
          <w:szCs w:val="24"/>
        </w:rPr>
        <w:t>requesting during the said status conferences and during the public;</w:t>
      </w:r>
    </w:p>
    <w:p w14:paraId="60F5AD04" w14:textId="77777777" w:rsidR="006E622A" w:rsidRDefault="006E622A" w:rsidP="00CF1717">
      <w:pPr>
        <w:numPr>
          <w:ilvl w:val="0"/>
          <w:numId w:val="2"/>
        </w:numPr>
        <w:spacing w:after="0" w:line="480" w:lineRule="auto"/>
        <w:contextualSpacing/>
        <w:rPr>
          <w:rFonts w:ascii="Times New Roman" w:hAnsi="Times New Roman"/>
          <w:szCs w:val="24"/>
        </w:rPr>
      </w:pPr>
      <w:r w:rsidRPr="006E622A">
        <w:rPr>
          <w:rFonts w:ascii="Times New Roman" w:hAnsi="Times New Roman"/>
          <w:szCs w:val="24"/>
        </w:rPr>
        <w:lastRenderedPageBreak/>
        <w:t>sessions of the confirmation hearing, leave to intervene, in which case the Chamber would rule on a case by case basis.</w:t>
      </w:r>
      <w:r w:rsidR="00CF1717">
        <w:rPr>
          <w:rFonts w:ascii="Times New Roman" w:hAnsi="Times New Roman"/>
          <w:szCs w:val="24"/>
        </w:rPr>
        <w:t>’’</w:t>
      </w:r>
      <w:r w:rsidRPr="006E622A">
        <w:rPr>
          <w:rFonts w:ascii="Times New Roman" w:hAnsi="Times New Roman"/>
          <w:szCs w:val="24"/>
          <w:vertAlign w:val="superscript"/>
        </w:rPr>
        <w:footnoteReference w:id="638"/>
      </w:r>
    </w:p>
    <w:p w14:paraId="4BFB68C4" w14:textId="77777777" w:rsidR="0039581C" w:rsidRPr="006E622A" w:rsidRDefault="0039581C" w:rsidP="0039581C">
      <w:pPr>
        <w:spacing w:after="0" w:line="240" w:lineRule="auto"/>
        <w:ind w:left="720"/>
        <w:contextualSpacing/>
        <w:rPr>
          <w:rFonts w:ascii="Times New Roman" w:hAnsi="Times New Roman"/>
          <w:szCs w:val="24"/>
        </w:rPr>
      </w:pPr>
    </w:p>
    <w:p w14:paraId="06EEF9C7" w14:textId="77777777" w:rsidR="0039581C" w:rsidRDefault="0039581C" w:rsidP="0039581C">
      <w:pPr>
        <w:spacing w:after="0" w:line="480" w:lineRule="auto"/>
        <w:jc w:val="both"/>
        <w:rPr>
          <w:rFonts w:ascii="Times New Roman" w:eastAsia="Cambria" w:hAnsi="Times New Roman"/>
          <w:szCs w:val="24"/>
          <w:lang w:eastAsia="ja-JP"/>
        </w:rPr>
      </w:pPr>
    </w:p>
    <w:p w14:paraId="18F10137" w14:textId="77777777" w:rsidR="006E622A" w:rsidRPr="0039581C" w:rsidRDefault="006E622A" w:rsidP="00CA39FF">
      <w:pPr>
        <w:spacing w:after="0" w:line="480" w:lineRule="auto"/>
        <w:jc w:val="both"/>
        <w:rPr>
          <w:rFonts w:ascii="Times New Roman" w:eastAsia="Cambria" w:hAnsi="Times New Roman"/>
          <w:szCs w:val="24"/>
          <w:lang w:eastAsia="ja-JP"/>
        </w:rPr>
      </w:pPr>
      <w:r w:rsidRPr="0039581C">
        <w:rPr>
          <w:rFonts w:ascii="Times New Roman" w:eastAsia="Cambria" w:hAnsi="Times New Roman"/>
          <w:szCs w:val="24"/>
          <w:lang w:eastAsia="ja-JP"/>
        </w:rPr>
        <w:t>It is worth noting that the Chamb</w:t>
      </w:r>
      <w:r w:rsidR="0000072C">
        <w:rPr>
          <w:rFonts w:ascii="Times New Roman" w:eastAsia="Cambria" w:hAnsi="Times New Roman"/>
          <w:szCs w:val="24"/>
          <w:lang w:eastAsia="ja-JP"/>
        </w:rPr>
        <w:t>er in Lubanga case held that the</w:t>
      </w:r>
      <w:r w:rsidRPr="0039581C">
        <w:rPr>
          <w:rFonts w:ascii="Times New Roman" w:eastAsia="Cambria" w:hAnsi="Times New Roman"/>
          <w:szCs w:val="24"/>
          <w:lang w:eastAsia="ja-JP"/>
        </w:rPr>
        <w:t>s</w:t>
      </w:r>
      <w:r w:rsidR="0000072C">
        <w:rPr>
          <w:rFonts w:ascii="Times New Roman" w:eastAsia="Cambria" w:hAnsi="Times New Roman"/>
          <w:szCs w:val="24"/>
          <w:lang w:eastAsia="ja-JP"/>
        </w:rPr>
        <w:t>e</w:t>
      </w:r>
      <w:r w:rsidRPr="0039581C">
        <w:rPr>
          <w:rFonts w:ascii="Times New Roman" w:eastAsia="Cambria" w:hAnsi="Times New Roman"/>
          <w:szCs w:val="24"/>
          <w:lang w:eastAsia="ja-JP"/>
        </w:rPr>
        <w:t xml:space="preserve"> procedural rights are not exhaustible given that they could be extended “</w:t>
      </w:r>
      <w:r w:rsidRPr="00CF1717">
        <w:rPr>
          <w:rFonts w:ascii="Times New Roman" w:eastAsia="Cambria" w:hAnsi="Times New Roman"/>
          <w:szCs w:val="24"/>
          <w:lang w:eastAsia="ja-JP"/>
        </w:rPr>
        <w:t>in light of exceptional circumstances</w:t>
      </w:r>
      <w:r w:rsidR="00CF1717">
        <w:rPr>
          <w:rFonts w:ascii="Times New Roman" w:eastAsia="Cambria" w:hAnsi="Times New Roman"/>
          <w:szCs w:val="24"/>
          <w:lang w:eastAsia="ja-JP"/>
        </w:rPr>
        <w:t>.</w:t>
      </w:r>
      <w:r w:rsidRPr="0039581C">
        <w:rPr>
          <w:rFonts w:ascii="Times New Roman" w:eastAsia="Cambria" w:hAnsi="Times New Roman"/>
          <w:i/>
          <w:szCs w:val="24"/>
          <w:lang w:eastAsia="ja-JP"/>
        </w:rPr>
        <w:t>”</w:t>
      </w:r>
      <w:r w:rsidRPr="0039581C">
        <w:rPr>
          <w:rFonts w:ascii="Times New Roman" w:eastAsia="Cambria" w:hAnsi="Times New Roman"/>
          <w:i/>
          <w:szCs w:val="24"/>
          <w:vertAlign w:val="superscript"/>
          <w:lang w:eastAsia="ja-JP"/>
        </w:rPr>
        <w:footnoteReference w:id="639"/>
      </w:r>
      <w:r w:rsidRPr="0039581C">
        <w:rPr>
          <w:rFonts w:ascii="Times New Roman" w:eastAsia="Cambria" w:hAnsi="Times New Roman"/>
          <w:i/>
          <w:szCs w:val="24"/>
          <w:lang w:eastAsia="ja-JP"/>
        </w:rPr>
        <w:t xml:space="preserve"> </w:t>
      </w:r>
    </w:p>
    <w:p w14:paraId="70C85E1D" w14:textId="77777777" w:rsidR="006E622A" w:rsidRPr="0039581C" w:rsidRDefault="006E622A" w:rsidP="0039581C">
      <w:pPr>
        <w:spacing w:after="0" w:line="480" w:lineRule="auto"/>
        <w:jc w:val="both"/>
        <w:rPr>
          <w:rFonts w:ascii="Times New Roman" w:hAnsi="Times New Roman"/>
          <w:szCs w:val="24"/>
        </w:rPr>
      </w:pPr>
    </w:p>
    <w:p w14:paraId="51CF7525" w14:textId="6153691C" w:rsidR="006E622A" w:rsidRPr="00CA39FF" w:rsidRDefault="006E622A" w:rsidP="00CA39FF">
      <w:pPr>
        <w:spacing w:after="0" w:line="480" w:lineRule="auto"/>
        <w:jc w:val="both"/>
        <w:rPr>
          <w:rFonts w:ascii="Times New Roman" w:eastAsia="Cambria" w:hAnsi="Times New Roman"/>
          <w:szCs w:val="24"/>
          <w:lang w:eastAsia="ja-JP"/>
        </w:rPr>
      </w:pPr>
      <w:r w:rsidRPr="00CA39FF">
        <w:rPr>
          <w:rFonts w:ascii="Times New Roman" w:eastAsia="Cambria" w:hAnsi="Times New Roman"/>
          <w:szCs w:val="24"/>
          <w:lang w:eastAsia="ja-JP"/>
        </w:rPr>
        <w:t>A similar question arose in the Katanga case</w:t>
      </w:r>
      <w:r w:rsidR="0061782C" w:rsidRPr="00CA39FF">
        <w:rPr>
          <w:rStyle w:val="FootnoteReference"/>
          <w:rFonts w:ascii="Times New Roman" w:eastAsia="Cambria" w:hAnsi="Times New Roman"/>
          <w:szCs w:val="24"/>
          <w:lang w:eastAsia="ja-JP"/>
        </w:rPr>
        <w:footnoteReference w:id="640"/>
      </w:r>
      <w:r w:rsidR="00CF1717" w:rsidRPr="00CA39FF">
        <w:rPr>
          <w:rFonts w:ascii="Times New Roman" w:eastAsia="Cambria" w:hAnsi="Times New Roman"/>
          <w:szCs w:val="24"/>
          <w:lang w:eastAsia="ja-JP"/>
        </w:rPr>
        <w:t>;</w:t>
      </w:r>
      <w:r w:rsidRPr="00CA39FF">
        <w:rPr>
          <w:rFonts w:ascii="Times New Roman" w:eastAsia="Cambria" w:hAnsi="Times New Roman"/>
          <w:szCs w:val="24"/>
          <w:lang w:eastAsia="ja-JP"/>
        </w:rPr>
        <w:t xml:space="preserve"> victim a/0333/07 prayed the Chamber for anonymity during the proceedings leading to and at the confirmation hearing.</w:t>
      </w:r>
      <w:r w:rsidR="0061782C"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The LRV supported this request with the vulnerability of victim a/03333/07(minor at the time of application); the unsettled situation in victim a/0333/07’s location(</w:t>
      </w:r>
      <w:proofErr w:type="spellStart"/>
      <w:r w:rsidRPr="00CA39FF">
        <w:rPr>
          <w:rFonts w:ascii="Times New Roman" w:eastAsia="Cambria" w:hAnsi="Times New Roman"/>
          <w:szCs w:val="24"/>
          <w:lang w:eastAsia="ja-JP"/>
        </w:rPr>
        <w:t>Ituri</w:t>
      </w:r>
      <w:proofErr w:type="spellEnd"/>
      <w:r w:rsidRPr="00CA39FF">
        <w:rPr>
          <w:rFonts w:ascii="Times New Roman" w:eastAsia="Cambria" w:hAnsi="Times New Roman"/>
          <w:szCs w:val="24"/>
          <w:lang w:eastAsia="ja-JP"/>
        </w:rPr>
        <w:t xml:space="preserve"> </w:t>
      </w:r>
      <w:r w:rsidR="0061782C" w:rsidRPr="00CA39FF">
        <w:rPr>
          <w:rFonts w:ascii="Times New Roman" w:eastAsia="Cambria" w:hAnsi="Times New Roman"/>
          <w:szCs w:val="24"/>
          <w:lang w:eastAsia="ja-JP"/>
        </w:rPr>
        <w:t>D</w:t>
      </w:r>
      <w:r w:rsidRPr="00CA39FF">
        <w:rPr>
          <w:rFonts w:ascii="Times New Roman" w:eastAsia="Cambria" w:hAnsi="Times New Roman"/>
          <w:szCs w:val="24"/>
          <w:lang w:eastAsia="ja-JP"/>
        </w:rPr>
        <w:t xml:space="preserve">istrict); and the fear of the disclosure of the victim’s identity to the defences(Katanga and </w:t>
      </w:r>
      <w:proofErr w:type="spellStart"/>
      <w:r w:rsidRPr="00CA39FF">
        <w:rPr>
          <w:rFonts w:ascii="Times New Roman" w:eastAsia="Cambria" w:hAnsi="Times New Roman"/>
          <w:szCs w:val="24"/>
          <w:lang w:eastAsia="ja-JP"/>
        </w:rPr>
        <w:t>Ngudjolo</w:t>
      </w:r>
      <w:proofErr w:type="spellEnd"/>
      <w:r w:rsidRPr="00CA39FF">
        <w:rPr>
          <w:rFonts w:ascii="Times New Roman" w:eastAsia="Cambria" w:hAnsi="Times New Roman"/>
          <w:szCs w:val="24"/>
          <w:lang w:eastAsia="ja-JP"/>
        </w:rPr>
        <w:t>).</w:t>
      </w:r>
      <w:r w:rsidR="0061782C"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The Prosecution did not oppose the request for anonymity of victim a/0333/07.</w:t>
      </w:r>
      <w:r w:rsidR="00B20EAE">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He submitted that the same set of procedural rights granted to the anonymous victims at the pre-trial stage of </w:t>
      </w:r>
      <w:proofErr w:type="spellStart"/>
      <w:r w:rsidRPr="00CA39FF">
        <w:rPr>
          <w:rFonts w:ascii="Times New Roman" w:eastAsia="Cambria" w:hAnsi="Times New Roman"/>
          <w:szCs w:val="24"/>
          <w:lang w:eastAsia="ja-JP"/>
        </w:rPr>
        <w:t>Lubanga</w:t>
      </w:r>
      <w:r w:rsidR="00A16DA1">
        <w:rPr>
          <w:rFonts w:ascii="Times New Roman" w:eastAsia="Cambria" w:hAnsi="Times New Roman"/>
          <w:szCs w:val="24"/>
          <w:lang w:eastAsia="ja-JP"/>
        </w:rPr>
        <w:t>i</w:t>
      </w:r>
      <w:proofErr w:type="spellEnd"/>
      <w:r w:rsidRPr="00CA39FF">
        <w:rPr>
          <w:rFonts w:ascii="Times New Roman" w:eastAsia="Cambria" w:hAnsi="Times New Roman"/>
          <w:szCs w:val="24"/>
          <w:lang w:eastAsia="ja-JP"/>
        </w:rPr>
        <w:t xml:space="preserve"> should be granted to victim a/0333/07.</w:t>
      </w:r>
      <w:r w:rsidR="008A4CA9"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In contrast, the Defence for Mathieu </w:t>
      </w:r>
      <w:proofErr w:type="spellStart"/>
      <w:r w:rsidRPr="00CA39FF">
        <w:rPr>
          <w:rFonts w:ascii="Times New Roman" w:eastAsia="Cambria" w:hAnsi="Times New Roman"/>
          <w:szCs w:val="24"/>
          <w:lang w:eastAsia="ja-JP"/>
        </w:rPr>
        <w:t>Ngudjolo</w:t>
      </w:r>
      <w:proofErr w:type="spellEnd"/>
      <w:r w:rsidRPr="00CA39FF">
        <w:rPr>
          <w:rFonts w:ascii="Times New Roman" w:eastAsia="Cambria" w:hAnsi="Times New Roman"/>
          <w:szCs w:val="24"/>
          <w:lang w:eastAsia="ja-JP"/>
        </w:rPr>
        <w:t xml:space="preserve"> Chui argued that </w:t>
      </w:r>
      <w:r w:rsidR="00340D66">
        <w:rPr>
          <w:rFonts w:ascii="Times New Roman" w:eastAsia="Cambria" w:hAnsi="Times New Roman"/>
          <w:szCs w:val="24"/>
          <w:lang w:eastAsia="ja-JP"/>
        </w:rPr>
        <w:t>anonymous victims' participation</w:t>
      </w:r>
      <w:r w:rsidRPr="00CA39FF">
        <w:rPr>
          <w:rFonts w:ascii="Times New Roman" w:eastAsia="Cambria" w:hAnsi="Times New Roman"/>
          <w:szCs w:val="24"/>
          <w:lang w:eastAsia="ja-JP"/>
        </w:rPr>
        <w:t xml:space="preserve"> is not consistent with the rights of the Defence and the principle of equality of arms.</w:t>
      </w:r>
      <w:r w:rsidRPr="00CA39FF">
        <w:rPr>
          <w:rFonts w:ascii="Times New Roman" w:eastAsia="Cambria" w:hAnsi="Times New Roman"/>
          <w:szCs w:val="24"/>
          <w:vertAlign w:val="superscript"/>
          <w:lang w:eastAsia="ja-JP"/>
        </w:rPr>
        <w:footnoteReference w:id="641"/>
      </w:r>
      <w:r w:rsidRPr="00CA39FF">
        <w:rPr>
          <w:rFonts w:ascii="Times New Roman" w:eastAsia="Cambria" w:hAnsi="Times New Roman"/>
          <w:szCs w:val="24"/>
          <w:lang w:eastAsia="ja-JP"/>
        </w:rPr>
        <w:t xml:space="preserve">He also submitted that anonymous participation should be </w:t>
      </w:r>
      <w:r w:rsidRPr="00CA39FF">
        <w:rPr>
          <w:rFonts w:ascii="Times New Roman" w:eastAsia="Cambria" w:hAnsi="Times New Roman"/>
          <w:szCs w:val="24"/>
          <w:lang w:eastAsia="ja-JP"/>
        </w:rPr>
        <w:lastRenderedPageBreak/>
        <w:t>restricted to the protective measures linked to the anonymous victim.</w:t>
      </w:r>
      <w:r w:rsidRPr="00CA39FF">
        <w:rPr>
          <w:rFonts w:ascii="Times New Roman" w:eastAsia="Cambria" w:hAnsi="Times New Roman"/>
          <w:szCs w:val="24"/>
          <w:vertAlign w:val="superscript"/>
          <w:lang w:eastAsia="ja-JP"/>
        </w:rPr>
        <w:footnoteReference w:id="642"/>
      </w:r>
      <w:r w:rsidRPr="00CA39FF">
        <w:rPr>
          <w:rFonts w:ascii="Times New Roman" w:eastAsia="Cambria" w:hAnsi="Times New Roman"/>
          <w:szCs w:val="24"/>
          <w:lang w:eastAsia="ja-JP"/>
        </w:rPr>
        <w:t>The Defence for K</w:t>
      </w:r>
      <w:r w:rsidR="008A4CA9" w:rsidRPr="00CA39FF">
        <w:rPr>
          <w:rFonts w:ascii="Times New Roman" w:eastAsia="Cambria" w:hAnsi="Times New Roman"/>
          <w:szCs w:val="24"/>
          <w:lang w:eastAsia="ja-JP"/>
        </w:rPr>
        <w:t>atanga concurred with the obser</w:t>
      </w:r>
      <w:r w:rsidRPr="00CA39FF">
        <w:rPr>
          <w:rFonts w:ascii="Times New Roman" w:eastAsia="Cambria" w:hAnsi="Times New Roman"/>
          <w:szCs w:val="24"/>
          <w:lang w:eastAsia="ja-JP"/>
        </w:rPr>
        <w:t>v</w:t>
      </w:r>
      <w:r w:rsidR="008A4CA9" w:rsidRPr="00CA39FF">
        <w:rPr>
          <w:rFonts w:ascii="Times New Roman" w:eastAsia="Cambria" w:hAnsi="Times New Roman"/>
          <w:szCs w:val="24"/>
          <w:lang w:eastAsia="ja-JP"/>
        </w:rPr>
        <w:t>a</w:t>
      </w:r>
      <w:r w:rsidRPr="00CA39FF">
        <w:rPr>
          <w:rFonts w:ascii="Times New Roman" w:eastAsia="Cambria" w:hAnsi="Times New Roman"/>
          <w:szCs w:val="24"/>
          <w:lang w:eastAsia="ja-JP"/>
        </w:rPr>
        <w:t>tions of the  Prosecution.</w:t>
      </w:r>
      <w:r w:rsidR="008A4CA9"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He submitted that he was not in opposition to the anonymity request made by Victim a/0333/07.</w:t>
      </w:r>
      <w:r w:rsidRPr="00CA39FF">
        <w:rPr>
          <w:rFonts w:ascii="Times New Roman" w:eastAsia="Cambria" w:hAnsi="Times New Roman"/>
          <w:szCs w:val="24"/>
          <w:vertAlign w:val="superscript"/>
          <w:lang w:eastAsia="ja-JP"/>
        </w:rPr>
        <w:footnoteReference w:id="643"/>
      </w:r>
    </w:p>
    <w:p w14:paraId="1ECDFAF7" w14:textId="77777777" w:rsidR="006E622A" w:rsidRPr="00CA39FF" w:rsidRDefault="006E622A" w:rsidP="00CA39FF">
      <w:pPr>
        <w:spacing w:after="0" w:line="480" w:lineRule="auto"/>
        <w:jc w:val="both"/>
        <w:rPr>
          <w:rFonts w:ascii="Times New Roman" w:hAnsi="Times New Roman"/>
          <w:szCs w:val="24"/>
        </w:rPr>
      </w:pPr>
    </w:p>
    <w:p w14:paraId="5F218622" w14:textId="77777777" w:rsidR="006E622A" w:rsidRPr="00CA39FF" w:rsidRDefault="006E622A" w:rsidP="00CA39FF">
      <w:pPr>
        <w:spacing w:after="0" w:line="480" w:lineRule="auto"/>
        <w:jc w:val="both"/>
        <w:rPr>
          <w:rFonts w:ascii="Times New Roman" w:eastAsia="Cambria" w:hAnsi="Times New Roman"/>
          <w:szCs w:val="24"/>
          <w:lang w:eastAsia="ja-JP"/>
        </w:rPr>
      </w:pPr>
      <w:r w:rsidRPr="00CA39FF">
        <w:rPr>
          <w:rFonts w:ascii="Times New Roman" w:eastAsia="Cambria" w:hAnsi="Times New Roman"/>
          <w:szCs w:val="24"/>
          <w:lang w:eastAsia="ja-JP"/>
        </w:rPr>
        <w:t>The Chamber granted the anonymity request of victim a/0333/079 (non-disclosure to Defence,</w:t>
      </w:r>
      <w:r w:rsidR="008A4CA9"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any other participant, the public and media).</w:t>
      </w:r>
      <w:r w:rsidRPr="00CA39FF">
        <w:rPr>
          <w:rFonts w:ascii="Times New Roman" w:eastAsia="Cambria" w:hAnsi="Times New Roman"/>
          <w:szCs w:val="24"/>
          <w:vertAlign w:val="superscript"/>
          <w:lang w:eastAsia="ja-JP"/>
        </w:rPr>
        <w:footnoteReference w:id="644"/>
      </w:r>
      <w:r w:rsidRPr="00CA39FF">
        <w:rPr>
          <w:rFonts w:ascii="Times New Roman" w:eastAsia="Cambria" w:hAnsi="Times New Roman"/>
          <w:szCs w:val="24"/>
          <w:lang w:eastAsia="ja-JP"/>
        </w:rPr>
        <w:t xml:space="preserve">In addition, the Chamber held that Victim a/0333/07 </w:t>
      </w:r>
      <w:r w:rsidR="0061782C" w:rsidRPr="00CA39FF">
        <w:rPr>
          <w:rFonts w:ascii="Times New Roman" w:eastAsia="Cambria" w:hAnsi="Times New Roman"/>
          <w:szCs w:val="24"/>
          <w:lang w:eastAsia="ja-JP"/>
        </w:rPr>
        <w:t>should</w:t>
      </w:r>
      <w:r w:rsidRPr="00CA39FF">
        <w:rPr>
          <w:rFonts w:ascii="Times New Roman" w:eastAsia="Cambria" w:hAnsi="Times New Roman"/>
          <w:szCs w:val="24"/>
          <w:lang w:eastAsia="ja-JP"/>
        </w:rPr>
        <w:t xml:space="preserve"> have the set of procedural rights granted to victims in VII(They are </w:t>
      </w:r>
      <w:r w:rsidR="0061782C" w:rsidRPr="00CA39FF">
        <w:rPr>
          <w:rFonts w:ascii="Times New Roman" w:eastAsia="Cambria" w:hAnsi="Times New Roman"/>
          <w:szCs w:val="24"/>
          <w:lang w:eastAsia="ja-JP"/>
        </w:rPr>
        <w:t xml:space="preserve">the </w:t>
      </w:r>
      <w:r w:rsidRPr="00CA39FF">
        <w:rPr>
          <w:rFonts w:ascii="Times New Roman" w:eastAsia="Cambria" w:hAnsi="Times New Roman"/>
          <w:szCs w:val="24"/>
          <w:lang w:eastAsia="ja-JP"/>
        </w:rPr>
        <w:t>sa</w:t>
      </w:r>
      <w:r w:rsidR="008A4CA9" w:rsidRPr="00CA39FF">
        <w:rPr>
          <w:rFonts w:ascii="Times New Roman" w:eastAsia="Cambria" w:hAnsi="Times New Roman"/>
          <w:szCs w:val="24"/>
          <w:lang w:eastAsia="ja-JP"/>
        </w:rPr>
        <w:t>me rights granted in the Lubanga</w:t>
      </w:r>
      <w:r w:rsidRPr="00CA39FF">
        <w:rPr>
          <w:rFonts w:ascii="Times New Roman" w:eastAsia="Cambria" w:hAnsi="Times New Roman"/>
          <w:szCs w:val="24"/>
          <w:lang w:eastAsia="ja-JP"/>
        </w:rPr>
        <w:t xml:space="preserve"> case, as shown above).</w:t>
      </w:r>
      <w:r w:rsidRPr="00CA39FF">
        <w:rPr>
          <w:rFonts w:ascii="Times New Roman" w:eastAsia="Cambria" w:hAnsi="Times New Roman"/>
          <w:szCs w:val="24"/>
          <w:vertAlign w:val="superscript"/>
          <w:lang w:eastAsia="ja-JP"/>
        </w:rPr>
        <w:footnoteReference w:id="645"/>
      </w:r>
    </w:p>
    <w:p w14:paraId="2423AD3B" w14:textId="77777777" w:rsidR="006E622A" w:rsidRPr="00CA39FF" w:rsidRDefault="006E622A" w:rsidP="00CA39FF">
      <w:pPr>
        <w:spacing w:after="0" w:line="480" w:lineRule="auto"/>
        <w:jc w:val="both"/>
        <w:rPr>
          <w:rFonts w:ascii="Times New Roman" w:eastAsia="Cambria" w:hAnsi="Times New Roman"/>
          <w:szCs w:val="24"/>
          <w:lang w:eastAsia="ja-JP"/>
        </w:rPr>
      </w:pPr>
    </w:p>
    <w:p w14:paraId="07B972F9" w14:textId="77777777" w:rsidR="00EC17B0" w:rsidRPr="00CA39FF" w:rsidRDefault="006E622A" w:rsidP="00CA39FF">
      <w:pPr>
        <w:spacing w:after="0" w:line="480" w:lineRule="auto"/>
        <w:jc w:val="both"/>
        <w:rPr>
          <w:rFonts w:ascii="Times New Roman" w:eastAsia="Cambria" w:hAnsi="Times New Roman"/>
          <w:szCs w:val="24"/>
          <w:lang w:eastAsia="ja-JP"/>
        </w:rPr>
      </w:pPr>
      <w:r w:rsidRPr="00CA39FF">
        <w:rPr>
          <w:rFonts w:ascii="Times New Roman" w:eastAsia="Cambria" w:hAnsi="Times New Roman"/>
          <w:szCs w:val="24"/>
          <w:lang w:eastAsia="ja-JP"/>
        </w:rPr>
        <w:t>Be that as it may, the single Judge observed  that some set of specific procedural rights like</w:t>
      </w:r>
      <w:r w:rsidR="00EC17B0" w:rsidRPr="00CA39FF">
        <w:rPr>
          <w:rFonts w:ascii="Times New Roman" w:eastAsia="Cambria" w:hAnsi="Times New Roman"/>
          <w:szCs w:val="24"/>
          <w:lang w:eastAsia="ja-JP"/>
        </w:rPr>
        <w:t>:</w:t>
      </w:r>
    </w:p>
    <w:p w14:paraId="707C7952" w14:textId="77777777" w:rsidR="00EC17B0" w:rsidRDefault="00EC17B0" w:rsidP="006E622A">
      <w:pPr>
        <w:spacing w:after="0" w:line="240" w:lineRule="auto"/>
        <w:jc w:val="both"/>
        <w:rPr>
          <w:rFonts w:ascii="Times New Roman" w:eastAsia="Cambria" w:hAnsi="Times New Roman"/>
          <w:sz w:val="22"/>
          <w:szCs w:val="24"/>
          <w:lang w:eastAsia="ja-JP"/>
        </w:rPr>
      </w:pPr>
    </w:p>
    <w:p w14:paraId="724727D6" w14:textId="36E97DB6" w:rsidR="006E622A" w:rsidRPr="00084F8B" w:rsidRDefault="006E622A" w:rsidP="00084F8B">
      <w:pPr>
        <w:pStyle w:val="Quote"/>
        <w:rPr>
          <w:rFonts w:eastAsia="Cambria"/>
        </w:rPr>
      </w:pPr>
      <w:r w:rsidRPr="00CA39FF">
        <w:rPr>
          <w:rFonts w:eastAsia="Cambria"/>
          <w:sz w:val="22"/>
          <w:szCs w:val="24"/>
          <w:lang w:eastAsia="ja-JP"/>
        </w:rPr>
        <w:t>“</w:t>
      </w:r>
      <w:r w:rsidRPr="000572E1">
        <w:rPr>
          <w:rFonts w:ascii="Times New Roman" w:eastAsia="Cambria" w:hAnsi="Times New Roman"/>
          <w:i w:val="0"/>
          <w:iCs w:val="0"/>
        </w:rPr>
        <w:t>right to access confidential filing, decisions and transcripts contained in the</w:t>
      </w:r>
      <w:r w:rsidR="00084F8B" w:rsidRPr="000572E1">
        <w:rPr>
          <w:rFonts w:ascii="Times New Roman" w:eastAsia="Cambria" w:hAnsi="Times New Roman"/>
          <w:i w:val="0"/>
          <w:iCs w:val="0"/>
        </w:rPr>
        <w:t xml:space="preserve"> R</w:t>
      </w:r>
      <w:r w:rsidRPr="000572E1">
        <w:rPr>
          <w:rFonts w:ascii="Times New Roman" w:eastAsia="Cambria" w:hAnsi="Times New Roman"/>
          <w:i w:val="0"/>
          <w:iCs w:val="0"/>
        </w:rPr>
        <w:t>ecord</w:t>
      </w:r>
      <w:r w:rsidR="00084F8B" w:rsidRPr="000572E1">
        <w:rPr>
          <w:rFonts w:ascii="Times New Roman" w:eastAsia="Cambria" w:hAnsi="Times New Roman"/>
          <w:i w:val="0"/>
          <w:iCs w:val="0"/>
        </w:rPr>
        <w:t xml:space="preserve"> </w:t>
      </w:r>
      <w:r w:rsidRPr="000572E1">
        <w:rPr>
          <w:rFonts w:ascii="Times New Roman" w:eastAsia="Cambria" w:hAnsi="Times New Roman"/>
          <w:i w:val="0"/>
          <w:iCs w:val="0"/>
        </w:rPr>
        <w:t>of the case</w:t>
      </w:r>
      <w:r w:rsidR="0061782C" w:rsidRPr="000572E1">
        <w:rPr>
          <w:rFonts w:ascii="Times New Roman" w:eastAsia="Cambria" w:hAnsi="Times New Roman"/>
          <w:i w:val="0"/>
          <w:iCs w:val="0"/>
        </w:rPr>
        <w:t>, as well as the right to attend and participate in closed</w:t>
      </w:r>
      <w:r w:rsidR="00084F8B" w:rsidRPr="000572E1">
        <w:rPr>
          <w:rFonts w:ascii="Times New Roman" w:eastAsia="Cambria" w:hAnsi="Times New Roman"/>
          <w:i w:val="0"/>
          <w:iCs w:val="0"/>
        </w:rPr>
        <w:t xml:space="preserve"> </w:t>
      </w:r>
      <w:r w:rsidR="0061782C" w:rsidRPr="000572E1">
        <w:rPr>
          <w:rFonts w:ascii="Times New Roman" w:eastAsia="Cambria" w:hAnsi="Times New Roman"/>
          <w:i w:val="0"/>
          <w:iCs w:val="0"/>
        </w:rPr>
        <w:t>hearings,</w:t>
      </w:r>
      <w:r w:rsidRPr="000572E1">
        <w:rPr>
          <w:rFonts w:ascii="Times New Roman" w:eastAsia="Cambria" w:hAnsi="Times New Roman"/>
          <w:i w:val="0"/>
          <w:iCs w:val="0"/>
        </w:rPr>
        <w:t xml:space="preserve"> can be limited……. if it is shown that the relevant limitation</w:t>
      </w:r>
      <w:r w:rsidR="00084F8B" w:rsidRPr="000572E1">
        <w:rPr>
          <w:rFonts w:ascii="Times New Roman" w:eastAsia="Cambria" w:hAnsi="Times New Roman"/>
          <w:i w:val="0"/>
          <w:iCs w:val="0"/>
        </w:rPr>
        <w:t xml:space="preserve"> </w:t>
      </w:r>
      <w:r w:rsidRPr="000572E1">
        <w:rPr>
          <w:rFonts w:ascii="Times New Roman" w:eastAsia="Cambria" w:hAnsi="Times New Roman"/>
          <w:i w:val="0"/>
          <w:iCs w:val="0"/>
        </w:rPr>
        <w:t>is necessary to safeguard</w:t>
      </w:r>
      <w:r w:rsidR="0061782C" w:rsidRPr="000572E1">
        <w:rPr>
          <w:rFonts w:ascii="Times New Roman" w:eastAsia="Cambria" w:hAnsi="Times New Roman"/>
          <w:i w:val="0"/>
          <w:iCs w:val="0"/>
        </w:rPr>
        <w:t xml:space="preserve"> </w:t>
      </w:r>
      <w:r w:rsidRPr="000572E1">
        <w:rPr>
          <w:rFonts w:ascii="Times New Roman" w:eastAsia="Cambria" w:hAnsi="Times New Roman"/>
          <w:i w:val="0"/>
          <w:iCs w:val="0"/>
        </w:rPr>
        <w:t>another competing interest protected by the Statute</w:t>
      </w:r>
      <w:r w:rsidR="00084F8B" w:rsidRPr="000572E1">
        <w:rPr>
          <w:rFonts w:ascii="Times New Roman" w:eastAsia="Cambria" w:hAnsi="Times New Roman"/>
          <w:i w:val="0"/>
          <w:iCs w:val="0"/>
        </w:rPr>
        <w:t xml:space="preserve"> </w:t>
      </w:r>
      <w:r w:rsidRPr="000572E1">
        <w:rPr>
          <w:rFonts w:ascii="Times New Roman" w:eastAsia="Cambria" w:hAnsi="Times New Roman"/>
          <w:i w:val="0"/>
          <w:iCs w:val="0"/>
        </w:rPr>
        <w:t>and the Rules - such as national security, the physical or psychological</w:t>
      </w:r>
      <w:r w:rsidR="00084F8B" w:rsidRPr="000572E1">
        <w:rPr>
          <w:rFonts w:ascii="Times New Roman" w:eastAsia="Cambria" w:hAnsi="Times New Roman"/>
          <w:i w:val="0"/>
          <w:iCs w:val="0"/>
        </w:rPr>
        <w:t xml:space="preserve"> </w:t>
      </w:r>
      <w:r w:rsidRPr="000572E1">
        <w:rPr>
          <w:rFonts w:ascii="Times New Roman" w:eastAsia="Cambria" w:hAnsi="Times New Roman"/>
          <w:i w:val="0"/>
          <w:iCs w:val="0"/>
        </w:rPr>
        <w:t>well-being of victims and witnesses, or the Prosecution's investigations</w:t>
      </w:r>
      <w:r w:rsidRPr="006E622A">
        <w:rPr>
          <w:rFonts w:eastAsia="Cambria"/>
          <w:sz w:val="22"/>
          <w:szCs w:val="24"/>
          <w:lang w:eastAsia="ja-JP"/>
        </w:rPr>
        <w:t>”</w:t>
      </w:r>
      <w:r w:rsidRPr="006E622A">
        <w:rPr>
          <w:rFonts w:eastAsia="Cambria"/>
          <w:sz w:val="22"/>
          <w:szCs w:val="24"/>
          <w:vertAlign w:val="superscript"/>
          <w:lang w:eastAsia="ja-JP"/>
        </w:rPr>
        <w:footnoteReference w:id="646"/>
      </w:r>
      <w:r w:rsidRPr="006E622A">
        <w:rPr>
          <w:rFonts w:eastAsia="Cambria"/>
          <w:sz w:val="22"/>
          <w:szCs w:val="24"/>
          <w:lang w:eastAsia="ja-JP"/>
        </w:rPr>
        <w:t>.</w:t>
      </w:r>
    </w:p>
    <w:p w14:paraId="2ED0300F" w14:textId="77777777" w:rsidR="006E622A" w:rsidRPr="006E622A" w:rsidRDefault="006E622A" w:rsidP="006E622A">
      <w:pPr>
        <w:spacing w:after="0"/>
        <w:jc w:val="both"/>
        <w:rPr>
          <w:rFonts w:ascii="Times New Roman" w:eastAsia="Cambria" w:hAnsi="Times New Roman"/>
          <w:szCs w:val="24"/>
          <w:lang w:eastAsia="ja-JP"/>
        </w:rPr>
      </w:pPr>
    </w:p>
    <w:p w14:paraId="03D077E9" w14:textId="77777777" w:rsidR="006E622A" w:rsidRPr="00CA39FF" w:rsidRDefault="006E622A" w:rsidP="00EC17B0">
      <w:pPr>
        <w:spacing w:after="0" w:line="480" w:lineRule="auto"/>
        <w:jc w:val="both"/>
        <w:rPr>
          <w:rFonts w:ascii="Times New Roman" w:eastAsia="Cambria" w:hAnsi="Times New Roman"/>
          <w:szCs w:val="24"/>
          <w:lang w:eastAsia="ja-JP"/>
        </w:rPr>
      </w:pPr>
      <w:r w:rsidRPr="00CA39FF">
        <w:rPr>
          <w:rFonts w:ascii="Times New Roman" w:eastAsia="Cambria" w:hAnsi="Times New Roman"/>
          <w:szCs w:val="24"/>
          <w:lang w:eastAsia="ja-JP"/>
        </w:rPr>
        <w:t xml:space="preserve">With </w:t>
      </w:r>
      <w:r w:rsidR="0061782C" w:rsidRPr="00CA39FF">
        <w:rPr>
          <w:rFonts w:ascii="Times New Roman" w:eastAsia="Cambria" w:hAnsi="Times New Roman"/>
          <w:szCs w:val="24"/>
          <w:lang w:eastAsia="ja-JP"/>
        </w:rPr>
        <w:t>participatory victim</w:t>
      </w:r>
      <w:r w:rsidRPr="00CA39FF">
        <w:rPr>
          <w:rFonts w:ascii="Times New Roman" w:eastAsia="Cambria" w:hAnsi="Times New Roman"/>
          <w:szCs w:val="24"/>
          <w:lang w:eastAsia="ja-JP"/>
        </w:rPr>
        <w:t xml:space="preserve"> rights, victims can present their views and concerns on issues related to disclosure, questioning of witnesses interim release,</w:t>
      </w:r>
      <w:r w:rsidR="008A4CA9"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jurisdiction, investigations, amendments, admissibility</w:t>
      </w:r>
      <w:r w:rsidR="008A4CA9" w:rsidRPr="00CA39FF">
        <w:rPr>
          <w:rFonts w:ascii="Times New Roman" w:eastAsia="Cambria" w:hAnsi="Times New Roman"/>
          <w:szCs w:val="24"/>
          <w:lang w:eastAsia="ja-JP"/>
        </w:rPr>
        <w:t xml:space="preserve"> of ev</w:t>
      </w:r>
      <w:r w:rsidRPr="00CA39FF">
        <w:rPr>
          <w:rFonts w:ascii="Times New Roman" w:eastAsia="Cambria" w:hAnsi="Times New Roman"/>
          <w:szCs w:val="24"/>
          <w:lang w:eastAsia="ja-JP"/>
        </w:rPr>
        <w:t>idence, sentencing and questioning of witnesses.</w:t>
      </w:r>
      <w:r w:rsidR="0061782C"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It should be noted that they </w:t>
      </w:r>
      <w:proofErr w:type="spellStart"/>
      <w:r w:rsidRPr="00CA39FF">
        <w:rPr>
          <w:rFonts w:ascii="Times New Roman" w:eastAsia="Cambria" w:hAnsi="Times New Roman"/>
          <w:szCs w:val="24"/>
          <w:lang w:eastAsia="ja-JP"/>
        </w:rPr>
        <w:t>can not</w:t>
      </w:r>
      <w:proofErr w:type="spellEnd"/>
      <w:r w:rsidRPr="00CA39FF">
        <w:rPr>
          <w:rFonts w:ascii="Times New Roman" w:eastAsia="Cambria" w:hAnsi="Times New Roman"/>
          <w:szCs w:val="24"/>
          <w:lang w:eastAsia="ja-JP"/>
        </w:rPr>
        <w:t xml:space="preserve"> automatically exercise their rights in these aspects.</w:t>
      </w:r>
      <w:r w:rsidR="008A4CA9"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They must be able to prove that their personal interests are affected.</w:t>
      </w:r>
      <w:r w:rsidR="008A4CA9"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Moreover, victims may also be allowed to submit observations, make representations, make submissions, attend,</w:t>
      </w:r>
      <w:r w:rsidR="0061782C"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participate in hearings and consult </w:t>
      </w:r>
      <w:r w:rsidR="0061782C" w:rsidRPr="00CA39FF">
        <w:rPr>
          <w:rFonts w:ascii="Times New Roman" w:eastAsia="Cambria" w:hAnsi="Times New Roman"/>
          <w:szCs w:val="24"/>
          <w:lang w:eastAsia="ja-JP"/>
        </w:rPr>
        <w:t xml:space="preserve">the </w:t>
      </w:r>
      <w:r w:rsidRPr="00CA39FF">
        <w:rPr>
          <w:rFonts w:ascii="Times New Roman" w:eastAsia="Cambria" w:hAnsi="Times New Roman"/>
          <w:szCs w:val="24"/>
          <w:lang w:eastAsia="ja-JP"/>
        </w:rPr>
        <w:t>Court’s record.</w:t>
      </w:r>
    </w:p>
    <w:p w14:paraId="6F94CB8E" w14:textId="77777777" w:rsidR="006E622A" w:rsidRPr="006E622A" w:rsidRDefault="006E622A" w:rsidP="00EC17B0">
      <w:pPr>
        <w:spacing w:after="0" w:line="480" w:lineRule="auto"/>
        <w:jc w:val="both"/>
        <w:rPr>
          <w:rFonts w:ascii="Times New Roman" w:eastAsia="Cambria" w:hAnsi="Times New Roman"/>
          <w:sz w:val="22"/>
          <w:szCs w:val="24"/>
          <w:lang w:eastAsia="ja-JP"/>
        </w:rPr>
      </w:pPr>
    </w:p>
    <w:p w14:paraId="3A520358" w14:textId="77777777" w:rsidR="006E622A" w:rsidRPr="00CA39FF" w:rsidRDefault="006E622A" w:rsidP="00CA39FF">
      <w:pPr>
        <w:spacing w:after="0" w:line="480" w:lineRule="auto"/>
        <w:jc w:val="both"/>
        <w:rPr>
          <w:rFonts w:ascii="Times New Roman" w:eastAsia="Cambria" w:hAnsi="Times New Roman"/>
          <w:szCs w:val="24"/>
        </w:rPr>
      </w:pPr>
      <w:r w:rsidRPr="00CA39FF">
        <w:rPr>
          <w:rFonts w:ascii="Times New Roman" w:eastAsia="Cambria" w:hAnsi="Times New Roman"/>
          <w:szCs w:val="24"/>
        </w:rPr>
        <w:t>The victims</w:t>
      </w:r>
      <w:r w:rsidR="0061782C" w:rsidRPr="00CA39FF">
        <w:rPr>
          <w:rFonts w:ascii="Times New Roman" w:eastAsia="Cambria" w:hAnsi="Times New Roman"/>
          <w:szCs w:val="24"/>
        </w:rPr>
        <w:t>'</w:t>
      </w:r>
      <w:r w:rsidRPr="00CA39FF">
        <w:rPr>
          <w:rFonts w:ascii="Times New Roman" w:eastAsia="Cambria" w:hAnsi="Times New Roman"/>
          <w:szCs w:val="24"/>
        </w:rPr>
        <w:t xml:space="preserve"> participatory rights emerge from the Rome Statute</w:t>
      </w:r>
      <w:r w:rsidR="0061782C" w:rsidRPr="00CA39FF">
        <w:rPr>
          <w:rFonts w:ascii="Times New Roman" w:eastAsia="Cambria" w:hAnsi="Times New Roman"/>
          <w:szCs w:val="24"/>
        </w:rPr>
        <w:t>;</w:t>
      </w:r>
      <w:r w:rsidRPr="00CA39FF">
        <w:rPr>
          <w:rFonts w:ascii="Times New Roman" w:eastAsia="Cambria" w:hAnsi="Times New Roman"/>
          <w:szCs w:val="24"/>
        </w:rPr>
        <w:t xml:space="preserve"> it is being regulated by the Rome Statute and the ICC RPE.</w:t>
      </w:r>
      <w:r w:rsidR="0061782C" w:rsidRPr="00CA39FF">
        <w:rPr>
          <w:rFonts w:ascii="Times New Roman" w:eastAsia="Cambria" w:hAnsi="Times New Roman"/>
          <w:szCs w:val="24"/>
        </w:rPr>
        <w:t xml:space="preserve"> </w:t>
      </w:r>
      <w:r w:rsidRPr="00CA39FF">
        <w:rPr>
          <w:rFonts w:ascii="Times New Roman" w:eastAsia="Cambria" w:hAnsi="Times New Roman"/>
          <w:szCs w:val="24"/>
        </w:rPr>
        <w:t xml:space="preserve">Below is Judge </w:t>
      </w:r>
      <w:proofErr w:type="spellStart"/>
      <w:r w:rsidRPr="00CA39FF">
        <w:rPr>
          <w:rFonts w:ascii="Times New Roman" w:eastAsia="Cambria" w:hAnsi="Times New Roman"/>
          <w:szCs w:val="24"/>
        </w:rPr>
        <w:t>Blattman’s</w:t>
      </w:r>
      <w:proofErr w:type="spellEnd"/>
      <w:r w:rsidRPr="00CA39FF">
        <w:rPr>
          <w:rFonts w:ascii="Times New Roman" w:eastAsia="Cambria" w:hAnsi="Times New Roman"/>
          <w:szCs w:val="24"/>
        </w:rPr>
        <w:t xml:space="preserve"> excepts on the victims’ rights to participate:</w:t>
      </w:r>
    </w:p>
    <w:p w14:paraId="77570B13" w14:textId="77777777" w:rsidR="006E622A" w:rsidRPr="006E622A" w:rsidRDefault="006E622A" w:rsidP="00CA39FF">
      <w:pPr>
        <w:spacing w:after="0" w:line="480" w:lineRule="auto"/>
        <w:jc w:val="center"/>
        <w:rPr>
          <w:rFonts w:ascii="Times New Roman" w:eastAsia="Cambria" w:hAnsi="Times New Roman"/>
          <w:i/>
          <w:sz w:val="22"/>
        </w:rPr>
      </w:pPr>
      <w:r w:rsidRPr="00B20EAE">
        <w:rPr>
          <w:rStyle w:val="QuoteChar"/>
          <w:rFonts w:ascii="Times New Roman" w:eastAsia="Cambria" w:hAnsi="Times New Roman"/>
        </w:rPr>
        <w:t>“[</w:t>
      </w:r>
      <w:r w:rsidRPr="00B20EAE">
        <w:rPr>
          <w:rStyle w:val="QuoteChar"/>
          <w:rFonts w:ascii="Times New Roman" w:eastAsia="Cambria" w:hAnsi="Times New Roman"/>
          <w:i w:val="0"/>
          <w:iCs w:val="0"/>
        </w:rPr>
        <w:t>t]he important notion that victims’ participation is not a concession of the Bench, but rather a right accorded to victims by the Statute</w:t>
      </w:r>
      <w:r w:rsidR="0061782C">
        <w:rPr>
          <w:rFonts w:ascii="Times New Roman" w:eastAsia="Cambria" w:hAnsi="Times New Roman"/>
          <w:i/>
          <w:sz w:val="22"/>
        </w:rPr>
        <w:t>.</w:t>
      </w:r>
      <w:r w:rsidRPr="006E622A">
        <w:rPr>
          <w:rFonts w:ascii="Times New Roman" w:eastAsia="Cambria" w:hAnsi="Times New Roman"/>
          <w:i/>
          <w:sz w:val="22"/>
        </w:rPr>
        <w:t>”</w:t>
      </w:r>
      <w:r w:rsidRPr="006E622A">
        <w:rPr>
          <w:rFonts w:ascii="Times New Roman" w:eastAsia="Cambria" w:hAnsi="Times New Roman"/>
          <w:i/>
          <w:sz w:val="22"/>
          <w:vertAlign w:val="superscript"/>
        </w:rPr>
        <w:footnoteReference w:id="647"/>
      </w:r>
    </w:p>
    <w:p w14:paraId="6150DC60" w14:textId="77777777" w:rsidR="006E622A" w:rsidRPr="006E622A" w:rsidRDefault="006E622A" w:rsidP="006E622A">
      <w:pPr>
        <w:spacing w:after="0" w:line="240" w:lineRule="auto"/>
        <w:jc w:val="both"/>
        <w:rPr>
          <w:rFonts w:ascii="Times New Roman" w:eastAsia="Cambria" w:hAnsi="Times New Roman"/>
          <w:sz w:val="22"/>
        </w:rPr>
      </w:pPr>
      <w:r w:rsidRPr="006E622A">
        <w:rPr>
          <w:rFonts w:ascii="Times New Roman" w:eastAsia="Cambria" w:hAnsi="Times New Roman"/>
          <w:i/>
          <w:sz w:val="22"/>
        </w:rPr>
        <w:t xml:space="preserve"> </w:t>
      </w:r>
      <w:r w:rsidRPr="006E622A">
        <w:rPr>
          <w:rFonts w:ascii="Times New Roman" w:eastAsia="Cambria" w:hAnsi="Times New Roman"/>
          <w:sz w:val="22"/>
        </w:rPr>
        <w:t xml:space="preserve"> </w:t>
      </w:r>
    </w:p>
    <w:p w14:paraId="76232E1B" w14:textId="77777777" w:rsidR="006E622A" w:rsidRPr="006E622A" w:rsidRDefault="006E622A" w:rsidP="006E622A">
      <w:pPr>
        <w:spacing w:after="0" w:line="240" w:lineRule="auto"/>
        <w:jc w:val="both"/>
        <w:rPr>
          <w:rFonts w:ascii="Times New Roman" w:eastAsia="Cambria" w:hAnsi="Times New Roman"/>
          <w:i/>
          <w:sz w:val="22"/>
        </w:rPr>
      </w:pPr>
    </w:p>
    <w:p w14:paraId="3EACBCD7" w14:textId="261187D0" w:rsidR="006E622A" w:rsidRPr="006E622A" w:rsidRDefault="006E622A" w:rsidP="00CA39FF">
      <w:pPr>
        <w:spacing w:after="0" w:line="480" w:lineRule="auto"/>
        <w:jc w:val="center"/>
        <w:rPr>
          <w:rFonts w:ascii="Times New Roman" w:eastAsia="Cambria" w:hAnsi="Times New Roman"/>
          <w:i/>
          <w:sz w:val="22"/>
        </w:rPr>
      </w:pPr>
      <w:r w:rsidRPr="006E622A">
        <w:rPr>
          <w:rFonts w:ascii="Times New Roman" w:eastAsia="Cambria" w:hAnsi="Times New Roman"/>
          <w:i/>
          <w:sz w:val="22"/>
        </w:rPr>
        <w:t>“</w:t>
      </w:r>
      <w:r w:rsidRPr="00CA39FF">
        <w:rPr>
          <w:rFonts w:ascii="Times New Roman" w:eastAsia="Cambria" w:hAnsi="Times New Roman"/>
          <w:szCs w:val="24"/>
        </w:rPr>
        <w:t>The Chamber should remain mindful that the right to participate when victims’ interests are affected is the consequence of a legal</w:t>
      </w:r>
      <w:r w:rsidR="000572E1">
        <w:rPr>
          <w:rFonts w:ascii="Times New Roman" w:eastAsia="Cambria" w:hAnsi="Times New Roman"/>
          <w:szCs w:val="24"/>
        </w:rPr>
        <w:t>ly</w:t>
      </w:r>
      <w:r w:rsidRPr="00CA39FF">
        <w:rPr>
          <w:rFonts w:ascii="Times New Roman" w:eastAsia="Cambria" w:hAnsi="Times New Roman"/>
          <w:szCs w:val="24"/>
        </w:rPr>
        <w:t xml:space="preserve"> protected interest of the victim</w:t>
      </w:r>
      <w:r w:rsidRPr="0061782C">
        <w:rPr>
          <w:rFonts w:ascii="Times New Roman" w:eastAsia="Cambria" w:hAnsi="Times New Roman"/>
          <w:sz w:val="22"/>
        </w:rPr>
        <w:t>.”</w:t>
      </w:r>
      <w:r w:rsidRPr="006E622A">
        <w:rPr>
          <w:rFonts w:ascii="Times New Roman" w:eastAsia="Cambria" w:hAnsi="Times New Roman"/>
          <w:i/>
          <w:sz w:val="22"/>
        </w:rPr>
        <w:t>.</w:t>
      </w:r>
      <w:r w:rsidRPr="006E622A">
        <w:rPr>
          <w:rFonts w:ascii="Times New Roman" w:eastAsia="Cambria" w:hAnsi="Times New Roman"/>
          <w:i/>
          <w:sz w:val="22"/>
          <w:vertAlign w:val="superscript"/>
        </w:rPr>
        <w:footnoteReference w:id="648"/>
      </w:r>
    </w:p>
    <w:p w14:paraId="03D567D7" w14:textId="77777777" w:rsidR="006E622A" w:rsidRPr="006E622A" w:rsidRDefault="006E622A" w:rsidP="006E622A">
      <w:pPr>
        <w:spacing w:after="0"/>
        <w:jc w:val="both"/>
        <w:rPr>
          <w:rFonts w:ascii="Times New Roman" w:eastAsia="Cambria" w:hAnsi="Times New Roman"/>
          <w:i/>
          <w:sz w:val="22"/>
        </w:rPr>
      </w:pPr>
    </w:p>
    <w:p w14:paraId="2CFD4D84" w14:textId="7CFAF133" w:rsidR="006E622A" w:rsidRPr="00B93509" w:rsidRDefault="006E622A" w:rsidP="00CA39FF">
      <w:pPr>
        <w:spacing w:after="0" w:line="480" w:lineRule="auto"/>
        <w:jc w:val="both"/>
        <w:rPr>
          <w:rFonts w:ascii="Times New Roman" w:eastAsia="Cambria" w:hAnsi="Times New Roman"/>
          <w:szCs w:val="24"/>
        </w:rPr>
      </w:pPr>
      <w:r w:rsidRPr="00CA39FF">
        <w:rPr>
          <w:rFonts w:ascii="Times New Roman" w:eastAsia="Cambria" w:hAnsi="Times New Roman"/>
          <w:szCs w:val="24"/>
        </w:rPr>
        <w:t>The Judge’s statements reinforce the origin/rationale of participation at the ICC.</w:t>
      </w:r>
      <w:r w:rsidR="0061782C" w:rsidRPr="00CA39FF">
        <w:rPr>
          <w:rFonts w:ascii="Times New Roman" w:eastAsia="Cambria" w:hAnsi="Times New Roman"/>
          <w:szCs w:val="24"/>
        </w:rPr>
        <w:t xml:space="preserve"> </w:t>
      </w:r>
      <w:r w:rsidRPr="00CA39FF">
        <w:rPr>
          <w:rFonts w:ascii="Times New Roman" w:eastAsia="Cambria" w:hAnsi="Times New Roman"/>
          <w:szCs w:val="24"/>
        </w:rPr>
        <w:t xml:space="preserve">These rights are provided to protect the interests of the victims. It is noteworthy that while </w:t>
      </w:r>
      <w:r w:rsidRPr="00CA39FF">
        <w:rPr>
          <w:rFonts w:ascii="Times New Roman" w:eastAsia="Cambria" w:hAnsi="Times New Roman"/>
          <w:szCs w:val="24"/>
        </w:rPr>
        <w:lastRenderedPageBreak/>
        <w:t>these rights are</w:t>
      </w:r>
      <w:r w:rsidR="00340D66">
        <w:rPr>
          <w:rFonts w:ascii="Times New Roman" w:eastAsia="Cambria" w:hAnsi="Times New Roman"/>
          <w:szCs w:val="24"/>
        </w:rPr>
        <w:t xml:space="preserve"> stipulated</w:t>
      </w:r>
      <w:r w:rsidRPr="00CA39FF">
        <w:rPr>
          <w:rFonts w:ascii="Times New Roman" w:eastAsia="Cambria" w:hAnsi="Times New Roman"/>
          <w:szCs w:val="24"/>
        </w:rPr>
        <w:t xml:space="preserve"> in the Statutes and Rules of the ICC,  their application is not automatic.</w:t>
      </w:r>
      <w:r w:rsidR="0061782C" w:rsidRPr="00CA39FF">
        <w:rPr>
          <w:rFonts w:ascii="Times New Roman" w:eastAsia="Cambria" w:hAnsi="Times New Roman"/>
          <w:szCs w:val="24"/>
        </w:rPr>
        <w:t xml:space="preserve"> </w:t>
      </w:r>
      <w:r w:rsidRPr="00CA39FF">
        <w:rPr>
          <w:rFonts w:ascii="Times New Roman" w:eastAsia="Cambria" w:hAnsi="Times New Roman"/>
          <w:szCs w:val="24"/>
        </w:rPr>
        <w:t xml:space="preserve">The extent of </w:t>
      </w:r>
      <w:r w:rsidR="00340D66">
        <w:rPr>
          <w:rFonts w:ascii="Times New Roman" w:eastAsia="Cambria" w:hAnsi="Times New Roman"/>
          <w:szCs w:val="24"/>
        </w:rPr>
        <w:t xml:space="preserve">the </w:t>
      </w:r>
      <w:r w:rsidRPr="00CA39FF">
        <w:rPr>
          <w:rFonts w:ascii="Times New Roman" w:eastAsia="Cambria" w:hAnsi="Times New Roman"/>
          <w:szCs w:val="24"/>
        </w:rPr>
        <w:t xml:space="preserve">application of these rights </w:t>
      </w:r>
      <w:r w:rsidR="0061782C" w:rsidRPr="00CA39FF">
        <w:rPr>
          <w:rFonts w:ascii="Times New Roman" w:eastAsia="Cambria" w:hAnsi="Times New Roman"/>
          <w:szCs w:val="24"/>
        </w:rPr>
        <w:t>is</w:t>
      </w:r>
      <w:r w:rsidRPr="00CA39FF">
        <w:rPr>
          <w:rFonts w:ascii="Times New Roman" w:eastAsia="Cambria" w:hAnsi="Times New Roman"/>
          <w:szCs w:val="24"/>
        </w:rPr>
        <w:t xml:space="preserve"> subject to judicial discretio</w:t>
      </w:r>
      <w:r w:rsidR="00B93509" w:rsidRPr="00CA39FF">
        <w:rPr>
          <w:rFonts w:ascii="Times New Roman" w:eastAsia="Cambria" w:hAnsi="Times New Roman"/>
          <w:szCs w:val="24"/>
        </w:rPr>
        <w:t>n</w:t>
      </w:r>
      <w:r w:rsidR="002542C6" w:rsidRPr="00CA39FF">
        <w:rPr>
          <w:rFonts w:ascii="Times New Roman" w:eastAsia="Cambria" w:hAnsi="Times New Roman"/>
          <w:szCs w:val="24"/>
        </w:rPr>
        <w:t>,</w:t>
      </w:r>
      <w:r w:rsidR="00B93509" w:rsidRPr="00CA39FF">
        <w:rPr>
          <w:rFonts w:ascii="Times New Roman" w:eastAsia="Cambria" w:hAnsi="Times New Roman"/>
          <w:szCs w:val="24"/>
        </w:rPr>
        <w:t xml:space="preserve"> bearing in mind the </w:t>
      </w:r>
      <w:r w:rsidR="00340D66">
        <w:rPr>
          <w:rFonts w:ascii="Times New Roman" w:eastAsia="Cambria" w:hAnsi="Times New Roman"/>
          <w:szCs w:val="24"/>
        </w:rPr>
        <w:t>accused's fair trial rights</w:t>
      </w:r>
      <w:r w:rsidRPr="00CA39FF">
        <w:rPr>
          <w:rFonts w:ascii="Times New Roman" w:eastAsia="Cambria" w:hAnsi="Times New Roman"/>
          <w:szCs w:val="24"/>
        </w:rPr>
        <w:t>.</w:t>
      </w:r>
      <w:r w:rsidR="008A4CA9" w:rsidRPr="00CA39FF">
        <w:rPr>
          <w:rFonts w:ascii="Times New Roman" w:eastAsia="Cambria" w:hAnsi="Times New Roman"/>
          <w:szCs w:val="24"/>
        </w:rPr>
        <w:t xml:space="preserve"> </w:t>
      </w:r>
      <w:r w:rsidRPr="00CA39FF">
        <w:rPr>
          <w:rFonts w:ascii="Times New Roman" w:eastAsia="Cambria" w:hAnsi="Times New Roman"/>
          <w:szCs w:val="24"/>
        </w:rPr>
        <w:t xml:space="preserve">As suggested by </w:t>
      </w:r>
      <w:proofErr w:type="spellStart"/>
      <w:r w:rsidRPr="00CA39FF">
        <w:rPr>
          <w:rFonts w:ascii="Times New Roman" w:eastAsia="Cambria" w:hAnsi="Times New Roman"/>
          <w:szCs w:val="24"/>
        </w:rPr>
        <w:t>Doak</w:t>
      </w:r>
      <w:proofErr w:type="spellEnd"/>
      <w:r w:rsidRPr="00CA39FF">
        <w:rPr>
          <w:rFonts w:ascii="Times New Roman" w:eastAsia="Cambria" w:hAnsi="Times New Roman"/>
          <w:szCs w:val="24"/>
        </w:rPr>
        <w:t>, these rights should be seen as entitlements rather than instruments to compete against the offenders,</w:t>
      </w:r>
      <w:r w:rsidRPr="00CA39FF">
        <w:rPr>
          <w:rFonts w:ascii="Times New Roman" w:eastAsia="Cambria" w:hAnsi="Times New Roman"/>
          <w:szCs w:val="24"/>
          <w:vertAlign w:val="superscript"/>
        </w:rPr>
        <w:footnoteReference w:id="649"/>
      </w:r>
      <w:r w:rsidRPr="00CA39FF">
        <w:rPr>
          <w:rFonts w:ascii="Times New Roman" w:eastAsia="Cambria" w:hAnsi="Times New Roman"/>
          <w:szCs w:val="24"/>
        </w:rPr>
        <w:t xml:space="preserve"> then, </w:t>
      </w:r>
      <w:proofErr w:type="spellStart"/>
      <w:r w:rsidRPr="00CA39FF">
        <w:rPr>
          <w:rFonts w:ascii="Times New Roman" w:eastAsia="Cambria" w:hAnsi="Times New Roman"/>
          <w:szCs w:val="24"/>
        </w:rPr>
        <w:t>victims</w:t>
      </w:r>
      <w:proofErr w:type="spellEnd"/>
      <w:r w:rsidRPr="00CA39FF">
        <w:rPr>
          <w:rFonts w:ascii="Times New Roman" w:eastAsia="Cambria" w:hAnsi="Times New Roman"/>
          <w:szCs w:val="24"/>
        </w:rPr>
        <w:t xml:space="preserve"> rights from the concept of human rights framework would preclude the opposing dichotomy between victims’ rights and offender’s rights.</w:t>
      </w:r>
      <w:r w:rsidR="002542C6" w:rsidRPr="00CA39FF">
        <w:rPr>
          <w:rFonts w:ascii="Times New Roman" w:eastAsia="Cambria" w:hAnsi="Times New Roman"/>
          <w:szCs w:val="24"/>
        </w:rPr>
        <w:t xml:space="preserve"> </w:t>
      </w:r>
      <w:r w:rsidR="00340D66">
        <w:rPr>
          <w:rFonts w:ascii="Times New Roman" w:eastAsia="Cambria" w:hAnsi="Times New Roman"/>
          <w:szCs w:val="24"/>
        </w:rPr>
        <w:t>This dichotomy doe</w:t>
      </w:r>
      <w:r w:rsidRPr="00CA39FF">
        <w:rPr>
          <w:rFonts w:ascii="Times New Roman" w:eastAsia="Cambria" w:hAnsi="Times New Roman"/>
          <w:szCs w:val="24"/>
        </w:rPr>
        <w:t>s pitch the victims against the offender with the idea that</w:t>
      </w:r>
      <w:r w:rsidR="00B93509" w:rsidRPr="00CA39FF">
        <w:rPr>
          <w:rFonts w:ascii="Times New Roman" w:eastAsia="Cambria" w:hAnsi="Times New Roman"/>
          <w:szCs w:val="24"/>
        </w:rPr>
        <w:t xml:space="preserve"> their interests and position are</w:t>
      </w:r>
      <w:r w:rsidRPr="00CA39FF">
        <w:rPr>
          <w:rFonts w:ascii="Times New Roman" w:eastAsia="Cambria" w:hAnsi="Times New Roman"/>
          <w:szCs w:val="24"/>
        </w:rPr>
        <w:t xml:space="preserve"> irreconcilable.</w:t>
      </w:r>
      <w:r w:rsidRPr="00CA39FF">
        <w:rPr>
          <w:rFonts w:ascii="Times New Roman" w:eastAsia="Cambria" w:hAnsi="Times New Roman"/>
          <w:szCs w:val="24"/>
          <w:vertAlign w:val="superscript"/>
        </w:rPr>
        <w:footnoteReference w:id="650"/>
      </w:r>
      <w:r w:rsidRPr="00CA39FF">
        <w:rPr>
          <w:rFonts w:ascii="Times New Roman" w:eastAsia="Cambria" w:hAnsi="Times New Roman"/>
          <w:szCs w:val="24"/>
        </w:rPr>
        <w:t xml:space="preserve"> With </w:t>
      </w:r>
      <w:proofErr w:type="spellStart"/>
      <w:r w:rsidRPr="00CA39FF">
        <w:rPr>
          <w:rFonts w:ascii="Times New Roman" w:eastAsia="Cambria" w:hAnsi="Times New Roman"/>
          <w:szCs w:val="24"/>
        </w:rPr>
        <w:t>Edwards’theory</w:t>
      </w:r>
      <w:proofErr w:type="spellEnd"/>
      <w:r w:rsidRPr="00CA39FF">
        <w:rPr>
          <w:rFonts w:ascii="Times New Roman" w:eastAsia="Cambria" w:hAnsi="Times New Roman"/>
          <w:szCs w:val="24"/>
        </w:rPr>
        <w:t xml:space="preserve">, the balance approach is relegated with the view of assessing the relationship between </w:t>
      </w:r>
      <w:r w:rsidR="002542C6" w:rsidRPr="00CA39FF">
        <w:rPr>
          <w:rFonts w:ascii="Times New Roman" w:eastAsia="Cambria" w:hAnsi="Times New Roman"/>
          <w:szCs w:val="24"/>
        </w:rPr>
        <w:t xml:space="preserve">the </w:t>
      </w:r>
      <w:r w:rsidRPr="00CA39FF">
        <w:rPr>
          <w:rFonts w:ascii="Times New Roman" w:eastAsia="Cambria" w:hAnsi="Times New Roman"/>
          <w:szCs w:val="24"/>
        </w:rPr>
        <w:t>victim and the decision-maker</w:t>
      </w:r>
      <w:r w:rsidR="00340D66">
        <w:rPr>
          <w:rFonts w:ascii="Times New Roman" w:eastAsia="Cambria" w:hAnsi="Times New Roman"/>
          <w:szCs w:val="24"/>
        </w:rPr>
        <w:t xml:space="preserve"> and</w:t>
      </w:r>
      <w:r w:rsidRPr="00CA39FF">
        <w:rPr>
          <w:rFonts w:ascii="Times New Roman" w:eastAsia="Cambria" w:hAnsi="Times New Roman"/>
          <w:szCs w:val="24"/>
        </w:rPr>
        <w:t xml:space="preserve"> the cha</w:t>
      </w:r>
      <w:r w:rsidR="002542C6" w:rsidRPr="00CA39FF">
        <w:rPr>
          <w:rFonts w:ascii="Times New Roman" w:eastAsia="Cambria" w:hAnsi="Times New Roman"/>
          <w:szCs w:val="24"/>
        </w:rPr>
        <w:t>n</w:t>
      </w:r>
      <w:r w:rsidRPr="00CA39FF">
        <w:rPr>
          <w:rFonts w:ascii="Times New Roman" w:eastAsia="Cambria" w:hAnsi="Times New Roman"/>
          <w:szCs w:val="24"/>
        </w:rPr>
        <w:t>nel</w:t>
      </w:r>
      <w:r w:rsidRPr="00B93509">
        <w:rPr>
          <w:rFonts w:ascii="Times New Roman" w:eastAsia="Cambria" w:hAnsi="Times New Roman"/>
          <w:szCs w:val="24"/>
        </w:rPr>
        <w:t xml:space="preserve"> through which they influence </w:t>
      </w:r>
      <w:r w:rsidR="002542C6">
        <w:rPr>
          <w:rFonts w:ascii="Times New Roman" w:eastAsia="Cambria" w:hAnsi="Times New Roman"/>
          <w:szCs w:val="24"/>
        </w:rPr>
        <w:t xml:space="preserve">the </w:t>
      </w:r>
      <w:r w:rsidRPr="00B93509">
        <w:rPr>
          <w:rFonts w:ascii="Times New Roman" w:eastAsia="Cambria" w:hAnsi="Times New Roman"/>
          <w:szCs w:val="24"/>
        </w:rPr>
        <w:t>decision.</w:t>
      </w:r>
      <w:r w:rsidR="002542C6">
        <w:rPr>
          <w:rFonts w:ascii="Times New Roman" w:eastAsia="Cambria" w:hAnsi="Times New Roman"/>
          <w:szCs w:val="24"/>
        </w:rPr>
        <w:t xml:space="preserve"> </w:t>
      </w:r>
      <w:r w:rsidRPr="00B93509">
        <w:rPr>
          <w:rFonts w:ascii="Times New Roman" w:eastAsia="Cambria" w:hAnsi="Times New Roman"/>
          <w:szCs w:val="24"/>
        </w:rPr>
        <w:t>It also places more values on victims</w:t>
      </w:r>
      <w:r w:rsidR="00340D66">
        <w:rPr>
          <w:rFonts w:ascii="Times New Roman" w:eastAsia="Cambria" w:hAnsi="Times New Roman"/>
          <w:szCs w:val="24"/>
        </w:rPr>
        <w:t>' contact with the criminal justice system to advance their interests and influence</w:t>
      </w:r>
      <w:r w:rsidR="00B36CE6">
        <w:rPr>
          <w:rFonts w:ascii="Times New Roman" w:eastAsia="Cambria" w:hAnsi="Times New Roman"/>
          <w:szCs w:val="24"/>
        </w:rPr>
        <w:t xml:space="preserve"> the outcome of the proceedings.</w:t>
      </w:r>
    </w:p>
    <w:p w14:paraId="0C939374" w14:textId="77777777" w:rsidR="006E622A" w:rsidRPr="00B93509" w:rsidRDefault="006E622A" w:rsidP="00CA39FF">
      <w:pPr>
        <w:spacing w:after="0" w:line="480" w:lineRule="auto"/>
        <w:jc w:val="both"/>
        <w:rPr>
          <w:rFonts w:ascii="Times New Roman" w:eastAsia="Cambria" w:hAnsi="Times New Roman"/>
          <w:szCs w:val="24"/>
          <w:lang w:eastAsia="ja-JP"/>
        </w:rPr>
      </w:pPr>
    </w:p>
    <w:p w14:paraId="148C7C18" w14:textId="4F17459B" w:rsidR="006E622A" w:rsidRPr="00B93509" w:rsidRDefault="006E622A" w:rsidP="00CA39FF">
      <w:pPr>
        <w:spacing w:after="0" w:line="480" w:lineRule="auto"/>
        <w:jc w:val="both"/>
        <w:rPr>
          <w:rFonts w:ascii="Times New Roman" w:eastAsia="Cambria" w:hAnsi="Times New Roman"/>
          <w:szCs w:val="24"/>
          <w:lang w:eastAsia="ja-JP"/>
        </w:rPr>
      </w:pPr>
      <w:r w:rsidRPr="00B93509">
        <w:rPr>
          <w:rFonts w:ascii="Times New Roman" w:eastAsia="Cambria" w:hAnsi="Times New Roman"/>
          <w:szCs w:val="24"/>
          <w:lang w:eastAsia="ja-JP"/>
        </w:rPr>
        <w:t>The following section shall explore victims’ right to legal representation because victims’ LRVs are considered as the link between victims and the court.</w:t>
      </w:r>
      <w:r w:rsidR="002542C6">
        <w:rPr>
          <w:rFonts w:ascii="Times New Roman" w:eastAsia="Cambria" w:hAnsi="Times New Roman"/>
          <w:szCs w:val="24"/>
          <w:lang w:eastAsia="ja-JP"/>
        </w:rPr>
        <w:t xml:space="preserve"> </w:t>
      </w:r>
      <w:r w:rsidRPr="00B93509">
        <w:rPr>
          <w:rFonts w:ascii="Times New Roman" w:eastAsia="Cambria" w:hAnsi="Times New Roman"/>
          <w:szCs w:val="24"/>
          <w:lang w:eastAsia="ja-JP"/>
        </w:rPr>
        <w:t xml:space="preserve">Victims mainly act through them as they </w:t>
      </w:r>
      <w:r w:rsidR="00A16DA1">
        <w:rPr>
          <w:rFonts w:ascii="Times New Roman" w:eastAsia="Cambria" w:hAnsi="Times New Roman"/>
          <w:szCs w:val="24"/>
          <w:lang w:eastAsia="ja-JP"/>
        </w:rPr>
        <w:t>cannot</w:t>
      </w:r>
      <w:r w:rsidRPr="00B93509">
        <w:rPr>
          <w:rFonts w:ascii="Times New Roman" w:eastAsia="Cambria" w:hAnsi="Times New Roman"/>
          <w:szCs w:val="24"/>
          <w:lang w:eastAsia="ja-JP"/>
        </w:rPr>
        <w:t xml:space="preserve"> participate directly in the court due to </w:t>
      </w:r>
      <w:r w:rsidR="002542C6">
        <w:rPr>
          <w:rFonts w:ascii="Times New Roman" w:eastAsia="Cambria" w:hAnsi="Times New Roman"/>
          <w:szCs w:val="24"/>
          <w:lang w:eastAsia="ja-JP"/>
        </w:rPr>
        <w:t xml:space="preserve">the </w:t>
      </w:r>
      <w:r w:rsidR="00340D66">
        <w:rPr>
          <w:rFonts w:ascii="Times New Roman" w:eastAsia="Cambria" w:hAnsi="Times New Roman"/>
          <w:szCs w:val="24"/>
          <w:lang w:eastAsia="ja-JP"/>
        </w:rPr>
        <w:t>proceedings' efficiency and smooth running</w:t>
      </w:r>
      <w:r w:rsidRPr="00B93509">
        <w:rPr>
          <w:rFonts w:ascii="Times New Roman" w:eastAsia="Cambria" w:hAnsi="Times New Roman"/>
          <w:szCs w:val="24"/>
          <w:lang w:eastAsia="ja-JP"/>
        </w:rPr>
        <w:t xml:space="preserve">. </w:t>
      </w:r>
    </w:p>
    <w:p w14:paraId="25D33207" w14:textId="3232EED1" w:rsidR="00E366AE" w:rsidRPr="00BA1EFB" w:rsidRDefault="005B12CD" w:rsidP="00A44B61">
      <w:pPr>
        <w:pStyle w:val="Heading2"/>
        <w:rPr>
          <w:rFonts w:eastAsia="MS Gothic"/>
          <w:lang w:eastAsia="ja-JP"/>
        </w:rPr>
      </w:pPr>
      <w:bookmarkStart w:id="40" w:name="_Toc60235817"/>
      <w:r>
        <w:rPr>
          <w:rFonts w:eastAsia="MS Gothic"/>
          <w:lang w:eastAsia="ja-JP"/>
        </w:rPr>
        <w:t>3.</w:t>
      </w:r>
      <w:r w:rsidR="00CA05F5">
        <w:rPr>
          <w:rFonts w:eastAsia="MS Gothic"/>
          <w:lang w:eastAsia="ja-JP"/>
        </w:rPr>
        <w:t>5.</w:t>
      </w:r>
      <w:r w:rsidR="008A4CA9" w:rsidRPr="00BA1EFB">
        <w:rPr>
          <w:rFonts w:eastAsia="MS Gothic"/>
          <w:lang w:eastAsia="ja-JP"/>
        </w:rPr>
        <w:t xml:space="preserve"> </w:t>
      </w:r>
      <w:r w:rsidR="006E622A" w:rsidRPr="00BA1EFB">
        <w:rPr>
          <w:rFonts w:eastAsia="MS Gothic"/>
          <w:lang w:eastAsia="ja-JP"/>
        </w:rPr>
        <w:t>Effectiveness of Victims’ right to legal representation</w:t>
      </w:r>
      <w:bookmarkEnd w:id="40"/>
    </w:p>
    <w:p w14:paraId="41DE987B" w14:textId="77777777" w:rsidR="003F70AE" w:rsidRDefault="003F70AE" w:rsidP="00E366AE">
      <w:pPr>
        <w:spacing w:after="0" w:line="480" w:lineRule="auto"/>
        <w:jc w:val="center"/>
        <w:rPr>
          <w:rFonts w:ascii="Times New Roman" w:eastAsia="Cambria" w:hAnsi="Times New Roman"/>
          <w:szCs w:val="24"/>
          <w:lang w:eastAsia="ja-JP"/>
        </w:rPr>
      </w:pPr>
    </w:p>
    <w:p w14:paraId="1AE974CE" w14:textId="079A348C" w:rsidR="00E366AE" w:rsidRDefault="00E366AE" w:rsidP="00E366AE">
      <w:pPr>
        <w:spacing w:after="0" w:line="480" w:lineRule="auto"/>
        <w:jc w:val="center"/>
        <w:rPr>
          <w:rFonts w:ascii="Times New Roman" w:eastAsia="Cambria" w:hAnsi="Times New Roman"/>
          <w:szCs w:val="24"/>
          <w:lang w:eastAsia="ja-JP"/>
        </w:rPr>
      </w:pPr>
      <w:r>
        <w:rPr>
          <w:rFonts w:ascii="Times New Roman" w:eastAsia="Cambria" w:hAnsi="Times New Roman"/>
          <w:szCs w:val="24"/>
          <w:lang w:eastAsia="ja-JP"/>
        </w:rPr>
        <w:lastRenderedPageBreak/>
        <w:t xml:space="preserve">“The on-going insecurity in </w:t>
      </w:r>
      <w:proofErr w:type="spellStart"/>
      <w:r>
        <w:rPr>
          <w:rFonts w:ascii="Times New Roman" w:eastAsia="Cambria" w:hAnsi="Times New Roman"/>
          <w:szCs w:val="24"/>
          <w:lang w:eastAsia="ja-JP"/>
        </w:rPr>
        <w:t>Ituri</w:t>
      </w:r>
      <w:proofErr w:type="spellEnd"/>
      <w:r>
        <w:rPr>
          <w:rFonts w:ascii="Times New Roman" w:eastAsia="Cambria" w:hAnsi="Times New Roman"/>
          <w:szCs w:val="24"/>
          <w:lang w:eastAsia="ja-JP"/>
        </w:rPr>
        <w:t xml:space="preserve"> means that victims cannot always communicate easily with their legal representative or each other. Forcing victims to communicate in order to liaise with other people whom they do not know could pose a security risk.”</w:t>
      </w:r>
      <w:r>
        <w:rPr>
          <w:rStyle w:val="FootnoteReference"/>
          <w:rFonts w:ascii="Times New Roman" w:eastAsia="Cambria" w:hAnsi="Times New Roman"/>
          <w:szCs w:val="24"/>
          <w:lang w:eastAsia="ja-JP"/>
        </w:rPr>
        <w:footnoteReference w:id="651"/>
      </w:r>
    </w:p>
    <w:p w14:paraId="26AAEDF6" w14:textId="77777777" w:rsidR="00E366AE" w:rsidRDefault="00E366AE" w:rsidP="00CA39FF">
      <w:pPr>
        <w:spacing w:after="0" w:line="480" w:lineRule="auto"/>
        <w:jc w:val="both"/>
        <w:rPr>
          <w:rFonts w:ascii="Times New Roman" w:eastAsia="Cambria" w:hAnsi="Times New Roman"/>
          <w:szCs w:val="24"/>
          <w:lang w:eastAsia="ja-JP"/>
        </w:rPr>
      </w:pPr>
    </w:p>
    <w:p w14:paraId="39E37C50" w14:textId="0E56DB6F" w:rsidR="00E366AE" w:rsidRDefault="00E366AE" w:rsidP="00E366AE">
      <w:pPr>
        <w:spacing w:after="0" w:line="480" w:lineRule="auto"/>
        <w:jc w:val="center"/>
        <w:rPr>
          <w:rFonts w:ascii="Times New Roman" w:eastAsia="Cambria" w:hAnsi="Times New Roman"/>
          <w:szCs w:val="24"/>
          <w:lang w:eastAsia="ja-JP"/>
        </w:rPr>
      </w:pPr>
      <w:r>
        <w:rPr>
          <w:rFonts w:ascii="Times New Roman" w:eastAsia="Cambria" w:hAnsi="Times New Roman"/>
          <w:szCs w:val="24"/>
          <w:lang w:eastAsia="ja-JP"/>
        </w:rPr>
        <w:t>“In the view of the Legal Representatives, several groups of victims would not necessarily need to be put together to ensure the efficiency of proceedings, even if the number of groups was much higher than at present.</w:t>
      </w:r>
      <w:r w:rsidR="003F70AE">
        <w:rPr>
          <w:rFonts w:ascii="Times New Roman" w:eastAsia="Cambria" w:hAnsi="Times New Roman"/>
          <w:szCs w:val="24"/>
          <w:lang w:eastAsia="ja-JP"/>
        </w:rPr>
        <w:t xml:space="preserve"> </w:t>
      </w:r>
      <w:r>
        <w:rPr>
          <w:rFonts w:ascii="Times New Roman" w:eastAsia="Cambria" w:hAnsi="Times New Roman"/>
          <w:szCs w:val="24"/>
          <w:lang w:eastAsia="ja-JP"/>
        </w:rPr>
        <w:t>It would depend on the circumstances.”</w:t>
      </w:r>
      <w:r>
        <w:rPr>
          <w:rStyle w:val="FootnoteReference"/>
          <w:rFonts w:ascii="Times New Roman" w:eastAsia="Cambria" w:hAnsi="Times New Roman"/>
          <w:szCs w:val="24"/>
          <w:lang w:eastAsia="ja-JP"/>
        </w:rPr>
        <w:footnoteReference w:id="652"/>
      </w:r>
    </w:p>
    <w:p w14:paraId="3C1825B2" w14:textId="54D7B16B" w:rsidR="006E622A" w:rsidRPr="00CA39FF" w:rsidRDefault="006E622A" w:rsidP="00CA39FF">
      <w:pPr>
        <w:spacing w:after="0" w:line="480" w:lineRule="auto"/>
        <w:jc w:val="both"/>
        <w:rPr>
          <w:rFonts w:ascii="Times New Roman" w:eastAsia="Cambria" w:hAnsi="Times New Roman"/>
          <w:szCs w:val="24"/>
          <w:lang w:eastAsia="ja-JP"/>
        </w:rPr>
      </w:pPr>
      <w:r w:rsidRPr="00B93509">
        <w:rPr>
          <w:rFonts w:ascii="Times New Roman" w:eastAsia="Cambria" w:hAnsi="Times New Roman"/>
          <w:szCs w:val="24"/>
          <w:lang w:eastAsia="ja-JP"/>
        </w:rPr>
        <w:t xml:space="preserve">Legal representation is an important aspect of </w:t>
      </w:r>
      <w:r w:rsidR="00340D66">
        <w:rPr>
          <w:rFonts w:ascii="Times New Roman" w:eastAsia="Cambria" w:hAnsi="Times New Roman"/>
          <w:szCs w:val="24"/>
          <w:lang w:eastAsia="ja-JP"/>
        </w:rPr>
        <w:t>victims' procedural right</w:t>
      </w:r>
      <w:r w:rsidRPr="00B93509">
        <w:rPr>
          <w:rFonts w:ascii="Times New Roman" w:eastAsia="Cambria" w:hAnsi="Times New Roman"/>
          <w:szCs w:val="24"/>
          <w:lang w:eastAsia="ja-JP"/>
        </w:rPr>
        <w:t>s, although victims are permitted to participate directly in their own rig</w:t>
      </w:r>
      <w:r w:rsidR="00904C6B" w:rsidRPr="00B93509">
        <w:rPr>
          <w:rFonts w:ascii="Times New Roman" w:eastAsia="Cambria" w:hAnsi="Times New Roman"/>
          <w:szCs w:val="24"/>
          <w:lang w:eastAsia="ja-JP"/>
        </w:rPr>
        <w:t>ht. However, to expedi</w:t>
      </w:r>
      <w:r w:rsidRPr="00B93509">
        <w:rPr>
          <w:rFonts w:ascii="Times New Roman" w:eastAsia="Cambria" w:hAnsi="Times New Roman"/>
          <w:szCs w:val="24"/>
          <w:lang w:eastAsia="ja-JP"/>
        </w:rPr>
        <w:t>te the trial process, the use of LRVs is indispensable.</w:t>
      </w:r>
      <w:r w:rsidR="00904C6B" w:rsidRPr="00B93509">
        <w:rPr>
          <w:rFonts w:ascii="Times New Roman" w:eastAsia="Cambria" w:hAnsi="Times New Roman"/>
          <w:szCs w:val="24"/>
          <w:lang w:eastAsia="ja-JP"/>
        </w:rPr>
        <w:t xml:space="preserve"> </w:t>
      </w:r>
      <w:r w:rsidRPr="00B93509">
        <w:rPr>
          <w:rFonts w:ascii="Times New Roman" w:eastAsia="Cambria" w:hAnsi="Times New Roman"/>
          <w:szCs w:val="24"/>
          <w:lang w:eastAsia="ja-JP"/>
        </w:rPr>
        <w:t>It follows that a few victims</w:t>
      </w:r>
      <w:r w:rsidR="002542C6">
        <w:rPr>
          <w:rFonts w:ascii="Times New Roman" w:eastAsia="Cambria" w:hAnsi="Times New Roman"/>
          <w:szCs w:val="24"/>
          <w:lang w:eastAsia="ja-JP"/>
        </w:rPr>
        <w:t xml:space="preserve"> </w:t>
      </w:r>
      <w:r w:rsidRPr="00B93509">
        <w:rPr>
          <w:rFonts w:ascii="Times New Roman" w:eastAsia="Cambria" w:hAnsi="Times New Roman"/>
          <w:szCs w:val="24"/>
          <w:lang w:eastAsia="ja-JP"/>
        </w:rPr>
        <w:t>will be allowed to participate direc</w:t>
      </w:r>
      <w:r w:rsidR="00D21E83">
        <w:rPr>
          <w:rFonts w:ascii="Times New Roman" w:eastAsia="Cambria" w:hAnsi="Times New Roman"/>
          <w:szCs w:val="24"/>
          <w:lang w:eastAsia="ja-JP"/>
        </w:rPr>
        <w:t>tly. Thus, most take part in tr</w:t>
      </w:r>
      <w:r w:rsidRPr="00B93509">
        <w:rPr>
          <w:rFonts w:ascii="Times New Roman" w:eastAsia="Cambria" w:hAnsi="Times New Roman"/>
          <w:szCs w:val="24"/>
          <w:lang w:eastAsia="ja-JP"/>
        </w:rPr>
        <w:t>i</w:t>
      </w:r>
      <w:r w:rsidR="00D21E83">
        <w:rPr>
          <w:rFonts w:ascii="Times New Roman" w:eastAsia="Cambria" w:hAnsi="Times New Roman"/>
          <w:szCs w:val="24"/>
          <w:lang w:eastAsia="ja-JP"/>
        </w:rPr>
        <w:t>a</w:t>
      </w:r>
      <w:r w:rsidRPr="00B93509">
        <w:rPr>
          <w:rFonts w:ascii="Times New Roman" w:eastAsia="Cambria" w:hAnsi="Times New Roman"/>
          <w:szCs w:val="24"/>
          <w:lang w:eastAsia="ja-JP"/>
        </w:rPr>
        <w:t>ls through legal representatives.</w:t>
      </w:r>
      <w:r w:rsidR="00A20B71" w:rsidRPr="00B93509">
        <w:rPr>
          <w:rFonts w:ascii="Times New Roman" w:eastAsia="Cambria" w:hAnsi="Times New Roman"/>
          <w:szCs w:val="24"/>
          <w:lang w:eastAsia="ja-JP"/>
        </w:rPr>
        <w:t xml:space="preserve"> </w:t>
      </w:r>
      <w:r w:rsidRPr="00B93509">
        <w:rPr>
          <w:rFonts w:ascii="Times New Roman" w:eastAsia="Cambria" w:hAnsi="Times New Roman"/>
          <w:szCs w:val="24"/>
          <w:lang w:eastAsia="ja-JP"/>
        </w:rPr>
        <w:t>The LRV is very relevant for victims’ access to justice, as he is their voices.</w:t>
      </w:r>
      <w:r w:rsidRPr="00B93509">
        <w:rPr>
          <w:rFonts w:ascii="Times New Roman" w:eastAsia="Cambria" w:hAnsi="Times New Roman"/>
          <w:szCs w:val="24"/>
          <w:vertAlign w:val="superscript"/>
          <w:lang w:eastAsia="ja-JP"/>
        </w:rPr>
        <w:footnoteReference w:id="653"/>
      </w:r>
      <w:r w:rsidRPr="00B93509">
        <w:rPr>
          <w:rFonts w:ascii="Times New Roman" w:eastAsia="Cambria" w:hAnsi="Times New Roman"/>
          <w:szCs w:val="24"/>
          <w:lang w:eastAsia="ja-JP"/>
        </w:rPr>
        <w:t xml:space="preserve">For victims to participate </w:t>
      </w:r>
      <w:r w:rsidR="002542C6">
        <w:rPr>
          <w:rFonts w:ascii="Times New Roman" w:eastAsia="Cambria" w:hAnsi="Times New Roman"/>
          <w:szCs w:val="24"/>
          <w:lang w:eastAsia="ja-JP"/>
        </w:rPr>
        <w:t>under</w:t>
      </w:r>
      <w:r w:rsidRPr="00B93509">
        <w:rPr>
          <w:rFonts w:ascii="Times New Roman" w:eastAsia="Cambria" w:hAnsi="Times New Roman"/>
          <w:szCs w:val="24"/>
          <w:lang w:eastAsia="ja-JP"/>
        </w:rPr>
        <w:t xml:space="preserve"> Article 68(3), it is not mandatory to participate through legal representatives; “[s]</w:t>
      </w:r>
      <w:proofErr w:type="spellStart"/>
      <w:r w:rsidRPr="00B93509">
        <w:rPr>
          <w:rFonts w:ascii="Times New Roman" w:eastAsia="Cambria" w:hAnsi="Times New Roman"/>
          <w:szCs w:val="24"/>
          <w:lang w:eastAsia="ja-JP"/>
        </w:rPr>
        <w:t>uch</w:t>
      </w:r>
      <w:proofErr w:type="spellEnd"/>
      <w:r w:rsidRPr="00B93509">
        <w:rPr>
          <w:rFonts w:ascii="Times New Roman" w:eastAsia="Cambria" w:hAnsi="Times New Roman"/>
          <w:szCs w:val="24"/>
          <w:lang w:eastAsia="ja-JP"/>
        </w:rPr>
        <w:t xml:space="preserve"> views and concerns </w:t>
      </w:r>
      <w:r w:rsidRPr="00B93509">
        <w:rPr>
          <w:rFonts w:ascii="Times New Roman" w:eastAsia="Cambria" w:hAnsi="Times New Roman"/>
          <w:b/>
          <w:szCs w:val="24"/>
          <w:u w:val="single"/>
          <w:lang w:eastAsia="ja-JP"/>
        </w:rPr>
        <w:t>may be</w:t>
      </w:r>
      <w:r w:rsidRPr="00B93509">
        <w:rPr>
          <w:rFonts w:ascii="Times New Roman" w:eastAsia="Cambria" w:hAnsi="Times New Roman"/>
          <w:szCs w:val="24"/>
          <w:lang w:eastAsia="ja-JP"/>
        </w:rPr>
        <w:t xml:space="preserve"> represented by the legal representatives of victims where the court considers </w:t>
      </w:r>
      <w:r w:rsidRPr="00CA39FF">
        <w:rPr>
          <w:rFonts w:ascii="Times New Roman" w:eastAsia="Cambria" w:hAnsi="Times New Roman"/>
          <w:szCs w:val="24"/>
          <w:lang w:eastAsia="ja-JP"/>
        </w:rPr>
        <w:t>it appropriate</w:t>
      </w:r>
      <w:r w:rsidR="00F90908">
        <w:rPr>
          <w:rFonts w:ascii="Times New Roman" w:eastAsia="Cambria" w:hAnsi="Times New Roman"/>
          <w:szCs w:val="24"/>
          <w:lang w:eastAsia="ja-JP"/>
        </w:rPr>
        <w:t>.</w:t>
      </w:r>
      <w:r w:rsidR="003F70AE">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The use of ‘may’ illustrates an open option for victims to participate in trial proceedings directly. </w:t>
      </w:r>
      <w:r w:rsidRPr="00CA39FF">
        <w:rPr>
          <w:rFonts w:ascii="Times New Roman" w:eastAsia="Cambria" w:hAnsi="Times New Roman"/>
          <w:szCs w:val="24"/>
          <w:lang w:eastAsia="ja-JP"/>
        </w:rPr>
        <w:lastRenderedPageBreak/>
        <w:t xml:space="preserve">In </w:t>
      </w:r>
      <w:r w:rsidR="002542C6" w:rsidRPr="00CA39FF">
        <w:rPr>
          <w:rFonts w:ascii="Times New Roman" w:eastAsia="Cambria" w:hAnsi="Times New Roman"/>
          <w:szCs w:val="24"/>
          <w:lang w:eastAsia="ja-JP"/>
        </w:rPr>
        <w:t xml:space="preserve">a </w:t>
      </w:r>
      <w:r w:rsidRPr="00CA39FF">
        <w:rPr>
          <w:rFonts w:ascii="Times New Roman" w:eastAsia="Cambria" w:hAnsi="Times New Roman"/>
          <w:szCs w:val="24"/>
          <w:lang w:eastAsia="ja-JP"/>
        </w:rPr>
        <w:t xml:space="preserve">similar vein, Rule 89 stipulates that victims may participate, at the </w:t>
      </w:r>
      <w:r w:rsidR="00340D66">
        <w:rPr>
          <w:rFonts w:ascii="Times New Roman" w:eastAsia="Cambria" w:hAnsi="Times New Roman"/>
          <w:szCs w:val="24"/>
          <w:lang w:eastAsia="ja-JP"/>
        </w:rPr>
        <w:t>Chamber's discretion</w:t>
      </w:r>
      <w:r w:rsidRPr="00CA39FF">
        <w:rPr>
          <w:rFonts w:ascii="Times New Roman" w:eastAsia="Cambria" w:hAnsi="Times New Roman"/>
          <w:szCs w:val="24"/>
          <w:lang w:eastAsia="ja-JP"/>
        </w:rPr>
        <w:t>, to make opening and closing statements.</w:t>
      </w:r>
      <w:r w:rsidR="002542C6" w:rsidRPr="00CA39FF">
        <w:rPr>
          <w:rFonts w:ascii="Times New Roman" w:eastAsia="Cambria" w:hAnsi="Times New Roman"/>
          <w:szCs w:val="24"/>
          <w:lang w:eastAsia="ja-JP"/>
        </w:rPr>
        <w:t xml:space="preserve"> </w:t>
      </w:r>
      <w:r w:rsidRPr="00CA39FF">
        <w:rPr>
          <w:rFonts w:ascii="Times New Roman" w:eastAsia="Cambria" w:hAnsi="Times New Roman"/>
          <w:szCs w:val="24"/>
          <w:vertAlign w:val="superscript"/>
          <w:lang w:eastAsia="ja-JP"/>
        </w:rPr>
        <w:footnoteReference w:id="654"/>
      </w:r>
      <w:r w:rsidR="002542C6" w:rsidRPr="00CA39FF">
        <w:rPr>
          <w:rFonts w:ascii="Times New Roman" w:eastAsia="Cambria" w:hAnsi="Times New Roman"/>
          <w:szCs w:val="24"/>
          <w:lang w:eastAsia="ja-JP"/>
        </w:rPr>
        <w:t xml:space="preserve"> It can be inferred that </w:t>
      </w:r>
      <w:r w:rsidRPr="00CA39FF">
        <w:rPr>
          <w:rFonts w:ascii="Times New Roman" w:eastAsia="Cambria" w:hAnsi="Times New Roman"/>
          <w:szCs w:val="24"/>
          <w:lang w:eastAsia="ja-JP"/>
        </w:rPr>
        <w:t>regardless of if victims have legal representatives, they may make opening and closing statements if the Chamber finds it appropriate.</w:t>
      </w:r>
      <w:r w:rsidR="002542C6"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However,  Rule 91 stipulates that victims who decide to participate through legal representatives will have more opportunities </w:t>
      </w:r>
      <w:r w:rsidR="00340D66">
        <w:rPr>
          <w:rFonts w:ascii="Times New Roman" w:eastAsia="Cambria" w:hAnsi="Times New Roman"/>
          <w:szCs w:val="24"/>
          <w:lang w:eastAsia="ja-JP"/>
        </w:rPr>
        <w:t>than</w:t>
      </w:r>
      <w:r w:rsidRPr="00CA39FF">
        <w:rPr>
          <w:rFonts w:ascii="Times New Roman" w:eastAsia="Cambria" w:hAnsi="Times New Roman"/>
          <w:szCs w:val="24"/>
          <w:lang w:eastAsia="ja-JP"/>
        </w:rPr>
        <w:t xml:space="preserve"> victims who </w:t>
      </w:r>
      <w:r w:rsidR="002542C6" w:rsidRPr="00CA39FF">
        <w:rPr>
          <w:rFonts w:ascii="Times New Roman" w:eastAsia="Cambria" w:hAnsi="Times New Roman"/>
          <w:szCs w:val="24"/>
          <w:lang w:eastAsia="ja-JP"/>
        </w:rPr>
        <w:t>choos</w:t>
      </w:r>
      <w:r w:rsidRPr="00CA39FF">
        <w:rPr>
          <w:rFonts w:ascii="Times New Roman" w:eastAsia="Cambria" w:hAnsi="Times New Roman"/>
          <w:szCs w:val="24"/>
          <w:lang w:eastAsia="ja-JP"/>
        </w:rPr>
        <w:t>e to participate directly(without legal representatives).</w:t>
      </w:r>
      <w:r w:rsidRPr="00CA39FF">
        <w:rPr>
          <w:rFonts w:ascii="Times New Roman" w:eastAsia="Cambria" w:hAnsi="Times New Roman"/>
          <w:szCs w:val="24"/>
          <w:vertAlign w:val="superscript"/>
          <w:lang w:eastAsia="ja-JP"/>
        </w:rPr>
        <w:footnoteReference w:id="655"/>
      </w:r>
      <w:r w:rsidRPr="00CA39FF">
        <w:rPr>
          <w:rFonts w:ascii="Times New Roman" w:eastAsia="Cambria" w:hAnsi="Times New Roman"/>
          <w:szCs w:val="24"/>
          <w:lang w:eastAsia="ja-JP"/>
        </w:rPr>
        <w:t xml:space="preserve">This </w:t>
      </w:r>
      <w:r w:rsidR="002542C6" w:rsidRPr="00CA39FF">
        <w:rPr>
          <w:rFonts w:ascii="Times New Roman" w:eastAsia="Cambria" w:hAnsi="Times New Roman"/>
          <w:szCs w:val="24"/>
          <w:lang w:eastAsia="ja-JP"/>
        </w:rPr>
        <w:t>form of participation is referred to as a</w:t>
      </w:r>
      <w:r w:rsidRPr="00CA39FF">
        <w:rPr>
          <w:rFonts w:ascii="Times New Roman" w:eastAsia="Cambria" w:hAnsi="Times New Roman"/>
          <w:szCs w:val="24"/>
          <w:lang w:eastAsia="ja-JP"/>
        </w:rPr>
        <w:t xml:space="preserve"> direct form of participation.</w:t>
      </w:r>
    </w:p>
    <w:p w14:paraId="056AE96C" w14:textId="77777777" w:rsidR="006E622A" w:rsidRPr="00CA39FF" w:rsidRDefault="006E622A" w:rsidP="00CA39FF">
      <w:pPr>
        <w:spacing w:after="0" w:line="480" w:lineRule="auto"/>
        <w:jc w:val="both"/>
        <w:rPr>
          <w:rFonts w:ascii="Times New Roman" w:hAnsi="Times New Roman"/>
          <w:szCs w:val="24"/>
        </w:rPr>
      </w:pPr>
    </w:p>
    <w:p w14:paraId="718979D8" w14:textId="579E5776" w:rsidR="006E622A" w:rsidRPr="00E7108F" w:rsidRDefault="006E622A" w:rsidP="00CA39FF">
      <w:pPr>
        <w:spacing w:after="0" w:line="480" w:lineRule="auto"/>
        <w:jc w:val="both"/>
        <w:rPr>
          <w:rFonts w:ascii="Times New Roman" w:eastAsia="Cambria" w:hAnsi="Times New Roman"/>
          <w:szCs w:val="24"/>
          <w:lang w:eastAsia="ja-JP"/>
        </w:rPr>
      </w:pPr>
      <w:r w:rsidRPr="00CA39FF">
        <w:rPr>
          <w:rFonts w:ascii="Times New Roman" w:eastAsia="Cambria" w:hAnsi="Times New Roman"/>
          <w:szCs w:val="24"/>
          <w:lang w:eastAsia="ja-JP"/>
        </w:rPr>
        <w:t>Fu</w:t>
      </w:r>
      <w:r w:rsidR="00F665CB" w:rsidRPr="00CA39FF">
        <w:rPr>
          <w:rFonts w:ascii="Times New Roman" w:eastAsia="Cambria" w:hAnsi="Times New Roman"/>
          <w:szCs w:val="24"/>
          <w:lang w:eastAsia="ja-JP"/>
        </w:rPr>
        <w:t>r</w:t>
      </w:r>
      <w:r w:rsidRPr="00CA39FF">
        <w:rPr>
          <w:rFonts w:ascii="Times New Roman" w:eastAsia="Cambria" w:hAnsi="Times New Roman"/>
          <w:szCs w:val="24"/>
          <w:lang w:eastAsia="ja-JP"/>
        </w:rPr>
        <w:t>thermore, Rule 90 set out the regime for choosing legal representatives.</w:t>
      </w:r>
      <w:r w:rsidR="00F665CB"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Victims are free to choose a legal representative.</w:t>
      </w:r>
      <w:r w:rsidRPr="00CA39FF">
        <w:rPr>
          <w:rFonts w:ascii="Times New Roman" w:eastAsia="Cambria" w:hAnsi="Times New Roman"/>
          <w:szCs w:val="24"/>
          <w:vertAlign w:val="superscript"/>
          <w:lang w:eastAsia="ja-JP"/>
        </w:rPr>
        <w:footnoteReference w:id="656"/>
      </w:r>
      <w:r w:rsidRPr="00CA39FF">
        <w:rPr>
          <w:rFonts w:ascii="Times New Roman" w:eastAsia="Cambria" w:hAnsi="Times New Roman"/>
          <w:szCs w:val="24"/>
          <w:lang w:eastAsia="ja-JP"/>
        </w:rPr>
        <w:t xml:space="preserve"> This provision gives </w:t>
      </w:r>
      <w:r w:rsidR="00F665CB" w:rsidRPr="00CA39FF">
        <w:rPr>
          <w:rFonts w:ascii="Times New Roman" w:eastAsia="Cambria" w:hAnsi="Times New Roman"/>
          <w:szCs w:val="24"/>
          <w:lang w:eastAsia="ja-JP"/>
        </w:rPr>
        <w:t xml:space="preserve">the </w:t>
      </w:r>
      <w:r w:rsidRPr="00CA39FF">
        <w:rPr>
          <w:rFonts w:ascii="Times New Roman" w:eastAsia="Cambria" w:hAnsi="Times New Roman"/>
          <w:szCs w:val="24"/>
          <w:lang w:eastAsia="ja-JP"/>
        </w:rPr>
        <w:t>victim the free</w:t>
      </w:r>
      <w:r w:rsidR="00F665CB"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will to choose their legal repres</w:t>
      </w:r>
      <w:r w:rsidR="00A20B71" w:rsidRPr="00CA39FF">
        <w:rPr>
          <w:rFonts w:ascii="Times New Roman" w:eastAsia="Cambria" w:hAnsi="Times New Roman"/>
          <w:szCs w:val="24"/>
          <w:lang w:eastAsia="ja-JP"/>
        </w:rPr>
        <w:t>e</w:t>
      </w:r>
      <w:r w:rsidRPr="00CA39FF">
        <w:rPr>
          <w:rFonts w:ascii="Times New Roman" w:eastAsia="Cambria" w:hAnsi="Times New Roman"/>
          <w:szCs w:val="24"/>
          <w:lang w:eastAsia="ja-JP"/>
        </w:rPr>
        <w:t>ntative.</w:t>
      </w:r>
      <w:r w:rsidR="00A20B71"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Rule 90(1) grants victims </w:t>
      </w:r>
      <w:r w:rsidR="00F665CB" w:rsidRPr="00CA39FF">
        <w:rPr>
          <w:rFonts w:ascii="Times New Roman" w:eastAsia="Cambria" w:hAnsi="Times New Roman"/>
          <w:szCs w:val="24"/>
          <w:lang w:eastAsia="ja-JP"/>
        </w:rPr>
        <w:t xml:space="preserve">the </w:t>
      </w:r>
      <w:r w:rsidRPr="00CA39FF">
        <w:rPr>
          <w:rFonts w:ascii="Times New Roman" w:eastAsia="Cambria" w:hAnsi="Times New Roman"/>
          <w:szCs w:val="24"/>
          <w:lang w:eastAsia="ja-JP"/>
        </w:rPr>
        <w:t>right to be legally represented in the criminal proceedings.</w:t>
      </w:r>
      <w:r w:rsidRPr="00CA39FF">
        <w:rPr>
          <w:rFonts w:ascii="Times New Roman" w:eastAsia="Cambria" w:hAnsi="Times New Roman"/>
          <w:szCs w:val="24"/>
          <w:vertAlign w:val="superscript"/>
          <w:lang w:eastAsia="ja-JP"/>
        </w:rPr>
        <w:footnoteReference w:id="657"/>
      </w:r>
      <w:r w:rsidRPr="00CA39FF">
        <w:rPr>
          <w:rFonts w:ascii="Times New Roman" w:eastAsia="Cambria" w:hAnsi="Times New Roman"/>
          <w:szCs w:val="24"/>
          <w:lang w:eastAsia="ja-JP"/>
        </w:rPr>
        <w:t>It is one of the rights of victims</w:t>
      </w:r>
      <w:r w:rsidR="00F665CB" w:rsidRPr="00CA39FF">
        <w:rPr>
          <w:rFonts w:ascii="Times New Roman" w:eastAsia="Cambria" w:hAnsi="Times New Roman"/>
          <w:szCs w:val="24"/>
          <w:lang w:eastAsia="ja-JP"/>
        </w:rPr>
        <w:t>,</w:t>
      </w:r>
      <w:r w:rsidRPr="00CA39FF">
        <w:rPr>
          <w:rFonts w:ascii="Times New Roman" w:eastAsia="Cambria" w:hAnsi="Times New Roman"/>
          <w:szCs w:val="24"/>
          <w:lang w:eastAsia="ja-JP"/>
        </w:rPr>
        <w:t xml:space="preserve"> which may be said to be applicable in principle.</w:t>
      </w:r>
      <w:r w:rsidR="00A20B71" w:rsidRPr="00CA39FF">
        <w:rPr>
          <w:rFonts w:ascii="Times New Roman" w:eastAsia="Cambria" w:hAnsi="Times New Roman"/>
          <w:szCs w:val="24"/>
          <w:lang w:eastAsia="ja-JP"/>
        </w:rPr>
        <w:t xml:space="preserve"> </w:t>
      </w:r>
      <w:r w:rsidRPr="00CA39FF">
        <w:rPr>
          <w:rFonts w:ascii="Times New Roman" w:eastAsia="Cambria" w:hAnsi="Times New Roman"/>
          <w:szCs w:val="24"/>
          <w:lang w:eastAsia="ja-JP"/>
        </w:rPr>
        <w:t xml:space="preserve">Rule 90(2) empowers the Chamber to request the victim, with the </w:t>
      </w:r>
      <w:r w:rsidR="00340D66">
        <w:rPr>
          <w:rFonts w:ascii="Times New Roman" w:eastAsia="Cambria" w:hAnsi="Times New Roman"/>
          <w:szCs w:val="24"/>
          <w:lang w:eastAsia="ja-JP"/>
        </w:rPr>
        <w:t>registry's assistance</w:t>
      </w:r>
      <w:r w:rsidRPr="00CA39FF">
        <w:rPr>
          <w:rFonts w:ascii="Times New Roman" w:eastAsia="Cambria" w:hAnsi="Times New Roman"/>
          <w:szCs w:val="24"/>
          <w:lang w:eastAsia="ja-JP"/>
        </w:rPr>
        <w:t xml:space="preserve"> to appoint a common legal representative(s) for victims or a group of victims </w:t>
      </w:r>
      <w:r w:rsidR="003F70AE">
        <w:rPr>
          <w:rFonts w:ascii="Times New Roman" w:eastAsia="Cambria" w:hAnsi="Times New Roman"/>
          <w:szCs w:val="24"/>
          <w:lang w:eastAsia="ja-JP"/>
        </w:rPr>
        <w:t>to ensure</w:t>
      </w:r>
      <w:r w:rsidRPr="00CA39FF">
        <w:rPr>
          <w:rFonts w:ascii="Times New Roman" w:eastAsia="Cambria" w:hAnsi="Times New Roman"/>
          <w:szCs w:val="24"/>
          <w:lang w:eastAsia="ja-JP"/>
        </w:rPr>
        <w:t xml:space="preserve"> trial effectiveness.</w:t>
      </w:r>
      <w:r w:rsidRPr="00CA39FF">
        <w:rPr>
          <w:rFonts w:ascii="Times New Roman" w:eastAsia="Cambria" w:hAnsi="Times New Roman"/>
          <w:szCs w:val="24"/>
          <w:vertAlign w:val="superscript"/>
          <w:lang w:eastAsia="ja-JP"/>
        </w:rPr>
        <w:footnoteReference w:id="658"/>
      </w:r>
      <w:r w:rsidRPr="00CA39FF">
        <w:rPr>
          <w:rFonts w:ascii="Times New Roman" w:eastAsia="Cambria" w:hAnsi="Times New Roman"/>
          <w:szCs w:val="24"/>
          <w:lang w:eastAsia="ja-JP"/>
        </w:rPr>
        <w:t xml:space="preserve"> </w:t>
      </w:r>
      <w:r w:rsidRPr="00E7108F">
        <w:rPr>
          <w:rFonts w:ascii="Times New Roman" w:eastAsia="Cambria" w:hAnsi="Times New Roman"/>
          <w:szCs w:val="24"/>
          <w:lang w:eastAsia="ja-JP"/>
        </w:rPr>
        <w:t>The Rules affirm that victims have discretionary right to participate under Rule 91(3)(a).</w:t>
      </w:r>
      <w:r w:rsidR="008C4CA2">
        <w:rPr>
          <w:rFonts w:ascii="Times New Roman" w:eastAsia="Cambria" w:hAnsi="Times New Roman"/>
          <w:szCs w:val="24"/>
          <w:lang w:eastAsia="ja-JP"/>
        </w:rPr>
        <w:t>On the Chamber’s ruling, the LRV shall represent the victims in criminal trials.</w:t>
      </w:r>
      <w:r w:rsidR="00F665CB">
        <w:rPr>
          <w:rFonts w:ascii="Times New Roman" w:eastAsia="Cambria" w:hAnsi="Times New Roman"/>
          <w:szCs w:val="24"/>
          <w:lang w:eastAsia="ja-JP"/>
        </w:rPr>
        <w:t xml:space="preserve"> </w:t>
      </w:r>
      <w:r w:rsidRPr="00E7108F">
        <w:rPr>
          <w:rFonts w:ascii="Times New Roman" w:eastAsia="Cambria" w:hAnsi="Times New Roman"/>
          <w:szCs w:val="24"/>
          <w:lang w:eastAsia="ja-JP"/>
        </w:rPr>
        <w:t xml:space="preserve">The main distinction between Rule 90 and Rule 91 is that, while Rule 90 spells out </w:t>
      </w:r>
      <w:r w:rsidR="00F665CB">
        <w:rPr>
          <w:rFonts w:ascii="Times New Roman" w:eastAsia="Cambria" w:hAnsi="Times New Roman"/>
          <w:szCs w:val="24"/>
          <w:lang w:eastAsia="ja-JP"/>
        </w:rPr>
        <w:t xml:space="preserve">the </w:t>
      </w:r>
      <w:r w:rsidRPr="00E7108F">
        <w:rPr>
          <w:rFonts w:ascii="Times New Roman" w:eastAsia="Cambria" w:hAnsi="Times New Roman"/>
          <w:szCs w:val="24"/>
          <w:lang w:eastAsia="ja-JP"/>
        </w:rPr>
        <w:t>need to cho</w:t>
      </w:r>
      <w:r w:rsidR="003F70AE">
        <w:rPr>
          <w:rFonts w:ascii="Times New Roman" w:eastAsia="Cambria" w:hAnsi="Times New Roman"/>
          <w:szCs w:val="24"/>
          <w:lang w:eastAsia="ja-JP"/>
        </w:rPr>
        <w:t>o</w:t>
      </w:r>
      <w:r w:rsidRPr="00E7108F">
        <w:rPr>
          <w:rFonts w:ascii="Times New Roman" w:eastAsia="Cambria" w:hAnsi="Times New Roman"/>
          <w:szCs w:val="24"/>
          <w:lang w:eastAsia="ja-JP"/>
        </w:rPr>
        <w:t xml:space="preserve">se legal </w:t>
      </w:r>
      <w:r w:rsidRPr="00E7108F">
        <w:rPr>
          <w:rFonts w:ascii="Times New Roman" w:eastAsia="Cambria" w:hAnsi="Times New Roman"/>
          <w:szCs w:val="24"/>
          <w:lang w:eastAsia="ja-JP"/>
        </w:rPr>
        <w:lastRenderedPageBreak/>
        <w:t>representatives for victim participation, Rule 91 sets out the modalities in which a legal representative may participate in the proceedings.</w:t>
      </w:r>
      <w:r w:rsidR="00A20B71" w:rsidRPr="00E7108F">
        <w:rPr>
          <w:rFonts w:ascii="Times New Roman" w:eastAsia="Cambria" w:hAnsi="Times New Roman"/>
          <w:szCs w:val="24"/>
          <w:lang w:eastAsia="ja-JP"/>
        </w:rPr>
        <w:t xml:space="preserve"> </w:t>
      </w:r>
      <w:r w:rsidRPr="00E7108F">
        <w:rPr>
          <w:rFonts w:ascii="Times New Roman" w:eastAsia="Cambria" w:hAnsi="Times New Roman"/>
          <w:szCs w:val="24"/>
          <w:lang w:eastAsia="ja-JP"/>
        </w:rPr>
        <w:t>According to Rule 91(2), the LRV</w:t>
      </w:r>
      <w:r w:rsidR="00A20B71" w:rsidRPr="00E7108F">
        <w:rPr>
          <w:rFonts w:ascii="Times New Roman" w:eastAsia="Cambria" w:hAnsi="Times New Roman"/>
          <w:szCs w:val="24"/>
          <w:lang w:eastAsia="ja-JP"/>
        </w:rPr>
        <w:t xml:space="preserve"> </w:t>
      </w:r>
      <w:r w:rsidRPr="00E7108F">
        <w:rPr>
          <w:rFonts w:ascii="Times New Roman" w:eastAsia="Cambria" w:hAnsi="Times New Roman"/>
          <w:szCs w:val="24"/>
          <w:lang w:eastAsia="ja-JP"/>
        </w:rPr>
        <w:t>can attend and participate in the hearing,</w:t>
      </w:r>
      <w:r w:rsidR="00F665CB">
        <w:rPr>
          <w:rFonts w:ascii="Times New Roman" w:eastAsia="Cambria" w:hAnsi="Times New Roman"/>
          <w:szCs w:val="24"/>
          <w:lang w:eastAsia="ja-JP"/>
        </w:rPr>
        <w:t xml:space="preserve"> </w:t>
      </w:r>
      <w:r w:rsidRPr="00E7108F">
        <w:rPr>
          <w:rFonts w:ascii="Times New Roman" w:eastAsia="Cambria" w:hAnsi="Times New Roman"/>
          <w:szCs w:val="24"/>
          <w:lang w:eastAsia="ja-JP"/>
        </w:rPr>
        <w:t>provided the court has not confined the LRVs participation to written observations or su</w:t>
      </w:r>
      <w:r w:rsidR="00A20B71" w:rsidRPr="00E7108F">
        <w:rPr>
          <w:rFonts w:ascii="Times New Roman" w:eastAsia="Cambria" w:hAnsi="Times New Roman"/>
          <w:szCs w:val="24"/>
          <w:lang w:eastAsia="ja-JP"/>
        </w:rPr>
        <w:t>bmissions. The LRV may also</w:t>
      </w:r>
      <w:r w:rsidRPr="00E7108F">
        <w:rPr>
          <w:rFonts w:ascii="Times New Roman" w:eastAsia="Cambria" w:hAnsi="Times New Roman"/>
          <w:szCs w:val="24"/>
          <w:lang w:eastAsia="ja-JP"/>
        </w:rPr>
        <w:t xml:space="preserve"> request leave from the Chamber to question a witness, expert, or the accused.</w:t>
      </w:r>
      <w:r w:rsidRPr="00E7108F">
        <w:rPr>
          <w:rFonts w:ascii="Times New Roman" w:eastAsia="Cambria" w:hAnsi="Times New Roman"/>
          <w:szCs w:val="24"/>
          <w:vertAlign w:val="superscript"/>
          <w:lang w:eastAsia="ja-JP"/>
        </w:rPr>
        <w:footnoteReference w:id="659"/>
      </w:r>
      <w:r w:rsidRPr="00E7108F">
        <w:rPr>
          <w:rFonts w:ascii="Times New Roman" w:eastAsia="Cambria" w:hAnsi="Times New Roman"/>
          <w:szCs w:val="24"/>
          <w:lang w:eastAsia="ja-JP"/>
        </w:rPr>
        <w:t>In response to the request, the Chamber may order the LRV to submit written notice of the intended question</w:t>
      </w:r>
      <w:r w:rsidR="00340D66">
        <w:rPr>
          <w:rFonts w:ascii="Times New Roman" w:eastAsia="Cambria" w:hAnsi="Times New Roman"/>
          <w:szCs w:val="24"/>
          <w:lang w:eastAsia="ja-JP"/>
        </w:rPr>
        <w:t xml:space="preserve"> and then determine the “manner and order of the questions”</w:t>
      </w:r>
      <w:r w:rsidRPr="00E7108F">
        <w:rPr>
          <w:rFonts w:ascii="Times New Roman" w:eastAsia="Cambria" w:hAnsi="Times New Roman"/>
          <w:szCs w:val="24"/>
          <w:lang w:eastAsia="ja-JP"/>
        </w:rPr>
        <w:t xml:space="preserve"> permitted during the proceedings.</w:t>
      </w:r>
      <w:r w:rsidRPr="00E7108F">
        <w:rPr>
          <w:rFonts w:ascii="Times New Roman" w:eastAsia="Cambria" w:hAnsi="Times New Roman"/>
          <w:szCs w:val="24"/>
          <w:vertAlign w:val="superscript"/>
          <w:lang w:eastAsia="ja-JP"/>
        </w:rPr>
        <w:footnoteReference w:id="660"/>
      </w:r>
    </w:p>
    <w:p w14:paraId="42145AB7" w14:textId="77777777" w:rsidR="006E622A" w:rsidRPr="00E7108F" w:rsidRDefault="006E622A" w:rsidP="00CA39FF">
      <w:pPr>
        <w:spacing w:after="0" w:line="480" w:lineRule="auto"/>
        <w:jc w:val="both"/>
        <w:rPr>
          <w:rFonts w:ascii="Times New Roman" w:eastAsia="Cambria" w:hAnsi="Times New Roman"/>
          <w:szCs w:val="24"/>
          <w:lang w:eastAsia="ja-JP"/>
        </w:rPr>
      </w:pPr>
      <w:r w:rsidRPr="00E7108F">
        <w:rPr>
          <w:rFonts w:ascii="Times New Roman" w:eastAsia="Cambria" w:hAnsi="Times New Roman"/>
          <w:szCs w:val="24"/>
          <w:lang w:eastAsia="ja-JP"/>
        </w:rPr>
        <w:t xml:space="preserve"> </w:t>
      </w:r>
    </w:p>
    <w:p w14:paraId="21E8F314" w14:textId="7BB4585A" w:rsidR="006E622A" w:rsidRPr="00345102" w:rsidRDefault="006E622A" w:rsidP="00345102">
      <w:pPr>
        <w:spacing w:after="0" w:line="480" w:lineRule="auto"/>
        <w:jc w:val="both"/>
        <w:rPr>
          <w:rFonts w:ascii="Times New Roman" w:eastAsia="Cambria" w:hAnsi="Times New Roman"/>
          <w:szCs w:val="24"/>
          <w:lang w:eastAsia="ja-JP"/>
        </w:rPr>
      </w:pPr>
      <w:r w:rsidRPr="00E7108F">
        <w:rPr>
          <w:rFonts w:ascii="Times New Roman" w:eastAsia="Cambria" w:hAnsi="Times New Roman"/>
          <w:szCs w:val="24"/>
          <w:lang w:eastAsia="ja-JP"/>
        </w:rPr>
        <w:t xml:space="preserve">In </w:t>
      </w:r>
      <w:proofErr w:type="spellStart"/>
      <w:r w:rsidRPr="00E7108F">
        <w:rPr>
          <w:rFonts w:ascii="Times New Roman" w:eastAsia="Cambria" w:hAnsi="Times New Roman"/>
          <w:szCs w:val="24"/>
          <w:lang w:eastAsia="ja-JP"/>
        </w:rPr>
        <w:t>Donat-Catin’s</w:t>
      </w:r>
      <w:proofErr w:type="spellEnd"/>
      <w:r w:rsidRPr="00E7108F">
        <w:rPr>
          <w:rFonts w:ascii="Times New Roman" w:eastAsia="Cambria" w:hAnsi="Times New Roman"/>
          <w:szCs w:val="24"/>
          <w:lang w:eastAsia="ja-JP"/>
        </w:rPr>
        <w:t xml:space="preserve"> words, “</w:t>
      </w:r>
      <w:r w:rsidRPr="00F665CB">
        <w:rPr>
          <w:rFonts w:ascii="Times New Roman" w:eastAsia="Cambria" w:hAnsi="Times New Roman"/>
          <w:szCs w:val="24"/>
          <w:lang w:eastAsia="ja-JP"/>
        </w:rPr>
        <w:t>there is no effective access to justice without skilful and responsible representation</w:t>
      </w:r>
      <w:r w:rsidRPr="00E7108F">
        <w:rPr>
          <w:rFonts w:ascii="Times New Roman" w:eastAsia="Cambria" w:hAnsi="Times New Roman"/>
          <w:szCs w:val="24"/>
          <w:lang w:eastAsia="ja-JP"/>
        </w:rPr>
        <w:t>”.</w:t>
      </w:r>
      <w:r w:rsidRPr="00E7108F">
        <w:rPr>
          <w:rFonts w:ascii="Times New Roman" w:eastAsia="Cambria" w:hAnsi="Times New Roman"/>
          <w:szCs w:val="24"/>
          <w:vertAlign w:val="superscript"/>
          <w:lang w:eastAsia="ja-JP"/>
        </w:rPr>
        <w:footnoteReference w:id="661"/>
      </w:r>
      <w:r w:rsidRPr="00E7108F">
        <w:rPr>
          <w:rFonts w:ascii="Times New Roman" w:eastAsia="Cambria" w:hAnsi="Times New Roman"/>
          <w:szCs w:val="24"/>
          <w:lang w:eastAsia="ja-JP"/>
        </w:rPr>
        <w:t xml:space="preserve">This </w:t>
      </w:r>
      <w:r w:rsidR="00F665CB">
        <w:rPr>
          <w:rFonts w:ascii="Times New Roman" w:eastAsia="Cambria" w:hAnsi="Times New Roman"/>
          <w:szCs w:val="24"/>
          <w:lang w:eastAsia="ja-JP"/>
        </w:rPr>
        <w:t xml:space="preserve">statement </w:t>
      </w:r>
      <w:r w:rsidRPr="00E7108F">
        <w:rPr>
          <w:rFonts w:ascii="Times New Roman" w:eastAsia="Cambria" w:hAnsi="Times New Roman"/>
          <w:szCs w:val="24"/>
          <w:lang w:eastAsia="ja-JP"/>
        </w:rPr>
        <w:t xml:space="preserve">underscores the importance of </w:t>
      </w:r>
      <w:r w:rsidR="00532481">
        <w:rPr>
          <w:rFonts w:ascii="Times New Roman" w:eastAsia="Cambria" w:hAnsi="Times New Roman"/>
          <w:szCs w:val="24"/>
          <w:lang w:eastAsia="ja-JP"/>
        </w:rPr>
        <w:t xml:space="preserve"> LRVs for </w:t>
      </w:r>
      <w:r w:rsidRPr="00E7108F">
        <w:rPr>
          <w:rFonts w:ascii="Times New Roman" w:eastAsia="Cambria" w:hAnsi="Times New Roman"/>
          <w:szCs w:val="24"/>
          <w:lang w:eastAsia="ja-JP"/>
        </w:rPr>
        <w:t>victims’ access to justice.</w:t>
      </w:r>
      <w:r w:rsidR="00F665CB">
        <w:rPr>
          <w:rFonts w:ascii="Times New Roman" w:eastAsia="Cambria" w:hAnsi="Times New Roman"/>
          <w:szCs w:val="24"/>
          <w:lang w:eastAsia="ja-JP"/>
        </w:rPr>
        <w:t xml:space="preserve"> </w:t>
      </w:r>
      <w:proofErr w:type="spellStart"/>
      <w:r w:rsidRPr="00E7108F">
        <w:rPr>
          <w:rFonts w:ascii="Times New Roman" w:eastAsia="Cambria" w:hAnsi="Times New Roman"/>
          <w:szCs w:val="24"/>
          <w:lang w:eastAsia="ja-JP"/>
        </w:rPr>
        <w:t>Me</w:t>
      </w:r>
      <w:r w:rsidR="00EA5E20">
        <w:rPr>
          <w:rFonts w:ascii="Times New Roman" w:eastAsia="Cambria" w:hAnsi="Times New Roman"/>
          <w:szCs w:val="24"/>
          <w:lang w:eastAsia="ja-JP"/>
        </w:rPr>
        <w:t>k</w:t>
      </w:r>
      <w:r w:rsidRPr="00E7108F">
        <w:rPr>
          <w:rFonts w:ascii="Times New Roman" w:eastAsia="Cambria" w:hAnsi="Times New Roman"/>
          <w:szCs w:val="24"/>
          <w:lang w:eastAsia="ja-JP"/>
        </w:rPr>
        <w:t>jian</w:t>
      </w:r>
      <w:proofErr w:type="spellEnd"/>
      <w:r w:rsidRPr="00E7108F">
        <w:rPr>
          <w:rFonts w:ascii="Times New Roman" w:eastAsia="Cambria" w:hAnsi="Times New Roman"/>
          <w:szCs w:val="24"/>
          <w:lang w:eastAsia="ja-JP"/>
        </w:rPr>
        <w:t xml:space="preserve"> and Varughese point out that the right to legal representation is the most ‘</w:t>
      </w:r>
      <w:r w:rsidRPr="00E7108F">
        <w:rPr>
          <w:rFonts w:ascii="Times New Roman" w:eastAsia="Cambria" w:hAnsi="Times New Roman"/>
          <w:i/>
          <w:szCs w:val="24"/>
          <w:lang w:eastAsia="ja-JP"/>
        </w:rPr>
        <w:t>procedurally challenging’</w:t>
      </w:r>
      <w:r w:rsidRPr="00E7108F">
        <w:rPr>
          <w:rFonts w:ascii="Times New Roman" w:eastAsia="Cambria" w:hAnsi="Times New Roman"/>
          <w:szCs w:val="24"/>
          <w:lang w:eastAsia="ja-JP"/>
        </w:rPr>
        <w:t xml:space="preserve"> aspect in the ICC.</w:t>
      </w:r>
      <w:r w:rsidRPr="00E7108F">
        <w:rPr>
          <w:rFonts w:ascii="Times New Roman" w:eastAsia="Cambria" w:hAnsi="Times New Roman"/>
          <w:szCs w:val="24"/>
          <w:vertAlign w:val="superscript"/>
          <w:lang w:eastAsia="ja-JP"/>
        </w:rPr>
        <w:footnoteReference w:id="662"/>
      </w:r>
      <w:r w:rsidRPr="00E7108F">
        <w:rPr>
          <w:rFonts w:ascii="Times New Roman" w:eastAsia="Cambria" w:hAnsi="Times New Roman"/>
          <w:szCs w:val="24"/>
          <w:lang w:eastAsia="ja-JP"/>
        </w:rPr>
        <w:t xml:space="preserve">Thus, Effective representation goes a long way in enhancing victims’ interests and realising </w:t>
      </w:r>
      <w:r w:rsidRPr="00345102">
        <w:rPr>
          <w:rFonts w:ascii="Times New Roman" w:eastAsia="Cambria" w:hAnsi="Times New Roman"/>
          <w:szCs w:val="24"/>
          <w:lang w:eastAsia="ja-JP"/>
        </w:rPr>
        <w:t>full participatory rights.</w:t>
      </w:r>
      <w:r w:rsidR="00F665CB" w:rsidRPr="00345102">
        <w:rPr>
          <w:rFonts w:ascii="Times New Roman" w:eastAsia="Cambria" w:hAnsi="Times New Roman"/>
          <w:szCs w:val="24"/>
          <w:lang w:eastAsia="ja-JP"/>
        </w:rPr>
        <w:t xml:space="preserve"> </w:t>
      </w:r>
      <w:r w:rsidR="00532481" w:rsidRPr="00345102">
        <w:rPr>
          <w:rFonts w:ascii="Times New Roman" w:eastAsia="Cambria" w:hAnsi="Times New Roman"/>
          <w:szCs w:val="24"/>
          <w:lang w:eastAsia="ja-JP"/>
        </w:rPr>
        <w:t>Nonetheless, flawed legal representation may jeopardise the realisation of victims</w:t>
      </w:r>
      <w:r w:rsidR="00093A4F" w:rsidRPr="00345102">
        <w:rPr>
          <w:rFonts w:ascii="Times New Roman" w:eastAsia="Cambria" w:hAnsi="Times New Roman"/>
          <w:szCs w:val="24"/>
          <w:lang w:eastAsia="ja-JP"/>
        </w:rPr>
        <w:t>’</w:t>
      </w:r>
      <w:r w:rsidR="00532481" w:rsidRPr="00345102">
        <w:rPr>
          <w:rFonts w:ascii="Times New Roman" w:eastAsia="Cambria" w:hAnsi="Times New Roman"/>
          <w:szCs w:val="24"/>
          <w:lang w:eastAsia="ja-JP"/>
        </w:rPr>
        <w:t xml:space="preserve"> rights and interests.</w:t>
      </w:r>
    </w:p>
    <w:p w14:paraId="00C1FC85" w14:textId="77777777" w:rsidR="006E622A" w:rsidRPr="00345102" w:rsidRDefault="006E622A" w:rsidP="00345102">
      <w:pPr>
        <w:spacing w:after="0" w:line="480" w:lineRule="auto"/>
        <w:jc w:val="both"/>
        <w:rPr>
          <w:rFonts w:ascii="Times New Roman" w:eastAsia="Cambria" w:hAnsi="Times New Roman"/>
          <w:szCs w:val="24"/>
          <w:lang w:eastAsia="ja-JP"/>
        </w:rPr>
      </w:pPr>
    </w:p>
    <w:p w14:paraId="588DBBE4" w14:textId="1AF94607" w:rsidR="00F278AD" w:rsidRPr="00345102" w:rsidRDefault="00F278AD" w:rsidP="00F278AD">
      <w:pPr>
        <w:spacing w:after="0" w:line="480" w:lineRule="auto"/>
        <w:jc w:val="both"/>
        <w:rPr>
          <w:rFonts w:ascii="Times New Roman" w:eastAsia="Cambria" w:hAnsi="Times New Roman"/>
          <w:szCs w:val="24"/>
        </w:rPr>
      </w:pPr>
      <w:r w:rsidRPr="00345102">
        <w:rPr>
          <w:rFonts w:ascii="Times New Roman" w:eastAsia="Cambria" w:hAnsi="Times New Roman"/>
          <w:szCs w:val="24"/>
        </w:rPr>
        <w:lastRenderedPageBreak/>
        <w:t>In practice, it is noticed that victims have less power to choose their legal representatives, coupled with the fact that a large group of victims are represented by a common legal representative(s). One implication of a common LRV is that there is a presumption that these victims have mutual or common interests. At the same time, this thesis does not intend to explore if the LRVs</w:t>
      </w:r>
      <w:r w:rsidR="001E4E3F">
        <w:rPr>
          <w:rFonts w:ascii="Times New Roman" w:eastAsia="Cambria" w:hAnsi="Times New Roman"/>
          <w:szCs w:val="24"/>
        </w:rPr>
        <w:t xml:space="preserve"> </w:t>
      </w:r>
      <w:r w:rsidRPr="00345102">
        <w:rPr>
          <w:rFonts w:ascii="Times New Roman" w:eastAsia="Cambria" w:hAnsi="Times New Roman"/>
          <w:szCs w:val="24"/>
        </w:rPr>
        <w:t>neglect victims’ voice because this cannot be inferred from the transcripts.</w:t>
      </w:r>
    </w:p>
    <w:p w14:paraId="4348BD2A" w14:textId="77777777" w:rsidR="00F278AD" w:rsidRDefault="00F278AD" w:rsidP="00345102">
      <w:pPr>
        <w:spacing w:after="0" w:line="480" w:lineRule="auto"/>
        <w:jc w:val="both"/>
        <w:rPr>
          <w:rFonts w:ascii="Times New Roman" w:eastAsia="Cambria" w:hAnsi="Times New Roman"/>
          <w:szCs w:val="24"/>
          <w:lang w:eastAsia="ja-JP"/>
        </w:rPr>
      </w:pPr>
    </w:p>
    <w:p w14:paraId="2D011AE9" w14:textId="53531DE0" w:rsidR="006E622A" w:rsidRPr="00345102" w:rsidRDefault="006E622A" w:rsidP="00345102">
      <w:pPr>
        <w:spacing w:after="0" w:line="480" w:lineRule="auto"/>
        <w:jc w:val="both"/>
        <w:rPr>
          <w:rFonts w:ascii="Times New Roman" w:eastAsia="Cambria" w:hAnsi="Times New Roman"/>
          <w:szCs w:val="24"/>
          <w:lang w:eastAsia="ja-JP"/>
        </w:rPr>
      </w:pPr>
      <w:r w:rsidRPr="00345102">
        <w:rPr>
          <w:rFonts w:ascii="Times New Roman" w:eastAsia="Cambria" w:hAnsi="Times New Roman"/>
          <w:szCs w:val="24"/>
          <w:lang w:eastAsia="ja-JP"/>
        </w:rPr>
        <w:t>The relationship between victims and their LRVs could be likened</w:t>
      </w:r>
      <w:r w:rsidR="00093A4F" w:rsidRPr="00345102">
        <w:rPr>
          <w:rFonts w:ascii="Times New Roman" w:eastAsia="Cambria" w:hAnsi="Times New Roman"/>
          <w:szCs w:val="24"/>
          <w:lang w:eastAsia="ja-JP"/>
        </w:rPr>
        <w:t xml:space="preserve"> to the “crime victim </w:t>
      </w:r>
      <w:proofErr w:type="spellStart"/>
      <w:r w:rsidR="00093A4F" w:rsidRPr="00345102">
        <w:rPr>
          <w:rFonts w:ascii="Times New Roman" w:eastAsia="Cambria" w:hAnsi="Times New Roman"/>
          <w:szCs w:val="24"/>
          <w:lang w:eastAsia="ja-JP"/>
        </w:rPr>
        <w:t>agency</w:t>
      </w:r>
      <w:r w:rsidR="008C4CA2">
        <w:rPr>
          <w:rFonts w:ascii="Times New Roman" w:eastAsia="Cambria" w:hAnsi="Times New Roman"/>
          <w:szCs w:val="24"/>
          <w:lang w:eastAsia="ja-JP"/>
        </w:rPr>
        <w:t>.</w:t>
      </w:r>
      <w:r w:rsidR="00093A4F" w:rsidRPr="00345102">
        <w:rPr>
          <w:rFonts w:ascii="Times New Roman" w:eastAsia="Cambria" w:hAnsi="Times New Roman"/>
          <w:szCs w:val="24"/>
          <w:lang w:eastAsia="ja-JP"/>
        </w:rPr>
        <w:t>”</w:t>
      </w:r>
      <w:r w:rsidR="00340D66">
        <w:rPr>
          <w:rFonts w:ascii="Times New Roman" w:eastAsia="Cambria" w:hAnsi="Times New Roman"/>
          <w:szCs w:val="24"/>
          <w:lang w:eastAsia="ja-JP"/>
        </w:rPr>
        <w:t>The</w:t>
      </w:r>
      <w:proofErr w:type="spellEnd"/>
      <w:r w:rsidR="00340D66">
        <w:rPr>
          <w:rFonts w:ascii="Times New Roman" w:eastAsia="Cambria" w:hAnsi="Times New Roman"/>
          <w:szCs w:val="24"/>
          <w:lang w:eastAsia="ja-JP"/>
        </w:rPr>
        <w:t xml:space="preserve"> Chamber chooses many a time, the LRVs as the representatives of the victims</w:t>
      </w:r>
      <w:r w:rsidR="00737C1C" w:rsidRPr="00345102">
        <w:rPr>
          <w:rFonts w:ascii="Times New Roman" w:eastAsia="Cambria" w:hAnsi="Times New Roman"/>
          <w:szCs w:val="24"/>
          <w:lang w:eastAsia="ja-JP"/>
        </w:rPr>
        <w:t xml:space="preserve"> for the victims</w:t>
      </w:r>
      <w:r w:rsidRPr="00345102">
        <w:rPr>
          <w:rFonts w:ascii="Times New Roman" w:eastAsia="Cambria" w:hAnsi="Times New Roman"/>
          <w:szCs w:val="24"/>
          <w:lang w:eastAsia="ja-JP"/>
        </w:rPr>
        <w:t>.</w:t>
      </w:r>
      <w:r w:rsidR="00F665CB"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 xml:space="preserve">One serious disadvantage of the ICC’s method is that it could undermine </w:t>
      </w:r>
      <w:r w:rsidR="00F665CB" w:rsidRPr="00345102">
        <w:rPr>
          <w:rFonts w:ascii="Times New Roman" w:eastAsia="Cambria" w:hAnsi="Times New Roman"/>
          <w:szCs w:val="24"/>
          <w:lang w:eastAsia="ja-JP"/>
        </w:rPr>
        <w:t xml:space="preserve">the </w:t>
      </w:r>
      <w:r w:rsidRPr="00345102">
        <w:rPr>
          <w:rFonts w:ascii="Times New Roman" w:eastAsia="Cambria" w:hAnsi="Times New Roman"/>
          <w:szCs w:val="24"/>
          <w:lang w:eastAsia="ja-JP"/>
        </w:rPr>
        <w:t xml:space="preserve">crime victim agency. Crime victim agency is defined as the autonomy of crime victims to make </w:t>
      </w:r>
      <w:r w:rsidR="00F665CB" w:rsidRPr="00345102">
        <w:rPr>
          <w:rFonts w:ascii="Times New Roman" w:eastAsia="Cambria" w:hAnsi="Times New Roman"/>
          <w:szCs w:val="24"/>
          <w:lang w:eastAsia="ja-JP"/>
        </w:rPr>
        <w:t xml:space="preserve">a </w:t>
      </w:r>
      <w:r w:rsidRPr="00345102">
        <w:rPr>
          <w:rFonts w:ascii="Times New Roman" w:eastAsia="Cambria" w:hAnsi="Times New Roman"/>
          <w:szCs w:val="24"/>
          <w:lang w:eastAsia="ja-JP"/>
        </w:rPr>
        <w:t>fundamental decision about their lives.</w:t>
      </w:r>
      <w:r w:rsidRPr="00345102">
        <w:rPr>
          <w:rFonts w:ascii="Times New Roman" w:eastAsia="Cambria" w:hAnsi="Times New Roman"/>
          <w:szCs w:val="24"/>
          <w:vertAlign w:val="superscript"/>
          <w:lang w:eastAsia="ja-JP"/>
        </w:rPr>
        <w:footnoteReference w:id="663"/>
      </w:r>
      <w:r w:rsidRPr="00345102">
        <w:rPr>
          <w:rFonts w:ascii="Times New Roman" w:eastAsia="Cambria" w:hAnsi="Times New Roman"/>
          <w:szCs w:val="24"/>
          <w:lang w:eastAsia="ja-JP"/>
        </w:rPr>
        <w:t xml:space="preserve">This </w:t>
      </w:r>
      <w:r w:rsidR="002E2F64">
        <w:rPr>
          <w:rFonts w:ascii="Times New Roman" w:eastAsia="Cambria" w:hAnsi="Times New Roman"/>
          <w:szCs w:val="24"/>
          <w:lang w:eastAsia="ja-JP"/>
        </w:rPr>
        <w:t xml:space="preserve">autonomy </w:t>
      </w:r>
      <w:r w:rsidRPr="00345102">
        <w:rPr>
          <w:rFonts w:ascii="Times New Roman" w:eastAsia="Cambria" w:hAnsi="Times New Roman"/>
          <w:szCs w:val="24"/>
          <w:lang w:eastAsia="ja-JP"/>
        </w:rPr>
        <w:t>includes their right and power to make important decisions that could have consequences on their situations.</w:t>
      </w:r>
      <w:r w:rsidR="00F665CB"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The concept is divided into two, self</w:t>
      </w:r>
      <w:r w:rsidR="00F665CB" w:rsidRPr="00345102">
        <w:rPr>
          <w:rFonts w:ascii="Times New Roman" w:eastAsia="Cambria" w:hAnsi="Times New Roman"/>
          <w:szCs w:val="24"/>
          <w:lang w:eastAsia="ja-JP"/>
        </w:rPr>
        <w:t>-</w:t>
      </w:r>
      <w:r w:rsidRPr="00345102">
        <w:rPr>
          <w:rFonts w:ascii="Times New Roman" w:eastAsia="Cambria" w:hAnsi="Times New Roman"/>
          <w:szCs w:val="24"/>
          <w:lang w:eastAsia="ja-JP"/>
        </w:rPr>
        <w:t>definition and self</w:t>
      </w:r>
      <w:r w:rsidR="00F665CB" w:rsidRPr="00345102">
        <w:rPr>
          <w:rFonts w:ascii="Times New Roman" w:eastAsia="Cambria" w:hAnsi="Times New Roman"/>
          <w:szCs w:val="24"/>
          <w:lang w:eastAsia="ja-JP"/>
        </w:rPr>
        <w:t>-</w:t>
      </w:r>
      <w:r w:rsidRPr="00345102">
        <w:rPr>
          <w:rFonts w:ascii="Times New Roman" w:eastAsia="Cambria" w:hAnsi="Times New Roman"/>
          <w:szCs w:val="24"/>
          <w:lang w:eastAsia="ja-JP"/>
        </w:rPr>
        <w:t>direction.</w:t>
      </w:r>
      <w:r w:rsidR="00F665CB"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 xml:space="preserve">Self -definition is described as the determination of how one </w:t>
      </w:r>
      <w:r w:rsidR="001E4E3F">
        <w:rPr>
          <w:rFonts w:ascii="Times New Roman" w:eastAsia="Cambria" w:hAnsi="Times New Roman"/>
          <w:szCs w:val="24"/>
          <w:lang w:eastAsia="ja-JP"/>
        </w:rPr>
        <w:t>envisions</w:t>
      </w:r>
      <w:r w:rsidRPr="00345102">
        <w:rPr>
          <w:rFonts w:ascii="Times New Roman" w:eastAsia="Cambria" w:hAnsi="Times New Roman"/>
          <w:szCs w:val="24"/>
          <w:lang w:eastAsia="ja-JP"/>
        </w:rPr>
        <w:t xml:space="preserve"> himself as an individual or as a member of the community.</w:t>
      </w:r>
      <w:r w:rsidR="00F665CB"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Self-direction is ‘</w:t>
      </w:r>
      <w:r w:rsidRPr="00345102">
        <w:rPr>
          <w:rFonts w:ascii="Times New Roman" w:eastAsia="Cambria" w:hAnsi="Times New Roman"/>
          <w:i/>
          <w:szCs w:val="24"/>
          <w:lang w:eastAsia="ja-JP"/>
        </w:rPr>
        <w:t>charting of one’s life</w:t>
      </w:r>
      <w:r w:rsidRPr="00345102">
        <w:rPr>
          <w:rFonts w:ascii="Times New Roman" w:eastAsia="Cambria" w:hAnsi="Times New Roman"/>
          <w:szCs w:val="24"/>
          <w:lang w:eastAsia="ja-JP"/>
        </w:rPr>
        <w:t>’</w:t>
      </w:r>
      <w:r w:rsidRPr="00345102">
        <w:rPr>
          <w:rFonts w:ascii="Times New Roman" w:eastAsia="Cambria" w:hAnsi="Times New Roman"/>
          <w:szCs w:val="24"/>
          <w:vertAlign w:val="superscript"/>
          <w:lang w:eastAsia="ja-JP"/>
        </w:rPr>
        <w:footnoteReference w:id="664"/>
      </w:r>
      <w:r w:rsidRPr="00345102">
        <w:rPr>
          <w:rFonts w:ascii="Times New Roman" w:eastAsia="Cambria" w:hAnsi="Times New Roman"/>
          <w:szCs w:val="24"/>
          <w:lang w:eastAsia="ja-JP"/>
        </w:rPr>
        <w:t xml:space="preserve"> It is within this context that crime victim agency is situated.  Research suggests that crime victim agency can lead to an enhanced quality life and ensure victims’ security and protection.</w:t>
      </w:r>
      <w:r w:rsidRPr="00345102">
        <w:rPr>
          <w:rFonts w:ascii="Times New Roman" w:eastAsia="Cambria" w:hAnsi="Times New Roman"/>
          <w:szCs w:val="24"/>
          <w:vertAlign w:val="superscript"/>
          <w:lang w:eastAsia="ja-JP"/>
        </w:rPr>
        <w:footnoteReference w:id="665"/>
      </w:r>
      <w:r w:rsidRPr="00345102">
        <w:rPr>
          <w:rFonts w:ascii="Times New Roman" w:eastAsia="Cambria" w:hAnsi="Times New Roman"/>
          <w:szCs w:val="24"/>
          <w:lang w:eastAsia="ja-JP"/>
        </w:rPr>
        <w:t xml:space="preserve">On the other hand, if the crime victims agency is </w:t>
      </w:r>
      <w:r w:rsidRPr="00345102">
        <w:rPr>
          <w:rFonts w:ascii="Times New Roman" w:eastAsia="Cambria" w:hAnsi="Times New Roman"/>
          <w:szCs w:val="24"/>
          <w:lang w:eastAsia="ja-JP"/>
        </w:rPr>
        <w:lastRenderedPageBreak/>
        <w:t xml:space="preserve">done recklessly, it could lead to re-victimisation for victims, loss of trust/confidence in the criminal justice system, as well as  disengagement with the system </w:t>
      </w:r>
      <w:r w:rsidRPr="00345102">
        <w:rPr>
          <w:rFonts w:ascii="Times New Roman" w:eastAsia="Cambria" w:hAnsi="Times New Roman"/>
          <w:szCs w:val="24"/>
          <w:vertAlign w:val="superscript"/>
          <w:lang w:eastAsia="ja-JP"/>
        </w:rPr>
        <w:footnoteReference w:id="666"/>
      </w:r>
    </w:p>
    <w:p w14:paraId="1E723703" w14:textId="77777777" w:rsidR="006E622A" w:rsidRPr="00345102" w:rsidRDefault="006E622A" w:rsidP="00345102">
      <w:pPr>
        <w:spacing w:after="0" w:line="480" w:lineRule="auto"/>
        <w:jc w:val="both"/>
        <w:rPr>
          <w:rFonts w:ascii="Times New Roman" w:hAnsi="Times New Roman"/>
          <w:szCs w:val="24"/>
        </w:rPr>
      </w:pPr>
    </w:p>
    <w:p w14:paraId="1EB52F51" w14:textId="055EC623" w:rsidR="006E622A" w:rsidRDefault="001E4E3F" w:rsidP="00345102">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M</w:t>
      </w:r>
      <w:r w:rsidR="006E622A" w:rsidRPr="00345102">
        <w:rPr>
          <w:rFonts w:ascii="Times New Roman" w:eastAsia="Cambria" w:hAnsi="Times New Roman"/>
          <w:szCs w:val="24"/>
          <w:lang w:eastAsia="ja-JP"/>
        </w:rPr>
        <w:t>ost times, victims do not ‘meaningfully choose ‘</w:t>
      </w:r>
      <w:r w:rsidR="006E622A" w:rsidRPr="00345102">
        <w:rPr>
          <w:rFonts w:ascii="Times New Roman" w:eastAsia="Cambria" w:hAnsi="Times New Roman"/>
          <w:i/>
          <w:szCs w:val="24"/>
          <w:lang w:eastAsia="ja-JP"/>
        </w:rPr>
        <w:t>whether</w:t>
      </w:r>
      <w:r w:rsidR="006E622A" w:rsidRPr="00345102">
        <w:rPr>
          <w:rFonts w:ascii="Times New Roman" w:eastAsia="Cambria" w:hAnsi="Times New Roman"/>
          <w:szCs w:val="24"/>
          <w:lang w:eastAsia="ja-JP"/>
        </w:rPr>
        <w:t>’, ‘</w:t>
      </w:r>
      <w:r w:rsidR="006E622A" w:rsidRPr="00345102">
        <w:rPr>
          <w:rFonts w:ascii="Times New Roman" w:eastAsia="Cambria" w:hAnsi="Times New Roman"/>
          <w:i/>
          <w:szCs w:val="24"/>
          <w:lang w:eastAsia="ja-JP"/>
        </w:rPr>
        <w:t>when</w:t>
      </w:r>
      <w:r w:rsidR="006E622A" w:rsidRPr="00345102">
        <w:rPr>
          <w:rFonts w:ascii="Times New Roman" w:eastAsia="Cambria" w:hAnsi="Times New Roman"/>
          <w:szCs w:val="24"/>
          <w:lang w:eastAsia="ja-JP"/>
        </w:rPr>
        <w:t>’ and ‘</w:t>
      </w:r>
      <w:r w:rsidR="006E622A" w:rsidRPr="00345102">
        <w:rPr>
          <w:rFonts w:ascii="Times New Roman" w:eastAsia="Cambria" w:hAnsi="Times New Roman"/>
          <w:i/>
          <w:szCs w:val="24"/>
          <w:lang w:eastAsia="ja-JP"/>
        </w:rPr>
        <w:t>where</w:t>
      </w:r>
      <w:r w:rsidR="006E622A" w:rsidRPr="00345102">
        <w:rPr>
          <w:rFonts w:ascii="Times New Roman" w:eastAsia="Cambria" w:hAnsi="Times New Roman"/>
          <w:szCs w:val="24"/>
          <w:lang w:eastAsia="ja-JP"/>
        </w:rPr>
        <w:t>’ and to ‘</w:t>
      </w:r>
      <w:r w:rsidR="006E622A" w:rsidRPr="00345102">
        <w:rPr>
          <w:rFonts w:ascii="Times New Roman" w:eastAsia="Cambria" w:hAnsi="Times New Roman"/>
          <w:i/>
          <w:szCs w:val="24"/>
          <w:lang w:eastAsia="ja-JP"/>
        </w:rPr>
        <w:t>what extent’</w:t>
      </w:r>
      <w:r w:rsidR="006E622A" w:rsidRPr="00345102">
        <w:rPr>
          <w:rFonts w:ascii="Times New Roman" w:eastAsia="Cambria" w:hAnsi="Times New Roman"/>
          <w:szCs w:val="24"/>
          <w:lang w:eastAsia="ja-JP"/>
        </w:rPr>
        <w:t xml:space="preserve"> to get involved in the process and exercise their rights.</w:t>
      </w:r>
      <w:r w:rsidR="006E622A" w:rsidRPr="00345102">
        <w:rPr>
          <w:rFonts w:ascii="Times New Roman" w:eastAsia="Cambria" w:hAnsi="Times New Roman"/>
          <w:szCs w:val="24"/>
          <w:vertAlign w:val="superscript"/>
          <w:lang w:eastAsia="ja-JP"/>
        </w:rPr>
        <w:footnoteReference w:id="667"/>
      </w:r>
      <w:r w:rsidR="006E622A" w:rsidRPr="00345102">
        <w:rPr>
          <w:rFonts w:ascii="Times New Roman" w:eastAsia="Cambria" w:hAnsi="Times New Roman"/>
          <w:szCs w:val="24"/>
          <w:lang w:eastAsia="ja-JP"/>
        </w:rPr>
        <w:t xml:space="preserve"> This is</w:t>
      </w:r>
      <w:r>
        <w:rPr>
          <w:rFonts w:ascii="Times New Roman" w:eastAsia="Cambria" w:hAnsi="Times New Roman"/>
          <w:szCs w:val="24"/>
          <w:lang w:eastAsia="ja-JP"/>
        </w:rPr>
        <w:t xml:space="preserve"> due </w:t>
      </w:r>
      <w:r w:rsidR="006E622A" w:rsidRPr="00345102">
        <w:rPr>
          <w:rFonts w:ascii="Times New Roman" w:eastAsia="Cambria" w:hAnsi="Times New Roman"/>
          <w:szCs w:val="24"/>
          <w:lang w:eastAsia="ja-JP"/>
        </w:rPr>
        <w:t xml:space="preserve">because of the parameters laid down by the </w:t>
      </w:r>
      <w:r w:rsidR="00340D66">
        <w:rPr>
          <w:rFonts w:ascii="Times New Roman" w:eastAsia="Cambria" w:hAnsi="Times New Roman"/>
          <w:szCs w:val="24"/>
          <w:lang w:eastAsia="ja-JP"/>
        </w:rPr>
        <w:t>Court's existing Statutes, Rules and Regulations</w:t>
      </w:r>
      <w:r w:rsidR="006E622A" w:rsidRPr="00345102">
        <w:rPr>
          <w:rFonts w:ascii="Times New Roman" w:eastAsia="Cambria" w:hAnsi="Times New Roman"/>
          <w:szCs w:val="24"/>
          <w:lang w:eastAsia="ja-JP"/>
        </w:rPr>
        <w:t>.</w:t>
      </w:r>
      <w:r w:rsidR="00F665CB"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These are interpreted and regulated by the judges.</w:t>
      </w:r>
      <w:r w:rsidR="00F665CB"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Arguably, the LRVs are responsible for speaking on behalf of the victims.</w:t>
      </w:r>
      <w:r w:rsidR="00A20B71"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Given that,</w:t>
      </w:r>
      <w:r w:rsidR="00F665CB"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most times</w:t>
      </w:r>
      <w:r w:rsidR="00F665CB" w:rsidRPr="00345102">
        <w:rPr>
          <w:rFonts w:ascii="Times New Roman" w:eastAsia="Cambria" w:hAnsi="Times New Roman"/>
          <w:szCs w:val="24"/>
          <w:lang w:eastAsia="ja-JP"/>
        </w:rPr>
        <w:t>,</w:t>
      </w:r>
      <w:r w:rsidR="006E622A" w:rsidRPr="00345102">
        <w:rPr>
          <w:rFonts w:ascii="Times New Roman" w:eastAsia="Cambria" w:hAnsi="Times New Roman"/>
          <w:szCs w:val="24"/>
          <w:lang w:eastAsia="ja-JP"/>
        </w:rPr>
        <w:t xml:space="preserve"> victims do not choose their LRVs, it remains important that the LRVs enlighten victims about the criminal process and possible outcomes of the criminal proceedings.</w:t>
      </w:r>
      <w:r w:rsidR="00A20B71"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 xml:space="preserve">It is also necessary that the LRVs </w:t>
      </w:r>
      <w:r w:rsidR="00340D66">
        <w:rPr>
          <w:rFonts w:ascii="Times New Roman" w:eastAsia="Cambria" w:hAnsi="Times New Roman"/>
          <w:szCs w:val="24"/>
          <w:lang w:eastAsia="ja-JP"/>
        </w:rPr>
        <w:t>inquire</w:t>
      </w:r>
      <w:r w:rsidR="006E622A" w:rsidRPr="00345102">
        <w:rPr>
          <w:rFonts w:ascii="Times New Roman" w:eastAsia="Cambria" w:hAnsi="Times New Roman"/>
          <w:szCs w:val="24"/>
          <w:lang w:eastAsia="ja-JP"/>
        </w:rPr>
        <w:t xml:space="preserve"> about the victims</w:t>
      </w:r>
      <w:r w:rsidR="00F665CB" w:rsidRPr="00345102">
        <w:rPr>
          <w:rFonts w:ascii="Times New Roman" w:eastAsia="Cambria" w:hAnsi="Times New Roman"/>
          <w:szCs w:val="24"/>
          <w:lang w:eastAsia="ja-JP"/>
        </w:rPr>
        <w:t>'</w:t>
      </w:r>
      <w:r w:rsidR="006E622A" w:rsidRPr="00345102">
        <w:rPr>
          <w:rFonts w:ascii="Times New Roman" w:eastAsia="Cambria" w:hAnsi="Times New Roman"/>
          <w:szCs w:val="24"/>
          <w:lang w:eastAsia="ja-JP"/>
        </w:rPr>
        <w:t xml:space="preserve"> needs and interests and how these will be accomplished. It is believed that some victims might have unreasonable expectations of the ICC from information received during the initial campaign and outreach.</w:t>
      </w:r>
      <w:r w:rsidR="00F665CB"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They may come with this pre-conceived idea that the criminal prosecution will solve all their problems.</w:t>
      </w:r>
      <w:r w:rsidR="00F665CB"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 xml:space="preserve">In this regard, the LRVs must sensitize the victims about the possible outcomes and the </w:t>
      </w:r>
      <w:r w:rsidR="00340D66">
        <w:rPr>
          <w:rFonts w:ascii="Times New Roman" w:eastAsia="Cambria" w:hAnsi="Times New Roman"/>
          <w:szCs w:val="24"/>
          <w:lang w:eastAsia="ja-JP"/>
        </w:rPr>
        <w:t>court's workings</w:t>
      </w:r>
      <w:r>
        <w:rPr>
          <w:rFonts w:ascii="Times New Roman" w:eastAsia="Cambria" w:hAnsi="Times New Roman"/>
          <w:szCs w:val="24"/>
          <w:lang w:eastAsia="ja-JP"/>
        </w:rPr>
        <w:t>. A viable means to</w:t>
      </w:r>
      <w:r w:rsidR="006E622A" w:rsidRPr="00345102">
        <w:rPr>
          <w:rFonts w:ascii="Times New Roman" w:eastAsia="Cambria" w:hAnsi="Times New Roman"/>
          <w:szCs w:val="24"/>
          <w:lang w:eastAsia="ja-JP"/>
        </w:rPr>
        <w:t xml:space="preserve"> minimise disappointments on the part of the victims.</w:t>
      </w:r>
    </w:p>
    <w:p w14:paraId="69BF7271" w14:textId="77777777" w:rsidR="00245D5F" w:rsidRDefault="00245D5F" w:rsidP="00345102">
      <w:pPr>
        <w:spacing w:after="0" w:line="480" w:lineRule="auto"/>
        <w:jc w:val="both"/>
        <w:rPr>
          <w:rFonts w:ascii="Times New Roman" w:eastAsia="Cambria" w:hAnsi="Times New Roman"/>
          <w:szCs w:val="24"/>
          <w:lang w:eastAsia="ja-JP"/>
        </w:rPr>
      </w:pPr>
    </w:p>
    <w:p w14:paraId="7DD4BA94" w14:textId="68AB0364" w:rsidR="00E366AE" w:rsidRDefault="00E366AE" w:rsidP="00E366AE">
      <w:pPr>
        <w:spacing w:after="0" w:line="480" w:lineRule="auto"/>
        <w:jc w:val="center"/>
        <w:rPr>
          <w:rFonts w:ascii="Times New Roman" w:eastAsia="Cambria" w:hAnsi="Times New Roman"/>
          <w:szCs w:val="24"/>
          <w:lang w:eastAsia="ja-JP"/>
        </w:rPr>
      </w:pPr>
      <w:r>
        <w:rPr>
          <w:rFonts w:ascii="Times New Roman" w:eastAsia="Cambria" w:hAnsi="Times New Roman"/>
          <w:szCs w:val="24"/>
          <w:lang w:eastAsia="ja-JP"/>
        </w:rPr>
        <w:lastRenderedPageBreak/>
        <w:t>“if some hearings were held in the DRC, this would increase the visibility of justice among victims and allow victims who have been authorised to take part in proceedings to follow hearings.”</w:t>
      </w:r>
      <w:r>
        <w:rPr>
          <w:rStyle w:val="FootnoteReference"/>
          <w:rFonts w:ascii="Times New Roman" w:eastAsia="Cambria" w:hAnsi="Times New Roman"/>
          <w:szCs w:val="24"/>
          <w:lang w:eastAsia="ja-JP"/>
        </w:rPr>
        <w:footnoteReference w:id="668"/>
      </w:r>
    </w:p>
    <w:p w14:paraId="7F598229" w14:textId="7438D9F8" w:rsidR="00E366AE" w:rsidRDefault="00E366AE" w:rsidP="00E366AE">
      <w:pPr>
        <w:spacing w:after="0" w:line="480" w:lineRule="auto"/>
        <w:jc w:val="center"/>
        <w:rPr>
          <w:rFonts w:ascii="Times New Roman" w:eastAsia="Cambria" w:hAnsi="Times New Roman"/>
          <w:szCs w:val="24"/>
          <w:lang w:eastAsia="ja-JP"/>
        </w:rPr>
      </w:pPr>
      <w:r>
        <w:rPr>
          <w:rFonts w:ascii="Times New Roman" w:eastAsia="Cambria" w:hAnsi="Times New Roman"/>
          <w:szCs w:val="24"/>
          <w:lang w:eastAsia="ja-JP"/>
        </w:rPr>
        <w:t xml:space="preserve">In view of the Legal Representatives, insecurity in </w:t>
      </w:r>
      <w:proofErr w:type="spellStart"/>
      <w:r>
        <w:rPr>
          <w:rFonts w:ascii="Times New Roman" w:eastAsia="Cambria" w:hAnsi="Times New Roman"/>
          <w:szCs w:val="24"/>
          <w:lang w:eastAsia="ja-JP"/>
        </w:rPr>
        <w:t>Ituri</w:t>
      </w:r>
      <w:proofErr w:type="spellEnd"/>
      <w:r>
        <w:rPr>
          <w:rFonts w:ascii="Times New Roman" w:eastAsia="Cambria" w:hAnsi="Times New Roman"/>
          <w:szCs w:val="24"/>
          <w:lang w:eastAsia="ja-JP"/>
        </w:rPr>
        <w:t xml:space="preserve"> is currently too great for a tr</w:t>
      </w:r>
      <w:r w:rsidR="00245D5F">
        <w:rPr>
          <w:rFonts w:ascii="Times New Roman" w:eastAsia="Cambria" w:hAnsi="Times New Roman"/>
          <w:szCs w:val="24"/>
          <w:lang w:eastAsia="ja-JP"/>
        </w:rPr>
        <w:t>ial</w:t>
      </w:r>
      <w:r>
        <w:rPr>
          <w:rFonts w:ascii="Times New Roman" w:eastAsia="Cambria" w:hAnsi="Times New Roman"/>
          <w:szCs w:val="24"/>
          <w:lang w:eastAsia="ja-JP"/>
        </w:rPr>
        <w:t xml:space="preserve"> to be held in Bunia in normal conditions, but hearings could be held in Lubumbashi.”</w:t>
      </w:r>
      <w:r>
        <w:rPr>
          <w:rStyle w:val="FootnoteReference"/>
          <w:rFonts w:ascii="Times New Roman" w:eastAsia="Cambria" w:hAnsi="Times New Roman"/>
          <w:szCs w:val="24"/>
          <w:lang w:eastAsia="ja-JP"/>
        </w:rPr>
        <w:footnoteReference w:id="669"/>
      </w:r>
    </w:p>
    <w:p w14:paraId="58967FBC" w14:textId="20AF2FA8" w:rsidR="00AD1AD3" w:rsidRDefault="00AD1AD3" w:rsidP="00345102">
      <w:pPr>
        <w:spacing w:after="0" w:line="480" w:lineRule="auto"/>
        <w:jc w:val="both"/>
        <w:rPr>
          <w:rFonts w:ascii="Times New Roman" w:eastAsia="Cambria" w:hAnsi="Times New Roman"/>
          <w:szCs w:val="24"/>
          <w:lang w:eastAsia="ja-JP"/>
        </w:rPr>
      </w:pPr>
    </w:p>
    <w:p w14:paraId="7BC40A22" w14:textId="57952BD1" w:rsidR="00AD1AD3" w:rsidRPr="00345102" w:rsidRDefault="00AD1AD3" w:rsidP="00345102">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Clark notes that cultural issues and distance may disengage victims f</w:t>
      </w:r>
      <w:r w:rsidR="00B21C5E">
        <w:rPr>
          <w:rFonts w:ascii="Times New Roman" w:eastAsia="Cambria" w:hAnsi="Times New Roman"/>
          <w:szCs w:val="24"/>
          <w:lang w:eastAsia="ja-JP"/>
        </w:rPr>
        <w:t>rom</w:t>
      </w:r>
      <w:r>
        <w:rPr>
          <w:rFonts w:ascii="Times New Roman" w:eastAsia="Cambria" w:hAnsi="Times New Roman"/>
          <w:szCs w:val="24"/>
          <w:lang w:eastAsia="ja-JP"/>
        </w:rPr>
        <w:t xml:space="preserve"> the court and their legal representatives.</w:t>
      </w:r>
      <w:r>
        <w:rPr>
          <w:rStyle w:val="FootnoteReference"/>
          <w:rFonts w:ascii="Times New Roman" w:eastAsia="Cambria" w:hAnsi="Times New Roman"/>
          <w:szCs w:val="24"/>
          <w:lang w:eastAsia="ja-JP"/>
        </w:rPr>
        <w:footnoteReference w:id="670"/>
      </w:r>
      <w:r>
        <w:rPr>
          <w:rFonts w:ascii="Times New Roman" w:eastAsia="Cambria" w:hAnsi="Times New Roman"/>
          <w:szCs w:val="24"/>
          <w:lang w:eastAsia="ja-JP"/>
        </w:rPr>
        <w:t xml:space="preserve"> He argued that </w:t>
      </w:r>
      <w:r w:rsidR="00340D66">
        <w:rPr>
          <w:rFonts w:ascii="Times New Roman" w:eastAsia="Cambria" w:hAnsi="Times New Roman"/>
          <w:szCs w:val="24"/>
          <w:lang w:eastAsia="ja-JP"/>
        </w:rPr>
        <w:t>the ICC becomes distance from the victims in an attempt to remain impartial or neutral</w:t>
      </w:r>
      <w:r w:rsidR="006731C7">
        <w:rPr>
          <w:rFonts w:ascii="Times New Roman" w:eastAsia="Cambria" w:hAnsi="Times New Roman"/>
          <w:szCs w:val="24"/>
          <w:lang w:eastAsia="ja-JP"/>
        </w:rPr>
        <w:t>.</w:t>
      </w:r>
      <w:r w:rsidR="00B21C5E">
        <w:rPr>
          <w:rFonts w:ascii="Times New Roman" w:eastAsia="Cambria" w:hAnsi="Times New Roman"/>
          <w:szCs w:val="24"/>
          <w:lang w:eastAsia="ja-JP"/>
        </w:rPr>
        <w:t xml:space="preserve"> </w:t>
      </w:r>
      <w:r w:rsidR="00C21F1B">
        <w:rPr>
          <w:rFonts w:ascii="Times New Roman" w:eastAsia="Cambria" w:hAnsi="Times New Roman"/>
          <w:szCs w:val="24"/>
          <w:lang w:eastAsia="ja-JP"/>
        </w:rPr>
        <w:t>This</w:t>
      </w:r>
      <w:r w:rsidR="00245D5F">
        <w:rPr>
          <w:rFonts w:ascii="Times New Roman" w:eastAsia="Cambria" w:hAnsi="Times New Roman"/>
          <w:szCs w:val="24"/>
          <w:lang w:eastAsia="ja-JP"/>
        </w:rPr>
        <w:t xml:space="preserve"> situation played out</w:t>
      </w:r>
      <w:r w:rsidR="00C21F1B">
        <w:rPr>
          <w:rFonts w:ascii="Times New Roman" w:eastAsia="Cambria" w:hAnsi="Times New Roman"/>
          <w:szCs w:val="24"/>
          <w:lang w:eastAsia="ja-JP"/>
        </w:rPr>
        <w:t xml:space="preserve"> in the use of intermediaries and its implications on testimonies during the trial proceedings.</w:t>
      </w:r>
      <w:r w:rsidR="00C21F1B">
        <w:rPr>
          <w:rStyle w:val="FootnoteReference"/>
          <w:rFonts w:ascii="Times New Roman" w:eastAsia="Cambria" w:hAnsi="Times New Roman"/>
          <w:szCs w:val="24"/>
          <w:lang w:eastAsia="ja-JP"/>
        </w:rPr>
        <w:footnoteReference w:id="671"/>
      </w:r>
      <w:r w:rsidR="006731C7">
        <w:rPr>
          <w:rFonts w:ascii="Times New Roman" w:eastAsia="Cambria" w:hAnsi="Times New Roman"/>
          <w:szCs w:val="24"/>
          <w:lang w:eastAsia="ja-JP"/>
        </w:rPr>
        <w:t xml:space="preserve"> Arguably, the </w:t>
      </w:r>
      <w:r w:rsidR="007A4334">
        <w:rPr>
          <w:rFonts w:ascii="Times New Roman" w:eastAsia="Cambria" w:hAnsi="Times New Roman"/>
          <w:szCs w:val="24"/>
          <w:lang w:eastAsia="ja-JP"/>
        </w:rPr>
        <w:t>I</w:t>
      </w:r>
      <w:r w:rsidR="006731C7">
        <w:rPr>
          <w:rFonts w:ascii="Times New Roman" w:eastAsia="Cambria" w:hAnsi="Times New Roman"/>
          <w:szCs w:val="24"/>
          <w:lang w:eastAsia="ja-JP"/>
        </w:rPr>
        <w:t xml:space="preserve">CC </w:t>
      </w:r>
      <w:r w:rsidR="00B21C5E">
        <w:rPr>
          <w:rFonts w:ascii="Times New Roman" w:eastAsia="Cambria" w:hAnsi="Times New Roman"/>
          <w:szCs w:val="24"/>
          <w:lang w:eastAsia="ja-JP"/>
        </w:rPr>
        <w:t xml:space="preserve">may </w:t>
      </w:r>
      <w:r w:rsidR="006731C7">
        <w:rPr>
          <w:rFonts w:ascii="Times New Roman" w:eastAsia="Cambria" w:hAnsi="Times New Roman"/>
          <w:szCs w:val="24"/>
          <w:lang w:eastAsia="ja-JP"/>
        </w:rPr>
        <w:t>lack connection with victims because of cultural differences between its staff and the victims.</w:t>
      </w:r>
      <w:r w:rsidR="00245D5F">
        <w:rPr>
          <w:rFonts w:ascii="Times New Roman" w:eastAsia="Cambria" w:hAnsi="Times New Roman"/>
          <w:szCs w:val="24"/>
          <w:lang w:eastAsia="ja-JP"/>
        </w:rPr>
        <w:t xml:space="preserve"> </w:t>
      </w:r>
      <w:r w:rsidR="00B21C5E">
        <w:rPr>
          <w:rFonts w:ascii="Times New Roman" w:eastAsia="Cambria" w:hAnsi="Times New Roman"/>
          <w:szCs w:val="24"/>
          <w:lang w:eastAsia="ja-JP"/>
        </w:rPr>
        <w:t>However, the language barrier is addressed by the use of interpreters.</w:t>
      </w:r>
      <w:r w:rsidR="00A11739">
        <w:rPr>
          <w:rFonts w:ascii="Times New Roman" w:eastAsia="Cambria" w:hAnsi="Times New Roman"/>
          <w:szCs w:val="24"/>
          <w:lang w:eastAsia="ja-JP"/>
        </w:rPr>
        <w:t xml:space="preserve"> </w:t>
      </w:r>
      <w:r w:rsidR="00572BE0">
        <w:rPr>
          <w:rFonts w:ascii="Times New Roman" w:eastAsia="Cambria" w:hAnsi="Times New Roman"/>
          <w:szCs w:val="24"/>
          <w:lang w:eastAsia="ja-JP"/>
        </w:rPr>
        <w:t xml:space="preserve">Cultural differences pose </w:t>
      </w:r>
      <w:r w:rsidR="00245D5F">
        <w:rPr>
          <w:rFonts w:ascii="Times New Roman" w:eastAsia="Cambria" w:hAnsi="Times New Roman"/>
          <w:szCs w:val="24"/>
          <w:lang w:eastAsia="ja-JP"/>
        </w:rPr>
        <w:t xml:space="preserve">a </w:t>
      </w:r>
      <w:r w:rsidR="00572BE0">
        <w:rPr>
          <w:rFonts w:ascii="Times New Roman" w:eastAsia="Cambria" w:hAnsi="Times New Roman"/>
          <w:szCs w:val="24"/>
          <w:lang w:eastAsia="ja-JP"/>
        </w:rPr>
        <w:t xml:space="preserve">challenge between the </w:t>
      </w:r>
      <w:r w:rsidR="00340D66">
        <w:rPr>
          <w:rFonts w:ascii="Times New Roman" w:eastAsia="Cambria" w:hAnsi="Times New Roman"/>
          <w:szCs w:val="24"/>
          <w:lang w:eastAsia="ja-JP"/>
        </w:rPr>
        <w:t>ICC's applicable substantive and procedural law</w:t>
      </w:r>
      <w:r w:rsidR="00572BE0">
        <w:rPr>
          <w:rFonts w:ascii="Times New Roman" w:eastAsia="Cambria" w:hAnsi="Times New Roman"/>
          <w:szCs w:val="24"/>
          <w:lang w:eastAsia="ja-JP"/>
        </w:rPr>
        <w:t xml:space="preserve"> and the </w:t>
      </w:r>
      <w:r w:rsidR="00A875B4">
        <w:rPr>
          <w:rFonts w:ascii="Times New Roman" w:eastAsia="Cambria" w:hAnsi="Times New Roman"/>
          <w:szCs w:val="24"/>
          <w:lang w:eastAsia="ja-JP"/>
        </w:rPr>
        <w:t>national jurisdiction's operating law</w:t>
      </w:r>
      <w:r w:rsidR="00572BE0">
        <w:rPr>
          <w:rFonts w:ascii="Times New Roman" w:eastAsia="Cambria" w:hAnsi="Times New Roman"/>
          <w:szCs w:val="24"/>
          <w:lang w:eastAsia="ja-JP"/>
        </w:rPr>
        <w:t>.</w:t>
      </w:r>
      <w:r w:rsidR="009626E7">
        <w:rPr>
          <w:rFonts w:ascii="Times New Roman" w:eastAsia="Cambria" w:hAnsi="Times New Roman"/>
          <w:szCs w:val="24"/>
          <w:lang w:eastAsia="ja-JP"/>
        </w:rPr>
        <w:t xml:space="preserve"> </w:t>
      </w:r>
      <w:r w:rsidR="00A11739">
        <w:rPr>
          <w:rFonts w:ascii="Times New Roman" w:eastAsia="Cambria" w:hAnsi="Times New Roman"/>
          <w:szCs w:val="24"/>
          <w:lang w:eastAsia="ja-JP"/>
        </w:rPr>
        <w:t xml:space="preserve">For example, the inconsistency between the rules, principles and </w:t>
      </w:r>
      <w:r w:rsidR="00340D66">
        <w:rPr>
          <w:rFonts w:ascii="Times New Roman" w:eastAsia="Cambria" w:hAnsi="Times New Roman"/>
          <w:szCs w:val="24"/>
          <w:lang w:eastAsia="ja-JP"/>
        </w:rPr>
        <w:t>regulation</w:t>
      </w:r>
      <w:r w:rsidR="00A11739">
        <w:rPr>
          <w:rFonts w:ascii="Times New Roman" w:eastAsia="Cambria" w:hAnsi="Times New Roman"/>
          <w:szCs w:val="24"/>
          <w:lang w:eastAsia="ja-JP"/>
        </w:rPr>
        <w:t xml:space="preserve">s on rape and </w:t>
      </w:r>
      <w:r w:rsidR="00A11739">
        <w:rPr>
          <w:rFonts w:ascii="Times New Roman" w:eastAsia="Cambria" w:hAnsi="Times New Roman"/>
          <w:szCs w:val="24"/>
          <w:lang w:eastAsia="ja-JP"/>
        </w:rPr>
        <w:lastRenderedPageBreak/>
        <w:t>other forms of sexual violence applicable in national jurisdiction and other international instruments(human rights law, Convention on the Rights of the Child, Convention on all Forms of Discrimination Against Women, International Humanitarian Law)</w:t>
      </w:r>
      <w:r w:rsidR="00572BE0">
        <w:rPr>
          <w:rFonts w:ascii="Times New Roman" w:eastAsia="Cambria" w:hAnsi="Times New Roman"/>
          <w:szCs w:val="24"/>
          <w:lang w:eastAsia="ja-JP"/>
        </w:rPr>
        <w:t xml:space="preserve"> </w:t>
      </w:r>
      <w:r w:rsidR="00A11739">
        <w:rPr>
          <w:rFonts w:ascii="Times New Roman" w:eastAsia="Cambria" w:hAnsi="Times New Roman"/>
          <w:szCs w:val="24"/>
          <w:lang w:eastAsia="ja-JP"/>
        </w:rPr>
        <w:t xml:space="preserve">and the Rome Statute, including the RPE </w:t>
      </w:r>
      <w:r w:rsidR="009626E7">
        <w:rPr>
          <w:rFonts w:ascii="Times New Roman" w:eastAsia="Cambria" w:hAnsi="Times New Roman"/>
          <w:szCs w:val="24"/>
          <w:lang w:eastAsia="ja-JP"/>
        </w:rPr>
        <w:t>reveals the difficulties encountered in the investigation and prosecution of these crimes.</w:t>
      </w:r>
      <w:r w:rsidR="009626E7">
        <w:rPr>
          <w:rStyle w:val="FootnoteReference"/>
          <w:rFonts w:ascii="Times New Roman" w:eastAsia="Cambria" w:hAnsi="Times New Roman"/>
          <w:szCs w:val="24"/>
          <w:lang w:eastAsia="ja-JP"/>
        </w:rPr>
        <w:footnoteReference w:id="672"/>
      </w:r>
      <w:r w:rsidR="009626E7">
        <w:rPr>
          <w:rFonts w:ascii="Times New Roman" w:eastAsia="Cambria" w:hAnsi="Times New Roman"/>
          <w:szCs w:val="24"/>
          <w:lang w:eastAsia="ja-JP"/>
        </w:rPr>
        <w:t xml:space="preserve"> </w:t>
      </w:r>
      <w:r w:rsidR="00340D66">
        <w:rPr>
          <w:rFonts w:ascii="Times New Roman" w:eastAsia="Cambria" w:hAnsi="Times New Roman"/>
          <w:szCs w:val="24"/>
          <w:lang w:eastAsia="ja-JP"/>
        </w:rPr>
        <w:t>These are possibly the issues that</w:t>
      </w:r>
      <w:r w:rsidR="009626E7">
        <w:rPr>
          <w:rFonts w:ascii="Times New Roman" w:eastAsia="Cambria" w:hAnsi="Times New Roman"/>
          <w:szCs w:val="24"/>
          <w:lang w:eastAsia="ja-JP"/>
        </w:rPr>
        <w:t xml:space="preserve"> </w:t>
      </w:r>
      <w:r w:rsidR="00245D5F">
        <w:rPr>
          <w:rFonts w:ascii="Times New Roman" w:eastAsia="Cambria" w:hAnsi="Times New Roman"/>
          <w:szCs w:val="24"/>
          <w:lang w:eastAsia="ja-JP"/>
        </w:rPr>
        <w:t>failed</w:t>
      </w:r>
      <w:r w:rsidR="009626E7">
        <w:rPr>
          <w:rFonts w:ascii="Times New Roman" w:eastAsia="Cambria" w:hAnsi="Times New Roman"/>
          <w:szCs w:val="24"/>
          <w:lang w:eastAsia="ja-JP"/>
        </w:rPr>
        <w:t xml:space="preserve"> the Prosecutor to investigate SGBV</w:t>
      </w:r>
      <w:r w:rsidR="00B21C5E">
        <w:rPr>
          <w:rFonts w:ascii="Times New Roman" w:eastAsia="Cambria" w:hAnsi="Times New Roman"/>
          <w:szCs w:val="24"/>
          <w:lang w:eastAsia="ja-JP"/>
        </w:rPr>
        <w:t>(difficulties in proving sexual violence and rape)</w:t>
      </w:r>
      <w:r w:rsidR="009626E7">
        <w:rPr>
          <w:rFonts w:ascii="Times New Roman" w:eastAsia="Cambria" w:hAnsi="Times New Roman"/>
          <w:szCs w:val="24"/>
          <w:lang w:eastAsia="ja-JP"/>
        </w:rPr>
        <w:t xml:space="preserve">. </w:t>
      </w:r>
      <w:r w:rsidR="00572BE0">
        <w:rPr>
          <w:rFonts w:ascii="Times New Roman" w:eastAsia="Cambria" w:hAnsi="Times New Roman"/>
          <w:szCs w:val="24"/>
          <w:lang w:eastAsia="ja-JP"/>
        </w:rPr>
        <w:t>These challenges reflect the disparity between the victims</w:t>
      </w:r>
      <w:r w:rsidR="00245D5F">
        <w:rPr>
          <w:rFonts w:ascii="Times New Roman" w:eastAsia="Cambria" w:hAnsi="Times New Roman"/>
          <w:szCs w:val="24"/>
          <w:lang w:eastAsia="ja-JP"/>
        </w:rPr>
        <w:t>'</w:t>
      </w:r>
      <w:r w:rsidR="00572BE0">
        <w:rPr>
          <w:rFonts w:ascii="Times New Roman" w:eastAsia="Cambria" w:hAnsi="Times New Roman"/>
          <w:szCs w:val="24"/>
          <w:lang w:eastAsia="ja-JP"/>
        </w:rPr>
        <w:t xml:space="preserve"> expectation and the reality of the ICC.</w:t>
      </w:r>
      <w:r w:rsidR="006731C7">
        <w:rPr>
          <w:rFonts w:ascii="Times New Roman" w:eastAsia="Cambria" w:hAnsi="Times New Roman"/>
          <w:szCs w:val="24"/>
          <w:lang w:eastAsia="ja-JP"/>
        </w:rPr>
        <w:t xml:space="preserve"> One possible solution is for the ICC to recruit staff from the same country or situation to represent victims. </w:t>
      </w:r>
      <w:r w:rsidR="00245D5F">
        <w:rPr>
          <w:rFonts w:ascii="Times New Roman" w:eastAsia="Cambria" w:hAnsi="Times New Roman"/>
          <w:szCs w:val="24"/>
          <w:lang w:eastAsia="ja-JP"/>
        </w:rPr>
        <w:t>Understandably,</w:t>
      </w:r>
      <w:r w:rsidR="006731C7">
        <w:rPr>
          <w:rFonts w:ascii="Times New Roman" w:eastAsia="Cambria" w:hAnsi="Times New Roman"/>
          <w:szCs w:val="24"/>
          <w:lang w:eastAsia="ja-JP"/>
        </w:rPr>
        <w:t xml:space="preserve"> the ICC may be cautious </w:t>
      </w:r>
      <w:r w:rsidR="00652308">
        <w:rPr>
          <w:rFonts w:ascii="Times New Roman" w:eastAsia="Cambria" w:hAnsi="Times New Roman"/>
          <w:szCs w:val="24"/>
          <w:lang w:eastAsia="ja-JP"/>
        </w:rPr>
        <w:t>about being biased</w:t>
      </w:r>
      <w:r w:rsidR="00245D5F">
        <w:rPr>
          <w:rFonts w:ascii="Times New Roman" w:eastAsia="Cambria" w:hAnsi="Times New Roman"/>
          <w:szCs w:val="24"/>
          <w:lang w:eastAsia="ja-JP"/>
        </w:rPr>
        <w:t xml:space="preserve">. Presumably, </w:t>
      </w:r>
      <w:r w:rsidR="006731C7">
        <w:rPr>
          <w:rFonts w:ascii="Times New Roman" w:eastAsia="Cambria" w:hAnsi="Times New Roman"/>
          <w:szCs w:val="24"/>
          <w:lang w:eastAsia="ja-JP"/>
        </w:rPr>
        <w:t>the ICC might have distanced itself from politics</w:t>
      </w:r>
      <w:r w:rsidR="00245D5F">
        <w:rPr>
          <w:rFonts w:ascii="Times New Roman" w:eastAsia="Cambria" w:hAnsi="Times New Roman"/>
          <w:szCs w:val="24"/>
          <w:lang w:eastAsia="ja-JP"/>
        </w:rPr>
        <w:t>;</w:t>
      </w:r>
      <w:r w:rsidR="006731C7">
        <w:rPr>
          <w:rFonts w:ascii="Times New Roman" w:eastAsia="Cambria" w:hAnsi="Times New Roman"/>
          <w:szCs w:val="24"/>
          <w:lang w:eastAsia="ja-JP"/>
        </w:rPr>
        <w:t xml:space="preserve"> inadvertently</w:t>
      </w:r>
      <w:r w:rsidR="00245D5F">
        <w:rPr>
          <w:rFonts w:ascii="Times New Roman" w:eastAsia="Cambria" w:hAnsi="Times New Roman"/>
          <w:szCs w:val="24"/>
          <w:lang w:eastAsia="ja-JP"/>
        </w:rPr>
        <w:t>;</w:t>
      </w:r>
      <w:r w:rsidR="006731C7">
        <w:rPr>
          <w:rFonts w:ascii="Times New Roman" w:eastAsia="Cambria" w:hAnsi="Times New Roman"/>
          <w:szCs w:val="24"/>
          <w:lang w:eastAsia="ja-JP"/>
        </w:rPr>
        <w:t xml:space="preserve"> th</w:t>
      </w:r>
      <w:r w:rsidR="00245D5F">
        <w:rPr>
          <w:rFonts w:ascii="Times New Roman" w:eastAsia="Cambria" w:hAnsi="Times New Roman"/>
          <w:szCs w:val="24"/>
          <w:lang w:eastAsia="ja-JP"/>
        </w:rPr>
        <w:t>e remoteness</w:t>
      </w:r>
      <w:r w:rsidR="006731C7">
        <w:rPr>
          <w:rFonts w:ascii="Times New Roman" w:eastAsia="Cambria" w:hAnsi="Times New Roman"/>
          <w:szCs w:val="24"/>
          <w:lang w:eastAsia="ja-JP"/>
        </w:rPr>
        <w:t xml:space="preserve"> resul</w:t>
      </w:r>
      <w:r w:rsidR="00245D5F">
        <w:rPr>
          <w:rFonts w:ascii="Times New Roman" w:eastAsia="Cambria" w:hAnsi="Times New Roman"/>
          <w:szCs w:val="24"/>
          <w:lang w:eastAsia="ja-JP"/>
        </w:rPr>
        <w:t>ted</w:t>
      </w:r>
      <w:r w:rsidR="006731C7">
        <w:rPr>
          <w:rFonts w:ascii="Times New Roman" w:eastAsia="Cambria" w:hAnsi="Times New Roman"/>
          <w:szCs w:val="24"/>
          <w:lang w:eastAsia="ja-JP"/>
        </w:rPr>
        <w:t xml:space="preserve"> in a di</w:t>
      </w:r>
      <w:r w:rsidR="00245D5F">
        <w:rPr>
          <w:rFonts w:ascii="Times New Roman" w:eastAsia="Cambria" w:hAnsi="Times New Roman"/>
          <w:szCs w:val="24"/>
          <w:lang w:eastAsia="ja-JP"/>
        </w:rPr>
        <w:t>sengagement</w:t>
      </w:r>
      <w:r w:rsidR="006731C7">
        <w:rPr>
          <w:rFonts w:ascii="Times New Roman" w:eastAsia="Cambria" w:hAnsi="Times New Roman"/>
          <w:szCs w:val="24"/>
          <w:lang w:eastAsia="ja-JP"/>
        </w:rPr>
        <w:t xml:space="preserve"> between the victims and the court. </w:t>
      </w:r>
    </w:p>
    <w:p w14:paraId="27E5019E" w14:textId="77777777" w:rsidR="006E622A" w:rsidRPr="00345102" w:rsidRDefault="006E622A" w:rsidP="00345102">
      <w:pPr>
        <w:spacing w:after="0" w:line="480" w:lineRule="auto"/>
        <w:jc w:val="both"/>
        <w:rPr>
          <w:rFonts w:ascii="Times New Roman" w:hAnsi="Times New Roman"/>
          <w:szCs w:val="24"/>
        </w:rPr>
      </w:pPr>
    </w:p>
    <w:p w14:paraId="177BDBA9" w14:textId="508A1FE7" w:rsidR="00F665CB" w:rsidRPr="00345102" w:rsidRDefault="00207BAA" w:rsidP="00345102">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The LRV’s role in victim participation is shown in </w:t>
      </w:r>
      <w:r w:rsidR="006E622A" w:rsidRPr="00345102">
        <w:rPr>
          <w:rFonts w:ascii="Times New Roman" w:eastAsia="Cambria" w:hAnsi="Times New Roman"/>
          <w:szCs w:val="24"/>
          <w:lang w:eastAsia="ja-JP"/>
        </w:rPr>
        <w:t xml:space="preserve"> Prosecutor v Katanga</w:t>
      </w:r>
      <w:r w:rsidR="00245D5F">
        <w:rPr>
          <w:rFonts w:ascii="Times New Roman" w:eastAsia="Cambria" w:hAnsi="Times New Roman"/>
          <w:szCs w:val="24"/>
          <w:lang w:eastAsia="ja-JP"/>
        </w:rPr>
        <w:t>;</w:t>
      </w:r>
      <w:r w:rsidR="00F278AD">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the Chamber held that victims</w:t>
      </w:r>
      <w:r w:rsidR="00340D66">
        <w:rPr>
          <w:rFonts w:ascii="Times New Roman" w:eastAsia="Cambria" w:hAnsi="Times New Roman"/>
          <w:szCs w:val="24"/>
          <w:lang w:eastAsia="ja-JP"/>
        </w:rPr>
        <w:t>' right to choose legal representative is not a</w:t>
      </w:r>
      <w:r w:rsidR="00A16DA1">
        <w:rPr>
          <w:rFonts w:ascii="Times New Roman" w:eastAsia="Cambria" w:hAnsi="Times New Roman"/>
          <w:szCs w:val="24"/>
          <w:lang w:eastAsia="ja-JP"/>
        </w:rPr>
        <w:t>bsolute</w:t>
      </w:r>
      <w:r w:rsidR="00340D66">
        <w:rPr>
          <w:rFonts w:ascii="Times New Roman" w:eastAsia="Cambria" w:hAnsi="Times New Roman"/>
          <w:szCs w:val="24"/>
          <w:lang w:eastAsia="ja-JP"/>
        </w:rPr>
        <w:t>; it is a right</w:t>
      </w:r>
      <w:r w:rsidR="006E622A" w:rsidRPr="00345102">
        <w:rPr>
          <w:rFonts w:ascii="Times New Roman" w:eastAsia="Cambria" w:hAnsi="Times New Roman"/>
          <w:szCs w:val="24"/>
          <w:lang w:eastAsia="ja-JP"/>
        </w:rPr>
        <w:t xml:space="preserve"> made subject to paragraph 2 and 3 of Rule 90.</w:t>
      </w:r>
      <w:r w:rsidR="006E622A" w:rsidRPr="00345102">
        <w:rPr>
          <w:rFonts w:ascii="Times New Roman" w:eastAsia="Cambria" w:hAnsi="Times New Roman"/>
          <w:szCs w:val="24"/>
          <w:vertAlign w:val="superscript"/>
          <w:lang w:eastAsia="ja-JP"/>
        </w:rPr>
        <w:footnoteReference w:id="673"/>
      </w:r>
      <w:r w:rsidR="006E622A" w:rsidRPr="00345102">
        <w:rPr>
          <w:rFonts w:ascii="Times New Roman" w:eastAsia="Cambria" w:hAnsi="Times New Roman"/>
          <w:szCs w:val="24"/>
          <w:lang w:eastAsia="ja-JP"/>
        </w:rPr>
        <w:t>This brings to light the</w:t>
      </w:r>
      <w:r w:rsidR="00245D5F">
        <w:rPr>
          <w:rFonts w:ascii="Times New Roman" w:eastAsia="Cambria" w:hAnsi="Times New Roman"/>
          <w:szCs w:val="24"/>
          <w:lang w:eastAsia="ja-JP"/>
        </w:rPr>
        <w:t xml:space="preserve"> indispensable role of </w:t>
      </w:r>
      <w:r w:rsidR="006E622A" w:rsidRPr="00345102">
        <w:rPr>
          <w:rFonts w:ascii="Times New Roman" w:eastAsia="Cambria" w:hAnsi="Times New Roman"/>
          <w:szCs w:val="24"/>
          <w:lang w:eastAsia="ja-JP"/>
        </w:rPr>
        <w:t xml:space="preserve"> LRVs </w:t>
      </w:r>
      <w:r w:rsidR="00245D5F">
        <w:rPr>
          <w:rFonts w:ascii="Times New Roman" w:eastAsia="Cambria" w:hAnsi="Times New Roman"/>
          <w:szCs w:val="24"/>
          <w:lang w:eastAsia="ja-JP"/>
        </w:rPr>
        <w:t>in</w:t>
      </w:r>
      <w:r w:rsidR="006E622A" w:rsidRPr="00345102">
        <w:rPr>
          <w:rFonts w:ascii="Times New Roman" w:eastAsia="Cambria" w:hAnsi="Times New Roman"/>
          <w:szCs w:val="24"/>
          <w:lang w:eastAsia="ja-JP"/>
        </w:rPr>
        <w:t xml:space="preserve"> </w:t>
      </w:r>
      <w:r w:rsidR="00245D5F">
        <w:rPr>
          <w:rFonts w:ascii="Times New Roman" w:eastAsia="Cambria" w:hAnsi="Times New Roman"/>
          <w:szCs w:val="24"/>
          <w:lang w:eastAsia="ja-JP"/>
        </w:rPr>
        <w:t>trials</w:t>
      </w:r>
      <w:r w:rsidR="006E622A" w:rsidRPr="00345102">
        <w:rPr>
          <w:rFonts w:ascii="Times New Roman" w:eastAsia="Cambria" w:hAnsi="Times New Roman"/>
          <w:szCs w:val="24"/>
          <w:lang w:eastAsia="ja-JP"/>
        </w:rPr>
        <w:t>.</w:t>
      </w:r>
      <w:r w:rsidR="00F665CB"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Regardless, this does not avail the denial of victims right to choose LRVs of their choice.</w:t>
      </w:r>
      <w:r w:rsidR="00F665CB" w:rsidRPr="00345102">
        <w:rPr>
          <w:rFonts w:ascii="Times New Roman" w:eastAsia="Cambria" w:hAnsi="Times New Roman"/>
          <w:szCs w:val="24"/>
          <w:lang w:eastAsia="ja-JP"/>
        </w:rPr>
        <w:t xml:space="preserve"> </w:t>
      </w:r>
      <w:r w:rsidR="006054ED" w:rsidRPr="00345102">
        <w:rPr>
          <w:rFonts w:ascii="Times New Roman" w:eastAsia="Cambria" w:hAnsi="Times New Roman"/>
          <w:szCs w:val="24"/>
          <w:lang w:eastAsia="ja-JP"/>
        </w:rPr>
        <w:t>As a result of the situation,</w:t>
      </w:r>
      <w:r w:rsidR="006E622A" w:rsidRPr="00345102">
        <w:rPr>
          <w:rFonts w:ascii="Times New Roman" w:eastAsia="Cambria" w:hAnsi="Times New Roman"/>
          <w:szCs w:val="24"/>
          <w:lang w:eastAsia="ja-JP"/>
        </w:rPr>
        <w:t xml:space="preserve"> some victims may not be intellectually and psychologically sound to choose a competent lawyer </w:t>
      </w:r>
      <w:r w:rsidR="00104471" w:rsidRPr="00345102">
        <w:rPr>
          <w:rFonts w:ascii="Times New Roman" w:eastAsia="Cambria" w:hAnsi="Times New Roman"/>
          <w:szCs w:val="24"/>
          <w:lang w:eastAsia="ja-JP"/>
        </w:rPr>
        <w:t>to represent them.</w:t>
      </w:r>
      <w:r w:rsidR="00F665CB" w:rsidRPr="00345102">
        <w:rPr>
          <w:rFonts w:ascii="Times New Roman" w:eastAsia="Cambria" w:hAnsi="Times New Roman"/>
          <w:szCs w:val="24"/>
          <w:lang w:eastAsia="ja-JP"/>
        </w:rPr>
        <w:t xml:space="preserve"> </w:t>
      </w:r>
      <w:r w:rsidR="00104471" w:rsidRPr="00345102">
        <w:rPr>
          <w:rFonts w:ascii="Times New Roman" w:eastAsia="Cambria" w:hAnsi="Times New Roman"/>
          <w:szCs w:val="24"/>
          <w:lang w:eastAsia="ja-JP"/>
        </w:rPr>
        <w:t>It will for the Chamber to choose LRVs for victims in such a situation.</w:t>
      </w:r>
      <w:r w:rsidR="00F665CB" w:rsidRPr="00345102">
        <w:rPr>
          <w:rFonts w:ascii="Times New Roman" w:eastAsia="Cambria" w:hAnsi="Times New Roman"/>
          <w:szCs w:val="24"/>
          <w:lang w:eastAsia="ja-JP"/>
        </w:rPr>
        <w:t xml:space="preserve"> </w:t>
      </w:r>
      <w:r w:rsidR="006E622A" w:rsidRPr="00345102">
        <w:rPr>
          <w:rFonts w:ascii="Times New Roman" w:eastAsia="Cambria" w:hAnsi="Times New Roman"/>
          <w:szCs w:val="24"/>
          <w:lang w:eastAsia="ja-JP"/>
        </w:rPr>
        <w:t xml:space="preserve">According to a study by </w:t>
      </w:r>
      <w:r w:rsidR="006E622A" w:rsidRPr="00345102">
        <w:rPr>
          <w:rFonts w:ascii="Times New Roman" w:eastAsia="Cambria" w:hAnsi="Times New Roman"/>
          <w:szCs w:val="24"/>
          <w:lang w:eastAsia="ja-JP"/>
        </w:rPr>
        <w:lastRenderedPageBreak/>
        <w:t>the Human Rights Watch, the Court has factored in cost and efficiency implications, to have primacy over victims’ views</w:t>
      </w:r>
      <w:r w:rsidR="00A20B71" w:rsidRPr="00345102">
        <w:rPr>
          <w:rFonts w:ascii="Times New Roman" w:eastAsia="Cambria" w:hAnsi="Times New Roman"/>
          <w:szCs w:val="24"/>
          <w:lang w:eastAsia="ja-JP"/>
        </w:rPr>
        <w:t xml:space="preserve"> on their legal representation </w:t>
      </w:r>
      <w:r w:rsidR="006E622A" w:rsidRPr="00345102">
        <w:rPr>
          <w:rFonts w:ascii="Times New Roman" w:eastAsia="Cambria" w:hAnsi="Times New Roman"/>
          <w:szCs w:val="24"/>
          <w:lang w:eastAsia="ja-JP"/>
        </w:rPr>
        <w:t xml:space="preserve">in </w:t>
      </w:r>
      <w:r w:rsidR="00340D66">
        <w:rPr>
          <w:rFonts w:ascii="Times New Roman" w:eastAsia="Cambria" w:hAnsi="Times New Roman"/>
          <w:szCs w:val="24"/>
          <w:lang w:eastAsia="ja-JP"/>
        </w:rPr>
        <w:t>determining</w:t>
      </w:r>
      <w:r w:rsidR="006E622A" w:rsidRPr="00345102">
        <w:rPr>
          <w:rFonts w:ascii="Times New Roman" w:eastAsia="Cambria" w:hAnsi="Times New Roman"/>
          <w:szCs w:val="24"/>
          <w:lang w:eastAsia="ja-JP"/>
        </w:rPr>
        <w:t xml:space="preserve"> LRVs.</w:t>
      </w:r>
      <w:r w:rsidR="006E622A" w:rsidRPr="00345102">
        <w:rPr>
          <w:rFonts w:ascii="Times New Roman" w:eastAsia="Cambria" w:hAnsi="Times New Roman"/>
          <w:szCs w:val="24"/>
          <w:vertAlign w:val="superscript"/>
          <w:lang w:eastAsia="ja-JP"/>
        </w:rPr>
        <w:footnoteReference w:id="674"/>
      </w:r>
      <w:r w:rsidR="006E622A" w:rsidRPr="00345102">
        <w:rPr>
          <w:rFonts w:ascii="Times New Roman" w:eastAsia="Cambria" w:hAnsi="Times New Roman"/>
          <w:szCs w:val="24"/>
          <w:lang w:eastAsia="ja-JP"/>
        </w:rPr>
        <w:t>Th</w:t>
      </w:r>
      <w:r w:rsidR="008B3B03">
        <w:rPr>
          <w:rFonts w:ascii="Times New Roman" w:eastAsia="Cambria" w:hAnsi="Times New Roman"/>
          <w:szCs w:val="24"/>
          <w:lang w:eastAsia="ja-JP"/>
        </w:rPr>
        <w:t>e study</w:t>
      </w:r>
      <w:r w:rsidR="006E622A" w:rsidRPr="00345102">
        <w:rPr>
          <w:rFonts w:ascii="Times New Roman" w:eastAsia="Cambria" w:hAnsi="Times New Roman"/>
          <w:szCs w:val="24"/>
          <w:lang w:eastAsia="ja-JP"/>
        </w:rPr>
        <w:t xml:space="preserve"> implies that victims’ views on legal representation </w:t>
      </w:r>
      <w:r w:rsidR="00F665CB" w:rsidRPr="00345102">
        <w:rPr>
          <w:rFonts w:ascii="Times New Roman" w:eastAsia="Cambria" w:hAnsi="Times New Roman"/>
          <w:szCs w:val="24"/>
          <w:lang w:eastAsia="ja-JP"/>
        </w:rPr>
        <w:t>are</w:t>
      </w:r>
      <w:r w:rsidR="006E622A" w:rsidRPr="00345102">
        <w:rPr>
          <w:rFonts w:ascii="Times New Roman" w:eastAsia="Cambria" w:hAnsi="Times New Roman"/>
          <w:szCs w:val="24"/>
          <w:lang w:eastAsia="ja-JP"/>
        </w:rPr>
        <w:t xml:space="preserve"> </w:t>
      </w:r>
      <w:r w:rsidR="00666DE1">
        <w:rPr>
          <w:rFonts w:ascii="Times New Roman" w:eastAsia="Cambria" w:hAnsi="Times New Roman"/>
          <w:szCs w:val="24"/>
          <w:lang w:eastAsia="ja-JP"/>
        </w:rPr>
        <w:t xml:space="preserve">not </w:t>
      </w:r>
      <w:r w:rsidR="006E622A" w:rsidRPr="00345102">
        <w:rPr>
          <w:rFonts w:ascii="Times New Roman" w:eastAsia="Cambria" w:hAnsi="Times New Roman"/>
          <w:szCs w:val="24"/>
          <w:lang w:eastAsia="ja-JP"/>
        </w:rPr>
        <w:t>relevant</w:t>
      </w:r>
      <w:r w:rsidR="00666DE1">
        <w:rPr>
          <w:rFonts w:ascii="Times New Roman" w:eastAsia="Cambria" w:hAnsi="Times New Roman"/>
          <w:szCs w:val="24"/>
          <w:lang w:eastAsia="ja-JP"/>
        </w:rPr>
        <w:t xml:space="preserve"> in their appointment.</w:t>
      </w:r>
      <w:r w:rsidR="008B3B03">
        <w:rPr>
          <w:rFonts w:ascii="Times New Roman" w:eastAsia="Cambria" w:hAnsi="Times New Roman"/>
          <w:szCs w:val="24"/>
          <w:lang w:eastAsia="ja-JP"/>
        </w:rPr>
        <w:t xml:space="preserve"> </w:t>
      </w:r>
      <w:r w:rsidR="00666DE1">
        <w:rPr>
          <w:rFonts w:ascii="Times New Roman" w:eastAsia="Cambria" w:hAnsi="Times New Roman"/>
          <w:szCs w:val="24"/>
          <w:lang w:eastAsia="ja-JP"/>
        </w:rPr>
        <w:t>It is a prerogative of</w:t>
      </w:r>
      <w:r w:rsidR="0069513E">
        <w:rPr>
          <w:rFonts w:ascii="Times New Roman" w:eastAsia="Cambria" w:hAnsi="Times New Roman"/>
          <w:szCs w:val="24"/>
          <w:lang w:eastAsia="ja-JP"/>
        </w:rPr>
        <w:t xml:space="preserve"> the</w:t>
      </w:r>
      <w:r w:rsidR="00666DE1">
        <w:rPr>
          <w:rFonts w:ascii="Times New Roman" w:eastAsia="Cambria" w:hAnsi="Times New Roman"/>
          <w:szCs w:val="24"/>
          <w:lang w:eastAsia="ja-JP"/>
        </w:rPr>
        <w:t xml:space="preserve"> Court.</w:t>
      </w:r>
      <w:r w:rsidR="00245D5F">
        <w:rPr>
          <w:rFonts w:ascii="Times New Roman" w:eastAsia="Cambria" w:hAnsi="Times New Roman"/>
          <w:szCs w:val="24"/>
          <w:lang w:eastAsia="ja-JP"/>
        </w:rPr>
        <w:t xml:space="preserve"> </w:t>
      </w:r>
      <w:r w:rsidR="00BF4761">
        <w:rPr>
          <w:rFonts w:ascii="Times New Roman" w:eastAsia="Cambria" w:hAnsi="Times New Roman"/>
          <w:szCs w:val="24"/>
          <w:lang w:eastAsia="ja-JP"/>
        </w:rPr>
        <w:t xml:space="preserve">The Court’s authority to appoint lawyers for the victims is justified </w:t>
      </w:r>
      <w:r w:rsidR="00340D66">
        <w:rPr>
          <w:rFonts w:ascii="Times New Roman" w:eastAsia="Cambria" w:hAnsi="Times New Roman"/>
          <w:szCs w:val="24"/>
          <w:lang w:eastAsia="ja-JP"/>
        </w:rPr>
        <w:t>because</w:t>
      </w:r>
      <w:r w:rsidR="00BF4761">
        <w:rPr>
          <w:rFonts w:ascii="Times New Roman" w:eastAsia="Cambria" w:hAnsi="Times New Roman"/>
          <w:szCs w:val="24"/>
          <w:lang w:eastAsia="ja-JP"/>
        </w:rPr>
        <w:t xml:space="preserve"> </w:t>
      </w:r>
      <w:r w:rsidR="00245D5F">
        <w:rPr>
          <w:rFonts w:ascii="Times New Roman" w:eastAsia="Cambria" w:hAnsi="Times New Roman"/>
          <w:szCs w:val="24"/>
          <w:lang w:eastAsia="ja-JP"/>
        </w:rPr>
        <w:t>of</w:t>
      </w:r>
      <w:r w:rsidR="00BF4761">
        <w:rPr>
          <w:rFonts w:ascii="Times New Roman" w:eastAsia="Cambria" w:hAnsi="Times New Roman"/>
          <w:szCs w:val="24"/>
          <w:lang w:eastAsia="ja-JP"/>
        </w:rPr>
        <w:t xml:space="preserve"> manag</w:t>
      </w:r>
      <w:r w:rsidR="00245D5F">
        <w:rPr>
          <w:rFonts w:ascii="Times New Roman" w:eastAsia="Cambria" w:hAnsi="Times New Roman"/>
          <w:szCs w:val="24"/>
          <w:lang w:eastAsia="ja-JP"/>
        </w:rPr>
        <w:t>ing</w:t>
      </w:r>
      <w:r w:rsidR="00BF4761">
        <w:rPr>
          <w:rFonts w:ascii="Times New Roman" w:eastAsia="Cambria" w:hAnsi="Times New Roman"/>
          <w:szCs w:val="24"/>
          <w:lang w:eastAsia="ja-JP"/>
        </w:rPr>
        <w:t xml:space="preserve"> unreasonable </w:t>
      </w:r>
      <w:r w:rsidR="00A16DA1">
        <w:rPr>
          <w:rFonts w:ascii="Times New Roman" w:eastAsia="Cambria" w:hAnsi="Times New Roman"/>
          <w:szCs w:val="24"/>
          <w:lang w:eastAsia="ja-JP"/>
        </w:rPr>
        <w:t>trial delays</w:t>
      </w:r>
      <w:r w:rsidR="00BF4761">
        <w:rPr>
          <w:rFonts w:ascii="Times New Roman" w:eastAsia="Cambria" w:hAnsi="Times New Roman"/>
          <w:szCs w:val="24"/>
          <w:lang w:eastAsia="ja-JP"/>
        </w:rPr>
        <w:t xml:space="preserve">. </w:t>
      </w:r>
    </w:p>
    <w:p w14:paraId="05A6A8A5" w14:textId="77777777" w:rsidR="00F665CB" w:rsidRPr="00345102" w:rsidRDefault="00F665CB" w:rsidP="00345102">
      <w:pPr>
        <w:spacing w:after="0" w:line="480" w:lineRule="auto"/>
        <w:jc w:val="both"/>
        <w:rPr>
          <w:rFonts w:ascii="Times New Roman" w:eastAsia="Cambria" w:hAnsi="Times New Roman"/>
          <w:szCs w:val="24"/>
          <w:lang w:eastAsia="ja-JP"/>
        </w:rPr>
      </w:pPr>
    </w:p>
    <w:p w14:paraId="65A06D49" w14:textId="683A1424" w:rsidR="006E622A" w:rsidRPr="00345102" w:rsidRDefault="006E622A" w:rsidP="00345102">
      <w:pPr>
        <w:spacing w:after="0" w:line="480" w:lineRule="auto"/>
        <w:jc w:val="both"/>
        <w:rPr>
          <w:rFonts w:ascii="Times New Roman" w:eastAsia="Cambria" w:hAnsi="Times New Roman"/>
          <w:szCs w:val="24"/>
          <w:lang w:eastAsia="ja-JP"/>
        </w:rPr>
      </w:pPr>
      <w:r w:rsidRPr="00345102">
        <w:rPr>
          <w:rFonts w:ascii="Times New Roman" w:eastAsia="Cambria" w:hAnsi="Times New Roman"/>
          <w:szCs w:val="24"/>
          <w:lang w:eastAsia="ja-JP"/>
        </w:rPr>
        <w:t>Nonetheless, it is not an important factor in the selection of LRVs.</w:t>
      </w:r>
      <w:r w:rsidR="00A20B71"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It goes to say that using victims’ views as the main criteria may slow down the legal process and it</w:t>
      </w:r>
      <w:r w:rsidR="00F665CB" w:rsidRPr="00345102">
        <w:rPr>
          <w:rFonts w:ascii="Times New Roman" w:eastAsia="Cambria" w:hAnsi="Times New Roman"/>
          <w:szCs w:val="24"/>
          <w:lang w:eastAsia="ja-JP"/>
        </w:rPr>
        <w:t>s</w:t>
      </w:r>
      <w:r w:rsidRPr="00345102">
        <w:rPr>
          <w:rFonts w:ascii="Times New Roman" w:eastAsia="Cambria" w:hAnsi="Times New Roman"/>
          <w:szCs w:val="24"/>
          <w:lang w:eastAsia="ja-JP"/>
        </w:rPr>
        <w:t xml:space="preserve"> efficiency.</w:t>
      </w:r>
      <w:r w:rsidR="00A20B71"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Although the wording of Rule 90 enables victims to choose legal representatives of their choice without the Court’s interference, it seems the Court do</w:t>
      </w:r>
      <w:r w:rsidR="00F665CB" w:rsidRPr="00345102">
        <w:rPr>
          <w:rFonts w:ascii="Times New Roman" w:eastAsia="Cambria" w:hAnsi="Times New Roman"/>
          <w:szCs w:val="24"/>
          <w:lang w:eastAsia="ja-JP"/>
        </w:rPr>
        <w:t>es</w:t>
      </w:r>
      <w:r w:rsidRPr="00345102">
        <w:rPr>
          <w:rFonts w:ascii="Times New Roman" w:eastAsia="Cambria" w:hAnsi="Times New Roman"/>
          <w:szCs w:val="24"/>
          <w:lang w:eastAsia="ja-JP"/>
        </w:rPr>
        <w:t xml:space="preserve"> eventually choose legal representatives for </w:t>
      </w:r>
      <w:r w:rsidR="00245D5F">
        <w:rPr>
          <w:rFonts w:ascii="Times New Roman" w:eastAsia="Cambria" w:hAnsi="Times New Roman"/>
          <w:szCs w:val="24"/>
          <w:lang w:eastAsia="ja-JP"/>
        </w:rPr>
        <w:t>victims to prevent the delay in the normal course of proceedings.</w:t>
      </w:r>
      <w:r w:rsidR="00245D5F">
        <w:rPr>
          <w:rStyle w:val="FootnoteReference"/>
          <w:rFonts w:ascii="Times New Roman" w:eastAsia="Cambria" w:hAnsi="Times New Roman"/>
          <w:szCs w:val="24"/>
          <w:lang w:eastAsia="ja-JP"/>
        </w:rPr>
        <w:footnoteReference w:id="675"/>
      </w:r>
      <w:r w:rsidR="00A20B71"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Subsequently, the Court might have to select a common legal representative for a large number of victims.</w:t>
      </w:r>
      <w:r w:rsidR="00A20B71" w:rsidRPr="00345102">
        <w:rPr>
          <w:rFonts w:ascii="Times New Roman" w:eastAsia="Cambria" w:hAnsi="Times New Roman"/>
          <w:szCs w:val="24"/>
          <w:lang w:eastAsia="ja-JP"/>
        </w:rPr>
        <w:t xml:space="preserve"> </w:t>
      </w:r>
      <w:r w:rsidRPr="00345102">
        <w:rPr>
          <w:rFonts w:ascii="Times New Roman" w:eastAsia="Cambria" w:hAnsi="Times New Roman"/>
          <w:szCs w:val="24"/>
          <w:lang w:eastAsia="ja-JP"/>
        </w:rPr>
        <w:t xml:space="preserve">With this, the Court overlooks the fact that </w:t>
      </w:r>
      <w:r w:rsidR="00340D66">
        <w:rPr>
          <w:rFonts w:ascii="Times New Roman" w:eastAsia="Cambria" w:hAnsi="Times New Roman"/>
          <w:szCs w:val="24"/>
          <w:lang w:eastAsia="ja-JP"/>
        </w:rPr>
        <w:t>victims' personal interest</w:t>
      </w:r>
      <w:r w:rsidRPr="00345102">
        <w:rPr>
          <w:rFonts w:ascii="Times New Roman" w:eastAsia="Cambria" w:hAnsi="Times New Roman"/>
          <w:szCs w:val="24"/>
          <w:lang w:eastAsia="ja-JP"/>
        </w:rPr>
        <w:t>s may be subsumed under commo</w:t>
      </w:r>
      <w:r w:rsidR="003D244E" w:rsidRPr="00345102">
        <w:rPr>
          <w:rFonts w:ascii="Times New Roman" w:eastAsia="Cambria" w:hAnsi="Times New Roman"/>
          <w:szCs w:val="24"/>
          <w:lang w:eastAsia="ja-JP"/>
        </w:rPr>
        <w:t xml:space="preserve">n interests of numerous victims, which may not </w:t>
      </w:r>
      <w:r w:rsidRPr="00345102">
        <w:rPr>
          <w:rFonts w:ascii="Times New Roman" w:eastAsia="Cambria" w:hAnsi="Times New Roman"/>
          <w:szCs w:val="24"/>
          <w:lang w:eastAsia="ja-JP"/>
        </w:rPr>
        <w:t xml:space="preserve">fulfil victims’ needs on </w:t>
      </w:r>
      <w:r w:rsidR="00F665CB" w:rsidRPr="00345102">
        <w:rPr>
          <w:rFonts w:ascii="Times New Roman" w:eastAsia="Cambria" w:hAnsi="Times New Roman"/>
          <w:szCs w:val="24"/>
          <w:lang w:eastAsia="ja-JP"/>
        </w:rPr>
        <w:t xml:space="preserve">an </w:t>
      </w:r>
      <w:r w:rsidRPr="00345102">
        <w:rPr>
          <w:rFonts w:ascii="Times New Roman" w:eastAsia="Cambria" w:hAnsi="Times New Roman"/>
          <w:szCs w:val="24"/>
          <w:lang w:eastAsia="ja-JP"/>
        </w:rPr>
        <w:t>individual basis.</w:t>
      </w:r>
      <w:r w:rsidR="00F665CB" w:rsidRPr="00345102">
        <w:rPr>
          <w:rFonts w:ascii="Times New Roman" w:eastAsia="Cambria" w:hAnsi="Times New Roman"/>
          <w:szCs w:val="24"/>
          <w:lang w:eastAsia="ja-JP"/>
        </w:rPr>
        <w:t xml:space="preserve"> </w:t>
      </w:r>
      <w:r w:rsidRPr="00345102">
        <w:rPr>
          <w:rFonts w:ascii="Times New Roman" w:hAnsi="Times New Roman"/>
          <w:szCs w:val="24"/>
        </w:rPr>
        <w:t>On the other hand,</w:t>
      </w:r>
      <w:r w:rsidR="00A20B71" w:rsidRPr="00345102">
        <w:rPr>
          <w:rFonts w:ascii="Times New Roman" w:hAnsi="Times New Roman"/>
          <w:szCs w:val="24"/>
        </w:rPr>
        <w:t xml:space="preserve"> </w:t>
      </w:r>
      <w:r w:rsidRPr="00345102">
        <w:rPr>
          <w:rFonts w:ascii="Times New Roman" w:hAnsi="Times New Roman"/>
          <w:szCs w:val="24"/>
        </w:rPr>
        <w:t xml:space="preserve">due to </w:t>
      </w:r>
      <w:r w:rsidR="00F665CB" w:rsidRPr="00345102">
        <w:rPr>
          <w:rFonts w:ascii="Times New Roman" w:hAnsi="Times New Roman"/>
          <w:szCs w:val="24"/>
        </w:rPr>
        <w:t>a</w:t>
      </w:r>
      <w:r w:rsidRPr="00345102">
        <w:rPr>
          <w:rFonts w:ascii="Times New Roman" w:hAnsi="Times New Roman"/>
          <w:szCs w:val="24"/>
        </w:rPr>
        <w:t xml:space="preserve"> large number of victims,</w:t>
      </w:r>
      <w:r w:rsidR="00A20B71" w:rsidRPr="00345102">
        <w:rPr>
          <w:rFonts w:ascii="Times New Roman" w:hAnsi="Times New Roman"/>
          <w:szCs w:val="24"/>
        </w:rPr>
        <w:t xml:space="preserve"> </w:t>
      </w:r>
      <w:r w:rsidRPr="00345102">
        <w:rPr>
          <w:rFonts w:ascii="Times New Roman" w:hAnsi="Times New Roman"/>
          <w:szCs w:val="24"/>
        </w:rPr>
        <w:t>it is uncertain if the common legal representatives can reach out to the victims individually.</w:t>
      </w:r>
      <w:r w:rsidR="00A20B71" w:rsidRPr="00345102">
        <w:rPr>
          <w:rFonts w:ascii="Times New Roman" w:hAnsi="Times New Roman"/>
          <w:szCs w:val="24"/>
        </w:rPr>
        <w:t xml:space="preserve"> </w:t>
      </w:r>
      <w:r w:rsidRPr="00345102">
        <w:rPr>
          <w:rFonts w:ascii="Times New Roman" w:hAnsi="Times New Roman"/>
          <w:szCs w:val="24"/>
        </w:rPr>
        <w:t>Th</w:t>
      </w:r>
      <w:r w:rsidR="002D6683" w:rsidRPr="00345102">
        <w:rPr>
          <w:rFonts w:ascii="Times New Roman" w:hAnsi="Times New Roman"/>
          <w:szCs w:val="24"/>
        </w:rPr>
        <w:t>e implication of th</w:t>
      </w:r>
      <w:r w:rsidR="00F665CB" w:rsidRPr="00345102">
        <w:rPr>
          <w:rFonts w:ascii="Times New Roman" w:hAnsi="Times New Roman"/>
          <w:szCs w:val="24"/>
        </w:rPr>
        <w:t>ese</w:t>
      </w:r>
      <w:r w:rsidR="002D6683" w:rsidRPr="00345102">
        <w:rPr>
          <w:rFonts w:ascii="Times New Roman" w:hAnsi="Times New Roman"/>
          <w:szCs w:val="24"/>
        </w:rPr>
        <w:t xml:space="preserve"> results would be</w:t>
      </w:r>
      <w:r w:rsidRPr="00345102">
        <w:rPr>
          <w:rFonts w:ascii="Times New Roman" w:hAnsi="Times New Roman"/>
          <w:szCs w:val="24"/>
        </w:rPr>
        <w:t xml:space="preserve"> the under</w:t>
      </w:r>
      <w:r w:rsidR="00F665CB" w:rsidRPr="00345102">
        <w:rPr>
          <w:rFonts w:ascii="Times New Roman" w:hAnsi="Times New Roman"/>
          <w:szCs w:val="24"/>
        </w:rPr>
        <w:t>-representatio</w:t>
      </w:r>
      <w:r w:rsidRPr="00345102">
        <w:rPr>
          <w:rFonts w:ascii="Times New Roman" w:hAnsi="Times New Roman"/>
          <w:szCs w:val="24"/>
        </w:rPr>
        <w:t>n or partial repres</w:t>
      </w:r>
      <w:r w:rsidR="00A20B71" w:rsidRPr="00345102">
        <w:rPr>
          <w:rFonts w:ascii="Times New Roman" w:hAnsi="Times New Roman"/>
          <w:szCs w:val="24"/>
        </w:rPr>
        <w:t>e</w:t>
      </w:r>
      <w:r w:rsidRPr="00345102">
        <w:rPr>
          <w:rFonts w:ascii="Times New Roman" w:hAnsi="Times New Roman"/>
          <w:szCs w:val="24"/>
        </w:rPr>
        <w:t xml:space="preserve">ntation of victims. </w:t>
      </w:r>
    </w:p>
    <w:p w14:paraId="568D7993" w14:textId="77777777" w:rsidR="006E622A" w:rsidRPr="00345102" w:rsidRDefault="006E622A" w:rsidP="00345102">
      <w:pPr>
        <w:spacing w:after="0" w:line="480" w:lineRule="auto"/>
        <w:jc w:val="both"/>
        <w:rPr>
          <w:rFonts w:ascii="Times New Roman" w:hAnsi="Times New Roman"/>
          <w:szCs w:val="24"/>
        </w:rPr>
      </w:pPr>
    </w:p>
    <w:p w14:paraId="26496523" w14:textId="68047431" w:rsidR="00275225" w:rsidRDefault="006E622A" w:rsidP="008376C8">
      <w:pPr>
        <w:spacing w:after="0" w:line="480" w:lineRule="auto"/>
        <w:jc w:val="both"/>
        <w:rPr>
          <w:rFonts w:ascii="Times New Roman" w:hAnsi="Times New Roman"/>
          <w:szCs w:val="24"/>
        </w:rPr>
      </w:pPr>
      <w:r w:rsidRPr="00345102">
        <w:rPr>
          <w:rFonts w:ascii="Times New Roman" w:hAnsi="Times New Roman"/>
          <w:szCs w:val="24"/>
        </w:rPr>
        <w:t xml:space="preserve">In 2017,  </w:t>
      </w:r>
      <w:proofErr w:type="spellStart"/>
      <w:r w:rsidRPr="00345102">
        <w:rPr>
          <w:rFonts w:ascii="Times New Roman" w:hAnsi="Times New Roman"/>
          <w:szCs w:val="24"/>
        </w:rPr>
        <w:t>Kil</w:t>
      </w:r>
      <w:r w:rsidR="008B3B03">
        <w:rPr>
          <w:rFonts w:ascii="Times New Roman" w:hAnsi="Times New Roman"/>
          <w:szCs w:val="24"/>
        </w:rPr>
        <w:t>l</w:t>
      </w:r>
      <w:r w:rsidRPr="00345102">
        <w:rPr>
          <w:rFonts w:ascii="Times New Roman" w:hAnsi="Times New Roman"/>
          <w:szCs w:val="24"/>
        </w:rPr>
        <w:t>ean</w:t>
      </w:r>
      <w:proofErr w:type="spellEnd"/>
      <w:r w:rsidRPr="00345102">
        <w:rPr>
          <w:rFonts w:ascii="Times New Roman" w:hAnsi="Times New Roman"/>
          <w:szCs w:val="24"/>
        </w:rPr>
        <w:t xml:space="preserve"> </w:t>
      </w:r>
      <w:r w:rsidR="008B3B03">
        <w:rPr>
          <w:rFonts w:ascii="Times New Roman" w:hAnsi="Times New Roman"/>
          <w:szCs w:val="24"/>
        </w:rPr>
        <w:t xml:space="preserve">and Moffett </w:t>
      </w:r>
      <w:r w:rsidRPr="00345102">
        <w:rPr>
          <w:rFonts w:ascii="Times New Roman" w:hAnsi="Times New Roman"/>
          <w:szCs w:val="24"/>
        </w:rPr>
        <w:t>suggest</w:t>
      </w:r>
      <w:r w:rsidR="00F665CB" w:rsidRPr="00345102">
        <w:rPr>
          <w:rFonts w:ascii="Times New Roman" w:hAnsi="Times New Roman"/>
          <w:szCs w:val="24"/>
        </w:rPr>
        <w:t>ed</w:t>
      </w:r>
      <w:r w:rsidRPr="00345102">
        <w:rPr>
          <w:rFonts w:ascii="Times New Roman" w:hAnsi="Times New Roman"/>
          <w:szCs w:val="24"/>
        </w:rPr>
        <w:t xml:space="preserve"> that </w:t>
      </w:r>
      <w:r w:rsidR="00340D66">
        <w:rPr>
          <w:rFonts w:ascii="Times New Roman" w:hAnsi="Times New Roman"/>
          <w:szCs w:val="24"/>
        </w:rPr>
        <w:t>victims' inclusion</w:t>
      </w:r>
      <w:r w:rsidRPr="00345102">
        <w:rPr>
          <w:rFonts w:ascii="Times New Roman" w:hAnsi="Times New Roman"/>
          <w:szCs w:val="24"/>
        </w:rPr>
        <w:t xml:space="preserve"> in decisions over</w:t>
      </w:r>
      <w:r w:rsidR="008B3B03">
        <w:rPr>
          <w:rFonts w:ascii="Times New Roman" w:hAnsi="Times New Roman"/>
          <w:szCs w:val="24"/>
        </w:rPr>
        <w:t>-</w:t>
      </w:r>
      <w:r w:rsidRPr="00345102">
        <w:rPr>
          <w:rFonts w:ascii="Times New Roman" w:hAnsi="Times New Roman"/>
          <w:szCs w:val="24"/>
        </w:rPr>
        <w:t>representation may foster victims’ voice and agency.</w:t>
      </w:r>
      <w:r w:rsidRPr="00345102">
        <w:rPr>
          <w:rFonts w:ascii="Times New Roman" w:hAnsi="Times New Roman"/>
          <w:szCs w:val="24"/>
          <w:vertAlign w:val="superscript"/>
        </w:rPr>
        <w:footnoteReference w:id="676"/>
      </w:r>
      <w:r w:rsidRPr="00345102">
        <w:rPr>
          <w:rFonts w:ascii="Times New Roman" w:hAnsi="Times New Roman"/>
          <w:szCs w:val="24"/>
        </w:rPr>
        <w:t xml:space="preserve"> They recommended seeking </w:t>
      </w:r>
      <w:r w:rsidR="00340D66">
        <w:rPr>
          <w:rFonts w:ascii="Times New Roman" w:hAnsi="Times New Roman"/>
          <w:szCs w:val="24"/>
        </w:rPr>
        <w:t>victims' opinion</w:t>
      </w:r>
      <w:r w:rsidRPr="00345102">
        <w:rPr>
          <w:rFonts w:ascii="Times New Roman" w:hAnsi="Times New Roman"/>
          <w:szCs w:val="24"/>
        </w:rPr>
        <w:t xml:space="preserve"> on legal representation gives them a degree of control over their representatives.</w:t>
      </w:r>
      <w:r w:rsidRPr="00345102">
        <w:rPr>
          <w:rFonts w:ascii="Times New Roman" w:hAnsi="Times New Roman"/>
          <w:szCs w:val="24"/>
          <w:vertAlign w:val="superscript"/>
        </w:rPr>
        <w:footnoteReference w:id="677"/>
      </w:r>
      <w:r w:rsidRPr="00345102">
        <w:rPr>
          <w:rFonts w:ascii="Times New Roman" w:hAnsi="Times New Roman"/>
          <w:szCs w:val="24"/>
        </w:rPr>
        <w:t xml:space="preserve"> </w:t>
      </w:r>
      <w:r w:rsidR="00FE5A4F">
        <w:rPr>
          <w:rFonts w:ascii="Times New Roman" w:hAnsi="Times New Roman"/>
          <w:szCs w:val="24"/>
        </w:rPr>
        <w:t>According to the authors, the use of common legal representatives has “collectivised” victims’ voices.</w:t>
      </w:r>
      <w:r w:rsidR="00FE5A4F">
        <w:rPr>
          <w:rStyle w:val="FootnoteReference"/>
          <w:rFonts w:ascii="Times New Roman" w:hAnsi="Times New Roman"/>
          <w:szCs w:val="24"/>
        </w:rPr>
        <w:footnoteReference w:id="678"/>
      </w:r>
      <w:r w:rsidR="00CE7937">
        <w:rPr>
          <w:rFonts w:ascii="Times New Roman" w:hAnsi="Times New Roman"/>
          <w:szCs w:val="24"/>
        </w:rPr>
        <w:t xml:space="preserve">While victims might have suffered harm from the </w:t>
      </w:r>
      <w:r w:rsidR="00106313">
        <w:rPr>
          <w:rFonts w:ascii="Times New Roman" w:hAnsi="Times New Roman"/>
          <w:szCs w:val="24"/>
        </w:rPr>
        <w:t xml:space="preserve">same </w:t>
      </w:r>
      <w:r w:rsidR="00CE7937">
        <w:rPr>
          <w:rFonts w:ascii="Times New Roman" w:hAnsi="Times New Roman"/>
          <w:szCs w:val="24"/>
        </w:rPr>
        <w:t xml:space="preserve">crime, this does not preclude them from </w:t>
      </w:r>
      <w:r w:rsidR="00106313">
        <w:rPr>
          <w:rFonts w:ascii="Times New Roman" w:hAnsi="Times New Roman"/>
          <w:szCs w:val="24"/>
        </w:rPr>
        <w:t xml:space="preserve">having </w:t>
      </w:r>
      <w:r w:rsidR="00CE7937">
        <w:rPr>
          <w:rFonts w:ascii="Times New Roman" w:hAnsi="Times New Roman"/>
          <w:szCs w:val="24"/>
        </w:rPr>
        <w:t>distinct</w:t>
      </w:r>
      <w:r w:rsidR="00C56DB6">
        <w:rPr>
          <w:rFonts w:ascii="Times New Roman" w:hAnsi="Times New Roman"/>
          <w:szCs w:val="24"/>
        </w:rPr>
        <w:t xml:space="preserve"> interests and concerns.</w:t>
      </w:r>
      <w:r w:rsidR="00106313">
        <w:rPr>
          <w:rFonts w:ascii="Times New Roman" w:hAnsi="Times New Roman"/>
          <w:szCs w:val="24"/>
        </w:rPr>
        <w:t xml:space="preserve"> It is noted that victims have two general interests-reparations and justice.</w:t>
      </w:r>
      <w:r w:rsidR="00106313">
        <w:rPr>
          <w:rStyle w:val="FootnoteReference"/>
          <w:rFonts w:ascii="Times New Roman" w:hAnsi="Times New Roman"/>
          <w:szCs w:val="24"/>
        </w:rPr>
        <w:footnoteReference w:id="679"/>
      </w:r>
      <w:r w:rsidR="00CE7937">
        <w:rPr>
          <w:rFonts w:ascii="Times New Roman" w:hAnsi="Times New Roman"/>
          <w:szCs w:val="24"/>
        </w:rPr>
        <w:t xml:space="preserve"> </w:t>
      </w:r>
      <w:r w:rsidR="00106313">
        <w:rPr>
          <w:rFonts w:ascii="Times New Roman" w:hAnsi="Times New Roman"/>
          <w:szCs w:val="24"/>
        </w:rPr>
        <w:t>A ‘collectiv</w:t>
      </w:r>
      <w:r w:rsidR="00706BBA">
        <w:rPr>
          <w:rFonts w:ascii="Times New Roman" w:hAnsi="Times New Roman"/>
          <w:szCs w:val="24"/>
        </w:rPr>
        <w:t>ised</w:t>
      </w:r>
      <w:r w:rsidR="00106313">
        <w:rPr>
          <w:rFonts w:ascii="Times New Roman" w:hAnsi="Times New Roman"/>
          <w:szCs w:val="24"/>
        </w:rPr>
        <w:t xml:space="preserve">’ voice cannot herald </w:t>
      </w:r>
      <w:r w:rsidR="00706BBA">
        <w:rPr>
          <w:rFonts w:ascii="Times New Roman" w:hAnsi="Times New Roman"/>
          <w:szCs w:val="24"/>
        </w:rPr>
        <w:t xml:space="preserve">the </w:t>
      </w:r>
      <w:r w:rsidR="00106313">
        <w:rPr>
          <w:rFonts w:ascii="Times New Roman" w:hAnsi="Times New Roman"/>
          <w:szCs w:val="24"/>
        </w:rPr>
        <w:t>victims</w:t>
      </w:r>
      <w:r w:rsidR="00706BBA">
        <w:rPr>
          <w:rFonts w:ascii="Times New Roman" w:hAnsi="Times New Roman"/>
          <w:szCs w:val="24"/>
        </w:rPr>
        <w:t>’</w:t>
      </w:r>
      <w:r w:rsidR="00106313">
        <w:rPr>
          <w:rFonts w:ascii="Times New Roman" w:hAnsi="Times New Roman"/>
          <w:szCs w:val="24"/>
        </w:rPr>
        <w:t xml:space="preserve"> personal interests. </w:t>
      </w:r>
      <w:r w:rsidR="00C56DB6">
        <w:rPr>
          <w:rFonts w:ascii="Times New Roman" w:hAnsi="Times New Roman"/>
          <w:szCs w:val="24"/>
        </w:rPr>
        <w:t>The divergent interests and concerns of victims can make it challenging for a common legal representative to represent “victims’ interests” thoroughly.</w:t>
      </w:r>
      <w:r w:rsidR="00C56DB6">
        <w:rPr>
          <w:rStyle w:val="FootnoteReference"/>
          <w:rFonts w:ascii="Times New Roman" w:hAnsi="Times New Roman"/>
          <w:szCs w:val="24"/>
        </w:rPr>
        <w:footnoteReference w:id="680"/>
      </w:r>
      <w:r w:rsidR="00C56DB6">
        <w:rPr>
          <w:rFonts w:ascii="Times New Roman" w:hAnsi="Times New Roman"/>
          <w:szCs w:val="24"/>
        </w:rPr>
        <w:t>Also</w:t>
      </w:r>
      <w:r w:rsidR="005F5765" w:rsidRPr="00345102">
        <w:rPr>
          <w:rFonts w:ascii="Times New Roman" w:hAnsi="Times New Roman"/>
          <w:szCs w:val="24"/>
        </w:rPr>
        <w:t xml:space="preserve">, </w:t>
      </w:r>
      <w:proofErr w:type="spellStart"/>
      <w:r w:rsidR="005F5765" w:rsidRPr="00345102">
        <w:rPr>
          <w:rFonts w:ascii="Times New Roman" w:hAnsi="Times New Roman"/>
          <w:szCs w:val="24"/>
        </w:rPr>
        <w:t>Ki</w:t>
      </w:r>
      <w:r w:rsidR="00106313">
        <w:rPr>
          <w:rFonts w:ascii="Times New Roman" w:hAnsi="Times New Roman"/>
          <w:szCs w:val="24"/>
        </w:rPr>
        <w:t>l</w:t>
      </w:r>
      <w:r w:rsidR="005F5765" w:rsidRPr="00345102">
        <w:rPr>
          <w:rFonts w:ascii="Times New Roman" w:hAnsi="Times New Roman"/>
          <w:szCs w:val="24"/>
        </w:rPr>
        <w:t>lean</w:t>
      </w:r>
      <w:proofErr w:type="spellEnd"/>
      <w:r w:rsidR="00106313">
        <w:rPr>
          <w:rFonts w:ascii="Times New Roman" w:hAnsi="Times New Roman"/>
          <w:szCs w:val="24"/>
        </w:rPr>
        <w:t xml:space="preserve"> and Moffett</w:t>
      </w:r>
      <w:r w:rsidRPr="00345102">
        <w:rPr>
          <w:rFonts w:ascii="Times New Roman" w:hAnsi="Times New Roman"/>
          <w:szCs w:val="24"/>
        </w:rPr>
        <w:t xml:space="preserve"> argue that </w:t>
      </w:r>
      <w:r w:rsidR="00FF2191">
        <w:rPr>
          <w:rFonts w:ascii="Times New Roman" w:hAnsi="Times New Roman"/>
          <w:szCs w:val="24"/>
        </w:rPr>
        <w:t>common legal representatives do</w:t>
      </w:r>
      <w:r w:rsidRPr="00345102">
        <w:rPr>
          <w:rFonts w:ascii="Times New Roman" w:hAnsi="Times New Roman"/>
          <w:szCs w:val="24"/>
        </w:rPr>
        <w:t xml:space="preserve"> not strip victims of </w:t>
      </w:r>
      <w:r w:rsidR="00F665CB" w:rsidRPr="00345102">
        <w:rPr>
          <w:rFonts w:ascii="Times New Roman" w:hAnsi="Times New Roman"/>
          <w:szCs w:val="24"/>
        </w:rPr>
        <w:t xml:space="preserve">the </w:t>
      </w:r>
      <w:r w:rsidRPr="00345102">
        <w:rPr>
          <w:rFonts w:ascii="Times New Roman" w:hAnsi="Times New Roman"/>
          <w:szCs w:val="24"/>
        </w:rPr>
        <w:t>political or legal agency.</w:t>
      </w:r>
      <w:r w:rsidR="00F665CB" w:rsidRPr="00345102">
        <w:rPr>
          <w:rFonts w:ascii="Times New Roman" w:hAnsi="Times New Roman"/>
          <w:szCs w:val="24"/>
        </w:rPr>
        <w:t xml:space="preserve"> </w:t>
      </w:r>
      <w:r w:rsidRPr="00345102">
        <w:rPr>
          <w:rFonts w:ascii="Times New Roman" w:hAnsi="Times New Roman"/>
          <w:szCs w:val="24"/>
        </w:rPr>
        <w:t>From their perspectives,</w:t>
      </w:r>
      <w:r w:rsidR="00A20B71" w:rsidRPr="00345102">
        <w:rPr>
          <w:rFonts w:ascii="Times New Roman" w:hAnsi="Times New Roman"/>
          <w:szCs w:val="24"/>
        </w:rPr>
        <w:t xml:space="preserve"> the engagement of legal assis</w:t>
      </w:r>
      <w:r w:rsidRPr="00345102">
        <w:rPr>
          <w:rFonts w:ascii="Times New Roman" w:hAnsi="Times New Roman"/>
          <w:szCs w:val="24"/>
        </w:rPr>
        <w:t>tant(local lawyers and civil party lawyers) with victims to a large extent reduces victims’ marginalis</w:t>
      </w:r>
      <w:r w:rsidR="00F665CB" w:rsidRPr="00345102">
        <w:rPr>
          <w:rFonts w:ascii="Times New Roman" w:hAnsi="Times New Roman"/>
          <w:szCs w:val="24"/>
        </w:rPr>
        <w:t>a</w:t>
      </w:r>
      <w:r w:rsidRPr="00345102">
        <w:rPr>
          <w:rFonts w:ascii="Times New Roman" w:hAnsi="Times New Roman"/>
          <w:szCs w:val="24"/>
        </w:rPr>
        <w:t>tion at the ICC.</w:t>
      </w:r>
      <w:r w:rsidRPr="00345102">
        <w:rPr>
          <w:rFonts w:ascii="Times New Roman" w:hAnsi="Times New Roman"/>
          <w:szCs w:val="24"/>
          <w:vertAlign w:val="superscript"/>
        </w:rPr>
        <w:footnoteReference w:id="681"/>
      </w:r>
      <w:r w:rsidR="00917BD4">
        <w:rPr>
          <w:rFonts w:ascii="Times New Roman" w:hAnsi="Times New Roman"/>
          <w:szCs w:val="24"/>
        </w:rPr>
        <w:t xml:space="preserve"> They caution that “there remains a real risk that within the courtroom, victim participation is a token effort, rather than a genuine representation of voice and agency.”</w:t>
      </w:r>
      <w:r w:rsidR="00917BD4">
        <w:rPr>
          <w:rStyle w:val="FootnoteReference"/>
          <w:rFonts w:ascii="Times New Roman" w:hAnsi="Times New Roman"/>
          <w:szCs w:val="24"/>
        </w:rPr>
        <w:footnoteReference w:id="682"/>
      </w:r>
      <w:r w:rsidR="00917BD4">
        <w:rPr>
          <w:rFonts w:ascii="Times New Roman" w:hAnsi="Times New Roman"/>
          <w:szCs w:val="24"/>
        </w:rPr>
        <w:t xml:space="preserve"> Representation of victims as an indispensable aspect of victim participation </w:t>
      </w:r>
      <w:r w:rsidR="00917BD4">
        <w:rPr>
          <w:rFonts w:ascii="Times New Roman" w:hAnsi="Times New Roman"/>
          <w:szCs w:val="24"/>
        </w:rPr>
        <w:lastRenderedPageBreak/>
        <w:t>reinforces the value of voice because victims cannot participate directly in the criminal proceedings. Unfortunately, it remains unsettled if the use of legal representation herald</w:t>
      </w:r>
      <w:r w:rsidR="00BC72FC">
        <w:rPr>
          <w:rFonts w:ascii="Times New Roman" w:hAnsi="Times New Roman"/>
          <w:szCs w:val="24"/>
        </w:rPr>
        <w:t>s</w:t>
      </w:r>
      <w:r w:rsidR="00917BD4">
        <w:rPr>
          <w:rFonts w:ascii="Times New Roman" w:hAnsi="Times New Roman"/>
          <w:szCs w:val="24"/>
        </w:rPr>
        <w:t xml:space="preserve"> victims</w:t>
      </w:r>
      <w:r w:rsidR="00547EF5">
        <w:rPr>
          <w:rFonts w:ascii="Times New Roman" w:hAnsi="Times New Roman"/>
          <w:szCs w:val="24"/>
        </w:rPr>
        <w:t>’</w:t>
      </w:r>
      <w:r w:rsidR="00917BD4">
        <w:rPr>
          <w:rFonts w:ascii="Times New Roman" w:hAnsi="Times New Roman"/>
          <w:szCs w:val="24"/>
        </w:rPr>
        <w:t xml:space="preserve"> voice. At most, it could be likened to the carrot and stick metaphor. </w:t>
      </w:r>
      <w:r w:rsidR="00EE2857">
        <w:rPr>
          <w:rFonts w:ascii="Times New Roman" w:hAnsi="Times New Roman"/>
          <w:szCs w:val="24"/>
        </w:rPr>
        <w:t>No doub</w:t>
      </w:r>
      <w:r w:rsidR="00917BD4">
        <w:rPr>
          <w:rFonts w:ascii="Times New Roman" w:hAnsi="Times New Roman"/>
          <w:szCs w:val="24"/>
        </w:rPr>
        <w:t xml:space="preserve">t </w:t>
      </w:r>
      <w:r w:rsidR="00340D66">
        <w:rPr>
          <w:rFonts w:ascii="Times New Roman" w:hAnsi="Times New Roman"/>
          <w:szCs w:val="24"/>
        </w:rPr>
        <w:t>using</w:t>
      </w:r>
      <w:r w:rsidR="00917BD4">
        <w:rPr>
          <w:rFonts w:ascii="Times New Roman" w:hAnsi="Times New Roman"/>
          <w:szCs w:val="24"/>
        </w:rPr>
        <w:t xml:space="preserve"> LRVs as intermediaries between the Court and the victims eases victim participation; however, it may filter victims’ voices. </w:t>
      </w:r>
      <w:r w:rsidRPr="00345102">
        <w:rPr>
          <w:rFonts w:ascii="Times New Roman" w:hAnsi="Times New Roman"/>
          <w:szCs w:val="24"/>
        </w:rPr>
        <w:t xml:space="preserve">In light of this, more attention should be given to victims from pre-trial to </w:t>
      </w:r>
      <w:r w:rsidR="00340D66">
        <w:rPr>
          <w:rFonts w:ascii="Times New Roman" w:hAnsi="Times New Roman"/>
          <w:szCs w:val="24"/>
        </w:rPr>
        <w:t xml:space="preserve">the </w:t>
      </w:r>
      <w:r w:rsidRPr="00345102">
        <w:rPr>
          <w:rFonts w:ascii="Times New Roman" w:hAnsi="Times New Roman"/>
          <w:szCs w:val="24"/>
        </w:rPr>
        <w:t xml:space="preserve">trial stage to </w:t>
      </w:r>
      <w:r w:rsidR="00F665CB" w:rsidRPr="00345102">
        <w:rPr>
          <w:rFonts w:ascii="Times New Roman" w:hAnsi="Times New Roman"/>
          <w:szCs w:val="24"/>
        </w:rPr>
        <w:t>mitigat</w:t>
      </w:r>
      <w:r w:rsidRPr="00345102">
        <w:rPr>
          <w:rFonts w:ascii="Times New Roman" w:hAnsi="Times New Roman"/>
          <w:szCs w:val="24"/>
        </w:rPr>
        <w:t>e any processes that could sabotage the underrepre</w:t>
      </w:r>
      <w:r w:rsidR="00A20B71" w:rsidRPr="00345102">
        <w:rPr>
          <w:rFonts w:ascii="Times New Roman" w:hAnsi="Times New Roman"/>
          <w:szCs w:val="24"/>
        </w:rPr>
        <w:t>se</w:t>
      </w:r>
      <w:r w:rsidRPr="00345102">
        <w:rPr>
          <w:rFonts w:ascii="Times New Roman" w:hAnsi="Times New Roman"/>
          <w:szCs w:val="24"/>
        </w:rPr>
        <w:t>nta</w:t>
      </w:r>
      <w:r w:rsidR="00A20B71" w:rsidRPr="00345102">
        <w:rPr>
          <w:rFonts w:ascii="Times New Roman" w:hAnsi="Times New Roman"/>
          <w:szCs w:val="24"/>
        </w:rPr>
        <w:t>t</w:t>
      </w:r>
      <w:r w:rsidRPr="00345102">
        <w:rPr>
          <w:rFonts w:ascii="Times New Roman" w:hAnsi="Times New Roman"/>
          <w:szCs w:val="24"/>
        </w:rPr>
        <w:t>ion of the</w:t>
      </w:r>
      <w:r w:rsidR="00547EF5">
        <w:rPr>
          <w:rFonts w:ascii="Times New Roman" w:hAnsi="Times New Roman"/>
          <w:szCs w:val="24"/>
        </w:rPr>
        <w:t>ir</w:t>
      </w:r>
      <w:r w:rsidR="00275225">
        <w:rPr>
          <w:rFonts w:ascii="Times New Roman" w:hAnsi="Times New Roman"/>
          <w:szCs w:val="24"/>
        </w:rPr>
        <w:t xml:space="preserve"> </w:t>
      </w:r>
      <w:r w:rsidR="00547EF5">
        <w:rPr>
          <w:rFonts w:ascii="Times New Roman" w:hAnsi="Times New Roman"/>
          <w:szCs w:val="24"/>
        </w:rPr>
        <w:t>voices</w:t>
      </w:r>
      <w:r w:rsidR="00275225">
        <w:rPr>
          <w:rFonts w:ascii="Times New Roman" w:hAnsi="Times New Roman"/>
          <w:szCs w:val="24"/>
        </w:rPr>
        <w:t>.</w:t>
      </w:r>
    </w:p>
    <w:p w14:paraId="3A3CA0D8" w14:textId="77777777" w:rsidR="00275225" w:rsidRDefault="00275225" w:rsidP="008376C8">
      <w:pPr>
        <w:spacing w:after="0" w:line="480" w:lineRule="auto"/>
        <w:jc w:val="both"/>
        <w:rPr>
          <w:rFonts w:ascii="Times New Roman" w:hAnsi="Times New Roman"/>
          <w:szCs w:val="24"/>
        </w:rPr>
      </w:pPr>
    </w:p>
    <w:p w14:paraId="57DC64E1" w14:textId="79AA08B5" w:rsidR="00BC72FC" w:rsidRDefault="00275225" w:rsidP="008376C8">
      <w:pPr>
        <w:spacing w:after="0" w:line="480" w:lineRule="auto"/>
        <w:jc w:val="both"/>
        <w:rPr>
          <w:rFonts w:ascii="Times New Roman" w:eastAsia="Cambria" w:hAnsi="Times New Roman"/>
          <w:szCs w:val="24"/>
        </w:rPr>
      </w:pPr>
      <w:r>
        <w:rPr>
          <w:rFonts w:ascii="Times New Roman" w:hAnsi="Times New Roman"/>
          <w:szCs w:val="24"/>
        </w:rPr>
        <w:t xml:space="preserve">The selection of one or two legal representatives to represent </w:t>
      </w:r>
      <w:r w:rsidR="00340D66">
        <w:rPr>
          <w:rFonts w:ascii="Times New Roman" w:hAnsi="Times New Roman"/>
          <w:szCs w:val="24"/>
        </w:rPr>
        <w:t>many</w:t>
      </w:r>
      <w:r>
        <w:rPr>
          <w:rFonts w:ascii="Times New Roman" w:hAnsi="Times New Roman"/>
          <w:szCs w:val="24"/>
        </w:rPr>
        <w:t xml:space="preserve"> victims inadvertently classifies the</w:t>
      </w:r>
      <w:r w:rsidR="00EE2857">
        <w:rPr>
          <w:rFonts w:ascii="Times New Roman" w:hAnsi="Times New Roman"/>
          <w:szCs w:val="24"/>
        </w:rPr>
        <w:t>m</w:t>
      </w:r>
      <w:r>
        <w:rPr>
          <w:rFonts w:ascii="Times New Roman" w:hAnsi="Times New Roman"/>
          <w:szCs w:val="24"/>
        </w:rPr>
        <w:t xml:space="preserve"> with common interests.</w:t>
      </w:r>
      <w:r w:rsidR="00BC72FC">
        <w:rPr>
          <w:rFonts w:ascii="Times New Roman" w:hAnsi="Times New Roman"/>
          <w:szCs w:val="24"/>
        </w:rPr>
        <w:t xml:space="preserve"> </w:t>
      </w:r>
      <w:r>
        <w:rPr>
          <w:rFonts w:ascii="Times New Roman" w:hAnsi="Times New Roman"/>
          <w:szCs w:val="24"/>
        </w:rPr>
        <w:t>Many a time,</w:t>
      </w:r>
      <w:r w:rsidR="00BC72FC">
        <w:rPr>
          <w:rFonts w:ascii="Times New Roman" w:hAnsi="Times New Roman"/>
          <w:szCs w:val="24"/>
        </w:rPr>
        <w:t xml:space="preserve"> </w:t>
      </w:r>
      <w:r>
        <w:rPr>
          <w:rFonts w:ascii="Times New Roman" w:hAnsi="Times New Roman"/>
          <w:szCs w:val="24"/>
        </w:rPr>
        <w:t>this is not the reality.</w:t>
      </w:r>
      <w:r w:rsidR="00BC72FC">
        <w:rPr>
          <w:rFonts w:ascii="Times New Roman" w:hAnsi="Times New Roman"/>
          <w:szCs w:val="24"/>
        </w:rPr>
        <w:t xml:space="preserve"> </w:t>
      </w:r>
      <w:r>
        <w:rPr>
          <w:rFonts w:ascii="Times New Roman" w:hAnsi="Times New Roman"/>
          <w:szCs w:val="24"/>
        </w:rPr>
        <w:t>Each victim might have concerns which are distinct from the others.</w:t>
      </w:r>
      <w:r w:rsidR="00BC72FC">
        <w:rPr>
          <w:rFonts w:ascii="Times New Roman" w:hAnsi="Times New Roman"/>
          <w:szCs w:val="24"/>
        </w:rPr>
        <w:t xml:space="preserve"> </w:t>
      </w:r>
      <w:r>
        <w:rPr>
          <w:rFonts w:ascii="Times New Roman" w:hAnsi="Times New Roman"/>
          <w:szCs w:val="24"/>
        </w:rPr>
        <w:t>Th</w:t>
      </w:r>
      <w:r w:rsidR="003148D7">
        <w:rPr>
          <w:rFonts w:ascii="Times New Roman" w:hAnsi="Times New Roman"/>
          <w:szCs w:val="24"/>
        </w:rPr>
        <w:t>is is not within the</w:t>
      </w:r>
      <w:r>
        <w:rPr>
          <w:rFonts w:ascii="Times New Roman" w:hAnsi="Times New Roman"/>
          <w:szCs w:val="24"/>
        </w:rPr>
        <w:t xml:space="preserve"> </w:t>
      </w:r>
      <w:r w:rsidR="00340D66">
        <w:rPr>
          <w:rFonts w:ascii="Times New Roman" w:hAnsi="Times New Roman"/>
          <w:szCs w:val="24"/>
        </w:rPr>
        <w:t>thesis's scope</w:t>
      </w:r>
      <w:r w:rsidR="003148D7">
        <w:rPr>
          <w:rFonts w:ascii="Times New Roman" w:hAnsi="Times New Roman"/>
          <w:szCs w:val="24"/>
        </w:rPr>
        <w:t xml:space="preserve"> because it is impossible to ascertain the </w:t>
      </w:r>
      <w:r w:rsidR="00EE2857">
        <w:rPr>
          <w:rFonts w:ascii="Times New Roman" w:hAnsi="Times New Roman"/>
          <w:szCs w:val="24"/>
        </w:rPr>
        <w:t>transcript analysis finding</w:t>
      </w:r>
      <w:r w:rsidR="003148D7">
        <w:rPr>
          <w:rFonts w:ascii="Times New Roman" w:hAnsi="Times New Roman"/>
          <w:szCs w:val="24"/>
        </w:rPr>
        <w:t>s.</w:t>
      </w:r>
      <w:r>
        <w:rPr>
          <w:rFonts w:ascii="Times New Roman" w:hAnsi="Times New Roman"/>
          <w:szCs w:val="24"/>
        </w:rPr>
        <w:t xml:space="preserve">  </w:t>
      </w:r>
      <w:r w:rsidR="006E622A" w:rsidRPr="006E622A">
        <w:rPr>
          <w:rFonts w:ascii="Times New Roman" w:eastAsia="Cambria" w:hAnsi="Times New Roman"/>
          <w:szCs w:val="24"/>
        </w:rPr>
        <w:t>We should bear in mind that not eve</w:t>
      </w:r>
      <w:r w:rsidR="00F665CB">
        <w:rPr>
          <w:rFonts w:ascii="Times New Roman" w:eastAsia="Cambria" w:hAnsi="Times New Roman"/>
          <w:szCs w:val="24"/>
        </w:rPr>
        <w:t>r</w:t>
      </w:r>
      <w:r w:rsidR="006E622A" w:rsidRPr="006E622A">
        <w:rPr>
          <w:rFonts w:ascii="Times New Roman" w:eastAsia="Cambria" w:hAnsi="Times New Roman"/>
          <w:szCs w:val="24"/>
        </w:rPr>
        <w:t>y right of victim extend</w:t>
      </w:r>
      <w:r w:rsidR="00F665CB">
        <w:rPr>
          <w:rFonts w:ascii="Times New Roman" w:eastAsia="Cambria" w:hAnsi="Times New Roman"/>
          <w:szCs w:val="24"/>
        </w:rPr>
        <w:t>s</w:t>
      </w:r>
      <w:r w:rsidR="006E622A" w:rsidRPr="006E622A">
        <w:rPr>
          <w:rFonts w:ascii="Times New Roman" w:eastAsia="Cambria" w:hAnsi="Times New Roman"/>
          <w:szCs w:val="24"/>
        </w:rPr>
        <w:t xml:space="preserve"> to their </w:t>
      </w:r>
      <w:proofErr w:type="spellStart"/>
      <w:r w:rsidR="006E622A" w:rsidRPr="006E622A">
        <w:rPr>
          <w:rFonts w:ascii="Times New Roman" w:eastAsia="Cambria" w:hAnsi="Times New Roman"/>
          <w:szCs w:val="24"/>
        </w:rPr>
        <w:t>LRVs.While</w:t>
      </w:r>
      <w:proofErr w:type="spellEnd"/>
      <w:r w:rsidR="006E622A" w:rsidRPr="006E622A">
        <w:rPr>
          <w:rFonts w:ascii="Times New Roman" w:eastAsia="Cambria" w:hAnsi="Times New Roman"/>
          <w:szCs w:val="24"/>
        </w:rPr>
        <w:t xml:space="preserve"> victims can participate anonymously for protective measures, LRVs are not permitted to </w:t>
      </w:r>
      <w:r w:rsidR="00340D66">
        <w:rPr>
          <w:rFonts w:ascii="Times New Roman" w:eastAsia="Cambria" w:hAnsi="Times New Roman"/>
          <w:szCs w:val="24"/>
        </w:rPr>
        <w:t>join</w:t>
      </w:r>
      <w:r w:rsidR="006E622A" w:rsidRPr="006E622A">
        <w:rPr>
          <w:rFonts w:ascii="Times New Roman" w:eastAsia="Cambria" w:hAnsi="Times New Roman"/>
          <w:szCs w:val="24"/>
        </w:rPr>
        <w:t xml:space="preserve"> under the shield of anonymity.</w:t>
      </w:r>
      <w:r w:rsidR="00A20B71">
        <w:rPr>
          <w:rFonts w:ascii="Times New Roman" w:eastAsia="Cambria" w:hAnsi="Times New Roman"/>
          <w:szCs w:val="24"/>
        </w:rPr>
        <w:t xml:space="preserve"> </w:t>
      </w:r>
      <w:r w:rsidR="006E622A" w:rsidRPr="006E622A">
        <w:rPr>
          <w:rFonts w:ascii="Times New Roman" w:eastAsia="Cambria" w:hAnsi="Times New Roman"/>
          <w:szCs w:val="24"/>
        </w:rPr>
        <w:t>Due to the functions the LRVs perform, anonymity or redaction of their identities is not allowed.</w:t>
      </w:r>
      <w:r w:rsidR="00F665CB">
        <w:rPr>
          <w:rFonts w:ascii="Times New Roman" w:eastAsia="Cambria" w:hAnsi="Times New Roman"/>
          <w:szCs w:val="24"/>
        </w:rPr>
        <w:t xml:space="preserve"> </w:t>
      </w:r>
      <w:r w:rsidR="00BC72FC">
        <w:rPr>
          <w:rFonts w:ascii="Times New Roman" w:eastAsia="Cambria" w:hAnsi="Times New Roman"/>
          <w:szCs w:val="24"/>
        </w:rPr>
        <w:t>It came to</w:t>
      </w:r>
      <w:r w:rsidR="006E622A" w:rsidRPr="006E622A">
        <w:rPr>
          <w:rFonts w:ascii="Times New Roman" w:eastAsia="Cambria" w:hAnsi="Times New Roman"/>
          <w:szCs w:val="24"/>
        </w:rPr>
        <w:t xml:space="preserve"> test in Katanga case</w:t>
      </w:r>
      <w:r w:rsidR="007F2032">
        <w:rPr>
          <w:rFonts w:ascii="Times New Roman" w:eastAsia="Cambria" w:hAnsi="Times New Roman"/>
          <w:szCs w:val="24"/>
        </w:rPr>
        <w:t>.</w:t>
      </w:r>
      <w:r w:rsidR="006E622A" w:rsidRPr="006E622A">
        <w:rPr>
          <w:rFonts w:ascii="Times New Roman" w:eastAsia="Cambria" w:hAnsi="Times New Roman"/>
          <w:szCs w:val="24"/>
          <w:vertAlign w:val="superscript"/>
        </w:rPr>
        <w:footnoteReference w:id="683"/>
      </w:r>
      <w:r w:rsidR="00F665CB">
        <w:rPr>
          <w:rFonts w:ascii="Times New Roman" w:eastAsia="Cambria" w:hAnsi="Times New Roman"/>
          <w:szCs w:val="24"/>
        </w:rPr>
        <w:t xml:space="preserve"> </w:t>
      </w:r>
      <w:r w:rsidR="00BC72FC">
        <w:rPr>
          <w:rFonts w:ascii="Times New Roman" w:eastAsia="Cambria" w:hAnsi="Times New Roman"/>
          <w:szCs w:val="24"/>
        </w:rPr>
        <w:t>Based on</w:t>
      </w:r>
      <w:r w:rsidR="006E622A" w:rsidRPr="006E622A">
        <w:rPr>
          <w:rFonts w:ascii="Times New Roman" w:eastAsia="Cambria" w:hAnsi="Times New Roman"/>
          <w:szCs w:val="24"/>
        </w:rPr>
        <w:t xml:space="preserve"> his safety and security, the LRVs requested the Court to keep his identity confidential.</w:t>
      </w:r>
      <w:r w:rsidR="00F665CB">
        <w:rPr>
          <w:rFonts w:ascii="Times New Roman" w:eastAsia="Cambria" w:hAnsi="Times New Roman"/>
          <w:szCs w:val="24"/>
        </w:rPr>
        <w:t xml:space="preserve"> </w:t>
      </w:r>
      <w:r w:rsidR="006E622A" w:rsidRPr="006E622A">
        <w:rPr>
          <w:rFonts w:ascii="Times New Roman" w:eastAsia="Cambria" w:hAnsi="Times New Roman"/>
          <w:szCs w:val="24"/>
        </w:rPr>
        <w:t xml:space="preserve">The Chamber asserted that a grant of </w:t>
      </w:r>
      <w:r w:rsidR="00F665CB">
        <w:rPr>
          <w:rFonts w:ascii="Times New Roman" w:eastAsia="Cambria" w:hAnsi="Times New Roman"/>
          <w:szCs w:val="24"/>
        </w:rPr>
        <w:t xml:space="preserve">a </w:t>
      </w:r>
      <w:r w:rsidR="006E622A" w:rsidRPr="006E622A">
        <w:rPr>
          <w:rFonts w:ascii="Times New Roman" w:eastAsia="Cambria" w:hAnsi="Times New Roman"/>
          <w:szCs w:val="24"/>
        </w:rPr>
        <w:t>confidential request to the LRVs would mean that all processes and filings made by such LRVs become</w:t>
      </w:r>
      <w:r w:rsidR="00F665CB">
        <w:rPr>
          <w:rFonts w:ascii="Times New Roman" w:eastAsia="Cambria" w:hAnsi="Times New Roman"/>
          <w:szCs w:val="24"/>
        </w:rPr>
        <w:t xml:space="preserve"> </w:t>
      </w:r>
      <w:r w:rsidR="006E622A" w:rsidRPr="006E622A">
        <w:rPr>
          <w:rFonts w:ascii="Times New Roman" w:eastAsia="Cambria" w:hAnsi="Times New Roman"/>
          <w:szCs w:val="24"/>
        </w:rPr>
        <w:t>redacted and confidential.</w:t>
      </w:r>
      <w:r w:rsidR="00BC72FC">
        <w:rPr>
          <w:rFonts w:ascii="Times New Roman" w:eastAsia="Cambria" w:hAnsi="Times New Roman"/>
          <w:szCs w:val="24"/>
        </w:rPr>
        <w:t xml:space="preserve"> This</w:t>
      </w:r>
      <w:r w:rsidR="006E622A" w:rsidRPr="006E622A">
        <w:rPr>
          <w:rFonts w:ascii="Times New Roman" w:eastAsia="Cambria" w:hAnsi="Times New Roman"/>
          <w:szCs w:val="24"/>
        </w:rPr>
        <w:t xml:space="preserve"> request will affect the expeditiousness of the proceedings, “but also create a conflict of interest in which the Legal Repres</w:t>
      </w:r>
      <w:r w:rsidR="00F665CB">
        <w:rPr>
          <w:rFonts w:ascii="Times New Roman" w:eastAsia="Cambria" w:hAnsi="Times New Roman"/>
          <w:szCs w:val="24"/>
        </w:rPr>
        <w:t>e</w:t>
      </w:r>
      <w:r w:rsidR="006E622A" w:rsidRPr="006E622A">
        <w:rPr>
          <w:rFonts w:ascii="Times New Roman" w:eastAsia="Cambria" w:hAnsi="Times New Roman"/>
          <w:szCs w:val="24"/>
        </w:rPr>
        <w:t xml:space="preserve">ntative must choose, for </w:t>
      </w:r>
      <w:r w:rsidR="006E622A" w:rsidRPr="006E622A">
        <w:rPr>
          <w:rFonts w:ascii="Times New Roman" w:eastAsia="Cambria" w:hAnsi="Times New Roman"/>
          <w:szCs w:val="24"/>
        </w:rPr>
        <w:lastRenderedPageBreak/>
        <w:t>example, between effectively representing the victims in a public hearing and keeping his identity confidential</w:t>
      </w:r>
      <w:r w:rsidR="00BC72FC">
        <w:rPr>
          <w:rFonts w:ascii="Times New Roman" w:eastAsia="Cambria" w:hAnsi="Times New Roman"/>
          <w:szCs w:val="24"/>
        </w:rPr>
        <w:t>.</w:t>
      </w:r>
      <w:r w:rsidR="006E622A" w:rsidRPr="006E622A">
        <w:rPr>
          <w:rFonts w:ascii="Times New Roman" w:eastAsia="Cambria" w:hAnsi="Times New Roman"/>
          <w:szCs w:val="24"/>
        </w:rPr>
        <w:t>”</w:t>
      </w:r>
      <w:r w:rsidR="006E622A" w:rsidRPr="006E622A">
        <w:rPr>
          <w:rFonts w:ascii="Times New Roman" w:eastAsia="Cambria" w:hAnsi="Times New Roman"/>
          <w:szCs w:val="24"/>
          <w:vertAlign w:val="superscript"/>
        </w:rPr>
        <w:footnoteReference w:id="684"/>
      </w:r>
    </w:p>
    <w:p w14:paraId="34EAA25F" w14:textId="77777777" w:rsidR="00BC72FC" w:rsidRDefault="00BC72FC" w:rsidP="008376C8">
      <w:pPr>
        <w:spacing w:after="0" w:line="480" w:lineRule="auto"/>
        <w:jc w:val="both"/>
        <w:rPr>
          <w:rFonts w:ascii="Times New Roman" w:eastAsia="Cambria" w:hAnsi="Times New Roman"/>
          <w:szCs w:val="24"/>
        </w:rPr>
      </w:pPr>
    </w:p>
    <w:p w14:paraId="0EE09341" w14:textId="705A5B44" w:rsidR="006E622A" w:rsidRPr="00547EF5" w:rsidRDefault="006E622A" w:rsidP="008376C8">
      <w:pPr>
        <w:spacing w:after="0" w:line="480" w:lineRule="auto"/>
        <w:jc w:val="both"/>
        <w:rPr>
          <w:rFonts w:ascii="Times New Roman" w:hAnsi="Times New Roman"/>
          <w:szCs w:val="24"/>
        </w:rPr>
      </w:pPr>
      <w:r w:rsidRPr="006E622A">
        <w:rPr>
          <w:rFonts w:ascii="Times New Roman" w:eastAsia="Cambria" w:hAnsi="Times New Roman"/>
          <w:szCs w:val="24"/>
        </w:rPr>
        <w:t>The Chamber concluded that “</w:t>
      </w:r>
      <w:r w:rsidRPr="00F665CB">
        <w:rPr>
          <w:rFonts w:ascii="Times New Roman" w:eastAsia="Cambria" w:hAnsi="Times New Roman"/>
          <w:szCs w:val="24"/>
        </w:rPr>
        <w:t xml:space="preserve">that a legal representative is entitled to participate in the proceedings </w:t>
      </w:r>
      <w:r w:rsidR="00BC72FC">
        <w:rPr>
          <w:rFonts w:ascii="Times New Roman" w:eastAsia="Cambria" w:hAnsi="Times New Roman"/>
          <w:szCs w:val="24"/>
        </w:rPr>
        <w:t xml:space="preserve">according to </w:t>
      </w:r>
      <w:r w:rsidRPr="00F665CB">
        <w:rPr>
          <w:rFonts w:ascii="Times New Roman" w:eastAsia="Cambria" w:hAnsi="Times New Roman"/>
          <w:szCs w:val="24"/>
        </w:rPr>
        <w:t>the terms set by the Chamber and</w:t>
      </w:r>
      <w:r w:rsidR="00A20B71" w:rsidRPr="00F665CB">
        <w:rPr>
          <w:rFonts w:ascii="Times New Roman" w:eastAsia="Cambria" w:hAnsi="Times New Roman"/>
          <w:szCs w:val="24"/>
        </w:rPr>
        <w:t xml:space="preserve"> </w:t>
      </w:r>
      <w:r w:rsidRPr="00F665CB">
        <w:rPr>
          <w:rFonts w:ascii="Times New Roman" w:eastAsia="Cambria" w:hAnsi="Times New Roman"/>
          <w:szCs w:val="24"/>
        </w:rPr>
        <w:t>considers that anonymity is incompatible with the functions to be p</w:t>
      </w:r>
      <w:r w:rsidR="00F665CB">
        <w:rPr>
          <w:rFonts w:ascii="Times New Roman" w:eastAsia="Cambria" w:hAnsi="Times New Roman"/>
          <w:szCs w:val="24"/>
        </w:rPr>
        <w:t>er</w:t>
      </w:r>
      <w:r w:rsidRPr="00F665CB">
        <w:rPr>
          <w:rFonts w:ascii="Times New Roman" w:eastAsia="Cambria" w:hAnsi="Times New Roman"/>
          <w:szCs w:val="24"/>
        </w:rPr>
        <w:t>formed by a</w:t>
      </w:r>
      <w:r w:rsidR="00A20B71" w:rsidRPr="00F665CB">
        <w:rPr>
          <w:rFonts w:ascii="Times New Roman" w:eastAsia="Cambria" w:hAnsi="Times New Roman"/>
          <w:szCs w:val="24"/>
        </w:rPr>
        <w:t xml:space="preserve"> </w:t>
      </w:r>
      <w:r w:rsidRPr="00F665CB">
        <w:rPr>
          <w:rFonts w:ascii="Times New Roman" w:eastAsia="Cambria" w:hAnsi="Times New Roman"/>
          <w:szCs w:val="24"/>
        </w:rPr>
        <w:t>legal representative</w:t>
      </w:r>
      <w:r w:rsidRPr="006E622A">
        <w:rPr>
          <w:rFonts w:ascii="Times New Roman" w:eastAsia="Cambria" w:hAnsi="Times New Roman"/>
          <w:i/>
          <w:szCs w:val="24"/>
        </w:rPr>
        <w:t>.”</w:t>
      </w:r>
      <w:r w:rsidRPr="006E622A">
        <w:rPr>
          <w:rFonts w:ascii="Times New Roman" w:eastAsia="Cambria" w:hAnsi="Times New Roman"/>
          <w:i/>
          <w:szCs w:val="24"/>
          <w:vertAlign w:val="superscript"/>
        </w:rPr>
        <w:footnoteReference w:id="685"/>
      </w:r>
      <w:r w:rsidRPr="006E622A">
        <w:rPr>
          <w:rFonts w:ascii="Times New Roman" w:eastAsia="Cambria" w:hAnsi="Times New Roman"/>
          <w:szCs w:val="24"/>
        </w:rPr>
        <w:t xml:space="preserve"> </w:t>
      </w:r>
      <w:r w:rsidR="00340D66">
        <w:rPr>
          <w:rFonts w:ascii="Times New Roman" w:eastAsia="Cambria" w:hAnsi="Times New Roman"/>
          <w:szCs w:val="24"/>
        </w:rPr>
        <w:t>In its ruling, the Chamber</w:t>
      </w:r>
      <w:r w:rsidRPr="006E622A">
        <w:rPr>
          <w:rFonts w:ascii="Times New Roman" w:eastAsia="Cambria" w:hAnsi="Times New Roman"/>
          <w:szCs w:val="24"/>
        </w:rPr>
        <w:t xml:space="preserve"> decided that the LRVs shall disclose his identity within ten days if she wishes to remain the </w:t>
      </w:r>
      <w:r w:rsidR="00EE2857">
        <w:rPr>
          <w:rFonts w:ascii="Times New Roman" w:eastAsia="Cambria" w:hAnsi="Times New Roman"/>
          <w:szCs w:val="24"/>
        </w:rPr>
        <w:t>Applicants' legal representative</w:t>
      </w:r>
      <w:r w:rsidRPr="006E622A">
        <w:rPr>
          <w:rFonts w:ascii="Times New Roman" w:eastAsia="Cambria" w:hAnsi="Times New Roman"/>
          <w:szCs w:val="24"/>
        </w:rPr>
        <w:t>s.</w:t>
      </w:r>
      <w:r w:rsidR="00F665CB">
        <w:rPr>
          <w:rFonts w:ascii="Times New Roman" w:eastAsia="Cambria" w:hAnsi="Times New Roman"/>
          <w:szCs w:val="24"/>
        </w:rPr>
        <w:t xml:space="preserve"> </w:t>
      </w:r>
      <w:r w:rsidRPr="006E622A">
        <w:rPr>
          <w:rFonts w:ascii="Times New Roman" w:eastAsia="Cambria" w:hAnsi="Times New Roman"/>
          <w:szCs w:val="24"/>
        </w:rPr>
        <w:t xml:space="preserve">The Chamber further stated </w:t>
      </w:r>
      <w:r w:rsidR="00BC72FC">
        <w:rPr>
          <w:rFonts w:ascii="Times New Roman" w:eastAsia="Cambria" w:hAnsi="Times New Roman"/>
          <w:szCs w:val="24"/>
        </w:rPr>
        <w:t xml:space="preserve">that </w:t>
      </w:r>
      <w:r w:rsidRPr="006E622A">
        <w:rPr>
          <w:rFonts w:ascii="Times New Roman" w:eastAsia="Cambria" w:hAnsi="Times New Roman"/>
          <w:szCs w:val="24"/>
        </w:rPr>
        <w:t>if the LRVs decides to remain anonymous after the ten days,</w:t>
      </w:r>
      <w:r w:rsidR="00F665CB">
        <w:rPr>
          <w:rFonts w:ascii="Times New Roman" w:eastAsia="Cambria" w:hAnsi="Times New Roman"/>
          <w:szCs w:val="24"/>
        </w:rPr>
        <w:t xml:space="preserve"> </w:t>
      </w:r>
      <w:r w:rsidRPr="006E622A">
        <w:rPr>
          <w:rFonts w:ascii="Times New Roman" w:eastAsia="Cambria" w:hAnsi="Times New Roman"/>
          <w:szCs w:val="24"/>
        </w:rPr>
        <w:t xml:space="preserve">the OPCV will act as </w:t>
      </w:r>
      <w:r w:rsidR="00F665CB">
        <w:rPr>
          <w:rFonts w:ascii="Times New Roman" w:eastAsia="Cambria" w:hAnsi="Times New Roman"/>
          <w:szCs w:val="24"/>
        </w:rPr>
        <w:t xml:space="preserve">a </w:t>
      </w:r>
      <w:r w:rsidRPr="006E622A">
        <w:rPr>
          <w:rFonts w:ascii="Times New Roman" w:eastAsia="Cambria" w:hAnsi="Times New Roman"/>
          <w:szCs w:val="24"/>
        </w:rPr>
        <w:t>legal representative of all the applicants until another legal representative is chosen.</w:t>
      </w:r>
      <w:r w:rsidRPr="006E622A">
        <w:rPr>
          <w:rFonts w:ascii="Times New Roman" w:eastAsia="Cambria" w:hAnsi="Times New Roman"/>
          <w:szCs w:val="24"/>
          <w:vertAlign w:val="superscript"/>
        </w:rPr>
        <w:footnoteReference w:id="686"/>
      </w:r>
      <w:r w:rsidR="00A8789E">
        <w:rPr>
          <w:rFonts w:ascii="Times New Roman" w:eastAsia="Cambria" w:hAnsi="Times New Roman"/>
          <w:szCs w:val="24"/>
        </w:rPr>
        <w:t xml:space="preserve"> </w:t>
      </w:r>
      <w:r w:rsidR="00F665CB">
        <w:rPr>
          <w:rFonts w:ascii="Times New Roman" w:eastAsia="Cambria" w:hAnsi="Times New Roman"/>
          <w:szCs w:val="24"/>
        </w:rPr>
        <w:t xml:space="preserve"> </w:t>
      </w:r>
      <w:r w:rsidRPr="006E622A">
        <w:rPr>
          <w:rFonts w:ascii="Times New Roman" w:eastAsia="Cambria" w:hAnsi="Times New Roman"/>
          <w:szCs w:val="24"/>
        </w:rPr>
        <w:t>It reiterates th</w:t>
      </w:r>
      <w:r w:rsidR="00340D66">
        <w:rPr>
          <w:rFonts w:ascii="Times New Roman" w:eastAsia="Cambria" w:hAnsi="Times New Roman"/>
          <w:szCs w:val="24"/>
        </w:rPr>
        <w:t>at privileges that</w:t>
      </w:r>
      <w:r w:rsidRPr="006E622A">
        <w:rPr>
          <w:rFonts w:ascii="Times New Roman" w:eastAsia="Cambria" w:hAnsi="Times New Roman"/>
          <w:szCs w:val="24"/>
        </w:rPr>
        <w:t xml:space="preserve"> could be granted to victims do not extend to their LRVs</w:t>
      </w:r>
      <w:r w:rsidR="00BC72FC">
        <w:rPr>
          <w:rFonts w:ascii="Times New Roman" w:eastAsia="Cambria" w:hAnsi="Times New Roman"/>
          <w:szCs w:val="24"/>
        </w:rPr>
        <w:t>- a distinction between victims and their lawyers.</w:t>
      </w:r>
    </w:p>
    <w:p w14:paraId="587DE892" w14:textId="77777777" w:rsidR="00A20B71" w:rsidRPr="00A20B71" w:rsidRDefault="00A20B71" w:rsidP="008376C8">
      <w:pPr>
        <w:spacing w:after="0" w:line="480" w:lineRule="auto"/>
        <w:jc w:val="both"/>
        <w:rPr>
          <w:rFonts w:ascii="Times New Roman" w:eastAsia="Cambria" w:hAnsi="Times New Roman"/>
          <w:i/>
          <w:szCs w:val="24"/>
        </w:rPr>
      </w:pPr>
    </w:p>
    <w:p w14:paraId="71501F93" w14:textId="4E42DCB1" w:rsidR="006E622A" w:rsidRPr="006E622A" w:rsidRDefault="006E622A" w:rsidP="008376C8">
      <w:pPr>
        <w:spacing w:after="0" w:line="480" w:lineRule="auto"/>
        <w:jc w:val="both"/>
        <w:rPr>
          <w:rFonts w:ascii="Times New Roman" w:eastAsia="Cambria" w:hAnsi="Times New Roman"/>
          <w:szCs w:val="24"/>
        </w:rPr>
      </w:pPr>
      <w:r w:rsidRPr="006E622A">
        <w:rPr>
          <w:rFonts w:ascii="Times New Roman" w:eastAsia="Cambria" w:hAnsi="Times New Roman"/>
          <w:szCs w:val="24"/>
        </w:rPr>
        <w:t>In the Lubanga case, victims were permitted to cho</w:t>
      </w:r>
      <w:r w:rsidR="00547EF5">
        <w:rPr>
          <w:rFonts w:ascii="Times New Roman" w:eastAsia="Cambria" w:hAnsi="Times New Roman"/>
          <w:szCs w:val="24"/>
        </w:rPr>
        <w:t>o</w:t>
      </w:r>
      <w:r w:rsidRPr="006E622A">
        <w:rPr>
          <w:rFonts w:ascii="Times New Roman" w:eastAsia="Cambria" w:hAnsi="Times New Roman"/>
          <w:szCs w:val="24"/>
        </w:rPr>
        <w:t>se their LRVs.</w:t>
      </w:r>
      <w:r w:rsidRPr="006E622A">
        <w:rPr>
          <w:rFonts w:ascii="Times New Roman" w:eastAsia="Cambria" w:hAnsi="Times New Roman"/>
          <w:szCs w:val="24"/>
          <w:vertAlign w:val="superscript"/>
        </w:rPr>
        <w:footnoteReference w:id="687"/>
      </w:r>
      <w:r w:rsidRPr="006E622A">
        <w:rPr>
          <w:rFonts w:ascii="Times New Roman" w:eastAsia="Cambria" w:hAnsi="Times New Roman"/>
          <w:szCs w:val="24"/>
        </w:rPr>
        <w:t xml:space="preserve"> The considerable low number of parti</w:t>
      </w:r>
      <w:r w:rsidR="00A20B71">
        <w:rPr>
          <w:rFonts w:ascii="Times New Roman" w:eastAsia="Cambria" w:hAnsi="Times New Roman"/>
          <w:szCs w:val="24"/>
        </w:rPr>
        <w:t>ci</w:t>
      </w:r>
      <w:r w:rsidRPr="006E622A">
        <w:rPr>
          <w:rFonts w:ascii="Times New Roman" w:eastAsia="Cambria" w:hAnsi="Times New Roman"/>
          <w:szCs w:val="24"/>
        </w:rPr>
        <w:t xml:space="preserve">pating victims </w:t>
      </w:r>
      <w:r w:rsidR="00191DF6">
        <w:rPr>
          <w:rFonts w:ascii="Times New Roman" w:eastAsia="Cambria" w:hAnsi="Times New Roman"/>
          <w:szCs w:val="24"/>
        </w:rPr>
        <w:t>made the process easier.</w:t>
      </w:r>
      <w:r w:rsidRPr="006E622A">
        <w:rPr>
          <w:rFonts w:ascii="Times New Roman" w:eastAsia="Cambria" w:hAnsi="Times New Roman"/>
          <w:szCs w:val="24"/>
          <w:vertAlign w:val="superscript"/>
        </w:rPr>
        <w:footnoteReference w:id="688"/>
      </w:r>
      <w:r w:rsidRPr="006E622A">
        <w:rPr>
          <w:rFonts w:ascii="Times New Roman" w:eastAsia="Cambria" w:hAnsi="Times New Roman"/>
          <w:szCs w:val="24"/>
        </w:rPr>
        <w:t xml:space="preserve"> The total number of </w:t>
      </w:r>
      <w:r w:rsidRPr="006E622A">
        <w:rPr>
          <w:rFonts w:ascii="Times New Roman" w:eastAsia="Cambria" w:hAnsi="Times New Roman"/>
          <w:szCs w:val="24"/>
        </w:rPr>
        <w:lastRenderedPageBreak/>
        <w:t xml:space="preserve">participating victims was approximating around </w:t>
      </w:r>
      <w:r w:rsidR="003148D7">
        <w:rPr>
          <w:rFonts w:ascii="Times New Roman" w:eastAsia="Cambria" w:hAnsi="Times New Roman"/>
          <w:szCs w:val="24"/>
        </w:rPr>
        <w:t>129(34 female and 95 male victims)</w:t>
      </w:r>
      <w:r w:rsidRPr="006E622A">
        <w:rPr>
          <w:rFonts w:ascii="Times New Roman" w:eastAsia="Cambria" w:hAnsi="Times New Roman"/>
          <w:szCs w:val="24"/>
        </w:rPr>
        <w:t>.</w:t>
      </w:r>
      <w:r w:rsidRPr="006E622A">
        <w:rPr>
          <w:rFonts w:ascii="Times New Roman" w:eastAsia="Cambria" w:hAnsi="Times New Roman"/>
          <w:szCs w:val="24"/>
          <w:vertAlign w:val="superscript"/>
        </w:rPr>
        <w:footnoteReference w:id="689"/>
      </w:r>
      <w:r w:rsidRPr="006E622A">
        <w:rPr>
          <w:rFonts w:ascii="Times New Roman" w:eastAsia="Cambria" w:hAnsi="Times New Roman"/>
          <w:szCs w:val="24"/>
        </w:rPr>
        <w:t xml:space="preserve"> </w:t>
      </w:r>
      <w:r w:rsidR="00BA6169">
        <w:rPr>
          <w:rFonts w:ascii="Times New Roman" w:eastAsia="Cambria" w:hAnsi="Times New Roman"/>
          <w:szCs w:val="24"/>
        </w:rPr>
        <w:t>The legal teams were divided into two. The first team was appointed for the child soldiers while the second team was appointed for the other victims.</w:t>
      </w:r>
      <w:r w:rsidRPr="006E622A">
        <w:rPr>
          <w:rFonts w:ascii="Times New Roman" w:eastAsia="Cambria" w:hAnsi="Times New Roman"/>
          <w:szCs w:val="24"/>
        </w:rPr>
        <w:t xml:space="preserve"> </w:t>
      </w:r>
      <w:r w:rsidR="007F2032">
        <w:rPr>
          <w:rFonts w:ascii="Times New Roman" w:eastAsia="Cambria" w:hAnsi="Times New Roman"/>
          <w:szCs w:val="24"/>
        </w:rPr>
        <w:t>It follows that m</w:t>
      </w:r>
      <w:r w:rsidRPr="006E622A">
        <w:rPr>
          <w:rFonts w:ascii="Times New Roman" w:eastAsia="Cambria" w:hAnsi="Times New Roman"/>
          <w:szCs w:val="24"/>
        </w:rPr>
        <w:t>ost victims in the Lubanga case had lawyers of their choice because of the considerable low number of participating victims.</w:t>
      </w:r>
      <w:r w:rsidRPr="006E622A">
        <w:rPr>
          <w:rFonts w:ascii="Times New Roman" w:eastAsia="Cambria" w:hAnsi="Times New Roman"/>
          <w:szCs w:val="24"/>
          <w:vertAlign w:val="superscript"/>
        </w:rPr>
        <w:footnoteReference w:id="690"/>
      </w:r>
      <w:r w:rsidRPr="006E622A">
        <w:rPr>
          <w:rFonts w:ascii="Times New Roman" w:eastAsia="Cambria" w:hAnsi="Times New Roman"/>
          <w:szCs w:val="24"/>
        </w:rPr>
        <w:t>Th</w:t>
      </w:r>
      <w:r w:rsidR="007F2032">
        <w:rPr>
          <w:rFonts w:ascii="Times New Roman" w:eastAsia="Cambria" w:hAnsi="Times New Roman"/>
          <w:szCs w:val="24"/>
        </w:rPr>
        <w:t>e outcome</w:t>
      </w:r>
      <w:r w:rsidR="00191DF6">
        <w:rPr>
          <w:rFonts w:ascii="Times New Roman" w:eastAsia="Cambria" w:hAnsi="Times New Roman"/>
          <w:szCs w:val="24"/>
        </w:rPr>
        <w:t xml:space="preserve"> is in contrast to the Katanga and</w:t>
      </w:r>
      <w:r w:rsidR="00A20B71">
        <w:rPr>
          <w:rFonts w:ascii="Times New Roman" w:eastAsia="Cambria" w:hAnsi="Times New Roman"/>
          <w:szCs w:val="24"/>
        </w:rPr>
        <w:t xml:space="preserve"> </w:t>
      </w:r>
      <w:proofErr w:type="spellStart"/>
      <w:r w:rsidRPr="006E622A">
        <w:rPr>
          <w:rFonts w:ascii="Times New Roman" w:eastAsia="Cambria" w:hAnsi="Times New Roman"/>
          <w:szCs w:val="24"/>
        </w:rPr>
        <w:t>Ngudjolo</w:t>
      </w:r>
      <w:proofErr w:type="spellEnd"/>
      <w:r w:rsidRPr="006E622A">
        <w:rPr>
          <w:rFonts w:ascii="Times New Roman" w:eastAsia="Cambria" w:hAnsi="Times New Roman"/>
          <w:szCs w:val="24"/>
        </w:rPr>
        <w:t xml:space="preserve"> with large victims totalling around 366 part</w:t>
      </w:r>
      <w:r w:rsidR="00A20B71">
        <w:rPr>
          <w:rFonts w:ascii="Times New Roman" w:eastAsia="Cambria" w:hAnsi="Times New Roman"/>
          <w:szCs w:val="24"/>
        </w:rPr>
        <w:t>i</w:t>
      </w:r>
      <w:r w:rsidRPr="006E622A">
        <w:rPr>
          <w:rFonts w:ascii="Times New Roman" w:eastAsia="Cambria" w:hAnsi="Times New Roman"/>
          <w:szCs w:val="24"/>
        </w:rPr>
        <w:t>cipating victims.</w:t>
      </w:r>
      <w:r w:rsidR="00F665CB">
        <w:rPr>
          <w:rFonts w:ascii="Times New Roman" w:eastAsia="Cambria" w:hAnsi="Times New Roman"/>
          <w:szCs w:val="24"/>
        </w:rPr>
        <w:t xml:space="preserve"> </w:t>
      </w:r>
      <w:r w:rsidRPr="006E622A">
        <w:rPr>
          <w:rFonts w:ascii="Times New Roman" w:eastAsia="Cambria" w:hAnsi="Times New Roman"/>
          <w:szCs w:val="24"/>
        </w:rPr>
        <w:t>The Court divided 366 victims into two groups and charged ten different common legal representatives</w:t>
      </w:r>
      <w:r w:rsidR="00BC72FC">
        <w:rPr>
          <w:rFonts w:ascii="Times New Roman" w:eastAsia="Cambria" w:hAnsi="Times New Roman"/>
          <w:szCs w:val="24"/>
        </w:rPr>
        <w:t xml:space="preserve"> for victims.</w:t>
      </w:r>
      <w:r w:rsidRPr="006E622A">
        <w:rPr>
          <w:rFonts w:ascii="Times New Roman" w:eastAsia="Cambria" w:hAnsi="Times New Roman"/>
          <w:szCs w:val="24"/>
          <w:vertAlign w:val="superscript"/>
        </w:rPr>
        <w:footnoteReference w:id="691"/>
      </w:r>
      <w:r w:rsidRPr="006E622A">
        <w:rPr>
          <w:rFonts w:ascii="Times New Roman" w:eastAsia="Cambria" w:hAnsi="Times New Roman"/>
          <w:szCs w:val="24"/>
        </w:rPr>
        <w:t xml:space="preserve">  </w:t>
      </w:r>
      <w:r w:rsidR="00F665CB">
        <w:rPr>
          <w:rFonts w:ascii="Times New Roman" w:eastAsia="Cambria" w:hAnsi="Times New Roman"/>
          <w:szCs w:val="24"/>
        </w:rPr>
        <w:t xml:space="preserve"> </w:t>
      </w:r>
    </w:p>
    <w:p w14:paraId="29D831E1" w14:textId="77777777" w:rsidR="00191DF6" w:rsidRDefault="00191DF6" w:rsidP="008376C8">
      <w:pPr>
        <w:tabs>
          <w:tab w:val="left" w:pos="1830"/>
        </w:tabs>
        <w:spacing w:after="0" w:line="480" w:lineRule="auto"/>
        <w:jc w:val="both"/>
        <w:rPr>
          <w:rFonts w:ascii="Times New Roman" w:eastAsia="Cambria" w:hAnsi="Times New Roman"/>
          <w:szCs w:val="24"/>
        </w:rPr>
      </w:pPr>
    </w:p>
    <w:p w14:paraId="65FE58BB" w14:textId="3C05D573" w:rsidR="00B07D4A" w:rsidRDefault="006E622A" w:rsidP="008376C8">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rPr>
        <w:t xml:space="preserve">Regarding if victims needed continuous legal representation, </w:t>
      </w:r>
      <w:r w:rsidRPr="006E622A">
        <w:rPr>
          <w:rFonts w:ascii="Times New Roman" w:eastAsia="Cambria" w:hAnsi="Times New Roman"/>
          <w:szCs w:val="24"/>
          <w:lang w:eastAsia="ja-JP"/>
        </w:rPr>
        <w:t xml:space="preserve">the   OPCV on behalf of the victims called the </w:t>
      </w:r>
      <w:r w:rsidR="00340D66">
        <w:rPr>
          <w:rFonts w:ascii="Times New Roman" w:eastAsia="Cambria" w:hAnsi="Times New Roman"/>
          <w:szCs w:val="24"/>
          <w:lang w:eastAsia="ja-JP"/>
        </w:rPr>
        <w:t>AC's attention</w:t>
      </w:r>
      <w:r w:rsidRPr="006E622A">
        <w:rPr>
          <w:rFonts w:ascii="Times New Roman" w:eastAsia="Cambria" w:hAnsi="Times New Roman"/>
          <w:szCs w:val="24"/>
          <w:lang w:eastAsia="ja-JP"/>
        </w:rPr>
        <w:t xml:space="preserve"> to non-represented victims.</w:t>
      </w:r>
      <w:r w:rsidR="00A20B71">
        <w:rPr>
          <w:rFonts w:ascii="Times New Roman" w:eastAsia="Cambria" w:hAnsi="Times New Roman"/>
          <w:szCs w:val="24"/>
          <w:lang w:eastAsia="ja-JP"/>
        </w:rPr>
        <w:t xml:space="preserve"> </w:t>
      </w:r>
      <w:r w:rsidRPr="006E622A">
        <w:rPr>
          <w:rFonts w:ascii="Times New Roman" w:eastAsia="Cambria" w:hAnsi="Times New Roman"/>
          <w:szCs w:val="24"/>
          <w:lang w:eastAsia="ja-JP"/>
        </w:rPr>
        <w:t>The LRV of these victims</w:t>
      </w:r>
      <w:r w:rsidR="00F665CB">
        <w:rPr>
          <w:rFonts w:ascii="Times New Roman" w:eastAsia="Cambria" w:hAnsi="Times New Roman"/>
          <w:szCs w:val="24"/>
          <w:lang w:eastAsia="ja-JP"/>
        </w:rPr>
        <w:t>,</w:t>
      </w:r>
      <w:r w:rsidRPr="006E622A">
        <w:rPr>
          <w:rFonts w:ascii="Times New Roman" w:eastAsia="Cambria" w:hAnsi="Times New Roman"/>
          <w:szCs w:val="24"/>
          <w:lang w:eastAsia="ja-JP"/>
        </w:rPr>
        <w:t xml:space="preserve"> which he termed-‘concerned victims’ withdrew during the proceedings.</w:t>
      </w:r>
      <w:r w:rsidRPr="006E622A">
        <w:rPr>
          <w:rFonts w:ascii="Times New Roman" w:eastAsia="Cambria" w:hAnsi="Times New Roman"/>
          <w:szCs w:val="24"/>
          <w:vertAlign w:val="superscript"/>
          <w:lang w:eastAsia="ja-JP"/>
        </w:rPr>
        <w:footnoteReference w:id="692"/>
      </w:r>
      <w:r w:rsidRPr="006E622A">
        <w:rPr>
          <w:rFonts w:ascii="Times New Roman" w:eastAsia="Cambria" w:hAnsi="Times New Roman"/>
          <w:szCs w:val="24"/>
          <w:lang w:eastAsia="ja-JP"/>
        </w:rPr>
        <w:t xml:space="preserve"> He raised an appeal on this ground.</w:t>
      </w:r>
      <w:r w:rsidR="00F665CB">
        <w:rPr>
          <w:rFonts w:ascii="Times New Roman" w:eastAsia="Cambria" w:hAnsi="Times New Roman"/>
          <w:szCs w:val="24"/>
          <w:lang w:eastAsia="ja-JP"/>
        </w:rPr>
        <w:t xml:space="preserve"> </w:t>
      </w:r>
      <w:r w:rsidRPr="006E622A">
        <w:rPr>
          <w:rFonts w:ascii="Times New Roman" w:eastAsia="Cambria" w:hAnsi="Times New Roman"/>
          <w:szCs w:val="24"/>
          <w:lang w:eastAsia="ja-JP"/>
        </w:rPr>
        <w:t>The OPCV averred that the TC made a ‘procedural error by not appointing a new lawyer for victims immediately after authoris</w:t>
      </w:r>
      <w:r w:rsidR="00A20B71">
        <w:rPr>
          <w:rFonts w:ascii="Times New Roman" w:eastAsia="Cambria" w:hAnsi="Times New Roman"/>
          <w:szCs w:val="24"/>
          <w:lang w:eastAsia="ja-JP"/>
        </w:rPr>
        <w:t>i</w:t>
      </w:r>
      <w:r w:rsidRPr="006E622A">
        <w:rPr>
          <w:rFonts w:ascii="Times New Roman" w:eastAsia="Cambria" w:hAnsi="Times New Roman"/>
          <w:szCs w:val="24"/>
          <w:lang w:eastAsia="ja-JP"/>
        </w:rPr>
        <w:t xml:space="preserve">ng the former LRV to terminate his mandate </w:t>
      </w:r>
      <w:r w:rsidR="00340D66">
        <w:rPr>
          <w:rFonts w:ascii="Times New Roman" w:eastAsia="Cambria" w:hAnsi="Times New Roman"/>
          <w:szCs w:val="24"/>
          <w:lang w:eastAsia="ja-JP"/>
        </w:rPr>
        <w:t>regarding</w:t>
      </w:r>
      <w:r w:rsidRPr="006E622A">
        <w:rPr>
          <w:rFonts w:ascii="Times New Roman" w:eastAsia="Cambria" w:hAnsi="Times New Roman"/>
          <w:szCs w:val="24"/>
          <w:lang w:eastAsia="ja-JP"/>
        </w:rPr>
        <w:t xml:space="preserve"> the concerned victims’.</w:t>
      </w:r>
      <w:r w:rsidRPr="006E622A">
        <w:rPr>
          <w:rFonts w:ascii="Times New Roman" w:eastAsia="Cambria" w:hAnsi="Times New Roman"/>
          <w:szCs w:val="24"/>
          <w:vertAlign w:val="superscript"/>
          <w:lang w:eastAsia="ja-JP"/>
        </w:rPr>
        <w:footnoteReference w:id="693"/>
      </w:r>
      <w:r w:rsidRPr="006E622A">
        <w:rPr>
          <w:rFonts w:ascii="Times New Roman" w:eastAsia="Cambria" w:hAnsi="Times New Roman"/>
          <w:szCs w:val="24"/>
          <w:lang w:eastAsia="ja-JP"/>
        </w:rPr>
        <w:t xml:space="preserve"> The OPCV asserted that the victims must be represented throughout the proceedings until </w:t>
      </w:r>
      <w:r w:rsidR="00340D66">
        <w:rPr>
          <w:rFonts w:ascii="Times New Roman" w:eastAsia="Cambria" w:hAnsi="Times New Roman"/>
          <w:szCs w:val="24"/>
          <w:lang w:eastAsia="ja-JP"/>
        </w:rPr>
        <w:lastRenderedPageBreak/>
        <w:t>completing</w:t>
      </w:r>
      <w:r w:rsidRPr="006E622A">
        <w:rPr>
          <w:rFonts w:ascii="Times New Roman" w:eastAsia="Cambria" w:hAnsi="Times New Roman"/>
          <w:szCs w:val="24"/>
          <w:lang w:eastAsia="ja-JP"/>
        </w:rPr>
        <w:t xml:space="preserve"> the reparations phase. The OPCV requested that the concerned victims should be granted reparations, after having been </w:t>
      </w:r>
      <w:r w:rsidR="00340D66">
        <w:rPr>
          <w:rFonts w:ascii="Times New Roman" w:eastAsia="Cambria" w:hAnsi="Times New Roman"/>
          <w:szCs w:val="24"/>
          <w:lang w:eastAsia="ja-JP"/>
        </w:rPr>
        <w:t>allowed</w:t>
      </w:r>
      <w:r w:rsidRPr="006E622A">
        <w:rPr>
          <w:rFonts w:ascii="Times New Roman" w:eastAsia="Cambria" w:hAnsi="Times New Roman"/>
          <w:szCs w:val="24"/>
          <w:lang w:eastAsia="ja-JP"/>
        </w:rPr>
        <w:t xml:space="preserve"> to present or supplement their application for reparations</w:t>
      </w:r>
      <w:r w:rsidR="00F665CB">
        <w:rPr>
          <w:rFonts w:ascii="Times New Roman" w:eastAsia="Cambria" w:hAnsi="Times New Roman"/>
          <w:szCs w:val="24"/>
          <w:lang w:eastAsia="ja-JP"/>
        </w:rPr>
        <w:t>.</w:t>
      </w:r>
      <w:r w:rsidRPr="006E622A">
        <w:rPr>
          <w:rFonts w:ascii="Times New Roman" w:eastAsia="Cambria" w:hAnsi="Times New Roman"/>
          <w:szCs w:val="24"/>
          <w:lang w:eastAsia="ja-JP"/>
        </w:rPr>
        <w:t xml:space="preserve"> </w:t>
      </w:r>
      <w:r w:rsidR="00B07D4A" w:rsidRPr="006E622A">
        <w:rPr>
          <w:rFonts w:ascii="Times New Roman" w:eastAsia="Cambria" w:hAnsi="Times New Roman"/>
          <w:szCs w:val="24"/>
          <w:lang w:eastAsia="ja-JP"/>
        </w:rPr>
        <w:t xml:space="preserve">The AC rejected OPCV’s argument that </w:t>
      </w:r>
      <w:r w:rsidR="00F665CB">
        <w:rPr>
          <w:rFonts w:ascii="Times New Roman" w:eastAsia="Cambria" w:hAnsi="Times New Roman"/>
          <w:szCs w:val="24"/>
          <w:lang w:eastAsia="ja-JP"/>
        </w:rPr>
        <w:t xml:space="preserve">the </w:t>
      </w:r>
      <w:r w:rsidR="00B07D4A" w:rsidRPr="006E622A">
        <w:rPr>
          <w:rFonts w:ascii="Times New Roman" w:eastAsia="Cambria" w:hAnsi="Times New Roman"/>
          <w:szCs w:val="24"/>
          <w:lang w:eastAsia="ja-JP"/>
        </w:rPr>
        <w:t>rep</w:t>
      </w:r>
      <w:r w:rsidR="00F665CB">
        <w:rPr>
          <w:rFonts w:ascii="Times New Roman" w:eastAsia="Cambria" w:hAnsi="Times New Roman"/>
          <w:szCs w:val="24"/>
          <w:lang w:eastAsia="ja-JP"/>
        </w:rPr>
        <w:t>r</w:t>
      </w:r>
      <w:r w:rsidR="00B07D4A" w:rsidRPr="006E622A">
        <w:rPr>
          <w:rFonts w:ascii="Times New Roman" w:eastAsia="Cambria" w:hAnsi="Times New Roman"/>
          <w:szCs w:val="24"/>
          <w:lang w:eastAsia="ja-JP"/>
        </w:rPr>
        <w:t>esentation of victims must be continuous.</w:t>
      </w:r>
      <w:r w:rsidR="00B07D4A">
        <w:rPr>
          <w:rFonts w:ascii="Times New Roman" w:eastAsia="Cambria" w:hAnsi="Times New Roman"/>
          <w:szCs w:val="24"/>
          <w:lang w:eastAsia="ja-JP"/>
        </w:rPr>
        <w:t xml:space="preserve"> </w:t>
      </w:r>
      <w:r w:rsidR="00B07D4A" w:rsidRPr="006E622A">
        <w:rPr>
          <w:rFonts w:ascii="Times New Roman" w:eastAsia="Cambria" w:hAnsi="Times New Roman"/>
          <w:szCs w:val="24"/>
          <w:lang w:eastAsia="ja-JP"/>
        </w:rPr>
        <w:t>One of the question for determination was if the TC abused its discretion by not appointing counsel immediately after the former LRV was granted leave to withdraw as counsel while the proceedings w</w:t>
      </w:r>
      <w:r w:rsidR="00F665CB">
        <w:rPr>
          <w:rFonts w:ascii="Times New Roman" w:eastAsia="Cambria" w:hAnsi="Times New Roman"/>
          <w:szCs w:val="24"/>
          <w:lang w:eastAsia="ja-JP"/>
        </w:rPr>
        <w:t>ere</w:t>
      </w:r>
      <w:r w:rsidR="00B07D4A" w:rsidRPr="006E622A">
        <w:rPr>
          <w:rFonts w:ascii="Times New Roman" w:eastAsia="Cambria" w:hAnsi="Times New Roman"/>
          <w:szCs w:val="24"/>
          <w:lang w:eastAsia="ja-JP"/>
        </w:rPr>
        <w:t xml:space="preserve"> ongoing.</w:t>
      </w:r>
      <w:r w:rsidR="00F665CB">
        <w:rPr>
          <w:rFonts w:ascii="Times New Roman" w:eastAsia="Cambria" w:hAnsi="Times New Roman"/>
          <w:szCs w:val="24"/>
          <w:lang w:eastAsia="ja-JP"/>
        </w:rPr>
        <w:t xml:space="preserve"> </w:t>
      </w:r>
      <w:r w:rsidR="00B07D4A" w:rsidRPr="006E622A">
        <w:rPr>
          <w:rFonts w:ascii="Times New Roman" w:eastAsia="Cambria" w:hAnsi="Times New Roman"/>
          <w:szCs w:val="24"/>
          <w:lang w:eastAsia="ja-JP"/>
        </w:rPr>
        <w:t xml:space="preserve">The AC found that the TC did not abuse its discretion </w:t>
      </w:r>
      <w:r w:rsidR="00340D66">
        <w:rPr>
          <w:rFonts w:ascii="Times New Roman" w:eastAsia="Cambria" w:hAnsi="Times New Roman"/>
          <w:szCs w:val="24"/>
          <w:lang w:eastAsia="ja-JP"/>
        </w:rPr>
        <w:t>due to</w:t>
      </w:r>
      <w:r w:rsidR="00B07D4A" w:rsidRPr="006E622A">
        <w:rPr>
          <w:rFonts w:ascii="Times New Roman" w:eastAsia="Cambria" w:hAnsi="Times New Roman"/>
          <w:szCs w:val="24"/>
          <w:lang w:eastAsia="ja-JP"/>
        </w:rPr>
        <w:t xml:space="preserve"> failure to appoint counsel </w:t>
      </w:r>
      <w:r w:rsidR="00BC72FC">
        <w:rPr>
          <w:rFonts w:ascii="Times New Roman" w:eastAsia="Cambria" w:hAnsi="Times New Roman"/>
          <w:szCs w:val="24"/>
          <w:lang w:eastAsia="ja-JP"/>
        </w:rPr>
        <w:t>to assist</w:t>
      </w:r>
      <w:r w:rsidR="00B07D4A" w:rsidRPr="006E622A">
        <w:rPr>
          <w:rFonts w:ascii="Times New Roman" w:eastAsia="Cambria" w:hAnsi="Times New Roman"/>
          <w:szCs w:val="24"/>
          <w:lang w:eastAsia="ja-JP"/>
        </w:rPr>
        <w:t xml:space="preserve"> the concerned victims in completing their applications.</w:t>
      </w:r>
      <w:r w:rsidR="00B07D4A" w:rsidRPr="006E622A">
        <w:rPr>
          <w:rFonts w:ascii="Times New Roman" w:eastAsia="Cambria" w:hAnsi="Times New Roman"/>
          <w:szCs w:val="24"/>
          <w:vertAlign w:val="superscript"/>
          <w:lang w:eastAsia="ja-JP"/>
        </w:rPr>
        <w:footnoteReference w:id="694"/>
      </w:r>
    </w:p>
    <w:p w14:paraId="699EEF86" w14:textId="77777777" w:rsidR="00B07D4A" w:rsidRPr="006E622A" w:rsidRDefault="00B07D4A" w:rsidP="008376C8">
      <w:pPr>
        <w:spacing w:after="0" w:line="480" w:lineRule="auto"/>
        <w:jc w:val="both"/>
        <w:rPr>
          <w:rFonts w:ascii="Times New Roman" w:eastAsia="Cambria" w:hAnsi="Times New Roman"/>
          <w:szCs w:val="24"/>
          <w:lang w:eastAsia="ja-JP"/>
        </w:rPr>
      </w:pPr>
    </w:p>
    <w:p w14:paraId="1157CF9C" w14:textId="5DFD8191" w:rsidR="006E622A" w:rsidRPr="00191DF6" w:rsidRDefault="008C151C" w:rsidP="008376C8">
      <w:pPr>
        <w:tabs>
          <w:tab w:val="left" w:pos="1830"/>
        </w:tabs>
        <w:spacing w:after="0" w:line="480" w:lineRule="auto"/>
        <w:jc w:val="both"/>
        <w:rPr>
          <w:rFonts w:ascii="Times New Roman" w:eastAsia="Cambria" w:hAnsi="Times New Roman"/>
          <w:szCs w:val="24"/>
        </w:rPr>
      </w:pPr>
      <w:r>
        <w:rPr>
          <w:rFonts w:ascii="Times New Roman" w:eastAsia="Cambria" w:hAnsi="Times New Roman"/>
          <w:szCs w:val="24"/>
          <w:lang w:eastAsia="ja-JP"/>
        </w:rPr>
        <w:t>Besides</w:t>
      </w:r>
      <w:r w:rsidR="00B07D4A">
        <w:rPr>
          <w:rFonts w:ascii="Times New Roman" w:eastAsia="Cambria" w:hAnsi="Times New Roman"/>
          <w:szCs w:val="24"/>
          <w:lang w:eastAsia="ja-JP"/>
        </w:rPr>
        <w:t>, t</w:t>
      </w:r>
      <w:r w:rsidR="006E622A" w:rsidRPr="006E622A">
        <w:rPr>
          <w:rFonts w:ascii="Times New Roman" w:eastAsia="Cambria" w:hAnsi="Times New Roman"/>
          <w:szCs w:val="24"/>
          <w:lang w:eastAsia="ja-JP"/>
        </w:rPr>
        <w:t>he AC noted that, generally, it is not only in the interests of victims but also in the interests of the efficient conduct of the proceedings, that victims are legally represented during the reparations phase. The AC stated that neither the Rome Statute nor the RPE expressly provide</w:t>
      </w:r>
      <w:r w:rsidR="00F665CB">
        <w:rPr>
          <w:rFonts w:ascii="Times New Roman" w:eastAsia="Cambria" w:hAnsi="Times New Roman"/>
          <w:szCs w:val="24"/>
          <w:lang w:eastAsia="ja-JP"/>
        </w:rPr>
        <w:t>s</w:t>
      </w:r>
      <w:r w:rsidR="006E622A" w:rsidRPr="006E622A">
        <w:rPr>
          <w:rFonts w:ascii="Times New Roman" w:eastAsia="Cambria" w:hAnsi="Times New Roman"/>
          <w:szCs w:val="24"/>
          <w:lang w:eastAsia="ja-JP"/>
        </w:rPr>
        <w:t xml:space="preserve"> that victims be ‘</w:t>
      </w:r>
      <w:r w:rsidR="006E622A" w:rsidRPr="00F665CB">
        <w:rPr>
          <w:rFonts w:ascii="Times New Roman" w:eastAsia="Cambria" w:hAnsi="Times New Roman"/>
          <w:szCs w:val="24"/>
          <w:lang w:eastAsia="ja-JP"/>
        </w:rPr>
        <w:t>represented by counsel at all times before a trial chamber</w:t>
      </w:r>
      <w:r w:rsidR="006E622A" w:rsidRPr="006E622A">
        <w:rPr>
          <w:rFonts w:ascii="Times New Roman" w:eastAsia="Cambria" w:hAnsi="Times New Roman"/>
          <w:i/>
          <w:szCs w:val="24"/>
          <w:lang w:eastAsia="ja-JP"/>
        </w:rPr>
        <w:t>’.</w:t>
      </w:r>
      <w:r w:rsidR="006E622A" w:rsidRPr="006E622A">
        <w:rPr>
          <w:rFonts w:ascii="Times New Roman" w:eastAsia="Cambria" w:hAnsi="Times New Roman"/>
          <w:i/>
          <w:szCs w:val="24"/>
          <w:vertAlign w:val="superscript"/>
          <w:lang w:eastAsia="ja-JP"/>
        </w:rPr>
        <w:footnoteReference w:id="695"/>
      </w:r>
    </w:p>
    <w:p w14:paraId="70C444AC" w14:textId="77777777" w:rsidR="006E622A" w:rsidRPr="006E622A" w:rsidRDefault="006E622A" w:rsidP="008376C8">
      <w:pPr>
        <w:spacing w:after="0" w:line="480" w:lineRule="auto"/>
        <w:jc w:val="both"/>
        <w:rPr>
          <w:rFonts w:ascii="Times New Roman" w:eastAsia="Cambria" w:hAnsi="Times New Roman"/>
          <w:szCs w:val="24"/>
          <w:lang w:eastAsia="ja-JP"/>
        </w:rPr>
      </w:pPr>
    </w:p>
    <w:p w14:paraId="6EAFC0E1" w14:textId="72DCBA4A" w:rsidR="00F278AD" w:rsidRDefault="00BC72FC" w:rsidP="008376C8">
      <w:pPr>
        <w:spacing w:after="0" w:line="480" w:lineRule="auto"/>
        <w:jc w:val="both"/>
        <w:rPr>
          <w:rFonts w:ascii="Times New Roman" w:hAnsi="Times New Roman"/>
          <w:szCs w:val="24"/>
        </w:rPr>
      </w:pPr>
      <w:r>
        <w:rPr>
          <w:rFonts w:ascii="Times New Roman" w:eastAsia="Cambria" w:hAnsi="Times New Roman"/>
          <w:szCs w:val="24"/>
          <w:lang w:eastAsia="ja-JP"/>
        </w:rPr>
        <w:t>Suppose victims do not need to choose and be represented by LRV, however, once LRV represents them. In that case</w:t>
      </w:r>
      <w:r w:rsidR="006E622A" w:rsidRPr="006E622A">
        <w:rPr>
          <w:rFonts w:ascii="Times New Roman" w:eastAsia="Cambria" w:hAnsi="Times New Roman"/>
          <w:szCs w:val="24"/>
          <w:lang w:eastAsia="ja-JP"/>
        </w:rPr>
        <w:t>, it is only reasonable for such representation to continue as the LRV is their voice</w:t>
      </w:r>
      <w:r w:rsidR="00340D66">
        <w:rPr>
          <w:rFonts w:ascii="Times New Roman" w:eastAsia="Cambria" w:hAnsi="Times New Roman"/>
          <w:szCs w:val="24"/>
          <w:lang w:eastAsia="ja-JP"/>
        </w:rPr>
        <w:t>. An absence of legal representation during the proceedings leaves a gap for the victims, potentially leading</w:t>
      </w:r>
      <w:r w:rsidR="006E622A" w:rsidRPr="006E622A">
        <w:rPr>
          <w:rFonts w:ascii="Times New Roman" w:eastAsia="Cambria" w:hAnsi="Times New Roman"/>
          <w:szCs w:val="24"/>
          <w:lang w:eastAsia="ja-JP"/>
        </w:rPr>
        <w:t xml:space="preserve"> to procedural injustice.</w:t>
      </w:r>
      <w:r w:rsidR="00F665CB">
        <w:rPr>
          <w:rFonts w:ascii="Times New Roman" w:eastAsia="Cambria" w:hAnsi="Times New Roman"/>
          <w:szCs w:val="24"/>
          <w:lang w:eastAsia="ja-JP"/>
        </w:rPr>
        <w:t xml:space="preserve"> </w:t>
      </w:r>
      <w:r w:rsidR="006E622A" w:rsidRPr="006E622A">
        <w:rPr>
          <w:rFonts w:ascii="Times New Roman" w:eastAsia="Cambria" w:hAnsi="Times New Roman"/>
          <w:szCs w:val="24"/>
          <w:lang w:eastAsia="ja-JP"/>
        </w:rPr>
        <w:t>In this context, victims may become invisible due to the absence of their representative.</w:t>
      </w:r>
      <w:r w:rsidR="00F665CB">
        <w:rPr>
          <w:rFonts w:ascii="Times New Roman" w:eastAsia="Cambria" w:hAnsi="Times New Roman"/>
          <w:szCs w:val="24"/>
          <w:lang w:eastAsia="ja-JP"/>
        </w:rPr>
        <w:t xml:space="preserve"> Besides</w:t>
      </w:r>
      <w:r w:rsidR="006E622A" w:rsidRPr="006E622A">
        <w:rPr>
          <w:rFonts w:ascii="Times New Roman" w:eastAsia="Cambria" w:hAnsi="Times New Roman"/>
          <w:szCs w:val="24"/>
          <w:lang w:eastAsia="ja-JP"/>
        </w:rPr>
        <w:t>, information may get lost</w:t>
      </w:r>
      <w:r>
        <w:rPr>
          <w:rFonts w:ascii="Times New Roman" w:eastAsia="Cambria" w:hAnsi="Times New Roman"/>
          <w:szCs w:val="24"/>
          <w:lang w:eastAsia="ja-JP"/>
        </w:rPr>
        <w:t xml:space="preserve"> in transit. </w:t>
      </w:r>
      <w:r w:rsidR="006E622A" w:rsidRPr="006E622A">
        <w:rPr>
          <w:rFonts w:ascii="Times New Roman" w:hAnsi="Times New Roman"/>
          <w:szCs w:val="24"/>
        </w:rPr>
        <w:t xml:space="preserve">The right to receive information like every other </w:t>
      </w:r>
      <w:r w:rsidR="006E622A" w:rsidRPr="006E622A">
        <w:rPr>
          <w:rFonts w:ascii="Times New Roman" w:hAnsi="Times New Roman"/>
          <w:szCs w:val="24"/>
        </w:rPr>
        <w:lastRenderedPageBreak/>
        <w:t xml:space="preserve">procedural right aims at improving victims’ experience in </w:t>
      </w:r>
      <w:r w:rsidR="00F665CB">
        <w:rPr>
          <w:rFonts w:ascii="Times New Roman" w:hAnsi="Times New Roman"/>
          <w:szCs w:val="24"/>
        </w:rPr>
        <w:t xml:space="preserve">the </w:t>
      </w:r>
      <w:r w:rsidR="006E622A" w:rsidRPr="006E622A">
        <w:rPr>
          <w:rFonts w:ascii="Times New Roman" w:hAnsi="Times New Roman"/>
          <w:szCs w:val="24"/>
        </w:rPr>
        <w:t>criminal justice system.</w:t>
      </w:r>
      <w:r w:rsidR="006E622A" w:rsidRPr="006E622A">
        <w:rPr>
          <w:rFonts w:ascii="Times New Roman" w:hAnsi="Times New Roman"/>
          <w:szCs w:val="24"/>
          <w:vertAlign w:val="superscript"/>
        </w:rPr>
        <w:footnoteReference w:id="696"/>
      </w:r>
      <w:r w:rsidR="006E622A" w:rsidRPr="006E622A">
        <w:rPr>
          <w:rFonts w:ascii="Times New Roman" w:hAnsi="Times New Roman"/>
          <w:szCs w:val="24"/>
        </w:rPr>
        <w:t xml:space="preserve"> It also encompasses the right to receive information on the progress of the cas</w:t>
      </w:r>
      <w:r w:rsidR="00F665CB">
        <w:rPr>
          <w:rFonts w:ascii="Times New Roman" w:hAnsi="Times New Roman"/>
          <w:szCs w:val="24"/>
        </w:rPr>
        <w:t>e</w:t>
      </w:r>
      <w:r w:rsidR="006E622A" w:rsidRPr="006E622A">
        <w:rPr>
          <w:rFonts w:ascii="Times New Roman" w:hAnsi="Times New Roman"/>
          <w:szCs w:val="24"/>
        </w:rPr>
        <w:t>.</w:t>
      </w:r>
      <w:r w:rsidR="00F665CB">
        <w:rPr>
          <w:rFonts w:ascii="Times New Roman" w:hAnsi="Times New Roman"/>
          <w:szCs w:val="24"/>
        </w:rPr>
        <w:t xml:space="preserve"> </w:t>
      </w:r>
      <w:r w:rsidR="006E622A" w:rsidRPr="006E622A">
        <w:rPr>
          <w:rFonts w:ascii="Times New Roman" w:hAnsi="Times New Roman"/>
          <w:szCs w:val="24"/>
        </w:rPr>
        <w:t xml:space="preserve">The dissemination of relevant information to victims is considered a pre-requisite for making </w:t>
      </w:r>
      <w:r w:rsidR="00F665CB">
        <w:rPr>
          <w:rFonts w:ascii="Times New Roman" w:hAnsi="Times New Roman"/>
          <w:szCs w:val="24"/>
        </w:rPr>
        <w:t xml:space="preserve">an </w:t>
      </w:r>
      <w:r w:rsidR="006E622A" w:rsidRPr="006E622A">
        <w:rPr>
          <w:rFonts w:ascii="Times New Roman" w:hAnsi="Times New Roman"/>
          <w:szCs w:val="24"/>
        </w:rPr>
        <w:t>informed decision on whether to participate or not.</w:t>
      </w:r>
      <w:r w:rsidR="00F665CB">
        <w:rPr>
          <w:rFonts w:ascii="Times New Roman" w:hAnsi="Times New Roman"/>
          <w:szCs w:val="24"/>
        </w:rPr>
        <w:t xml:space="preserve"> </w:t>
      </w:r>
      <w:r w:rsidR="006E622A" w:rsidRPr="006E622A">
        <w:rPr>
          <w:rFonts w:ascii="Times New Roman" w:hAnsi="Times New Roman"/>
          <w:szCs w:val="24"/>
        </w:rPr>
        <w:t xml:space="preserve">The </w:t>
      </w:r>
      <w:r>
        <w:rPr>
          <w:rFonts w:ascii="Times New Roman" w:hAnsi="Times New Roman"/>
          <w:szCs w:val="24"/>
        </w:rPr>
        <w:t xml:space="preserve">transfer </w:t>
      </w:r>
      <w:r w:rsidR="006E622A" w:rsidRPr="006E622A">
        <w:rPr>
          <w:rFonts w:ascii="Times New Roman" w:hAnsi="Times New Roman"/>
          <w:szCs w:val="24"/>
        </w:rPr>
        <w:t xml:space="preserve">of </w:t>
      </w:r>
      <w:r w:rsidR="00340D66">
        <w:rPr>
          <w:rFonts w:ascii="Times New Roman" w:hAnsi="Times New Roman"/>
          <w:szCs w:val="24"/>
        </w:rPr>
        <w:t>pertine</w:t>
      </w:r>
      <w:r w:rsidR="006E622A" w:rsidRPr="006E622A">
        <w:rPr>
          <w:rFonts w:ascii="Times New Roman" w:hAnsi="Times New Roman"/>
          <w:szCs w:val="24"/>
        </w:rPr>
        <w:t xml:space="preserve">nt information should span throughout the criminal trial and afterwards. </w:t>
      </w:r>
    </w:p>
    <w:p w14:paraId="53562731" w14:textId="77777777" w:rsidR="00F278AD" w:rsidRDefault="00F278AD" w:rsidP="008376C8">
      <w:pPr>
        <w:spacing w:after="0" w:line="480" w:lineRule="auto"/>
        <w:jc w:val="both"/>
        <w:rPr>
          <w:rFonts w:ascii="Times New Roman" w:hAnsi="Times New Roman"/>
          <w:szCs w:val="24"/>
        </w:rPr>
      </w:pPr>
    </w:p>
    <w:p w14:paraId="348B72BF" w14:textId="524CB552" w:rsidR="006E622A" w:rsidRDefault="00F278AD" w:rsidP="008376C8">
      <w:pPr>
        <w:spacing w:after="0" w:line="480" w:lineRule="auto"/>
        <w:jc w:val="both"/>
        <w:rPr>
          <w:rFonts w:ascii="Times New Roman" w:hAnsi="Times New Roman"/>
          <w:szCs w:val="24"/>
        </w:rPr>
      </w:pPr>
      <w:r>
        <w:rPr>
          <w:rFonts w:ascii="Times New Roman" w:hAnsi="Times New Roman"/>
          <w:szCs w:val="24"/>
        </w:rPr>
        <w:t>Apart from the impact of  LRVs</w:t>
      </w:r>
      <w:r w:rsidR="006E622A" w:rsidRPr="006E622A">
        <w:rPr>
          <w:rFonts w:ascii="Times New Roman" w:hAnsi="Times New Roman"/>
          <w:szCs w:val="24"/>
        </w:rPr>
        <w:t xml:space="preserve"> </w:t>
      </w:r>
      <w:r>
        <w:rPr>
          <w:rFonts w:ascii="Times New Roman" w:hAnsi="Times New Roman"/>
          <w:szCs w:val="24"/>
        </w:rPr>
        <w:t>representation on victims’ interests, it is noted that some victim participants who are not able to access the court due to logistic reasons also depend on some external factors.</w:t>
      </w:r>
      <w:r>
        <w:rPr>
          <w:rStyle w:val="FootnoteReference"/>
          <w:rFonts w:ascii="Times New Roman" w:hAnsi="Times New Roman"/>
          <w:szCs w:val="24"/>
        </w:rPr>
        <w:footnoteReference w:id="697"/>
      </w:r>
      <w:r>
        <w:rPr>
          <w:rFonts w:ascii="Times New Roman" w:hAnsi="Times New Roman"/>
          <w:szCs w:val="24"/>
        </w:rPr>
        <w:t>These external factors included VPRS, staff, OPCV, intermediaries.</w:t>
      </w:r>
      <w:r w:rsidR="00413088">
        <w:rPr>
          <w:rStyle w:val="FootnoteReference"/>
          <w:rFonts w:ascii="Times New Roman" w:hAnsi="Times New Roman"/>
          <w:szCs w:val="24"/>
        </w:rPr>
        <w:footnoteReference w:id="698"/>
      </w:r>
      <w:r>
        <w:rPr>
          <w:rFonts w:ascii="Times New Roman" w:hAnsi="Times New Roman"/>
          <w:szCs w:val="24"/>
        </w:rPr>
        <w:t xml:space="preserve"> The activities of these factors shape how victims experience participation at the ICC. </w:t>
      </w:r>
    </w:p>
    <w:p w14:paraId="0083BE6F" w14:textId="592D5295" w:rsidR="00024169" w:rsidRDefault="00024169" w:rsidP="008376C8">
      <w:pPr>
        <w:spacing w:after="0" w:line="480" w:lineRule="auto"/>
        <w:jc w:val="both"/>
        <w:rPr>
          <w:rFonts w:ascii="Times New Roman" w:hAnsi="Times New Roman"/>
          <w:szCs w:val="24"/>
        </w:rPr>
      </w:pPr>
    </w:p>
    <w:p w14:paraId="24EA9D53" w14:textId="7174D5A4" w:rsidR="00024169" w:rsidRDefault="00024169" w:rsidP="008376C8">
      <w:pPr>
        <w:spacing w:after="0" w:line="480" w:lineRule="auto"/>
        <w:jc w:val="both"/>
        <w:rPr>
          <w:rFonts w:ascii="Times New Roman" w:hAnsi="Times New Roman"/>
          <w:szCs w:val="24"/>
        </w:rPr>
      </w:pPr>
      <w:r>
        <w:rPr>
          <w:rFonts w:ascii="Times New Roman" w:hAnsi="Times New Roman"/>
          <w:szCs w:val="24"/>
        </w:rPr>
        <w:t xml:space="preserve">From the above, one could infer that the LRVs are essential in </w:t>
      </w:r>
      <w:r w:rsidR="00340D66">
        <w:rPr>
          <w:rFonts w:ascii="Times New Roman" w:hAnsi="Times New Roman"/>
          <w:szCs w:val="24"/>
        </w:rPr>
        <w:t>determining</w:t>
      </w:r>
      <w:r>
        <w:rPr>
          <w:rFonts w:ascii="Times New Roman" w:hAnsi="Times New Roman"/>
          <w:szCs w:val="24"/>
        </w:rPr>
        <w:t xml:space="preserve"> the quality of victims’ contact and experiences at the ICC. They are the v</w:t>
      </w:r>
      <w:r w:rsidR="00340D66">
        <w:rPr>
          <w:rFonts w:ascii="Times New Roman" w:hAnsi="Times New Roman"/>
          <w:szCs w:val="24"/>
        </w:rPr>
        <w:t>ictims' voice</w:t>
      </w:r>
      <w:r>
        <w:rPr>
          <w:rFonts w:ascii="Times New Roman" w:hAnsi="Times New Roman"/>
          <w:szCs w:val="24"/>
        </w:rPr>
        <w:t xml:space="preserve">; therefore, their representation must be adequate and </w:t>
      </w:r>
      <w:r w:rsidR="00340D66">
        <w:rPr>
          <w:rFonts w:ascii="Times New Roman" w:hAnsi="Times New Roman"/>
          <w:szCs w:val="24"/>
        </w:rPr>
        <w:t>sufficient</w:t>
      </w:r>
      <w:r>
        <w:rPr>
          <w:rFonts w:ascii="Times New Roman" w:hAnsi="Times New Roman"/>
          <w:szCs w:val="24"/>
        </w:rPr>
        <w:t xml:space="preserve"> for victims to obtain maximum satisfaction from the proceedings. Besides, the role of NGOs, like Women Initiatives for Gender Justice and Human Rights Watch</w:t>
      </w:r>
      <w:r w:rsidR="004855B4">
        <w:rPr>
          <w:rFonts w:ascii="Times New Roman" w:hAnsi="Times New Roman"/>
          <w:szCs w:val="24"/>
        </w:rPr>
        <w:t>,</w:t>
      </w:r>
      <w:r>
        <w:rPr>
          <w:rFonts w:ascii="Times New Roman" w:hAnsi="Times New Roman"/>
          <w:szCs w:val="24"/>
        </w:rPr>
        <w:t xml:space="preserve"> cannot be overemphasised in promoting victims’ interests at the ICC. The Women Initiatives via amicus curiae brought the </w:t>
      </w:r>
      <w:r w:rsidR="00340D66">
        <w:rPr>
          <w:rFonts w:ascii="Times New Roman" w:hAnsi="Times New Roman"/>
          <w:szCs w:val="24"/>
        </w:rPr>
        <w:t>Prosecutor and the Court's attention</w:t>
      </w:r>
      <w:r>
        <w:rPr>
          <w:rFonts w:ascii="Times New Roman" w:hAnsi="Times New Roman"/>
          <w:szCs w:val="24"/>
        </w:rPr>
        <w:t xml:space="preserve"> to the exclusion of the crimes of sexual and gender-</w:t>
      </w:r>
      <w:r>
        <w:rPr>
          <w:rFonts w:ascii="Times New Roman" w:hAnsi="Times New Roman"/>
          <w:szCs w:val="24"/>
        </w:rPr>
        <w:lastRenderedPageBreak/>
        <w:t>based violence from the charges.</w:t>
      </w:r>
      <w:r>
        <w:rPr>
          <w:rStyle w:val="FootnoteReference"/>
          <w:rFonts w:ascii="Times New Roman" w:hAnsi="Times New Roman"/>
          <w:szCs w:val="24"/>
        </w:rPr>
        <w:footnoteReference w:id="699"/>
      </w:r>
      <w:r>
        <w:rPr>
          <w:rFonts w:ascii="Times New Roman" w:hAnsi="Times New Roman"/>
          <w:szCs w:val="24"/>
        </w:rPr>
        <w:t xml:space="preserve">The Women Initiatives also requested the Prosecutor to conduct further investigations into the crimes in the case of Lubanga. These activities enhance the </w:t>
      </w:r>
      <w:r w:rsidR="00340D66">
        <w:rPr>
          <w:rFonts w:ascii="Times New Roman" w:hAnsi="Times New Roman"/>
          <w:szCs w:val="24"/>
        </w:rPr>
        <w:t>ICC's function</w:t>
      </w:r>
      <w:r>
        <w:rPr>
          <w:rFonts w:ascii="Times New Roman" w:hAnsi="Times New Roman"/>
          <w:szCs w:val="24"/>
        </w:rPr>
        <w:t xml:space="preserve"> in ensuring judicial accountability of perpetrators of human rights</w:t>
      </w:r>
      <w:r w:rsidR="00A35084">
        <w:rPr>
          <w:rFonts w:ascii="Times New Roman" w:hAnsi="Times New Roman"/>
          <w:szCs w:val="24"/>
        </w:rPr>
        <w:t>-A watchdog for amplifying victims’ interests.</w:t>
      </w:r>
    </w:p>
    <w:p w14:paraId="082BB966" w14:textId="77777777" w:rsidR="00024169" w:rsidRDefault="00024169" w:rsidP="008376C8">
      <w:pPr>
        <w:spacing w:after="0" w:line="480" w:lineRule="auto"/>
        <w:jc w:val="both"/>
        <w:rPr>
          <w:rFonts w:ascii="Times New Roman" w:hAnsi="Times New Roman"/>
          <w:szCs w:val="24"/>
        </w:rPr>
      </w:pPr>
    </w:p>
    <w:p w14:paraId="6116D885" w14:textId="490797C9" w:rsidR="006B0AE0" w:rsidRPr="00C31A19" w:rsidRDefault="00024169" w:rsidP="008376C8">
      <w:pPr>
        <w:spacing w:after="0" w:line="480" w:lineRule="auto"/>
        <w:jc w:val="both"/>
        <w:rPr>
          <w:rFonts w:ascii="Times New Roman" w:hAnsi="Times New Roman"/>
          <w:szCs w:val="24"/>
        </w:rPr>
      </w:pPr>
      <w:r>
        <w:rPr>
          <w:rFonts w:ascii="Times New Roman" w:hAnsi="Times New Roman"/>
          <w:szCs w:val="24"/>
        </w:rPr>
        <w:t xml:space="preserve"> </w:t>
      </w:r>
      <w:r w:rsidR="006E622A" w:rsidRPr="006E622A">
        <w:rPr>
          <w:rFonts w:ascii="Times New Roman" w:hAnsi="Times New Roman"/>
          <w:szCs w:val="24"/>
        </w:rPr>
        <w:t xml:space="preserve">Having discussed the effectiveness of legal representation for victims, the next section shall examine the dispositive category of participation in order to </w:t>
      </w:r>
      <w:r w:rsidR="00F37A80">
        <w:rPr>
          <w:rFonts w:ascii="Times New Roman" w:hAnsi="Times New Roman"/>
          <w:szCs w:val="24"/>
        </w:rPr>
        <w:t>evaluate the extent of degree of control victims have in criminal proceedings.</w:t>
      </w:r>
      <w:r w:rsidR="00F665CB">
        <w:rPr>
          <w:rFonts w:ascii="Times New Roman" w:hAnsi="Times New Roman"/>
          <w:szCs w:val="24"/>
        </w:rPr>
        <w:t xml:space="preserve"> </w:t>
      </w:r>
      <w:r w:rsidR="00F37A80">
        <w:rPr>
          <w:rFonts w:ascii="Times New Roman" w:hAnsi="Times New Roman"/>
          <w:szCs w:val="24"/>
        </w:rPr>
        <w:t xml:space="preserve">The following section will </w:t>
      </w:r>
      <w:r w:rsidR="006B0AE0" w:rsidRPr="007D77D1">
        <w:rPr>
          <w:rFonts w:ascii="Times New Roman" w:eastAsia="Cambria" w:hAnsi="Times New Roman"/>
          <w:szCs w:val="24"/>
          <w:lang w:eastAsia="ja-JP"/>
        </w:rPr>
        <w:t>discuss these subdivisions</w:t>
      </w:r>
      <w:r w:rsidR="00F37A80">
        <w:rPr>
          <w:rFonts w:ascii="Times New Roman" w:eastAsia="Cambria" w:hAnsi="Times New Roman"/>
          <w:szCs w:val="24"/>
          <w:lang w:eastAsia="ja-JP"/>
        </w:rPr>
        <w:t xml:space="preserve"> in non-dispositive part</w:t>
      </w:r>
      <w:r w:rsidR="00F665CB">
        <w:rPr>
          <w:rFonts w:ascii="Times New Roman" w:eastAsia="Cambria" w:hAnsi="Times New Roman"/>
          <w:szCs w:val="24"/>
          <w:lang w:eastAsia="ja-JP"/>
        </w:rPr>
        <w:t>i</w:t>
      </w:r>
      <w:r w:rsidR="00F37A80">
        <w:rPr>
          <w:rFonts w:ascii="Times New Roman" w:eastAsia="Cambria" w:hAnsi="Times New Roman"/>
          <w:szCs w:val="24"/>
          <w:lang w:eastAsia="ja-JP"/>
        </w:rPr>
        <w:t>cipation</w:t>
      </w:r>
      <w:r w:rsidR="006B0AE0" w:rsidRPr="007D77D1">
        <w:rPr>
          <w:rFonts w:ascii="Times New Roman" w:eastAsia="Cambria" w:hAnsi="Times New Roman"/>
          <w:szCs w:val="24"/>
          <w:lang w:eastAsia="ja-JP"/>
        </w:rPr>
        <w:t xml:space="preserve"> in light of </w:t>
      </w:r>
      <w:r w:rsidR="00340D66">
        <w:rPr>
          <w:rFonts w:ascii="Times New Roman" w:eastAsia="Cambria" w:hAnsi="Times New Roman"/>
          <w:szCs w:val="24"/>
          <w:lang w:eastAsia="ja-JP"/>
        </w:rPr>
        <w:t>victims' involvement</w:t>
      </w:r>
      <w:r w:rsidR="006B0AE0" w:rsidRPr="007D77D1">
        <w:rPr>
          <w:rFonts w:ascii="Times New Roman" w:eastAsia="Cambria" w:hAnsi="Times New Roman"/>
          <w:szCs w:val="24"/>
          <w:lang w:eastAsia="ja-JP"/>
        </w:rPr>
        <w:t xml:space="preserve"> during the proceedings. The concept of participation exposes victims to </w:t>
      </w:r>
      <w:r w:rsidR="00F665CB">
        <w:rPr>
          <w:rFonts w:ascii="Times New Roman" w:eastAsia="Cambria" w:hAnsi="Times New Roman"/>
          <w:szCs w:val="24"/>
          <w:lang w:eastAsia="ja-JP"/>
        </w:rPr>
        <w:t xml:space="preserve">the </w:t>
      </w:r>
      <w:r w:rsidR="006B0AE0" w:rsidRPr="007D77D1">
        <w:rPr>
          <w:rFonts w:ascii="Times New Roman" w:eastAsia="Cambria" w:hAnsi="Times New Roman"/>
          <w:szCs w:val="24"/>
          <w:lang w:eastAsia="ja-JP"/>
        </w:rPr>
        <w:t>criminal procedure of the court.</w:t>
      </w:r>
    </w:p>
    <w:p w14:paraId="107EED3B" w14:textId="6A7C4A23" w:rsidR="006E622A" w:rsidRPr="006E622A" w:rsidRDefault="00B066B7" w:rsidP="00A44B61">
      <w:pPr>
        <w:pStyle w:val="Heading3"/>
        <w:rPr>
          <w:color w:val="365F91"/>
        </w:rPr>
      </w:pPr>
      <w:bookmarkStart w:id="41" w:name="_Toc60235818"/>
      <w:r>
        <w:t>3.</w:t>
      </w:r>
      <w:r w:rsidR="00CA05F5">
        <w:t>5</w:t>
      </w:r>
      <w:r>
        <w:t>.1</w:t>
      </w:r>
      <w:r w:rsidR="006E622A" w:rsidRPr="00BA1EFB">
        <w:t>Dispositive category</w:t>
      </w:r>
      <w:bookmarkEnd w:id="41"/>
    </w:p>
    <w:p w14:paraId="705FB5F7" w14:textId="77777777" w:rsidR="006E622A" w:rsidRPr="006E622A" w:rsidRDefault="006E622A" w:rsidP="006E622A">
      <w:pPr>
        <w:spacing w:after="0" w:line="240" w:lineRule="auto"/>
        <w:rPr>
          <w:rFonts w:ascii="Times New Roman" w:eastAsia="Cambria" w:hAnsi="Times New Roman"/>
          <w:sz w:val="22"/>
        </w:rPr>
      </w:pPr>
    </w:p>
    <w:p w14:paraId="22D4B427" w14:textId="25D85A3E" w:rsidR="006E622A" w:rsidRPr="008376C8" w:rsidRDefault="006E622A" w:rsidP="008376C8">
      <w:pPr>
        <w:spacing w:after="0" w:line="480" w:lineRule="auto"/>
        <w:jc w:val="both"/>
        <w:rPr>
          <w:rFonts w:ascii="Times New Roman" w:eastAsia="Cambria" w:hAnsi="Times New Roman"/>
          <w:szCs w:val="24"/>
        </w:rPr>
      </w:pPr>
      <w:r w:rsidRPr="008376C8">
        <w:rPr>
          <w:rFonts w:ascii="Times New Roman" w:eastAsia="Cambria" w:hAnsi="Times New Roman"/>
          <w:szCs w:val="24"/>
        </w:rPr>
        <w:t>The dispositive category is de</w:t>
      </w:r>
      <w:r w:rsidR="00A20B71" w:rsidRPr="008376C8">
        <w:rPr>
          <w:rFonts w:ascii="Times New Roman" w:eastAsia="Cambria" w:hAnsi="Times New Roman"/>
          <w:szCs w:val="24"/>
        </w:rPr>
        <w:t>s</w:t>
      </w:r>
      <w:r w:rsidRPr="008376C8">
        <w:rPr>
          <w:rFonts w:ascii="Times New Roman" w:eastAsia="Cambria" w:hAnsi="Times New Roman"/>
          <w:szCs w:val="24"/>
        </w:rPr>
        <w:t>cribed as the most direct form of participation.</w:t>
      </w:r>
      <w:r w:rsidR="00F665CB" w:rsidRPr="008376C8">
        <w:rPr>
          <w:rFonts w:ascii="Times New Roman" w:eastAsia="Cambria" w:hAnsi="Times New Roman"/>
          <w:szCs w:val="24"/>
        </w:rPr>
        <w:t xml:space="preserve"> </w:t>
      </w:r>
      <w:r w:rsidRPr="008376C8">
        <w:rPr>
          <w:rFonts w:ascii="Times New Roman" w:eastAsia="Cambria" w:hAnsi="Times New Roman"/>
          <w:szCs w:val="24"/>
        </w:rPr>
        <w:t>It is also known as ‘</w:t>
      </w:r>
      <w:r w:rsidRPr="008376C8">
        <w:rPr>
          <w:rFonts w:ascii="Times New Roman" w:eastAsia="Cambria" w:hAnsi="Times New Roman"/>
          <w:i/>
          <w:szCs w:val="24"/>
        </w:rPr>
        <w:t>full empowerment’.</w:t>
      </w:r>
      <w:r w:rsidRPr="008376C8">
        <w:rPr>
          <w:rFonts w:ascii="Times New Roman" w:eastAsia="Cambria" w:hAnsi="Times New Roman"/>
          <w:i/>
          <w:szCs w:val="24"/>
          <w:vertAlign w:val="superscript"/>
        </w:rPr>
        <w:footnoteReference w:id="700"/>
      </w:r>
      <w:r w:rsidR="00D43F6D" w:rsidRPr="008376C8">
        <w:rPr>
          <w:rFonts w:ascii="Times New Roman" w:eastAsia="Cambria" w:hAnsi="Times New Roman"/>
          <w:i/>
          <w:szCs w:val="24"/>
        </w:rPr>
        <w:t xml:space="preserve"> </w:t>
      </w:r>
      <w:r w:rsidR="00D43F6D" w:rsidRPr="008376C8">
        <w:rPr>
          <w:rFonts w:ascii="Times New Roman" w:eastAsia="Cambria" w:hAnsi="Times New Roman"/>
          <w:szCs w:val="24"/>
        </w:rPr>
        <w:t xml:space="preserve">It ensures </w:t>
      </w:r>
      <w:r w:rsidR="002917CE">
        <w:rPr>
          <w:rFonts w:ascii="Times New Roman" w:eastAsia="Cambria" w:hAnsi="Times New Roman"/>
          <w:szCs w:val="24"/>
        </w:rPr>
        <w:t xml:space="preserve">that </w:t>
      </w:r>
      <w:r w:rsidR="00D43F6D" w:rsidRPr="008376C8">
        <w:rPr>
          <w:rFonts w:ascii="Times New Roman" w:eastAsia="Cambria" w:hAnsi="Times New Roman"/>
          <w:szCs w:val="24"/>
        </w:rPr>
        <w:t>v</w:t>
      </w:r>
      <w:r w:rsidRPr="008376C8">
        <w:rPr>
          <w:rFonts w:ascii="Times New Roman" w:eastAsia="Cambria" w:hAnsi="Times New Roman"/>
          <w:szCs w:val="24"/>
        </w:rPr>
        <w:t>ictims are e</w:t>
      </w:r>
      <w:r w:rsidR="002917CE">
        <w:rPr>
          <w:rFonts w:ascii="Times New Roman" w:eastAsia="Cambria" w:hAnsi="Times New Roman"/>
          <w:szCs w:val="24"/>
        </w:rPr>
        <w:t>nabled</w:t>
      </w:r>
      <w:r w:rsidRPr="008376C8">
        <w:rPr>
          <w:rFonts w:ascii="Times New Roman" w:eastAsia="Cambria" w:hAnsi="Times New Roman"/>
          <w:szCs w:val="24"/>
        </w:rPr>
        <w:t xml:space="preserve"> with real decision-making power.</w:t>
      </w:r>
      <w:r w:rsidR="00F665CB" w:rsidRPr="008376C8">
        <w:rPr>
          <w:rFonts w:ascii="Times New Roman" w:eastAsia="Cambria" w:hAnsi="Times New Roman"/>
          <w:szCs w:val="24"/>
        </w:rPr>
        <w:t xml:space="preserve"> </w:t>
      </w:r>
      <w:r w:rsidRPr="008376C8">
        <w:rPr>
          <w:rFonts w:ascii="Times New Roman" w:eastAsia="Cambria" w:hAnsi="Times New Roman"/>
          <w:szCs w:val="24"/>
        </w:rPr>
        <w:t xml:space="preserve">This power is </w:t>
      </w:r>
      <w:r w:rsidR="002917CE">
        <w:rPr>
          <w:rFonts w:ascii="Times New Roman" w:eastAsia="Cambria" w:hAnsi="Times New Roman"/>
          <w:szCs w:val="24"/>
        </w:rPr>
        <w:t>presumed</w:t>
      </w:r>
      <w:r w:rsidRPr="008376C8">
        <w:rPr>
          <w:rFonts w:ascii="Times New Roman" w:eastAsia="Cambria" w:hAnsi="Times New Roman"/>
          <w:szCs w:val="24"/>
        </w:rPr>
        <w:t xml:space="preserve"> to transcend the commencement of the decision-making process to the implementation.</w:t>
      </w:r>
      <w:r w:rsidRPr="008376C8">
        <w:rPr>
          <w:rFonts w:ascii="Times New Roman" w:eastAsia="Cambria" w:hAnsi="Times New Roman"/>
          <w:szCs w:val="24"/>
          <w:vertAlign w:val="superscript"/>
        </w:rPr>
        <w:footnoteReference w:id="701"/>
      </w:r>
      <w:r w:rsidRPr="008376C8">
        <w:rPr>
          <w:rFonts w:ascii="Times New Roman" w:eastAsia="Cambria" w:hAnsi="Times New Roman"/>
          <w:szCs w:val="24"/>
        </w:rPr>
        <w:t xml:space="preserve"> </w:t>
      </w:r>
      <w:r w:rsidR="00A228CF">
        <w:rPr>
          <w:rFonts w:ascii="Times New Roman" w:eastAsia="Cambria" w:hAnsi="Times New Roman"/>
          <w:szCs w:val="24"/>
        </w:rPr>
        <w:t>Here, v</w:t>
      </w:r>
      <w:r w:rsidRPr="008376C8">
        <w:rPr>
          <w:rFonts w:ascii="Times New Roman" w:eastAsia="Cambria" w:hAnsi="Times New Roman"/>
          <w:szCs w:val="24"/>
        </w:rPr>
        <w:t xml:space="preserve">ictims have total control over </w:t>
      </w:r>
      <w:r w:rsidRPr="008376C8">
        <w:rPr>
          <w:rFonts w:ascii="Times New Roman" w:eastAsia="Cambria" w:hAnsi="Times New Roman"/>
          <w:szCs w:val="24"/>
        </w:rPr>
        <w:lastRenderedPageBreak/>
        <w:t>a particular decision</w:t>
      </w:r>
      <w:r w:rsidR="00A228CF">
        <w:rPr>
          <w:rFonts w:ascii="Times New Roman" w:eastAsia="Cambria" w:hAnsi="Times New Roman"/>
          <w:szCs w:val="24"/>
        </w:rPr>
        <w:t xml:space="preserve"> because they participate as decision-makers. </w:t>
      </w:r>
      <w:r w:rsidRPr="008376C8">
        <w:rPr>
          <w:rFonts w:ascii="Times New Roman" w:eastAsia="Cambria" w:hAnsi="Times New Roman"/>
          <w:szCs w:val="24"/>
        </w:rPr>
        <w:t xml:space="preserve">This </w:t>
      </w:r>
      <w:r w:rsidR="00A228CF">
        <w:rPr>
          <w:rFonts w:ascii="Times New Roman" w:eastAsia="Cambria" w:hAnsi="Times New Roman"/>
          <w:szCs w:val="24"/>
        </w:rPr>
        <w:t xml:space="preserve">form of participation </w:t>
      </w:r>
      <w:r w:rsidRPr="008376C8">
        <w:rPr>
          <w:rFonts w:ascii="Times New Roman" w:eastAsia="Cambria" w:hAnsi="Times New Roman"/>
          <w:szCs w:val="24"/>
        </w:rPr>
        <w:t>creates a two-way obligation on the victim</w:t>
      </w:r>
      <w:r w:rsidR="00D43F6D" w:rsidRPr="008376C8">
        <w:rPr>
          <w:rFonts w:ascii="Times New Roman" w:eastAsia="Cambria" w:hAnsi="Times New Roman"/>
          <w:szCs w:val="24"/>
        </w:rPr>
        <w:t>s and decision-makers</w:t>
      </w:r>
      <w:r w:rsidRPr="008376C8">
        <w:rPr>
          <w:rFonts w:ascii="Times New Roman" w:eastAsia="Cambria" w:hAnsi="Times New Roman"/>
          <w:szCs w:val="24"/>
        </w:rPr>
        <w:t xml:space="preserve"> In Edwards words, this form of decision-making power is called ‘control</w:t>
      </w:r>
      <w:r w:rsidR="006A77B4">
        <w:rPr>
          <w:rFonts w:ascii="Times New Roman" w:eastAsia="Cambria" w:hAnsi="Times New Roman"/>
          <w:szCs w:val="24"/>
        </w:rPr>
        <w:t>.</w:t>
      </w:r>
      <w:r w:rsidRPr="008376C8">
        <w:rPr>
          <w:rFonts w:ascii="Times New Roman" w:eastAsia="Cambria" w:hAnsi="Times New Roman"/>
          <w:szCs w:val="24"/>
        </w:rPr>
        <w:t>’</w:t>
      </w:r>
      <w:r w:rsidRPr="008376C8">
        <w:rPr>
          <w:rFonts w:ascii="Times New Roman" w:eastAsia="Cambria" w:hAnsi="Times New Roman"/>
          <w:szCs w:val="24"/>
          <w:vertAlign w:val="superscript"/>
        </w:rPr>
        <w:footnoteReference w:id="702"/>
      </w:r>
      <w:r w:rsidRPr="008376C8">
        <w:rPr>
          <w:rFonts w:ascii="Times New Roman" w:eastAsia="Cambria" w:hAnsi="Times New Roman"/>
          <w:szCs w:val="24"/>
        </w:rPr>
        <w:t xml:space="preserve">The victims are active participants in </w:t>
      </w:r>
      <w:r w:rsidR="00F665CB" w:rsidRPr="008376C8">
        <w:rPr>
          <w:rFonts w:ascii="Times New Roman" w:eastAsia="Cambria" w:hAnsi="Times New Roman"/>
          <w:szCs w:val="24"/>
        </w:rPr>
        <w:t xml:space="preserve">the </w:t>
      </w:r>
      <w:r w:rsidRPr="008376C8">
        <w:rPr>
          <w:rFonts w:ascii="Times New Roman" w:eastAsia="Cambria" w:hAnsi="Times New Roman"/>
          <w:szCs w:val="24"/>
        </w:rPr>
        <w:t>decision-making process rather than passive recipients of decisions. According to Lundy and McGovern, this is ‘</w:t>
      </w:r>
      <w:r w:rsidRPr="008376C8">
        <w:rPr>
          <w:rFonts w:ascii="Times New Roman" w:eastAsia="Cambria" w:hAnsi="Times New Roman"/>
          <w:i/>
          <w:szCs w:val="24"/>
        </w:rPr>
        <w:t>transfer of power’</w:t>
      </w:r>
      <w:r w:rsidRPr="008376C8">
        <w:rPr>
          <w:rFonts w:ascii="Times New Roman" w:eastAsia="Cambria" w:hAnsi="Times New Roman"/>
          <w:szCs w:val="24"/>
          <w:vertAlign w:val="superscript"/>
        </w:rPr>
        <w:footnoteReference w:id="703"/>
      </w:r>
      <w:r w:rsidRPr="008376C8">
        <w:rPr>
          <w:rFonts w:ascii="Times New Roman" w:eastAsia="Cambria" w:hAnsi="Times New Roman"/>
          <w:szCs w:val="24"/>
        </w:rPr>
        <w:t xml:space="preserve"> with ‘the right to participate in decisions which affect one’s life’.</w:t>
      </w:r>
      <w:r w:rsidRPr="008376C8">
        <w:rPr>
          <w:rFonts w:ascii="Times New Roman" w:eastAsia="Cambria" w:hAnsi="Times New Roman"/>
          <w:szCs w:val="24"/>
          <w:vertAlign w:val="superscript"/>
        </w:rPr>
        <w:footnoteReference w:id="704"/>
      </w:r>
      <w:r w:rsidRPr="008376C8">
        <w:rPr>
          <w:rFonts w:ascii="Times New Roman" w:eastAsia="Cambria" w:hAnsi="Times New Roman"/>
          <w:szCs w:val="24"/>
        </w:rPr>
        <w:t xml:space="preserve"> This</w:t>
      </w:r>
      <w:r w:rsidR="00F665CB" w:rsidRPr="008376C8">
        <w:rPr>
          <w:rFonts w:ascii="Times New Roman" w:eastAsia="Cambria" w:hAnsi="Times New Roman"/>
          <w:szCs w:val="24"/>
        </w:rPr>
        <w:t xml:space="preserve"> category</w:t>
      </w:r>
      <w:r w:rsidRPr="008376C8">
        <w:rPr>
          <w:rFonts w:ascii="Times New Roman" w:eastAsia="Cambria" w:hAnsi="Times New Roman"/>
          <w:szCs w:val="24"/>
        </w:rPr>
        <w:t xml:space="preserve"> is considered the most realistic form of achieving victims’ rights.</w:t>
      </w:r>
      <w:r w:rsidRPr="008376C8">
        <w:rPr>
          <w:rFonts w:ascii="Times New Roman" w:eastAsia="Cambria" w:hAnsi="Times New Roman"/>
          <w:szCs w:val="24"/>
          <w:vertAlign w:val="superscript"/>
        </w:rPr>
        <w:footnoteReference w:id="705"/>
      </w:r>
    </w:p>
    <w:p w14:paraId="550FF38A" w14:textId="77777777" w:rsidR="006E622A" w:rsidRPr="008376C8" w:rsidRDefault="006E622A" w:rsidP="008376C8">
      <w:pPr>
        <w:spacing w:after="0" w:line="480" w:lineRule="auto"/>
        <w:jc w:val="both"/>
        <w:rPr>
          <w:rFonts w:ascii="Times New Roman" w:eastAsia="Cambria" w:hAnsi="Times New Roman"/>
          <w:szCs w:val="24"/>
        </w:rPr>
      </w:pPr>
    </w:p>
    <w:p w14:paraId="117A2C56" w14:textId="20ACC522" w:rsidR="00B0442E" w:rsidRDefault="006E622A" w:rsidP="008376C8">
      <w:pPr>
        <w:spacing w:after="0" w:line="480" w:lineRule="auto"/>
        <w:jc w:val="both"/>
        <w:rPr>
          <w:rFonts w:ascii="Times New Roman" w:hAnsi="Times New Roman"/>
          <w:szCs w:val="24"/>
        </w:rPr>
      </w:pPr>
      <w:r w:rsidRPr="008376C8">
        <w:rPr>
          <w:rFonts w:ascii="Times New Roman" w:hAnsi="Times New Roman"/>
          <w:szCs w:val="24"/>
        </w:rPr>
        <w:t>Control is the only type of classification under this category.</w:t>
      </w:r>
      <w:r w:rsidR="00F665CB" w:rsidRPr="008376C8">
        <w:rPr>
          <w:rFonts w:ascii="Times New Roman" w:hAnsi="Times New Roman"/>
          <w:szCs w:val="24"/>
        </w:rPr>
        <w:t xml:space="preserve"> </w:t>
      </w:r>
      <w:r w:rsidRPr="008376C8">
        <w:rPr>
          <w:rFonts w:ascii="Times New Roman" w:hAnsi="Times New Roman"/>
          <w:szCs w:val="24"/>
        </w:rPr>
        <w:t>Control as a type of participation creates an obligation on the decision-maker to seek and apply victims’</w:t>
      </w:r>
      <w:r w:rsidRPr="00F37A80">
        <w:rPr>
          <w:rFonts w:ascii="Times New Roman" w:hAnsi="Times New Roman"/>
          <w:szCs w:val="24"/>
        </w:rPr>
        <w:t xml:space="preserve"> </w:t>
      </w:r>
      <w:r w:rsidRPr="008376C8">
        <w:rPr>
          <w:rFonts w:ascii="Times New Roman" w:hAnsi="Times New Roman"/>
          <w:szCs w:val="24"/>
        </w:rPr>
        <w:t>preference.</w:t>
      </w:r>
      <w:r w:rsidRPr="008376C8">
        <w:rPr>
          <w:rFonts w:ascii="Times New Roman" w:hAnsi="Times New Roman"/>
          <w:szCs w:val="24"/>
          <w:vertAlign w:val="superscript"/>
        </w:rPr>
        <w:footnoteReference w:id="706"/>
      </w:r>
      <w:r w:rsidRPr="008376C8">
        <w:rPr>
          <w:rFonts w:ascii="Times New Roman" w:hAnsi="Times New Roman"/>
          <w:szCs w:val="24"/>
        </w:rPr>
        <w:t xml:space="preserve">The </w:t>
      </w:r>
      <w:r w:rsidR="00340D66">
        <w:rPr>
          <w:rFonts w:ascii="Times New Roman" w:hAnsi="Times New Roman"/>
          <w:szCs w:val="24"/>
        </w:rPr>
        <w:t>victim's corresponding obligation</w:t>
      </w:r>
      <w:r w:rsidRPr="008376C8">
        <w:rPr>
          <w:rFonts w:ascii="Times New Roman" w:hAnsi="Times New Roman"/>
          <w:szCs w:val="24"/>
        </w:rPr>
        <w:t xml:space="preserve"> is to provide </w:t>
      </w:r>
      <w:r w:rsidR="00340D66">
        <w:rPr>
          <w:rFonts w:ascii="Times New Roman" w:hAnsi="Times New Roman"/>
          <w:szCs w:val="24"/>
        </w:rPr>
        <w:t>their</w:t>
      </w:r>
      <w:r w:rsidR="00542BCC" w:rsidRPr="008376C8">
        <w:rPr>
          <w:rFonts w:ascii="Times New Roman" w:hAnsi="Times New Roman"/>
          <w:szCs w:val="24"/>
        </w:rPr>
        <w:t xml:space="preserve"> preference as the victim to</w:t>
      </w:r>
      <w:r w:rsidRPr="008376C8">
        <w:rPr>
          <w:rFonts w:ascii="Times New Roman" w:hAnsi="Times New Roman"/>
          <w:szCs w:val="24"/>
        </w:rPr>
        <w:t xml:space="preserve"> the decision</w:t>
      </w:r>
      <w:r w:rsidR="00F665CB" w:rsidRPr="008376C8">
        <w:rPr>
          <w:rFonts w:ascii="Times New Roman" w:hAnsi="Times New Roman"/>
          <w:szCs w:val="24"/>
        </w:rPr>
        <w:t>-</w:t>
      </w:r>
      <w:r w:rsidRPr="008376C8">
        <w:rPr>
          <w:rFonts w:ascii="Times New Roman" w:hAnsi="Times New Roman"/>
          <w:szCs w:val="24"/>
        </w:rPr>
        <w:t>maker. The decision-maker is under</w:t>
      </w:r>
      <w:r w:rsidR="00542BCC" w:rsidRPr="008376C8">
        <w:rPr>
          <w:rFonts w:ascii="Times New Roman" w:hAnsi="Times New Roman"/>
          <w:szCs w:val="24"/>
        </w:rPr>
        <w:t xml:space="preserve"> a</w:t>
      </w:r>
      <w:r w:rsidR="00F665CB" w:rsidRPr="008376C8">
        <w:rPr>
          <w:rFonts w:ascii="Times New Roman" w:hAnsi="Times New Roman"/>
          <w:szCs w:val="24"/>
        </w:rPr>
        <w:t xml:space="preserve"> duty</w:t>
      </w:r>
      <w:r w:rsidR="00542BCC" w:rsidRPr="008376C8">
        <w:rPr>
          <w:rFonts w:ascii="Times New Roman" w:hAnsi="Times New Roman"/>
          <w:szCs w:val="24"/>
        </w:rPr>
        <w:t xml:space="preserve"> to implement the decisions.</w:t>
      </w:r>
      <w:r w:rsidRPr="008376C8">
        <w:rPr>
          <w:rFonts w:ascii="Times New Roman" w:hAnsi="Times New Roman"/>
          <w:szCs w:val="24"/>
        </w:rPr>
        <w:t xml:space="preserve"> The keyword here is ‘control’</w:t>
      </w:r>
      <w:r w:rsidR="00A228CF">
        <w:rPr>
          <w:rFonts w:ascii="Times New Roman" w:hAnsi="Times New Roman"/>
          <w:szCs w:val="24"/>
        </w:rPr>
        <w:t>- it</w:t>
      </w:r>
      <w:r w:rsidRPr="008376C8">
        <w:rPr>
          <w:rFonts w:ascii="Times New Roman" w:hAnsi="Times New Roman"/>
          <w:szCs w:val="24"/>
        </w:rPr>
        <w:t xml:space="preserve"> connotes that the victim wields absolute power over the decision-making process</w:t>
      </w:r>
      <w:r w:rsidR="00F665CB" w:rsidRPr="008376C8">
        <w:rPr>
          <w:rFonts w:ascii="Times New Roman" w:hAnsi="Times New Roman"/>
          <w:szCs w:val="24"/>
        </w:rPr>
        <w:t>,</w:t>
      </w:r>
      <w:r w:rsidRPr="008376C8">
        <w:rPr>
          <w:rFonts w:ascii="Times New Roman" w:hAnsi="Times New Roman"/>
          <w:szCs w:val="24"/>
        </w:rPr>
        <w:t xml:space="preserve"> given his interests in such decision.</w:t>
      </w:r>
      <w:r w:rsidR="00F665CB" w:rsidRPr="008376C8">
        <w:rPr>
          <w:rFonts w:ascii="Times New Roman" w:hAnsi="Times New Roman"/>
          <w:szCs w:val="24"/>
        </w:rPr>
        <w:t xml:space="preserve"> </w:t>
      </w:r>
      <w:r w:rsidRPr="008376C8">
        <w:rPr>
          <w:rFonts w:ascii="Times New Roman" w:hAnsi="Times New Roman"/>
          <w:szCs w:val="24"/>
        </w:rPr>
        <w:t xml:space="preserve">Within the context of the ICC, article 68(3) leaves the determination of victims participation, </w:t>
      </w:r>
      <w:r w:rsidR="002917CE">
        <w:rPr>
          <w:rFonts w:ascii="Times New Roman" w:hAnsi="Times New Roman"/>
          <w:szCs w:val="24"/>
        </w:rPr>
        <w:t>significant</w:t>
      </w:r>
      <w:r w:rsidRPr="008376C8">
        <w:rPr>
          <w:rFonts w:ascii="Times New Roman" w:hAnsi="Times New Roman"/>
          <w:szCs w:val="24"/>
        </w:rPr>
        <w:t xml:space="preserve">ly </w:t>
      </w:r>
      <w:r w:rsidR="00340D66">
        <w:rPr>
          <w:rFonts w:ascii="Times New Roman" w:hAnsi="Times New Roman"/>
          <w:szCs w:val="24"/>
        </w:rPr>
        <w:t>considering</w:t>
      </w:r>
      <w:r w:rsidRPr="008376C8">
        <w:rPr>
          <w:rFonts w:ascii="Times New Roman" w:hAnsi="Times New Roman"/>
          <w:szCs w:val="24"/>
        </w:rPr>
        <w:t xml:space="preserve"> their views and concerns to the </w:t>
      </w:r>
      <w:r w:rsidR="006E30E0">
        <w:rPr>
          <w:rFonts w:ascii="Times New Roman" w:hAnsi="Times New Roman"/>
          <w:szCs w:val="24"/>
        </w:rPr>
        <w:t xml:space="preserve">judges' discretion </w:t>
      </w:r>
      <w:r w:rsidRPr="008376C8">
        <w:rPr>
          <w:rFonts w:ascii="Times New Roman" w:hAnsi="Times New Roman"/>
          <w:szCs w:val="24"/>
        </w:rPr>
        <w:t>(decision-maker).</w:t>
      </w:r>
      <w:r w:rsidR="00F665CB" w:rsidRPr="008376C8">
        <w:rPr>
          <w:rFonts w:ascii="Times New Roman" w:hAnsi="Times New Roman"/>
          <w:szCs w:val="24"/>
        </w:rPr>
        <w:t xml:space="preserve"> </w:t>
      </w:r>
      <w:r w:rsidR="00BD22A7" w:rsidRPr="008376C8">
        <w:rPr>
          <w:rFonts w:ascii="Times New Roman" w:hAnsi="Times New Roman"/>
          <w:szCs w:val="24"/>
        </w:rPr>
        <w:t>The</w:t>
      </w:r>
      <w:r w:rsidRPr="008376C8">
        <w:rPr>
          <w:rFonts w:ascii="Times New Roman" w:hAnsi="Times New Roman"/>
          <w:szCs w:val="24"/>
        </w:rPr>
        <w:t xml:space="preserve"> threshold for such participation is the victims’ interests.</w:t>
      </w:r>
    </w:p>
    <w:p w14:paraId="014295F3" w14:textId="77777777" w:rsidR="00B0442E" w:rsidRDefault="00B0442E" w:rsidP="008376C8">
      <w:pPr>
        <w:spacing w:after="0" w:line="480" w:lineRule="auto"/>
        <w:jc w:val="both"/>
        <w:rPr>
          <w:rFonts w:ascii="Times New Roman" w:hAnsi="Times New Roman"/>
          <w:szCs w:val="24"/>
        </w:rPr>
      </w:pPr>
    </w:p>
    <w:p w14:paraId="5FFED7E3" w14:textId="7B6EA1B9" w:rsidR="006E622A" w:rsidRPr="008376C8" w:rsidRDefault="00B0442E" w:rsidP="008376C8">
      <w:pPr>
        <w:spacing w:after="0" w:line="480" w:lineRule="auto"/>
        <w:jc w:val="both"/>
        <w:rPr>
          <w:rFonts w:ascii="Times New Roman" w:hAnsi="Times New Roman"/>
          <w:szCs w:val="24"/>
        </w:rPr>
      </w:pPr>
      <w:r>
        <w:rPr>
          <w:rFonts w:ascii="Times New Roman" w:hAnsi="Times New Roman"/>
          <w:szCs w:val="24"/>
        </w:rPr>
        <w:t xml:space="preserve">Consequently, </w:t>
      </w:r>
      <w:r w:rsidR="006E622A" w:rsidRPr="008376C8">
        <w:rPr>
          <w:rFonts w:ascii="Times New Roman" w:hAnsi="Times New Roman"/>
          <w:szCs w:val="24"/>
        </w:rPr>
        <w:t xml:space="preserve"> there are limits to how far this concept of control can go in a criminal justice system like the ICC.</w:t>
      </w:r>
      <w:r w:rsidR="006E622A" w:rsidRPr="008376C8">
        <w:rPr>
          <w:rFonts w:ascii="Times New Roman" w:eastAsia="Cambria" w:hAnsi="Times New Roman"/>
          <w:szCs w:val="24"/>
        </w:rPr>
        <w:t xml:space="preserve"> </w:t>
      </w:r>
      <w:r>
        <w:rPr>
          <w:rFonts w:ascii="Times New Roman" w:eastAsia="Cambria" w:hAnsi="Times New Roman"/>
          <w:szCs w:val="24"/>
        </w:rPr>
        <w:t xml:space="preserve">Besides, given that </w:t>
      </w:r>
      <w:r w:rsidR="006E622A" w:rsidRPr="008376C8">
        <w:rPr>
          <w:rFonts w:ascii="Times New Roman" w:eastAsia="Cambria" w:hAnsi="Times New Roman"/>
          <w:szCs w:val="24"/>
        </w:rPr>
        <w:t xml:space="preserve">the </w:t>
      </w:r>
      <w:r>
        <w:rPr>
          <w:rFonts w:ascii="Times New Roman" w:eastAsia="Cambria" w:hAnsi="Times New Roman"/>
          <w:szCs w:val="24"/>
        </w:rPr>
        <w:t>ICC</w:t>
      </w:r>
      <w:r w:rsidR="006E622A" w:rsidRPr="008376C8">
        <w:rPr>
          <w:rFonts w:ascii="Times New Roman" w:eastAsia="Cambria" w:hAnsi="Times New Roman"/>
          <w:szCs w:val="24"/>
        </w:rPr>
        <w:t xml:space="preserve"> is</w:t>
      </w:r>
      <w:r>
        <w:rPr>
          <w:rFonts w:ascii="Times New Roman" w:eastAsia="Cambria" w:hAnsi="Times New Roman"/>
          <w:szCs w:val="24"/>
        </w:rPr>
        <w:t xml:space="preserve"> a primarily </w:t>
      </w:r>
      <w:r w:rsidR="006E622A" w:rsidRPr="008376C8">
        <w:rPr>
          <w:rFonts w:ascii="Times New Roman" w:eastAsia="Cambria" w:hAnsi="Times New Roman"/>
          <w:szCs w:val="24"/>
        </w:rPr>
        <w:t>adversarial</w:t>
      </w:r>
      <w:r>
        <w:rPr>
          <w:rFonts w:ascii="Times New Roman" w:eastAsia="Cambria" w:hAnsi="Times New Roman"/>
          <w:szCs w:val="24"/>
        </w:rPr>
        <w:t xml:space="preserve"> system-t</w:t>
      </w:r>
      <w:r w:rsidR="006E622A" w:rsidRPr="008376C8">
        <w:rPr>
          <w:rFonts w:ascii="Times New Roman" w:eastAsia="Cambria" w:hAnsi="Times New Roman"/>
          <w:szCs w:val="24"/>
        </w:rPr>
        <w:t xml:space="preserve">his concept of control </w:t>
      </w:r>
      <w:r>
        <w:rPr>
          <w:rFonts w:ascii="Times New Roman" w:eastAsia="Cambria" w:hAnsi="Times New Roman"/>
          <w:szCs w:val="24"/>
        </w:rPr>
        <w:t>is incompatible with the ICC jurisprudence.</w:t>
      </w:r>
      <w:r w:rsidR="00F665CB" w:rsidRPr="008376C8">
        <w:rPr>
          <w:rFonts w:ascii="Times New Roman" w:eastAsia="Cambria" w:hAnsi="Times New Roman"/>
          <w:szCs w:val="24"/>
        </w:rPr>
        <w:t xml:space="preserve"> </w:t>
      </w:r>
      <w:r w:rsidR="006E622A" w:rsidRPr="008376C8">
        <w:rPr>
          <w:rFonts w:ascii="Times New Roman" w:eastAsia="Cambria" w:hAnsi="Times New Roman"/>
          <w:szCs w:val="24"/>
        </w:rPr>
        <w:t>Fu</w:t>
      </w:r>
      <w:r w:rsidR="00F665CB" w:rsidRPr="008376C8">
        <w:rPr>
          <w:rFonts w:ascii="Times New Roman" w:eastAsia="Cambria" w:hAnsi="Times New Roman"/>
          <w:szCs w:val="24"/>
        </w:rPr>
        <w:t>r</w:t>
      </w:r>
      <w:r w:rsidR="006E622A" w:rsidRPr="008376C8">
        <w:rPr>
          <w:rFonts w:ascii="Times New Roman" w:eastAsia="Cambria" w:hAnsi="Times New Roman"/>
          <w:szCs w:val="24"/>
        </w:rPr>
        <w:t xml:space="preserve">thermore, as it is, one could argue that </w:t>
      </w:r>
      <w:r w:rsidR="00340D66">
        <w:rPr>
          <w:rFonts w:ascii="Times New Roman" w:eastAsia="Cambria" w:hAnsi="Times New Roman"/>
          <w:szCs w:val="24"/>
        </w:rPr>
        <w:t>victims' involvement</w:t>
      </w:r>
      <w:r w:rsidR="006E622A" w:rsidRPr="008376C8">
        <w:rPr>
          <w:rFonts w:ascii="Times New Roman" w:eastAsia="Cambria" w:hAnsi="Times New Roman"/>
          <w:szCs w:val="24"/>
        </w:rPr>
        <w:t xml:space="preserve"> seems to disrupt the equality of arms. Giving victims’ control would displace the status quo.</w:t>
      </w:r>
      <w:r w:rsidR="00DE407D">
        <w:rPr>
          <w:rFonts w:ascii="Times New Roman" w:eastAsia="Cambria" w:hAnsi="Times New Roman"/>
          <w:szCs w:val="24"/>
        </w:rPr>
        <w:t xml:space="preserve"> </w:t>
      </w:r>
      <w:r w:rsidR="00CC7346">
        <w:rPr>
          <w:rFonts w:ascii="Times New Roman" w:eastAsia="Cambria" w:hAnsi="Times New Roman"/>
          <w:szCs w:val="24"/>
        </w:rPr>
        <w:t>The p</w:t>
      </w:r>
      <w:r w:rsidR="000775D1">
        <w:rPr>
          <w:rFonts w:ascii="Times New Roman" w:eastAsia="Cambria" w:hAnsi="Times New Roman"/>
          <w:szCs w:val="24"/>
        </w:rPr>
        <w:t>arties-prosecutor and defence's polarisation</w:t>
      </w:r>
      <w:r w:rsidR="00DE407D">
        <w:rPr>
          <w:rFonts w:ascii="Times New Roman" w:eastAsia="Cambria" w:hAnsi="Times New Roman"/>
          <w:szCs w:val="24"/>
        </w:rPr>
        <w:t xml:space="preserve"> would have to accommodate </w:t>
      </w:r>
      <w:r w:rsidR="000775D1">
        <w:rPr>
          <w:rFonts w:ascii="Times New Roman" w:eastAsia="Cambria" w:hAnsi="Times New Roman"/>
          <w:szCs w:val="24"/>
        </w:rPr>
        <w:t>the position of the victims as third parties with no full parties rights and privileges.</w:t>
      </w:r>
    </w:p>
    <w:p w14:paraId="4EAD08BD" w14:textId="77777777" w:rsidR="006E622A" w:rsidRPr="008376C8" w:rsidRDefault="006E622A" w:rsidP="008376C8">
      <w:pPr>
        <w:spacing w:after="0" w:line="480" w:lineRule="auto"/>
        <w:jc w:val="both"/>
        <w:rPr>
          <w:rFonts w:ascii="Times New Roman" w:eastAsia="Cambria" w:hAnsi="Times New Roman"/>
          <w:szCs w:val="24"/>
        </w:rPr>
      </w:pPr>
    </w:p>
    <w:p w14:paraId="5F351C5D" w14:textId="5BAA2922" w:rsidR="006E622A" w:rsidRPr="008376C8" w:rsidRDefault="006E622A" w:rsidP="008376C8">
      <w:pPr>
        <w:spacing w:after="0" w:line="480" w:lineRule="auto"/>
        <w:jc w:val="both"/>
        <w:rPr>
          <w:rFonts w:ascii="Times New Roman" w:eastAsia="Cambria" w:hAnsi="Times New Roman"/>
          <w:szCs w:val="24"/>
        </w:rPr>
      </w:pPr>
      <w:r w:rsidRPr="008376C8">
        <w:rPr>
          <w:rFonts w:ascii="Times New Roman" w:eastAsia="Cambria" w:hAnsi="Times New Roman"/>
          <w:szCs w:val="24"/>
        </w:rPr>
        <w:t xml:space="preserve">To corroborate this, one commentator posits that a criminal trial </w:t>
      </w:r>
      <w:r w:rsidR="00D904A1">
        <w:rPr>
          <w:rFonts w:ascii="Times New Roman" w:eastAsia="Cambria" w:hAnsi="Times New Roman"/>
          <w:szCs w:val="24"/>
        </w:rPr>
        <w:t xml:space="preserve">might not be entirely workable </w:t>
      </w:r>
      <w:r w:rsidRPr="008376C8">
        <w:rPr>
          <w:rFonts w:ascii="Times New Roman" w:eastAsia="Cambria" w:hAnsi="Times New Roman"/>
          <w:szCs w:val="24"/>
        </w:rPr>
        <w:t xml:space="preserve">to strengthen </w:t>
      </w:r>
      <w:proofErr w:type="spellStart"/>
      <w:r w:rsidRPr="008376C8">
        <w:rPr>
          <w:rFonts w:ascii="Times New Roman" w:eastAsia="Cambria" w:hAnsi="Times New Roman"/>
          <w:szCs w:val="24"/>
        </w:rPr>
        <w:t>victims</w:t>
      </w:r>
      <w:proofErr w:type="spellEnd"/>
      <w:r w:rsidRPr="008376C8">
        <w:rPr>
          <w:rFonts w:ascii="Times New Roman" w:eastAsia="Cambria" w:hAnsi="Times New Roman"/>
          <w:szCs w:val="24"/>
        </w:rPr>
        <w:t xml:space="preserve"> rights.</w:t>
      </w:r>
      <w:r w:rsidRPr="008376C8">
        <w:rPr>
          <w:rFonts w:ascii="Times New Roman" w:eastAsia="Cambria" w:hAnsi="Times New Roman"/>
          <w:szCs w:val="24"/>
          <w:vertAlign w:val="superscript"/>
        </w:rPr>
        <w:footnoteReference w:id="707"/>
      </w:r>
      <w:r w:rsidRPr="008376C8">
        <w:rPr>
          <w:rFonts w:ascii="Times New Roman" w:eastAsia="Cambria" w:hAnsi="Times New Roman"/>
          <w:szCs w:val="24"/>
        </w:rPr>
        <w:t xml:space="preserve"> </w:t>
      </w:r>
      <w:r w:rsidR="00C343B3">
        <w:rPr>
          <w:rFonts w:ascii="Times New Roman" w:eastAsia="Cambria" w:hAnsi="Times New Roman"/>
          <w:szCs w:val="24"/>
        </w:rPr>
        <w:t>This argument is evidenced in the mandate of the Rome Statute-the focus i</w:t>
      </w:r>
      <w:r w:rsidR="000775D1">
        <w:rPr>
          <w:rFonts w:ascii="Times New Roman" w:eastAsia="Cambria" w:hAnsi="Times New Roman"/>
          <w:szCs w:val="24"/>
        </w:rPr>
        <w:t>s</w:t>
      </w:r>
      <w:r w:rsidR="00C343B3">
        <w:rPr>
          <w:rFonts w:ascii="Times New Roman" w:eastAsia="Cambria" w:hAnsi="Times New Roman"/>
          <w:szCs w:val="24"/>
        </w:rPr>
        <w:t xml:space="preserve"> criminal prosecut</w:t>
      </w:r>
      <w:r w:rsidR="000775D1">
        <w:rPr>
          <w:rFonts w:ascii="Times New Roman" w:eastAsia="Cambria" w:hAnsi="Times New Roman"/>
          <w:szCs w:val="24"/>
        </w:rPr>
        <w:t>ion</w:t>
      </w:r>
      <w:r w:rsidR="00C343B3">
        <w:rPr>
          <w:rFonts w:ascii="Times New Roman" w:eastAsia="Cambria" w:hAnsi="Times New Roman"/>
          <w:szCs w:val="24"/>
        </w:rPr>
        <w:t xml:space="preserve"> rather than victim-centred</w:t>
      </w:r>
      <w:r w:rsidR="000775D1">
        <w:rPr>
          <w:rFonts w:ascii="Times New Roman" w:eastAsia="Cambria" w:hAnsi="Times New Roman"/>
          <w:szCs w:val="24"/>
        </w:rPr>
        <w:t>ness</w:t>
      </w:r>
      <w:r w:rsidR="00C343B3">
        <w:rPr>
          <w:rFonts w:ascii="Times New Roman" w:eastAsia="Cambria" w:hAnsi="Times New Roman"/>
          <w:szCs w:val="24"/>
        </w:rPr>
        <w:t xml:space="preserve">. </w:t>
      </w:r>
      <w:r w:rsidRPr="008376C8">
        <w:rPr>
          <w:rFonts w:ascii="Times New Roman" w:eastAsia="Cambria" w:hAnsi="Times New Roman"/>
          <w:szCs w:val="24"/>
        </w:rPr>
        <w:t xml:space="preserve">Article 68(3) illustrates the </w:t>
      </w:r>
      <w:r w:rsidR="00340D66">
        <w:rPr>
          <w:rFonts w:ascii="Times New Roman" w:eastAsia="Cambria" w:hAnsi="Times New Roman"/>
          <w:szCs w:val="24"/>
        </w:rPr>
        <w:t>Rome Statute's intention</w:t>
      </w:r>
      <w:r w:rsidRPr="008376C8">
        <w:rPr>
          <w:rFonts w:ascii="Times New Roman" w:eastAsia="Cambria" w:hAnsi="Times New Roman"/>
          <w:szCs w:val="24"/>
        </w:rPr>
        <w:t xml:space="preserve"> to give ultimate control of the trial proceedings to the judges, particularly the judicial discretion. Hence, </w:t>
      </w:r>
      <w:r w:rsidR="007D0F7F">
        <w:rPr>
          <w:rFonts w:ascii="Times New Roman" w:eastAsia="Cambria" w:hAnsi="Times New Roman"/>
          <w:szCs w:val="24"/>
        </w:rPr>
        <w:t xml:space="preserve">it is clear that victims do not </w:t>
      </w:r>
      <w:r w:rsidR="00E24A0B">
        <w:rPr>
          <w:rFonts w:ascii="Times New Roman" w:eastAsia="Cambria" w:hAnsi="Times New Roman"/>
          <w:szCs w:val="24"/>
        </w:rPr>
        <w:t>fully control</w:t>
      </w:r>
      <w:r w:rsidR="007D0F7F">
        <w:rPr>
          <w:rFonts w:ascii="Times New Roman" w:eastAsia="Cambria" w:hAnsi="Times New Roman"/>
          <w:szCs w:val="24"/>
        </w:rPr>
        <w:t xml:space="preserve"> the ICC's decision-making from the provision</w:t>
      </w:r>
      <w:r w:rsidRPr="008376C8">
        <w:rPr>
          <w:rFonts w:ascii="Times New Roman" w:eastAsia="Cambria" w:hAnsi="Times New Roman"/>
          <w:szCs w:val="24"/>
        </w:rPr>
        <w:t>.</w:t>
      </w:r>
      <w:r w:rsidR="00C343B3">
        <w:rPr>
          <w:rFonts w:ascii="Times New Roman" w:eastAsia="Cambria" w:hAnsi="Times New Roman"/>
          <w:szCs w:val="24"/>
        </w:rPr>
        <w:t xml:space="preserve"> Instead, they may exercise their procedural rights to influence the decision-making process. Their participation is a right granted to victims by the Rome Statute-a means to an end.</w:t>
      </w:r>
      <w:r w:rsidR="0010645A">
        <w:rPr>
          <w:rFonts w:ascii="Times New Roman" w:eastAsia="Cambria" w:hAnsi="Times New Roman"/>
          <w:szCs w:val="24"/>
        </w:rPr>
        <w:t xml:space="preserve"> According to Chung:</w:t>
      </w:r>
    </w:p>
    <w:p w14:paraId="138E1698" w14:textId="77777777" w:rsidR="006E622A" w:rsidRPr="008376C8" w:rsidRDefault="006E622A" w:rsidP="008376C8">
      <w:pPr>
        <w:spacing w:after="0" w:line="480" w:lineRule="auto"/>
        <w:jc w:val="both"/>
        <w:rPr>
          <w:rFonts w:ascii="Times New Roman" w:eastAsia="Cambria" w:hAnsi="Times New Roman"/>
          <w:szCs w:val="24"/>
        </w:rPr>
      </w:pPr>
    </w:p>
    <w:p w14:paraId="4A229C7E" w14:textId="77777777" w:rsidR="0010645A" w:rsidRDefault="006E622A" w:rsidP="0049378A">
      <w:pPr>
        <w:spacing w:after="0" w:line="480" w:lineRule="auto"/>
        <w:jc w:val="both"/>
        <w:rPr>
          <w:rFonts w:ascii="Times New Roman" w:eastAsia="Cambria" w:hAnsi="Times New Roman"/>
          <w:iCs/>
          <w:color w:val="404040"/>
          <w:szCs w:val="24"/>
          <w:lang w:eastAsia="ja-JP"/>
        </w:rPr>
      </w:pPr>
      <w:r w:rsidRPr="0049378A">
        <w:rPr>
          <w:rFonts w:ascii="Times New Roman" w:eastAsia="Cambria" w:hAnsi="Times New Roman"/>
          <w:szCs w:val="24"/>
        </w:rPr>
        <w:t>“</w:t>
      </w:r>
      <w:r w:rsidRPr="00D965C7">
        <w:rPr>
          <w:rFonts w:ascii="Times New Roman" w:eastAsia="Cambria" w:hAnsi="Times New Roman"/>
          <w:iCs/>
          <w:color w:val="404040"/>
          <w:szCs w:val="24"/>
          <w:lang w:eastAsia="ja-JP"/>
        </w:rPr>
        <w:t>Thus, participating victims are not parties to the proceedings;</w:t>
      </w:r>
      <w:r w:rsidR="0010645A">
        <w:rPr>
          <w:rFonts w:ascii="Times New Roman" w:eastAsia="Cambria" w:hAnsi="Times New Roman"/>
          <w:iCs/>
          <w:color w:val="404040"/>
          <w:szCs w:val="24"/>
          <w:lang w:eastAsia="ja-JP"/>
        </w:rPr>
        <w:t xml:space="preserve"> </w:t>
      </w:r>
      <w:r w:rsidRPr="00D965C7">
        <w:rPr>
          <w:rFonts w:ascii="Times New Roman" w:eastAsia="Cambria" w:hAnsi="Times New Roman"/>
          <w:iCs/>
          <w:color w:val="404040"/>
          <w:szCs w:val="24"/>
          <w:lang w:eastAsia="ja-JP"/>
        </w:rPr>
        <w:t xml:space="preserve">under article </w:t>
      </w:r>
    </w:p>
    <w:p w14:paraId="502D9612" w14:textId="130D2D83" w:rsidR="0010645A" w:rsidRDefault="0010645A" w:rsidP="0049378A">
      <w:pPr>
        <w:spacing w:after="0" w:line="480" w:lineRule="auto"/>
        <w:jc w:val="both"/>
        <w:rPr>
          <w:rFonts w:ascii="Times New Roman" w:eastAsia="Cambria" w:hAnsi="Times New Roman"/>
          <w:iCs/>
          <w:color w:val="404040"/>
          <w:szCs w:val="24"/>
          <w:lang w:eastAsia="ja-JP"/>
        </w:rPr>
      </w:pPr>
      <w:r>
        <w:rPr>
          <w:rFonts w:ascii="Times New Roman" w:eastAsia="Cambria" w:hAnsi="Times New Roman"/>
          <w:iCs/>
          <w:color w:val="404040"/>
          <w:szCs w:val="24"/>
          <w:lang w:eastAsia="ja-JP"/>
        </w:rPr>
        <w:lastRenderedPageBreak/>
        <w:t xml:space="preserve">           </w:t>
      </w:r>
      <w:r w:rsidR="006E622A" w:rsidRPr="00D965C7">
        <w:rPr>
          <w:rFonts w:ascii="Times New Roman" w:eastAsia="Cambria" w:hAnsi="Times New Roman"/>
          <w:iCs/>
          <w:color w:val="404040"/>
          <w:szCs w:val="24"/>
          <w:lang w:eastAsia="ja-JP"/>
        </w:rPr>
        <w:t xml:space="preserve">68(3) of the Statute they may only present their ‘views and concerns’, </w:t>
      </w:r>
    </w:p>
    <w:p w14:paraId="4D0593E5" w14:textId="5D838B96" w:rsidR="006E622A" w:rsidRPr="0049378A" w:rsidRDefault="0010645A" w:rsidP="0049378A">
      <w:pPr>
        <w:spacing w:after="0" w:line="480" w:lineRule="auto"/>
        <w:jc w:val="both"/>
        <w:rPr>
          <w:rFonts w:ascii="Times New Roman" w:eastAsia="Cambria" w:hAnsi="Times New Roman"/>
          <w:i/>
          <w:iCs/>
          <w:color w:val="404040"/>
          <w:szCs w:val="24"/>
          <w:lang w:eastAsia="ja-JP"/>
        </w:rPr>
      </w:pPr>
      <w:r>
        <w:rPr>
          <w:rFonts w:ascii="Times New Roman" w:eastAsia="Cambria" w:hAnsi="Times New Roman"/>
          <w:iCs/>
          <w:color w:val="404040"/>
          <w:szCs w:val="24"/>
          <w:lang w:eastAsia="ja-JP"/>
        </w:rPr>
        <w:t xml:space="preserve">                </w:t>
      </w:r>
      <w:r w:rsidR="006E622A" w:rsidRPr="00D965C7">
        <w:rPr>
          <w:rFonts w:ascii="Times New Roman" w:eastAsia="Cambria" w:hAnsi="Times New Roman"/>
          <w:iCs/>
          <w:color w:val="404040"/>
          <w:szCs w:val="24"/>
          <w:lang w:eastAsia="ja-JP"/>
        </w:rPr>
        <w:t>and this only if their personal interests are affected</w:t>
      </w:r>
      <w:r w:rsidR="006E622A" w:rsidRPr="0049378A">
        <w:rPr>
          <w:rFonts w:ascii="Times New Roman" w:eastAsia="Cambria" w:hAnsi="Times New Roman"/>
          <w:i/>
          <w:iCs/>
          <w:color w:val="404040"/>
          <w:szCs w:val="24"/>
          <w:lang w:eastAsia="ja-JP"/>
        </w:rPr>
        <w:t xml:space="preserve"> …..”</w:t>
      </w:r>
      <w:r w:rsidR="006E622A" w:rsidRPr="0049378A">
        <w:rPr>
          <w:rFonts w:ascii="Times New Roman" w:eastAsia="Cambria" w:hAnsi="Times New Roman"/>
          <w:i/>
          <w:iCs/>
          <w:color w:val="404040"/>
          <w:szCs w:val="24"/>
          <w:vertAlign w:val="superscript"/>
          <w:lang w:eastAsia="ja-JP"/>
        </w:rPr>
        <w:footnoteReference w:id="708"/>
      </w:r>
      <w:r w:rsidR="006E622A" w:rsidRPr="0049378A">
        <w:rPr>
          <w:rFonts w:ascii="Times New Roman" w:eastAsia="Cambria" w:hAnsi="Times New Roman"/>
          <w:i/>
          <w:iCs/>
          <w:color w:val="404040"/>
          <w:szCs w:val="24"/>
          <w:lang w:eastAsia="ja-JP"/>
        </w:rPr>
        <w:tab/>
      </w:r>
    </w:p>
    <w:p w14:paraId="24127AF3" w14:textId="77777777" w:rsidR="003241B6" w:rsidRDefault="003241B6" w:rsidP="003241B6">
      <w:pPr>
        <w:spacing w:before="200" w:after="160"/>
        <w:ind w:right="864"/>
        <w:rPr>
          <w:rFonts w:ascii="Times New Roman" w:eastAsia="Cambria" w:hAnsi="Times New Roman"/>
          <w:color w:val="404040"/>
          <w:sz w:val="22"/>
          <w:lang w:eastAsia="ja-JP"/>
        </w:rPr>
      </w:pPr>
    </w:p>
    <w:p w14:paraId="6C12FC9A" w14:textId="473B0F07" w:rsidR="003241B6" w:rsidRPr="003241B6" w:rsidRDefault="003241B6" w:rsidP="003241B6">
      <w:pPr>
        <w:spacing w:before="200" w:after="160" w:line="480" w:lineRule="auto"/>
        <w:ind w:right="864"/>
        <w:jc w:val="both"/>
        <w:rPr>
          <w:rFonts w:ascii="Times New Roman" w:eastAsia="Cambria" w:hAnsi="Times New Roman"/>
          <w:color w:val="404040"/>
          <w:szCs w:val="24"/>
          <w:lang w:eastAsia="ja-JP"/>
        </w:rPr>
      </w:pPr>
      <w:r w:rsidRPr="003241B6">
        <w:rPr>
          <w:rFonts w:ascii="Times New Roman" w:eastAsia="Cambria" w:hAnsi="Times New Roman"/>
          <w:color w:val="404040"/>
          <w:szCs w:val="24"/>
          <w:lang w:eastAsia="ja-JP"/>
        </w:rPr>
        <w:t xml:space="preserve">From the above, it is evidenced that victims, to some extent, </w:t>
      </w:r>
      <w:r w:rsidR="005C0DE2">
        <w:rPr>
          <w:rFonts w:ascii="Times New Roman" w:eastAsia="Cambria" w:hAnsi="Times New Roman"/>
          <w:color w:val="404040"/>
          <w:szCs w:val="24"/>
          <w:lang w:eastAsia="ja-JP"/>
        </w:rPr>
        <w:t>influence</w:t>
      </w:r>
      <w:r w:rsidRPr="003241B6">
        <w:rPr>
          <w:rFonts w:ascii="Times New Roman" w:eastAsia="Cambria" w:hAnsi="Times New Roman"/>
          <w:color w:val="404040"/>
          <w:szCs w:val="24"/>
          <w:lang w:eastAsia="ja-JP"/>
        </w:rPr>
        <w:t xml:space="preserve"> the proc</w:t>
      </w:r>
      <w:r>
        <w:rPr>
          <w:rFonts w:ascii="Times New Roman" w:eastAsia="Cambria" w:hAnsi="Times New Roman"/>
          <w:color w:val="404040"/>
          <w:szCs w:val="24"/>
          <w:lang w:eastAsia="ja-JP"/>
        </w:rPr>
        <w:t>eedings</w:t>
      </w:r>
      <w:r w:rsidRPr="003241B6">
        <w:rPr>
          <w:rFonts w:ascii="Times New Roman" w:eastAsia="Cambria" w:hAnsi="Times New Roman"/>
          <w:color w:val="404040"/>
          <w:szCs w:val="24"/>
          <w:lang w:eastAsia="ja-JP"/>
        </w:rPr>
        <w:t xml:space="preserve"> through the presentation of evidence.</w:t>
      </w:r>
    </w:p>
    <w:p w14:paraId="4450D707" w14:textId="77777777" w:rsidR="001C7AED" w:rsidRPr="006D4CC1" w:rsidRDefault="001C7AED" w:rsidP="001C7AED">
      <w:pPr>
        <w:spacing w:after="0"/>
        <w:jc w:val="both"/>
        <w:rPr>
          <w:rFonts w:ascii="Times New Roman" w:eastAsia="Cambria" w:hAnsi="Times New Roman"/>
          <w:sz w:val="22"/>
          <w:lang w:eastAsia="ja-JP"/>
        </w:rPr>
      </w:pPr>
    </w:p>
    <w:p w14:paraId="3DE1E0F1" w14:textId="6513F0DA" w:rsidR="00993B7A" w:rsidRPr="003567CF" w:rsidRDefault="00993B7A" w:rsidP="003567CF">
      <w:pPr>
        <w:spacing w:after="0" w:line="480" w:lineRule="auto"/>
        <w:jc w:val="both"/>
        <w:rPr>
          <w:rFonts w:ascii="Times New Roman" w:eastAsia="Cambria" w:hAnsi="Times New Roman"/>
          <w:iCs/>
          <w:color w:val="404040"/>
          <w:szCs w:val="24"/>
          <w:lang w:eastAsia="ja-JP"/>
        </w:rPr>
      </w:pPr>
      <w:r w:rsidRPr="0049378A">
        <w:rPr>
          <w:rFonts w:ascii="Times New Roman" w:eastAsia="Cambria" w:hAnsi="Times New Roman"/>
          <w:szCs w:val="24"/>
          <w:lang w:eastAsia="ja-JP"/>
        </w:rPr>
        <w:t xml:space="preserve">On the other hand, evidence from the decision-making like sentencing shows that victims do </w:t>
      </w:r>
      <w:r w:rsidRPr="003567CF">
        <w:rPr>
          <w:rFonts w:ascii="Times New Roman" w:eastAsia="Cambria" w:hAnsi="Times New Roman"/>
          <w:szCs w:val="24"/>
          <w:lang w:eastAsia="ja-JP"/>
        </w:rPr>
        <w:t>not have control over the decision.</w:t>
      </w:r>
      <w:r w:rsidR="00603203" w:rsidRPr="003567CF">
        <w:rPr>
          <w:rFonts w:ascii="Times New Roman" w:eastAsia="Cambria" w:hAnsi="Times New Roman"/>
          <w:szCs w:val="24"/>
          <w:lang w:eastAsia="ja-JP"/>
        </w:rPr>
        <w:t xml:space="preserve"> </w:t>
      </w:r>
      <w:r w:rsidRPr="003567CF">
        <w:rPr>
          <w:rFonts w:ascii="Times New Roman" w:eastAsia="Cambria" w:hAnsi="Times New Roman"/>
          <w:szCs w:val="24"/>
          <w:lang w:eastAsia="ja-JP"/>
        </w:rPr>
        <w:t>Although their observations and subm</w:t>
      </w:r>
      <w:r w:rsidR="0049378A" w:rsidRPr="003567CF">
        <w:rPr>
          <w:rFonts w:ascii="Times New Roman" w:eastAsia="Cambria" w:hAnsi="Times New Roman"/>
          <w:szCs w:val="24"/>
          <w:lang w:eastAsia="ja-JP"/>
        </w:rPr>
        <w:t>issi</w:t>
      </w:r>
      <w:r w:rsidRPr="003567CF">
        <w:rPr>
          <w:rFonts w:ascii="Times New Roman" w:eastAsia="Cambria" w:hAnsi="Times New Roman"/>
          <w:szCs w:val="24"/>
          <w:lang w:eastAsia="ja-JP"/>
        </w:rPr>
        <w:t xml:space="preserve">ons are taken into consideration via consultation, it does not </w:t>
      </w:r>
      <w:r w:rsidR="005C0DE2">
        <w:rPr>
          <w:rFonts w:ascii="Times New Roman" w:eastAsia="Cambria" w:hAnsi="Times New Roman"/>
          <w:szCs w:val="24"/>
          <w:lang w:eastAsia="ja-JP"/>
        </w:rPr>
        <w:t>substantially</w:t>
      </w:r>
      <w:r w:rsidRPr="003567CF">
        <w:rPr>
          <w:rFonts w:ascii="Times New Roman" w:eastAsia="Cambria" w:hAnsi="Times New Roman"/>
          <w:szCs w:val="24"/>
          <w:lang w:eastAsia="ja-JP"/>
        </w:rPr>
        <w:t xml:space="preserve"> impact the outcome because this is within the </w:t>
      </w:r>
      <w:r w:rsidR="00340D66">
        <w:rPr>
          <w:rFonts w:ascii="Times New Roman" w:eastAsia="Cambria" w:hAnsi="Times New Roman"/>
          <w:szCs w:val="24"/>
          <w:lang w:eastAsia="ja-JP"/>
        </w:rPr>
        <w:t>judges' exclusive discretion</w:t>
      </w:r>
      <w:r w:rsidR="0049378A" w:rsidRPr="003567CF">
        <w:rPr>
          <w:rFonts w:ascii="Times New Roman" w:eastAsia="Cambria" w:hAnsi="Times New Roman"/>
          <w:szCs w:val="24"/>
          <w:lang w:eastAsia="ja-JP"/>
        </w:rPr>
        <w:t>. They might influence the decision</w:t>
      </w:r>
      <w:r w:rsidR="008376A1" w:rsidRPr="003567CF">
        <w:rPr>
          <w:rFonts w:ascii="Times New Roman" w:eastAsia="Cambria" w:hAnsi="Times New Roman"/>
          <w:szCs w:val="24"/>
          <w:lang w:eastAsia="ja-JP"/>
        </w:rPr>
        <w:t>. H</w:t>
      </w:r>
      <w:r w:rsidR="0049378A" w:rsidRPr="003567CF">
        <w:rPr>
          <w:rFonts w:ascii="Times New Roman" w:eastAsia="Cambria" w:hAnsi="Times New Roman"/>
          <w:szCs w:val="24"/>
          <w:lang w:eastAsia="ja-JP"/>
        </w:rPr>
        <w:t>owever,</w:t>
      </w:r>
      <w:r w:rsidRPr="003567CF">
        <w:rPr>
          <w:rFonts w:ascii="Times New Roman" w:eastAsia="Cambria" w:hAnsi="Times New Roman"/>
          <w:szCs w:val="24"/>
          <w:lang w:eastAsia="ja-JP"/>
        </w:rPr>
        <w:t xml:space="preserve"> they do not have absolute control over it because the statute and rules have restricted their ability to impact the decisions. The adversarial system</w:t>
      </w:r>
      <w:r w:rsidR="008376A1" w:rsidRPr="003567CF">
        <w:rPr>
          <w:rFonts w:ascii="Times New Roman" w:eastAsia="Cambria" w:hAnsi="Times New Roman"/>
          <w:szCs w:val="24"/>
          <w:lang w:eastAsia="ja-JP"/>
        </w:rPr>
        <w:t>,</w:t>
      </w:r>
      <w:r w:rsidRPr="003567CF">
        <w:rPr>
          <w:rFonts w:ascii="Times New Roman" w:eastAsia="Cambria" w:hAnsi="Times New Roman"/>
          <w:szCs w:val="24"/>
          <w:lang w:eastAsia="ja-JP"/>
        </w:rPr>
        <w:t xml:space="preserve"> in particular</w:t>
      </w:r>
      <w:r w:rsidR="008376A1" w:rsidRPr="003567CF">
        <w:rPr>
          <w:rFonts w:ascii="Times New Roman" w:eastAsia="Cambria" w:hAnsi="Times New Roman"/>
          <w:szCs w:val="24"/>
          <w:lang w:eastAsia="ja-JP"/>
        </w:rPr>
        <w:t>,</w:t>
      </w:r>
      <w:r w:rsidRPr="003567CF">
        <w:rPr>
          <w:rFonts w:ascii="Times New Roman" w:eastAsia="Cambria" w:hAnsi="Times New Roman"/>
          <w:szCs w:val="24"/>
          <w:lang w:eastAsia="ja-JP"/>
        </w:rPr>
        <w:t xml:space="preserve"> limits the extent of control victims can have in the presentation of evidence and decision-making.</w:t>
      </w:r>
    </w:p>
    <w:p w14:paraId="1D7F60AF" w14:textId="77777777" w:rsidR="006E622A" w:rsidRPr="003567CF" w:rsidRDefault="006E622A" w:rsidP="003567CF">
      <w:pPr>
        <w:spacing w:after="0" w:line="480" w:lineRule="auto"/>
        <w:jc w:val="both"/>
        <w:rPr>
          <w:rFonts w:ascii="Times New Roman" w:eastAsia="Cambria" w:hAnsi="Times New Roman"/>
          <w:szCs w:val="24"/>
        </w:rPr>
      </w:pPr>
    </w:p>
    <w:p w14:paraId="3AACD8F7" w14:textId="65CD36A8" w:rsidR="006E622A" w:rsidRPr="003567CF" w:rsidRDefault="005D5210" w:rsidP="003567CF">
      <w:pPr>
        <w:spacing w:after="0" w:line="480" w:lineRule="auto"/>
        <w:jc w:val="both"/>
        <w:rPr>
          <w:rFonts w:ascii="Times New Roman" w:eastAsia="Cambria" w:hAnsi="Times New Roman"/>
          <w:szCs w:val="24"/>
        </w:rPr>
      </w:pPr>
      <w:r w:rsidRPr="003567CF">
        <w:rPr>
          <w:rFonts w:ascii="Times New Roman" w:eastAsia="Cambria" w:hAnsi="Times New Roman"/>
          <w:szCs w:val="24"/>
        </w:rPr>
        <w:t>This section has analysed the position of control as well as its applicability within the context of the ICC.</w:t>
      </w:r>
      <w:r w:rsidR="008376A1" w:rsidRPr="003567CF">
        <w:rPr>
          <w:rFonts w:ascii="Times New Roman" w:eastAsia="Cambria" w:hAnsi="Times New Roman"/>
          <w:szCs w:val="24"/>
        </w:rPr>
        <w:t xml:space="preserve"> </w:t>
      </w:r>
      <w:r w:rsidR="006E622A" w:rsidRPr="003567CF">
        <w:rPr>
          <w:rFonts w:ascii="Times New Roman" w:eastAsia="Cambria" w:hAnsi="Times New Roman"/>
          <w:szCs w:val="24"/>
        </w:rPr>
        <w:t xml:space="preserve">The next section shall assess </w:t>
      </w:r>
      <w:r w:rsidRPr="003567CF">
        <w:rPr>
          <w:rFonts w:ascii="Times New Roman" w:eastAsia="Cambria" w:hAnsi="Times New Roman"/>
          <w:szCs w:val="24"/>
        </w:rPr>
        <w:t xml:space="preserve">the </w:t>
      </w:r>
      <w:r w:rsidR="00340D66">
        <w:rPr>
          <w:rFonts w:ascii="Times New Roman" w:eastAsia="Cambria" w:hAnsi="Times New Roman"/>
          <w:szCs w:val="24"/>
        </w:rPr>
        <w:t>non-dispositive theory subcategories</w:t>
      </w:r>
      <w:r w:rsidR="00F37068">
        <w:rPr>
          <w:rFonts w:ascii="Times New Roman" w:eastAsia="Cambria" w:hAnsi="Times New Roman"/>
          <w:szCs w:val="24"/>
        </w:rPr>
        <w:t xml:space="preserve"> </w:t>
      </w:r>
      <w:r w:rsidR="00DE428F" w:rsidRPr="003567CF">
        <w:rPr>
          <w:rFonts w:ascii="Times New Roman" w:eastAsia="Cambria" w:hAnsi="Times New Roman"/>
          <w:szCs w:val="24"/>
        </w:rPr>
        <w:t xml:space="preserve">within criminal trials at the ICC vis-à-vis </w:t>
      </w:r>
      <w:r w:rsidR="006E622A" w:rsidRPr="003567CF">
        <w:rPr>
          <w:rFonts w:ascii="Times New Roman" w:eastAsia="Cambria" w:hAnsi="Times New Roman"/>
          <w:szCs w:val="24"/>
        </w:rPr>
        <w:t>the Lubanga and Katanga cases.</w:t>
      </w:r>
    </w:p>
    <w:p w14:paraId="3652E9B2" w14:textId="5348F11C" w:rsidR="006E622A" w:rsidRPr="003567CF" w:rsidRDefault="00B066B7" w:rsidP="00A44B61">
      <w:pPr>
        <w:pStyle w:val="Heading3"/>
        <w:rPr>
          <w:color w:val="365F91"/>
        </w:rPr>
      </w:pPr>
      <w:bookmarkStart w:id="42" w:name="_Toc60235819"/>
      <w:r>
        <w:lastRenderedPageBreak/>
        <w:t>3.</w:t>
      </w:r>
      <w:r w:rsidR="00CA05F5">
        <w:t>5</w:t>
      </w:r>
      <w:r>
        <w:t>.2</w:t>
      </w:r>
      <w:r w:rsidR="006E622A" w:rsidRPr="003567CF">
        <w:t>Non- dispositive category</w:t>
      </w:r>
      <w:bookmarkEnd w:id="42"/>
    </w:p>
    <w:p w14:paraId="0BEDB4FC" w14:textId="5A12E050" w:rsidR="006E622A" w:rsidRPr="003567CF" w:rsidRDefault="006E622A" w:rsidP="003567CF">
      <w:pPr>
        <w:spacing w:after="0" w:line="480" w:lineRule="auto"/>
        <w:jc w:val="both"/>
        <w:rPr>
          <w:rFonts w:ascii="Times New Roman" w:hAnsi="Times New Roman"/>
          <w:szCs w:val="24"/>
        </w:rPr>
      </w:pPr>
      <w:r w:rsidRPr="003567CF">
        <w:rPr>
          <w:rFonts w:ascii="Times New Roman" w:hAnsi="Times New Roman"/>
          <w:szCs w:val="24"/>
        </w:rPr>
        <w:t xml:space="preserve">The non-dispositive classification divides the type of participation into </w:t>
      </w:r>
      <w:proofErr w:type="spellStart"/>
      <w:r w:rsidRPr="003567CF">
        <w:rPr>
          <w:rFonts w:ascii="Times New Roman" w:hAnsi="Times New Roman"/>
          <w:szCs w:val="24"/>
        </w:rPr>
        <w:t>consultation,information</w:t>
      </w:r>
      <w:proofErr w:type="spellEnd"/>
      <w:r w:rsidRPr="003567CF">
        <w:rPr>
          <w:rFonts w:ascii="Times New Roman" w:hAnsi="Times New Roman"/>
          <w:szCs w:val="24"/>
        </w:rPr>
        <w:t>-provision and expression.</w:t>
      </w:r>
      <w:r w:rsidR="00392DBA">
        <w:rPr>
          <w:rStyle w:val="FootnoteReference"/>
          <w:rFonts w:ascii="Times New Roman" w:hAnsi="Times New Roman"/>
          <w:szCs w:val="24"/>
        </w:rPr>
        <w:footnoteReference w:id="709"/>
      </w:r>
      <w:r w:rsidR="008376A1" w:rsidRPr="003567CF">
        <w:rPr>
          <w:rFonts w:ascii="Times New Roman" w:hAnsi="Times New Roman"/>
          <w:szCs w:val="24"/>
        </w:rPr>
        <w:t xml:space="preserve"> </w:t>
      </w:r>
      <w:r w:rsidRPr="003567CF">
        <w:rPr>
          <w:rFonts w:ascii="Times New Roman" w:hAnsi="Times New Roman"/>
          <w:szCs w:val="24"/>
        </w:rPr>
        <w:t>The first two sub-categories of consultation and information-provision intend to seek and consider victim preference and victim information</w:t>
      </w:r>
      <w:r w:rsidR="00603203" w:rsidRPr="003567CF">
        <w:rPr>
          <w:rFonts w:ascii="Times New Roman" w:hAnsi="Times New Roman"/>
          <w:szCs w:val="24"/>
        </w:rPr>
        <w:t>,</w:t>
      </w:r>
      <w:r w:rsidRPr="003567CF">
        <w:rPr>
          <w:rFonts w:ascii="Times New Roman" w:hAnsi="Times New Roman"/>
          <w:szCs w:val="24"/>
        </w:rPr>
        <w:t xml:space="preserve"> respectively.</w:t>
      </w:r>
      <w:r w:rsidR="008376A1" w:rsidRPr="003567CF">
        <w:rPr>
          <w:rFonts w:ascii="Times New Roman" w:hAnsi="Times New Roman"/>
          <w:szCs w:val="24"/>
        </w:rPr>
        <w:t xml:space="preserve"> </w:t>
      </w:r>
      <w:r w:rsidRPr="003567CF">
        <w:rPr>
          <w:rFonts w:ascii="Times New Roman" w:hAnsi="Times New Roman"/>
          <w:szCs w:val="24"/>
        </w:rPr>
        <w:t xml:space="preserve">The </w:t>
      </w:r>
      <w:r w:rsidR="00340D66">
        <w:rPr>
          <w:rFonts w:ascii="Times New Roman" w:hAnsi="Times New Roman"/>
          <w:szCs w:val="24"/>
        </w:rPr>
        <w:t>victim's corresponding obligation</w:t>
      </w:r>
      <w:r w:rsidRPr="003567CF">
        <w:rPr>
          <w:rFonts w:ascii="Times New Roman" w:hAnsi="Times New Roman"/>
          <w:szCs w:val="24"/>
        </w:rPr>
        <w:t xml:space="preserve"> is </w:t>
      </w:r>
      <w:r w:rsidR="008376A1" w:rsidRPr="003567CF">
        <w:rPr>
          <w:rFonts w:ascii="Times New Roman" w:hAnsi="Times New Roman"/>
          <w:szCs w:val="24"/>
        </w:rPr>
        <w:t xml:space="preserve">an </w:t>
      </w:r>
      <w:r w:rsidRPr="003567CF">
        <w:rPr>
          <w:rFonts w:ascii="Times New Roman" w:hAnsi="Times New Roman"/>
          <w:szCs w:val="24"/>
        </w:rPr>
        <w:t>optional supply of preference and non-optional supply of information</w:t>
      </w:r>
      <w:r w:rsidR="00603203" w:rsidRPr="003567CF">
        <w:rPr>
          <w:rFonts w:ascii="Times New Roman" w:hAnsi="Times New Roman"/>
          <w:szCs w:val="24"/>
        </w:rPr>
        <w:t>,</w:t>
      </w:r>
      <w:r w:rsidRPr="003567CF">
        <w:rPr>
          <w:rFonts w:ascii="Times New Roman" w:hAnsi="Times New Roman"/>
          <w:szCs w:val="24"/>
        </w:rPr>
        <w:t xml:space="preserve"> respectively.</w:t>
      </w:r>
      <w:r w:rsidR="00E54EC9" w:rsidRPr="003567CF">
        <w:rPr>
          <w:rStyle w:val="FootnoteReference"/>
          <w:rFonts w:ascii="Times New Roman" w:hAnsi="Times New Roman"/>
          <w:szCs w:val="24"/>
        </w:rPr>
        <w:footnoteReference w:id="710"/>
      </w:r>
    </w:p>
    <w:p w14:paraId="3944E42A" w14:textId="12AC66BD" w:rsidR="006E622A" w:rsidRPr="003567CF" w:rsidRDefault="006E622A" w:rsidP="003567CF">
      <w:pPr>
        <w:spacing w:after="0" w:line="480" w:lineRule="auto"/>
        <w:jc w:val="both"/>
        <w:rPr>
          <w:rFonts w:ascii="Times New Roman" w:hAnsi="Times New Roman"/>
          <w:szCs w:val="24"/>
        </w:rPr>
      </w:pPr>
      <w:r w:rsidRPr="003567CF">
        <w:rPr>
          <w:rFonts w:ascii="Times New Roman" w:hAnsi="Times New Roman"/>
          <w:szCs w:val="24"/>
        </w:rPr>
        <w:t>The last subcategory of non-dispositive categorisation is expression.</w:t>
      </w:r>
      <w:r w:rsidR="008376A1" w:rsidRPr="003567CF">
        <w:rPr>
          <w:rFonts w:ascii="Times New Roman" w:hAnsi="Times New Roman"/>
          <w:szCs w:val="24"/>
        </w:rPr>
        <w:t xml:space="preserve"> </w:t>
      </w:r>
      <w:r w:rsidRPr="003567CF">
        <w:rPr>
          <w:rFonts w:ascii="Times New Roman" w:hAnsi="Times New Roman"/>
          <w:szCs w:val="24"/>
        </w:rPr>
        <w:t xml:space="preserve">The </w:t>
      </w:r>
      <w:r w:rsidR="00340D66">
        <w:rPr>
          <w:rFonts w:ascii="Times New Roman" w:hAnsi="Times New Roman"/>
          <w:szCs w:val="24"/>
        </w:rPr>
        <w:t>decision-maker should</w:t>
      </w:r>
      <w:r w:rsidR="00E54EC9" w:rsidRPr="003567CF">
        <w:rPr>
          <w:rFonts w:ascii="Times New Roman" w:hAnsi="Times New Roman"/>
          <w:szCs w:val="24"/>
        </w:rPr>
        <w:t xml:space="preserve"> authorise</w:t>
      </w:r>
      <w:r w:rsidRPr="003567CF">
        <w:rPr>
          <w:rFonts w:ascii="Times New Roman" w:hAnsi="Times New Roman"/>
          <w:szCs w:val="24"/>
        </w:rPr>
        <w:t xml:space="preserve"> victim expression while its corresponding obligation on </w:t>
      </w:r>
      <w:r w:rsidR="008376A1" w:rsidRPr="003567CF">
        <w:rPr>
          <w:rFonts w:ascii="Times New Roman" w:hAnsi="Times New Roman"/>
          <w:szCs w:val="24"/>
        </w:rPr>
        <w:t xml:space="preserve">the </w:t>
      </w:r>
      <w:r w:rsidRPr="003567CF">
        <w:rPr>
          <w:rFonts w:ascii="Times New Roman" w:hAnsi="Times New Roman"/>
          <w:szCs w:val="24"/>
        </w:rPr>
        <w:t xml:space="preserve">victim is </w:t>
      </w:r>
      <w:r w:rsidR="008376A1" w:rsidRPr="003567CF">
        <w:rPr>
          <w:rFonts w:ascii="Times New Roman" w:hAnsi="Times New Roman"/>
          <w:szCs w:val="24"/>
        </w:rPr>
        <w:t xml:space="preserve">an </w:t>
      </w:r>
      <w:r w:rsidRPr="003567CF">
        <w:rPr>
          <w:rFonts w:ascii="Times New Roman" w:hAnsi="Times New Roman"/>
          <w:szCs w:val="24"/>
        </w:rPr>
        <w:t>optional supply of information and expression of emotion.</w:t>
      </w:r>
      <w:r w:rsidR="008376A1" w:rsidRPr="003567CF">
        <w:rPr>
          <w:rFonts w:ascii="Times New Roman" w:hAnsi="Times New Roman"/>
          <w:szCs w:val="24"/>
        </w:rPr>
        <w:t xml:space="preserve"> </w:t>
      </w:r>
      <w:r w:rsidRPr="003567CF">
        <w:rPr>
          <w:rFonts w:ascii="Times New Roman" w:hAnsi="Times New Roman"/>
          <w:szCs w:val="24"/>
        </w:rPr>
        <w:t>From the non-dispositive category, the victim is not the decision-maker.</w:t>
      </w:r>
      <w:r w:rsidR="008376A1" w:rsidRPr="003567CF">
        <w:rPr>
          <w:rFonts w:ascii="Times New Roman" w:hAnsi="Times New Roman"/>
          <w:szCs w:val="24"/>
        </w:rPr>
        <w:t xml:space="preserve"> </w:t>
      </w:r>
      <w:r w:rsidRPr="003567CF">
        <w:rPr>
          <w:rFonts w:ascii="Times New Roman" w:hAnsi="Times New Roman"/>
          <w:szCs w:val="24"/>
        </w:rPr>
        <w:t xml:space="preserve">One reasonable </w:t>
      </w:r>
      <w:r w:rsidR="00340D66">
        <w:rPr>
          <w:rFonts w:ascii="Times New Roman" w:hAnsi="Times New Roman"/>
          <w:szCs w:val="24"/>
        </w:rPr>
        <w:t xml:space="preserve">consequence </w:t>
      </w:r>
      <w:r w:rsidR="00E54EC9" w:rsidRPr="003567CF">
        <w:rPr>
          <w:rFonts w:ascii="Times New Roman" w:hAnsi="Times New Roman"/>
          <w:szCs w:val="24"/>
        </w:rPr>
        <w:t>of this is the victims’</w:t>
      </w:r>
      <w:r w:rsidRPr="003567CF">
        <w:rPr>
          <w:rFonts w:ascii="Times New Roman" w:hAnsi="Times New Roman"/>
          <w:szCs w:val="24"/>
        </w:rPr>
        <w:t xml:space="preserve"> power to influence the decision-making process </w:t>
      </w:r>
      <w:r w:rsidR="00484EED" w:rsidRPr="003567CF">
        <w:rPr>
          <w:rFonts w:ascii="Times New Roman" w:hAnsi="Times New Roman"/>
          <w:szCs w:val="24"/>
        </w:rPr>
        <w:t>concerning</w:t>
      </w:r>
      <w:r w:rsidRPr="003567CF">
        <w:rPr>
          <w:rFonts w:ascii="Times New Roman" w:hAnsi="Times New Roman"/>
          <w:szCs w:val="24"/>
        </w:rPr>
        <w:t xml:space="preserve"> his interests is restrictive.</w:t>
      </w:r>
      <w:r w:rsidR="008376A1" w:rsidRPr="003567CF">
        <w:rPr>
          <w:rFonts w:ascii="Times New Roman" w:hAnsi="Times New Roman"/>
          <w:szCs w:val="24"/>
        </w:rPr>
        <w:t xml:space="preserve"> </w:t>
      </w:r>
      <w:r w:rsidR="00E54EC9" w:rsidRPr="003567CF">
        <w:rPr>
          <w:rFonts w:ascii="Times New Roman" w:hAnsi="Times New Roman"/>
          <w:szCs w:val="24"/>
        </w:rPr>
        <w:t>The role play applicable is influence, not control.</w:t>
      </w:r>
    </w:p>
    <w:p w14:paraId="22F1F713" w14:textId="77777777" w:rsidR="006E622A" w:rsidRPr="003567CF" w:rsidRDefault="006E622A" w:rsidP="003567CF">
      <w:pPr>
        <w:spacing w:after="0" w:line="480" w:lineRule="auto"/>
        <w:jc w:val="both"/>
        <w:rPr>
          <w:rFonts w:ascii="Times New Roman" w:hAnsi="Times New Roman"/>
          <w:szCs w:val="24"/>
        </w:rPr>
      </w:pPr>
    </w:p>
    <w:p w14:paraId="37A0693F" w14:textId="5F6F20A7" w:rsidR="006E622A" w:rsidRPr="003567CF" w:rsidRDefault="006E622A" w:rsidP="003567CF">
      <w:pPr>
        <w:spacing w:after="0" w:line="480" w:lineRule="auto"/>
        <w:jc w:val="both"/>
        <w:rPr>
          <w:rFonts w:ascii="Times New Roman" w:hAnsi="Times New Roman"/>
          <w:szCs w:val="24"/>
        </w:rPr>
      </w:pPr>
      <w:r w:rsidRPr="003567CF">
        <w:rPr>
          <w:rFonts w:ascii="Times New Roman" w:eastAsia="Cambria" w:hAnsi="Times New Roman"/>
          <w:szCs w:val="24"/>
        </w:rPr>
        <w:t>The subdivisions shall explore the concept of participation, and its relationships with these parties, to broaden our understanding of the application of victims’ rights and interests.</w:t>
      </w:r>
      <w:r w:rsidR="008376A1" w:rsidRPr="003567CF">
        <w:rPr>
          <w:rFonts w:ascii="Times New Roman" w:eastAsia="Cambria" w:hAnsi="Times New Roman"/>
          <w:szCs w:val="24"/>
        </w:rPr>
        <w:t xml:space="preserve"> </w:t>
      </w:r>
      <w:r w:rsidRPr="003567CF">
        <w:rPr>
          <w:rFonts w:ascii="Times New Roman" w:hAnsi="Times New Roman"/>
          <w:szCs w:val="24"/>
        </w:rPr>
        <w:t>The following section shall address instances of consultation, information provision and expression under the non-dispositive category.</w:t>
      </w:r>
      <w:r w:rsidR="008376A1" w:rsidRPr="003567CF">
        <w:rPr>
          <w:rFonts w:ascii="Times New Roman" w:hAnsi="Times New Roman"/>
          <w:szCs w:val="24"/>
        </w:rPr>
        <w:t xml:space="preserve"> </w:t>
      </w:r>
      <w:r w:rsidR="00875EA3">
        <w:rPr>
          <w:rFonts w:ascii="Times New Roman" w:hAnsi="Times New Roman"/>
          <w:szCs w:val="24"/>
        </w:rPr>
        <w:t>From the data, i</w:t>
      </w:r>
      <w:r w:rsidRPr="003567CF">
        <w:rPr>
          <w:rFonts w:ascii="Times New Roman" w:hAnsi="Times New Roman"/>
          <w:szCs w:val="24"/>
        </w:rPr>
        <w:t xml:space="preserve">t is worth </w:t>
      </w:r>
      <w:r w:rsidRPr="003567CF">
        <w:rPr>
          <w:rFonts w:ascii="Times New Roman" w:hAnsi="Times New Roman"/>
          <w:szCs w:val="24"/>
        </w:rPr>
        <w:lastRenderedPageBreak/>
        <w:t xml:space="preserve">mentioning that </w:t>
      </w:r>
      <w:r w:rsidR="00340D66">
        <w:rPr>
          <w:rFonts w:ascii="Times New Roman" w:hAnsi="Times New Roman"/>
          <w:szCs w:val="24"/>
        </w:rPr>
        <w:t>there is no evidence to suggest that victims have control over the decision-making</w:t>
      </w:r>
      <w:r w:rsidR="00875EA3">
        <w:rPr>
          <w:rFonts w:ascii="Times New Roman" w:hAnsi="Times New Roman"/>
          <w:szCs w:val="24"/>
        </w:rPr>
        <w:t>.</w:t>
      </w:r>
    </w:p>
    <w:p w14:paraId="28705222" w14:textId="77777777" w:rsidR="005C0DE2" w:rsidRDefault="005C0DE2" w:rsidP="003567CF">
      <w:pPr>
        <w:spacing w:after="0" w:line="480" w:lineRule="auto"/>
        <w:jc w:val="both"/>
        <w:rPr>
          <w:rFonts w:ascii="Times New Roman" w:hAnsi="Times New Roman"/>
          <w:szCs w:val="24"/>
        </w:rPr>
      </w:pPr>
    </w:p>
    <w:p w14:paraId="6F82DEAC" w14:textId="6D46BC50" w:rsidR="006E622A" w:rsidRDefault="00E54EC9" w:rsidP="003567CF">
      <w:pPr>
        <w:spacing w:after="0" w:line="480" w:lineRule="auto"/>
        <w:jc w:val="both"/>
        <w:rPr>
          <w:rFonts w:ascii="Times New Roman" w:eastAsia="Cambria" w:hAnsi="Times New Roman"/>
          <w:szCs w:val="24"/>
        </w:rPr>
      </w:pPr>
      <w:r w:rsidRPr="003567CF">
        <w:rPr>
          <w:rFonts w:ascii="Times New Roman" w:eastAsia="Cambria" w:hAnsi="Times New Roman"/>
          <w:szCs w:val="24"/>
        </w:rPr>
        <w:t>Concerning</w:t>
      </w:r>
      <w:r w:rsidR="006E622A" w:rsidRPr="003567CF">
        <w:rPr>
          <w:rFonts w:ascii="Times New Roman" w:eastAsia="Cambria" w:hAnsi="Times New Roman"/>
          <w:szCs w:val="24"/>
        </w:rPr>
        <w:t xml:space="preserve"> victim involvement at the ICC  trials, a plethora of rulings and decisions have reiterated that personal interests </w:t>
      </w:r>
      <w:r w:rsidR="008376A1" w:rsidRPr="003567CF">
        <w:rPr>
          <w:rFonts w:ascii="Times New Roman" w:eastAsia="Cambria" w:hAnsi="Times New Roman"/>
          <w:szCs w:val="24"/>
        </w:rPr>
        <w:t>are</w:t>
      </w:r>
      <w:r w:rsidR="006E622A" w:rsidRPr="003567CF">
        <w:rPr>
          <w:rFonts w:ascii="Times New Roman" w:eastAsia="Cambria" w:hAnsi="Times New Roman"/>
          <w:szCs w:val="24"/>
        </w:rPr>
        <w:t xml:space="preserve"> a precondition for </w:t>
      </w:r>
      <w:r w:rsidR="00340D66">
        <w:rPr>
          <w:rFonts w:ascii="Times New Roman" w:eastAsia="Cambria" w:hAnsi="Times New Roman"/>
          <w:szCs w:val="24"/>
        </w:rPr>
        <w:t>expressing</w:t>
      </w:r>
      <w:r w:rsidR="006E622A" w:rsidRPr="003567CF">
        <w:rPr>
          <w:rFonts w:ascii="Times New Roman" w:eastAsia="Cambria" w:hAnsi="Times New Roman"/>
          <w:szCs w:val="24"/>
        </w:rPr>
        <w:t xml:space="preserve"> their views and concerns.</w:t>
      </w:r>
      <w:r w:rsidR="006E622A" w:rsidRPr="003567CF">
        <w:rPr>
          <w:rFonts w:ascii="Times New Roman" w:eastAsia="Cambria" w:hAnsi="Times New Roman"/>
          <w:szCs w:val="24"/>
          <w:vertAlign w:val="superscript"/>
        </w:rPr>
        <w:footnoteReference w:id="711"/>
      </w:r>
      <w:r w:rsidR="006E622A" w:rsidRPr="003567CF">
        <w:rPr>
          <w:rFonts w:ascii="Times New Roman" w:eastAsia="Cambria" w:hAnsi="Times New Roman"/>
          <w:szCs w:val="24"/>
        </w:rPr>
        <w:t xml:space="preserve">  </w:t>
      </w:r>
      <w:r w:rsidR="00F139E3">
        <w:rPr>
          <w:rFonts w:ascii="Times New Roman" w:eastAsia="Cambria" w:hAnsi="Times New Roman"/>
          <w:szCs w:val="24"/>
        </w:rPr>
        <w:t>S</w:t>
      </w:r>
      <w:r w:rsidR="006E622A" w:rsidRPr="003567CF">
        <w:rPr>
          <w:rFonts w:ascii="Times New Roman" w:eastAsia="Cambria" w:hAnsi="Times New Roman"/>
          <w:szCs w:val="24"/>
        </w:rPr>
        <w:t>ome scholars(discussed above) have advanced for the rationale behind the concept of participation</w:t>
      </w:r>
      <w:r w:rsidR="005C0DE2">
        <w:rPr>
          <w:rFonts w:ascii="Times New Roman" w:eastAsia="Cambria" w:hAnsi="Times New Roman"/>
          <w:szCs w:val="24"/>
        </w:rPr>
        <w:t>.</w:t>
      </w:r>
      <w:r w:rsidR="006E622A" w:rsidRPr="003567CF">
        <w:rPr>
          <w:rFonts w:ascii="Times New Roman" w:eastAsia="Cambria" w:hAnsi="Times New Roman"/>
          <w:szCs w:val="24"/>
        </w:rPr>
        <w:t xml:space="preserve"> Surprisingly, an analysis of the transcripts shows that asides from the traditional competing interests between the defendant and the Prosecution, there are competing interests between the defendant,</w:t>
      </w:r>
      <w:r w:rsidR="008376A1" w:rsidRPr="003567CF">
        <w:rPr>
          <w:rFonts w:ascii="Times New Roman" w:eastAsia="Cambria" w:hAnsi="Times New Roman"/>
          <w:szCs w:val="24"/>
        </w:rPr>
        <w:t xml:space="preserve"> </w:t>
      </w:r>
      <w:r w:rsidR="006E622A" w:rsidRPr="003567CF">
        <w:rPr>
          <w:rFonts w:ascii="Times New Roman" w:eastAsia="Cambria" w:hAnsi="Times New Roman"/>
          <w:szCs w:val="24"/>
        </w:rPr>
        <w:t>Prosecutor on</w:t>
      </w:r>
      <w:r w:rsidR="00603203" w:rsidRPr="003567CF">
        <w:rPr>
          <w:rFonts w:ascii="Times New Roman" w:eastAsia="Cambria" w:hAnsi="Times New Roman"/>
          <w:szCs w:val="24"/>
        </w:rPr>
        <w:t xml:space="preserve"> the</w:t>
      </w:r>
      <w:r w:rsidR="006E622A" w:rsidRPr="003567CF">
        <w:rPr>
          <w:rFonts w:ascii="Times New Roman" w:eastAsia="Cambria" w:hAnsi="Times New Roman"/>
          <w:szCs w:val="24"/>
        </w:rPr>
        <w:t xml:space="preserve"> one hand, and the victims on the other hand.</w:t>
      </w:r>
      <w:r w:rsidR="006E622A" w:rsidRPr="003567CF">
        <w:rPr>
          <w:rFonts w:ascii="Times New Roman" w:eastAsia="Cambria" w:hAnsi="Times New Roman"/>
          <w:szCs w:val="24"/>
          <w:vertAlign w:val="superscript"/>
        </w:rPr>
        <w:footnoteReference w:id="712"/>
      </w:r>
      <w:r w:rsidR="006E622A" w:rsidRPr="003567CF">
        <w:rPr>
          <w:rFonts w:ascii="Times New Roman" w:eastAsia="Cambria" w:hAnsi="Times New Roman"/>
          <w:szCs w:val="24"/>
        </w:rPr>
        <w:t>Arguably, it often occurs that these two parties(defendant and p</w:t>
      </w:r>
      <w:r w:rsidR="00164F3C" w:rsidRPr="003567CF">
        <w:rPr>
          <w:rFonts w:ascii="Times New Roman" w:eastAsia="Cambria" w:hAnsi="Times New Roman"/>
          <w:szCs w:val="24"/>
        </w:rPr>
        <w:t>rosecutor) tend to oppose</w:t>
      </w:r>
      <w:r w:rsidR="006E622A" w:rsidRPr="003567CF">
        <w:rPr>
          <w:rFonts w:ascii="Times New Roman" w:eastAsia="Cambria" w:hAnsi="Times New Roman"/>
          <w:szCs w:val="24"/>
        </w:rPr>
        <w:t xml:space="preserve"> </w:t>
      </w:r>
      <w:r w:rsidR="008376A1" w:rsidRPr="003567CF">
        <w:rPr>
          <w:rFonts w:ascii="Times New Roman" w:eastAsia="Cambria" w:hAnsi="Times New Roman"/>
          <w:szCs w:val="24"/>
        </w:rPr>
        <w:t xml:space="preserve">the </w:t>
      </w:r>
      <w:r w:rsidR="006E622A" w:rsidRPr="003567CF">
        <w:rPr>
          <w:rFonts w:ascii="Times New Roman" w:eastAsia="Cambria" w:hAnsi="Times New Roman"/>
          <w:szCs w:val="24"/>
        </w:rPr>
        <w:t>broad application of victims’ rights</w:t>
      </w:r>
      <w:r w:rsidR="00F139E3">
        <w:rPr>
          <w:rFonts w:ascii="Times New Roman" w:eastAsia="Cambria" w:hAnsi="Times New Roman"/>
          <w:szCs w:val="24"/>
        </w:rPr>
        <w:t>-</w:t>
      </w:r>
      <w:r w:rsidR="006E622A" w:rsidRPr="003567CF">
        <w:rPr>
          <w:rFonts w:ascii="Times New Roman" w:eastAsia="Cambria" w:hAnsi="Times New Roman"/>
          <w:szCs w:val="24"/>
        </w:rPr>
        <w:t xml:space="preserve"> conflict of interests.</w:t>
      </w:r>
      <w:r w:rsidR="007D0F7F">
        <w:rPr>
          <w:rFonts w:ascii="Times New Roman" w:eastAsia="Cambria" w:hAnsi="Times New Roman"/>
          <w:szCs w:val="24"/>
        </w:rPr>
        <w:t xml:space="preserve"> </w:t>
      </w:r>
      <w:r w:rsidR="00164F3C" w:rsidRPr="003567CF">
        <w:rPr>
          <w:rFonts w:ascii="Times New Roman" w:eastAsia="Cambria" w:hAnsi="Times New Roman"/>
          <w:szCs w:val="24"/>
        </w:rPr>
        <w:t>The non-dispositive category empowers victims with a reasonable degree of control which could influence the decision-maker</w:t>
      </w:r>
      <w:r w:rsidR="006E622A" w:rsidRPr="003567CF">
        <w:rPr>
          <w:rFonts w:ascii="Times New Roman" w:eastAsia="Cambria" w:hAnsi="Times New Roman"/>
          <w:i/>
          <w:szCs w:val="24"/>
        </w:rPr>
        <w:t>.</w:t>
      </w:r>
      <w:r w:rsidR="006E622A" w:rsidRPr="003567CF">
        <w:rPr>
          <w:rFonts w:ascii="Times New Roman" w:eastAsia="Cambria" w:hAnsi="Times New Roman"/>
          <w:i/>
          <w:szCs w:val="24"/>
          <w:vertAlign w:val="superscript"/>
        </w:rPr>
        <w:footnoteReference w:id="713"/>
      </w:r>
      <w:r w:rsidR="008376A1" w:rsidRPr="003567CF">
        <w:rPr>
          <w:rFonts w:ascii="Times New Roman" w:eastAsia="Cambria" w:hAnsi="Times New Roman"/>
          <w:szCs w:val="24"/>
        </w:rPr>
        <w:t xml:space="preserve"> </w:t>
      </w:r>
    </w:p>
    <w:p w14:paraId="7E114C65" w14:textId="77777777" w:rsidR="00362F4E" w:rsidRDefault="00362F4E" w:rsidP="003567CF">
      <w:pPr>
        <w:spacing w:after="0" w:line="480" w:lineRule="auto"/>
        <w:jc w:val="both"/>
        <w:rPr>
          <w:rFonts w:ascii="Times New Roman" w:eastAsia="Cambria" w:hAnsi="Times New Roman"/>
          <w:szCs w:val="24"/>
        </w:rPr>
      </w:pPr>
    </w:p>
    <w:p w14:paraId="4DA47A23" w14:textId="70457BEF" w:rsidR="006E622A" w:rsidRPr="003567CF" w:rsidRDefault="006E622A" w:rsidP="003567CF">
      <w:pPr>
        <w:spacing w:after="0" w:line="480" w:lineRule="auto"/>
        <w:jc w:val="both"/>
        <w:rPr>
          <w:rFonts w:ascii="Times New Roman" w:eastAsia="Cambria" w:hAnsi="Times New Roman"/>
          <w:szCs w:val="24"/>
          <w:lang w:eastAsia="ja-JP"/>
        </w:rPr>
      </w:pPr>
      <w:r w:rsidRPr="003567CF">
        <w:rPr>
          <w:rFonts w:ascii="Times New Roman" w:eastAsia="Cambria" w:hAnsi="Times New Roman"/>
          <w:szCs w:val="24"/>
        </w:rPr>
        <w:t xml:space="preserve">For instance, the </w:t>
      </w:r>
      <w:r w:rsidR="00340D66">
        <w:rPr>
          <w:rFonts w:ascii="Times New Roman" w:eastAsia="Cambria" w:hAnsi="Times New Roman"/>
          <w:szCs w:val="24"/>
        </w:rPr>
        <w:t>TC's decision</w:t>
      </w:r>
      <w:r w:rsidRPr="003567CF">
        <w:rPr>
          <w:rFonts w:ascii="Times New Roman" w:eastAsia="Cambria" w:hAnsi="Times New Roman"/>
          <w:szCs w:val="24"/>
        </w:rPr>
        <w:t xml:space="preserve"> on 18 January reveals a seemingly ambiguous interpretation of victim participation regime.</w:t>
      </w:r>
      <w:r w:rsidRPr="003567CF">
        <w:rPr>
          <w:rFonts w:ascii="Times New Roman" w:eastAsia="Cambria" w:hAnsi="Times New Roman"/>
          <w:szCs w:val="24"/>
          <w:vertAlign w:val="superscript"/>
        </w:rPr>
        <w:footnoteReference w:id="714"/>
      </w:r>
      <w:r w:rsidRPr="003567CF">
        <w:rPr>
          <w:rFonts w:ascii="Times New Roman" w:eastAsia="Cambria" w:hAnsi="Times New Roman"/>
          <w:szCs w:val="24"/>
        </w:rPr>
        <w:t xml:space="preserve"> The TC held that the assessment of victim participation in proceedings sh</w:t>
      </w:r>
      <w:r w:rsidR="00603203" w:rsidRPr="003567CF">
        <w:rPr>
          <w:rFonts w:ascii="Times New Roman" w:eastAsia="Cambria" w:hAnsi="Times New Roman"/>
          <w:szCs w:val="24"/>
        </w:rPr>
        <w:t>ould</w:t>
      </w:r>
      <w:r w:rsidRPr="003567CF">
        <w:rPr>
          <w:rFonts w:ascii="Times New Roman" w:eastAsia="Cambria" w:hAnsi="Times New Roman"/>
          <w:szCs w:val="24"/>
        </w:rPr>
        <w:t xml:space="preserve"> be regulated by personal interests test,</w:t>
      </w:r>
      <w:r w:rsidR="0089377A" w:rsidRPr="003567CF">
        <w:rPr>
          <w:rFonts w:ascii="Times New Roman" w:eastAsia="Cambria" w:hAnsi="Times New Roman"/>
          <w:szCs w:val="24"/>
        </w:rPr>
        <w:t xml:space="preserve"> </w:t>
      </w:r>
      <w:r w:rsidR="00340D66">
        <w:rPr>
          <w:rFonts w:ascii="Times New Roman" w:eastAsia="Cambria" w:hAnsi="Times New Roman"/>
          <w:szCs w:val="24"/>
        </w:rPr>
        <w:t>provided</w:t>
      </w:r>
      <w:r w:rsidRPr="003567CF">
        <w:rPr>
          <w:rFonts w:ascii="Times New Roman" w:eastAsia="Cambria" w:hAnsi="Times New Roman"/>
          <w:szCs w:val="24"/>
        </w:rPr>
        <w:t xml:space="preserve"> in article 68(3).</w:t>
      </w:r>
      <w:r w:rsidR="00603203" w:rsidRPr="003567CF">
        <w:rPr>
          <w:rFonts w:ascii="Times New Roman" w:eastAsia="Cambria" w:hAnsi="Times New Roman"/>
          <w:szCs w:val="24"/>
        </w:rPr>
        <w:t xml:space="preserve"> </w:t>
      </w:r>
      <w:r w:rsidRPr="003567CF">
        <w:rPr>
          <w:rFonts w:ascii="Times New Roman" w:eastAsia="Cambria" w:hAnsi="Times New Roman"/>
          <w:szCs w:val="24"/>
        </w:rPr>
        <w:t xml:space="preserve">Rule 85 and </w:t>
      </w:r>
      <w:r w:rsidR="00603203" w:rsidRPr="003567CF">
        <w:rPr>
          <w:rFonts w:ascii="Times New Roman" w:eastAsia="Cambria" w:hAnsi="Times New Roman"/>
          <w:szCs w:val="24"/>
        </w:rPr>
        <w:t>A</w:t>
      </w:r>
      <w:r w:rsidRPr="003567CF">
        <w:rPr>
          <w:rFonts w:ascii="Times New Roman" w:eastAsia="Cambria" w:hAnsi="Times New Roman"/>
          <w:szCs w:val="24"/>
        </w:rPr>
        <w:t>rt</w:t>
      </w:r>
      <w:r w:rsidR="0089377A" w:rsidRPr="003567CF">
        <w:rPr>
          <w:rFonts w:ascii="Times New Roman" w:eastAsia="Cambria" w:hAnsi="Times New Roman"/>
          <w:szCs w:val="24"/>
        </w:rPr>
        <w:t>i</w:t>
      </w:r>
      <w:r w:rsidRPr="003567CF">
        <w:rPr>
          <w:rFonts w:ascii="Times New Roman" w:eastAsia="Cambria" w:hAnsi="Times New Roman"/>
          <w:szCs w:val="24"/>
        </w:rPr>
        <w:t>cle 68(3) are interdependent.</w:t>
      </w:r>
      <w:r w:rsidR="0089377A" w:rsidRPr="003567CF">
        <w:rPr>
          <w:rFonts w:ascii="Times New Roman" w:eastAsia="Cambria" w:hAnsi="Times New Roman"/>
          <w:szCs w:val="24"/>
        </w:rPr>
        <w:t xml:space="preserve"> Hence, th</w:t>
      </w:r>
      <w:r w:rsidR="00603203" w:rsidRPr="003567CF">
        <w:rPr>
          <w:rFonts w:ascii="Times New Roman" w:eastAsia="Cambria" w:hAnsi="Times New Roman"/>
          <w:szCs w:val="24"/>
        </w:rPr>
        <w:t>ey</w:t>
      </w:r>
      <w:r w:rsidR="0089377A" w:rsidRPr="003567CF">
        <w:rPr>
          <w:rFonts w:ascii="Times New Roman" w:eastAsia="Cambria" w:hAnsi="Times New Roman"/>
          <w:szCs w:val="24"/>
        </w:rPr>
        <w:t xml:space="preserve"> </w:t>
      </w:r>
      <w:r w:rsidR="0089377A" w:rsidRPr="003567CF">
        <w:rPr>
          <w:rFonts w:ascii="Times New Roman" w:eastAsia="Cambria" w:hAnsi="Times New Roman"/>
          <w:szCs w:val="24"/>
        </w:rPr>
        <w:lastRenderedPageBreak/>
        <w:t>should be interpreted conjunctively.</w:t>
      </w:r>
      <w:r w:rsidR="00603203" w:rsidRPr="003567CF">
        <w:rPr>
          <w:rFonts w:ascii="Times New Roman" w:eastAsia="Cambria" w:hAnsi="Times New Roman"/>
          <w:szCs w:val="24"/>
        </w:rPr>
        <w:t xml:space="preserve"> </w:t>
      </w:r>
      <w:r w:rsidR="00340D66">
        <w:rPr>
          <w:rFonts w:ascii="Times New Roman" w:eastAsia="Cambria" w:hAnsi="Times New Roman"/>
          <w:szCs w:val="24"/>
        </w:rPr>
        <w:t>This decision gives a broad interpretation of victims'</w:t>
      </w:r>
      <w:r w:rsidRPr="003567CF">
        <w:rPr>
          <w:rFonts w:ascii="Times New Roman" w:eastAsia="Cambria" w:hAnsi="Times New Roman"/>
          <w:szCs w:val="24"/>
        </w:rPr>
        <w:t xml:space="preserve"> participation as it does not make restrictions based on the connection between the harm suffered</w:t>
      </w:r>
      <w:r w:rsidR="0089377A" w:rsidRPr="003567CF">
        <w:rPr>
          <w:rFonts w:ascii="Times New Roman" w:eastAsia="Cambria" w:hAnsi="Times New Roman"/>
          <w:szCs w:val="24"/>
        </w:rPr>
        <w:t xml:space="preserve"> by the victims and the crime conta</w:t>
      </w:r>
      <w:r w:rsidRPr="003567CF">
        <w:rPr>
          <w:rFonts w:ascii="Times New Roman" w:eastAsia="Cambria" w:hAnsi="Times New Roman"/>
          <w:szCs w:val="24"/>
        </w:rPr>
        <w:t>ined in the charges.</w:t>
      </w:r>
      <w:r w:rsidR="00603203" w:rsidRPr="003567CF">
        <w:rPr>
          <w:rFonts w:ascii="Times New Roman" w:eastAsia="Cambria" w:hAnsi="Times New Roman"/>
          <w:szCs w:val="24"/>
        </w:rPr>
        <w:t xml:space="preserve"> </w:t>
      </w:r>
      <w:r w:rsidR="00340D66">
        <w:rPr>
          <w:rFonts w:ascii="Times New Roman" w:eastAsia="Cambria" w:hAnsi="Times New Roman"/>
          <w:szCs w:val="24"/>
        </w:rPr>
        <w:t xml:space="preserve">In his opinion, Judge </w:t>
      </w:r>
      <w:proofErr w:type="spellStart"/>
      <w:r w:rsidR="00340D66">
        <w:rPr>
          <w:rFonts w:ascii="Times New Roman" w:eastAsia="Cambria" w:hAnsi="Times New Roman"/>
          <w:szCs w:val="24"/>
        </w:rPr>
        <w:t>Blattman</w:t>
      </w:r>
      <w:proofErr w:type="spellEnd"/>
      <w:r w:rsidR="00340D66">
        <w:rPr>
          <w:rFonts w:ascii="Times New Roman" w:eastAsia="Cambria" w:hAnsi="Times New Roman"/>
          <w:szCs w:val="24"/>
        </w:rPr>
        <w:t xml:space="preserve"> dissented from the Majority decis</w:t>
      </w:r>
      <w:r w:rsidRPr="003567CF">
        <w:rPr>
          <w:rFonts w:ascii="Times New Roman" w:eastAsia="Cambria" w:hAnsi="Times New Roman"/>
          <w:szCs w:val="24"/>
        </w:rPr>
        <w:t>ion, ‘the over</w:t>
      </w:r>
      <w:r w:rsidR="00603203" w:rsidRPr="003567CF">
        <w:rPr>
          <w:rFonts w:ascii="Times New Roman" w:eastAsia="Cambria" w:hAnsi="Times New Roman"/>
          <w:szCs w:val="24"/>
        </w:rPr>
        <w:t>-</w:t>
      </w:r>
      <w:r w:rsidRPr="003567CF">
        <w:rPr>
          <w:rFonts w:ascii="Times New Roman" w:eastAsia="Cambria" w:hAnsi="Times New Roman"/>
          <w:szCs w:val="24"/>
        </w:rPr>
        <w:t xml:space="preserve">inclusive and imprecise definition of victims’ would threaten or endanger the </w:t>
      </w:r>
      <w:r w:rsidR="007D0F7F">
        <w:rPr>
          <w:rFonts w:ascii="Times New Roman" w:eastAsia="Cambria" w:hAnsi="Times New Roman"/>
          <w:szCs w:val="24"/>
        </w:rPr>
        <w:t>accused's rights</w:t>
      </w:r>
      <w:r w:rsidRPr="003567CF">
        <w:rPr>
          <w:rFonts w:ascii="Times New Roman" w:eastAsia="Cambria" w:hAnsi="Times New Roman"/>
          <w:szCs w:val="24"/>
        </w:rPr>
        <w:t>.</w:t>
      </w:r>
      <w:r w:rsidRPr="003567CF">
        <w:rPr>
          <w:rFonts w:ascii="Times New Roman" w:eastAsia="Cambria" w:hAnsi="Times New Roman"/>
          <w:szCs w:val="24"/>
          <w:vertAlign w:val="superscript"/>
        </w:rPr>
        <w:footnoteReference w:id="715"/>
      </w:r>
      <w:r w:rsidRPr="003567CF">
        <w:rPr>
          <w:rFonts w:ascii="Times New Roman" w:eastAsia="Cambria" w:hAnsi="Times New Roman"/>
          <w:szCs w:val="24"/>
        </w:rPr>
        <w:t>This decision intended to broaden the provis</w:t>
      </w:r>
      <w:r w:rsidR="0089377A" w:rsidRPr="003567CF">
        <w:rPr>
          <w:rFonts w:ascii="Times New Roman" w:eastAsia="Cambria" w:hAnsi="Times New Roman"/>
          <w:szCs w:val="24"/>
        </w:rPr>
        <w:t>i</w:t>
      </w:r>
      <w:r w:rsidRPr="003567CF">
        <w:rPr>
          <w:rFonts w:ascii="Times New Roman" w:eastAsia="Cambria" w:hAnsi="Times New Roman"/>
          <w:szCs w:val="24"/>
        </w:rPr>
        <w:t>on of rule 85</w:t>
      </w:r>
      <w:r w:rsidR="00C13339">
        <w:rPr>
          <w:rFonts w:ascii="Times New Roman" w:eastAsia="Cambria" w:hAnsi="Times New Roman"/>
          <w:szCs w:val="24"/>
        </w:rPr>
        <w:t>,</w:t>
      </w:r>
      <w:r w:rsidRPr="003567CF">
        <w:rPr>
          <w:rFonts w:ascii="Times New Roman" w:eastAsia="Cambria" w:hAnsi="Times New Roman"/>
          <w:szCs w:val="24"/>
        </w:rPr>
        <w:t>‘any crime within the jurisdiction of the court’</w:t>
      </w:r>
      <w:r w:rsidRPr="003567CF">
        <w:rPr>
          <w:rFonts w:ascii="Times New Roman" w:eastAsia="Cambria" w:hAnsi="Times New Roman"/>
          <w:szCs w:val="24"/>
          <w:vertAlign w:val="superscript"/>
        </w:rPr>
        <w:footnoteReference w:id="716"/>
      </w:r>
      <w:r w:rsidRPr="003567CF">
        <w:rPr>
          <w:rFonts w:ascii="Times New Roman" w:eastAsia="Cambria" w:hAnsi="Times New Roman"/>
          <w:szCs w:val="24"/>
        </w:rPr>
        <w:t>rather than a</w:t>
      </w:r>
      <w:r w:rsidR="00C13339">
        <w:rPr>
          <w:rFonts w:ascii="Times New Roman" w:eastAsia="Cambria" w:hAnsi="Times New Roman"/>
          <w:szCs w:val="24"/>
        </w:rPr>
        <w:t xml:space="preserve"> restrictive</w:t>
      </w:r>
      <w:r w:rsidRPr="003567CF">
        <w:rPr>
          <w:rFonts w:ascii="Times New Roman" w:eastAsia="Cambria" w:hAnsi="Times New Roman"/>
          <w:szCs w:val="24"/>
        </w:rPr>
        <w:t xml:space="preserve"> provision </w:t>
      </w:r>
      <w:r w:rsidR="00340D66">
        <w:rPr>
          <w:rFonts w:ascii="Times New Roman" w:eastAsia="Cambria" w:hAnsi="Times New Roman"/>
          <w:szCs w:val="24"/>
        </w:rPr>
        <w:t>that restricts crimes</w:t>
      </w:r>
      <w:r w:rsidRPr="003567CF">
        <w:rPr>
          <w:rFonts w:ascii="Times New Roman" w:eastAsia="Cambria" w:hAnsi="Times New Roman"/>
          <w:szCs w:val="24"/>
        </w:rPr>
        <w:t xml:space="preserve"> in the charges.</w:t>
      </w:r>
      <w:r w:rsidRPr="003567CF">
        <w:rPr>
          <w:rFonts w:ascii="Times New Roman" w:eastAsia="Cambria" w:hAnsi="Times New Roman"/>
          <w:szCs w:val="24"/>
          <w:vertAlign w:val="superscript"/>
        </w:rPr>
        <w:footnoteReference w:id="717"/>
      </w:r>
      <w:r w:rsidRPr="003567CF">
        <w:rPr>
          <w:rFonts w:ascii="Times New Roman" w:eastAsia="Cambria" w:hAnsi="Times New Roman"/>
          <w:szCs w:val="24"/>
        </w:rPr>
        <w:t xml:space="preserve"> </w:t>
      </w:r>
      <w:r w:rsidR="00340D66">
        <w:rPr>
          <w:rFonts w:ascii="Times New Roman" w:eastAsia="Cambria" w:hAnsi="Times New Roman"/>
          <w:szCs w:val="24"/>
        </w:rPr>
        <w:t>T</w:t>
      </w:r>
      <w:r w:rsidRPr="003567CF">
        <w:rPr>
          <w:rFonts w:ascii="Times New Roman" w:eastAsia="Cambria" w:hAnsi="Times New Roman"/>
          <w:szCs w:val="24"/>
        </w:rPr>
        <w:t xml:space="preserve">he </w:t>
      </w:r>
      <w:r w:rsidR="00C13339">
        <w:rPr>
          <w:rFonts w:ascii="Times New Roman" w:eastAsia="Cambria" w:hAnsi="Times New Roman"/>
          <w:szCs w:val="24"/>
        </w:rPr>
        <w:t>T</w:t>
      </w:r>
      <w:r w:rsidRPr="003567CF">
        <w:rPr>
          <w:rFonts w:ascii="Times New Roman" w:eastAsia="Cambria" w:hAnsi="Times New Roman"/>
          <w:szCs w:val="24"/>
        </w:rPr>
        <w:t>C also noted</w:t>
      </w:r>
      <w:r w:rsidR="00C13339">
        <w:rPr>
          <w:rFonts w:ascii="Times New Roman" w:eastAsia="Cambria" w:hAnsi="Times New Roman"/>
          <w:szCs w:val="24"/>
        </w:rPr>
        <w:t xml:space="preserve"> that it was imperative to draw</w:t>
      </w:r>
      <w:r w:rsidRPr="003567CF">
        <w:rPr>
          <w:rFonts w:ascii="Times New Roman" w:eastAsia="Cambria" w:hAnsi="Times New Roman"/>
          <w:szCs w:val="24"/>
        </w:rPr>
        <w:t xml:space="preserve"> </w:t>
      </w:r>
      <w:r w:rsidR="00C13339">
        <w:rPr>
          <w:rFonts w:ascii="Times New Roman" w:eastAsia="Cambria" w:hAnsi="Times New Roman"/>
          <w:szCs w:val="24"/>
        </w:rPr>
        <w:t>a correlation between</w:t>
      </w:r>
      <w:r w:rsidRPr="003567CF">
        <w:rPr>
          <w:rFonts w:ascii="Times New Roman" w:eastAsia="Cambria" w:hAnsi="Times New Roman"/>
          <w:szCs w:val="24"/>
        </w:rPr>
        <w:t xml:space="preserve"> the victims</w:t>
      </w:r>
      <w:r w:rsidR="00C13339">
        <w:rPr>
          <w:rFonts w:ascii="Times New Roman" w:eastAsia="Cambria" w:hAnsi="Times New Roman"/>
          <w:szCs w:val="24"/>
        </w:rPr>
        <w:t>' interests</w:t>
      </w:r>
      <w:r w:rsidRPr="003567CF">
        <w:rPr>
          <w:rFonts w:ascii="Times New Roman" w:eastAsia="Cambria" w:hAnsi="Times New Roman"/>
          <w:szCs w:val="24"/>
        </w:rPr>
        <w:t xml:space="preserve"> </w:t>
      </w:r>
      <w:r w:rsidR="00C13339">
        <w:rPr>
          <w:rFonts w:ascii="Times New Roman" w:eastAsia="Cambria" w:hAnsi="Times New Roman"/>
          <w:szCs w:val="24"/>
        </w:rPr>
        <w:t xml:space="preserve">and </w:t>
      </w:r>
      <w:r w:rsidRPr="003567CF">
        <w:rPr>
          <w:rFonts w:ascii="Times New Roman" w:eastAsia="Cambria" w:hAnsi="Times New Roman"/>
          <w:szCs w:val="24"/>
        </w:rPr>
        <w:t>presentation of evidence in the proceedings.</w:t>
      </w:r>
      <w:r w:rsidRPr="003567CF">
        <w:rPr>
          <w:rFonts w:ascii="Times New Roman" w:eastAsia="Cambria" w:hAnsi="Times New Roman"/>
          <w:szCs w:val="24"/>
          <w:vertAlign w:val="superscript"/>
        </w:rPr>
        <w:footnoteReference w:id="718"/>
      </w:r>
    </w:p>
    <w:p w14:paraId="39EE6097" w14:textId="77777777" w:rsidR="006E622A" w:rsidRPr="003567CF" w:rsidRDefault="006E622A" w:rsidP="003567CF">
      <w:pPr>
        <w:spacing w:after="0" w:line="480" w:lineRule="auto"/>
        <w:jc w:val="both"/>
        <w:rPr>
          <w:rFonts w:ascii="Times New Roman" w:eastAsia="Cambria" w:hAnsi="Times New Roman"/>
          <w:szCs w:val="24"/>
        </w:rPr>
      </w:pPr>
    </w:p>
    <w:p w14:paraId="08FC4C76" w14:textId="18933E97" w:rsidR="006E622A" w:rsidRPr="003567CF" w:rsidRDefault="00C44C76" w:rsidP="003567CF">
      <w:pPr>
        <w:spacing w:after="0" w:line="480" w:lineRule="auto"/>
        <w:jc w:val="both"/>
        <w:rPr>
          <w:rFonts w:ascii="Times New Roman" w:eastAsia="Cambria" w:hAnsi="Times New Roman"/>
          <w:szCs w:val="24"/>
        </w:rPr>
      </w:pPr>
      <w:r w:rsidRPr="003567CF">
        <w:rPr>
          <w:rFonts w:ascii="Times New Roman" w:eastAsia="Cambria" w:hAnsi="Times New Roman"/>
          <w:szCs w:val="24"/>
        </w:rPr>
        <w:t>Surprisingly</w:t>
      </w:r>
      <w:r w:rsidR="006E622A" w:rsidRPr="003567CF">
        <w:rPr>
          <w:rFonts w:ascii="Times New Roman" w:eastAsia="Cambria" w:hAnsi="Times New Roman"/>
          <w:szCs w:val="24"/>
        </w:rPr>
        <w:t xml:space="preserve"> this decision was set aside pursuant to the appeal brought by the defence.</w:t>
      </w:r>
      <w:r w:rsidR="006E622A" w:rsidRPr="003567CF">
        <w:rPr>
          <w:rFonts w:ascii="Times New Roman" w:eastAsia="Cambria" w:hAnsi="Times New Roman"/>
          <w:szCs w:val="24"/>
          <w:vertAlign w:val="superscript"/>
        </w:rPr>
        <w:footnoteReference w:id="719"/>
      </w:r>
      <w:r w:rsidR="006E622A" w:rsidRPr="003567CF">
        <w:rPr>
          <w:rFonts w:ascii="Times New Roman" w:eastAsia="Cambria" w:hAnsi="Times New Roman"/>
          <w:szCs w:val="24"/>
        </w:rPr>
        <w:t xml:space="preserve">The AC found that the qualification for victim participation should be limited to victims of </w:t>
      </w:r>
      <w:r w:rsidR="0043694C" w:rsidRPr="003567CF">
        <w:rPr>
          <w:rFonts w:ascii="Times New Roman" w:eastAsia="Cambria" w:hAnsi="Times New Roman"/>
          <w:szCs w:val="24"/>
        </w:rPr>
        <w:t xml:space="preserve">the </w:t>
      </w:r>
      <w:r w:rsidR="006E622A" w:rsidRPr="003567CF">
        <w:rPr>
          <w:rFonts w:ascii="Times New Roman" w:eastAsia="Cambria" w:hAnsi="Times New Roman"/>
          <w:szCs w:val="24"/>
        </w:rPr>
        <w:t>situation or a case</w:t>
      </w:r>
      <w:r w:rsidR="00C13339">
        <w:rPr>
          <w:rFonts w:ascii="Times New Roman" w:eastAsia="Cambria" w:hAnsi="Times New Roman"/>
          <w:szCs w:val="24"/>
        </w:rPr>
        <w:t xml:space="preserve">. </w:t>
      </w:r>
      <w:r w:rsidR="00340D66">
        <w:rPr>
          <w:rFonts w:ascii="Times New Roman" w:eastAsia="Cambria" w:hAnsi="Times New Roman"/>
          <w:szCs w:val="24"/>
        </w:rPr>
        <w:t>The AC confirmed TC's decision</w:t>
      </w:r>
      <w:r w:rsidR="006E622A" w:rsidRPr="003567CF">
        <w:rPr>
          <w:rFonts w:ascii="Times New Roman" w:eastAsia="Cambria" w:hAnsi="Times New Roman"/>
          <w:szCs w:val="24"/>
        </w:rPr>
        <w:t xml:space="preserve"> to allow victim participants to submit evidence and question witnesses.</w:t>
      </w:r>
      <w:r w:rsidR="006E622A" w:rsidRPr="003567CF">
        <w:rPr>
          <w:rFonts w:ascii="Times New Roman" w:eastAsia="Cambria" w:hAnsi="Times New Roman"/>
          <w:szCs w:val="24"/>
          <w:vertAlign w:val="superscript"/>
        </w:rPr>
        <w:footnoteReference w:id="720"/>
      </w:r>
      <w:r w:rsidR="001969D3" w:rsidRPr="003567CF">
        <w:rPr>
          <w:rFonts w:ascii="Times New Roman" w:eastAsia="Cambria" w:hAnsi="Times New Roman"/>
          <w:szCs w:val="24"/>
        </w:rPr>
        <w:t xml:space="preserve"> J</w:t>
      </w:r>
      <w:r w:rsidR="006E622A" w:rsidRPr="003567CF">
        <w:rPr>
          <w:rFonts w:ascii="Times New Roman" w:eastAsia="Cambria" w:hAnsi="Times New Roman"/>
          <w:szCs w:val="24"/>
        </w:rPr>
        <w:t>udge Pikis, concurring with Judge Kirsch, stated that the Prosecutor and the accused as full parties to the case are the only parties with the rights to</w:t>
      </w:r>
      <w:r w:rsidRPr="003567CF">
        <w:rPr>
          <w:rFonts w:ascii="Times New Roman" w:eastAsia="Cambria" w:hAnsi="Times New Roman"/>
          <w:szCs w:val="24"/>
        </w:rPr>
        <w:t xml:space="preserve"> </w:t>
      </w:r>
      <w:r w:rsidR="006E622A" w:rsidRPr="003567CF">
        <w:rPr>
          <w:rFonts w:ascii="Times New Roman" w:eastAsia="Cambria" w:hAnsi="Times New Roman"/>
          <w:szCs w:val="24"/>
        </w:rPr>
        <w:t>dis</w:t>
      </w:r>
      <w:r w:rsidR="0043694C" w:rsidRPr="003567CF">
        <w:rPr>
          <w:rFonts w:ascii="Times New Roman" w:eastAsia="Cambria" w:hAnsi="Times New Roman"/>
          <w:szCs w:val="24"/>
        </w:rPr>
        <w:t>pute the c</w:t>
      </w:r>
      <w:r w:rsidR="00340D66">
        <w:rPr>
          <w:rFonts w:ascii="Times New Roman" w:eastAsia="Cambria" w:hAnsi="Times New Roman"/>
          <w:szCs w:val="24"/>
        </w:rPr>
        <w:t>harges' content</w:t>
      </w:r>
      <w:r w:rsidR="006E622A" w:rsidRPr="003567CF">
        <w:rPr>
          <w:rFonts w:ascii="Times New Roman" w:eastAsia="Cambria" w:hAnsi="Times New Roman"/>
          <w:szCs w:val="24"/>
        </w:rPr>
        <w:t>.</w:t>
      </w:r>
      <w:r w:rsidR="006E622A" w:rsidRPr="003567CF">
        <w:rPr>
          <w:rFonts w:ascii="Times New Roman" w:eastAsia="Cambria" w:hAnsi="Times New Roman"/>
          <w:szCs w:val="24"/>
          <w:vertAlign w:val="superscript"/>
        </w:rPr>
        <w:footnoteReference w:id="721"/>
      </w:r>
      <w:r w:rsidR="00E651E7" w:rsidRPr="003567CF">
        <w:rPr>
          <w:rFonts w:ascii="Times New Roman" w:eastAsia="Cambria" w:hAnsi="Times New Roman"/>
          <w:szCs w:val="24"/>
        </w:rPr>
        <w:t>In his words:</w:t>
      </w:r>
      <w:r w:rsidR="006E622A" w:rsidRPr="003567CF">
        <w:rPr>
          <w:rFonts w:ascii="Times New Roman" w:eastAsia="Cambria" w:hAnsi="Times New Roman"/>
          <w:szCs w:val="24"/>
        </w:rPr>
        <w:t xml:space="preserve"> </w:t>
      </w:r>
    </w:p>
    <w:p w14:paraId="520E08E8" w14:textId="77777777" w:rsidR="006E622A" w:rsidRPr="00FE02AB" w:rsidRDefault="003567CF" w:rsidP="00FE02AB">
      <w:pPr>
        <w:pStyle w:val="Quote"/>
        <w:rPr>
          <w:rFonts w:ascii="Times New Roman" w:eastAsia="Cambria" w:hAnsi="Times New Roman"/>
          <w:i w:val="0"/>
        </w:rPr>
      </w:pPr>
      <w:r w:rsidRPr="003567CF">
        <w:rPr>
          <w:rStyle w:val="QuoteChar"/>
          <w:rFonts w:ascii="Times New Roman" w:eastAsia="Cambria" w:hAnsi="Times New Roman"/>
        </w:rPr>
        <w:lastRenderedPageBreak/>
        <w:t>“</w:t>
      </w:r>
      <w:r w:rsidR="006E622A" w:rsidRPr="003567CF">
        <w:rPr>
          <w:rStyle w:val="QuoteChar"/>
          <w:rFonts w:ascii="Times New Roman" w:eastAsia="Cambria" w:hAnsi="Times New Roman"/>
        </w:rPr>
        <w:t>[</w:t>
      </w:r>
      <w:proofErr w:type="spellStart"/>
      <w:r w:rsidR="006E622A" w:rsidRPr="003567CF">
        <w:rPr>
          <w:rStyle w:val="QuoteChar"/>
          <w:rFonts w:ascii="Times New Roman" w:eastAsia="Cambria" w:hAnsi="Times New Roman"/>
        </w:rPr>
        <w:t>i</w:t>
      </w:r>
      <w:proofErr w:type="spellEnd"/>
      <w:r w:rsidR="006E622A" w:rsidRPr="003567CF">
        <w:rPr>
          <w:rStyle w:val="QuoteChar"/>
          <w:rFonts w:ascii="Times New Roman" w:eastAsia="Cambria" w:hAnsi="Times New Roman"/>
        </w:rPr>
        <w:t>]n an adversarial hearing the two sides are cast in the position of adversaries, in connection with the determination of</w:t>
      </w:r>
      <w:r w:rsidR="00C3174C" w:rsidRPr="003567CF">
        <w:rPr>
          <w:rStyle w:val="QuoteChar"/>
          <w:rFonts w:ascii="Times New Roman" w:eastAsia="Cambria" w:hAnsi="Times New Roman"/>
        </w:rPr>
        <w:t xml:space="preserve"> </w:t>
      </w:r>
      <w:r w:rsidR="006E622A" w:rsidRPr="003567CF">
        <w:rPr>
          <w:rStyle w:val="QuoteChar"/>
          <w:rFonts w:ascii="Times New Roman" w:eastAsia="Cambria" w:hAnsi="Times New Roman"/>
        </w:rPr>
        <w:t>the only issue raised before the Chamber, the guilt or innocence of the accused. The</w:t>
      </w:r>
      <w:r w:rsidR="00C3174C" w:rsidRPr="003567CF">
        <w:rPr>
          <w:rStyle w:val="QuoteChar"/>
          <w:rFonts w:ascii="Times New Roman" w:eastAsia="Cambria" w:hAnsi="Times New Roman"/>
        </w:rPr>
        <w:t xml:space="preserve"> </w:t>
      </w:r>
      <w:r w:rsidR="006E622A" w:rsidRPr="003567CF">
        <w:rPr>
          <w:rStyle w:val="QuoteChar"/>
          <w:rFonts w:ascii="Times New Roman" w:eastAsia="Cambria" w:hAnsi="Times New Roman"/>
        </w:rPr>
        <w:t>adversary of the accused is the Prosecutor and none other. The defendant cannot have</w:t>
      </w:r>
      <w:r w:rsidR="00C3174C" w:rsidRPr="003567CF">
        <w:rPr>
          <w:rStyle w:val="QuoteChar"/>
          <w:rFonts w:ascii="Times New Roman" w:eastAsia="Cambria" w:hAnsi="Times New Roman"/>
        </w:rPr>
        <w:t xml:space="preserve"> </w:t>
      </w:r>
      <w:r w:rsidR="006E622A" w:rsidRPr="003567CF">
        <w:rPr>
          <w:rStyle w:val="QuoteChar"/>
          <w:rFonts w:ascii="Times New Roman" w:eastAsia="Cambria" w:hAnsi="Times New Roman"/>
        </w:rPr>
        <w:t xml:space="preserve">more than one </w:t>
      </w:r>
      <w:r w:rsidR="006E622A" w:rsidRPr="003567CF">
        <w:rPr>
          <w:rFonts w:ascii="Times New Roman" w:eastAsia="Cambria" w:hAnsi="Times New Roman"/>
          <w:i w:val="0"/>
        </w:rPr>
        <w:t>accuser. It is not for the accused to prove his innocence. He is presumed to</w:t>
      </w:r>
      <w:r w:rsidR="00C3174C" w:rsidRPr="003567CF">
        <w:rPr>
          <w:rFonts w:ascii="Times New Roman" w:eastAsia="Cambria" w:hAnsi="Times New Roman"/>
          <w:i w:val="0"/>
        </w:rPr>
        <w:t xml:space="preserve"> </w:t>
      </w:r>
      <w:r w:rsidR="006E622A" w:rsidRPr="003567CF">
        <w:rPr>
          <w:rFonts w:ascii="Times New Roman" w:eastAsia="Cambria" w:hAnsi="Times New Roman"/>
          <w:i w:val="0"/>
        </w:rPr>
        <w:t>be innocent. The ultimate question is whether the Prosecution proved its case beyond</w:t>
      </w:r>
      <w:r w:rsidR="00FE02AB">
        <w:rPr>
          <w:rFonts w:ascii="Times New Roman" w:eastAsia="Cambria" w:hAnsi="Times New Roman"/>
          <w:i w:val="0"/>
        </w:rPr>
        <w:t xml:space="preserve"> </w:t>
      </w:r>
      <w:r w:rsidR="006E622A" w:rsidRPr="003567CF">
        <w:rPr>
          <w:rFonts w:ascii="Times New Roman" w:eastAsia="Cambria" w:hAnsi="Times New Roman"/>
          <w:i w:val="0"/>
        </w:rPr>
        <w:t>reasonable doubt</w:t>
      </w:r>
      <w:r w:rsidR="006E622A" w:rsidRPr="0043694C">
        <w:rPr>
          <w:rFonts w:ascii="Times New Roman" w:eastAsia="Cambria" w:hAnsi="Times New Roman"/>
        </w:rPr>
        <w:t>.”</w:t>
      </w:r>
      <w:r w:rsidR="006E622A" w:rsidRPr="0043694C">
        <w:rPr>
          <w:rFonts w:ascii="Times New Roman" w:eastAsia="Cambria" w:hAnsi="Times New Roman"/>
          <w:vertAlign w:val="superscript"/>
        </w:rPr>
        <w:footnoteReference w:id="722"/>
      </w:r>
    </w:p>
    <w:p w14:paraId="7F789567" w14:textId="77777777" w:rsidR="006E622A" w:rsidRPr="0089377A" w:rsidRDefault="006E622A" w:rsidP="0089377A">
      <w:pPr>
        <w:spacing w:after="0" w:line="480" w:lineRule="auto"/>
        <w:jc w:val="both"/>
        <w:rPr>
          <w:rFonts w:ascii="Times New Roman" w:eastAsia="Cambria" w:hAnsi="Times New Roman"/>
          <w:szCs w:val="24"/>
        </w:rPr>
      </w:pPr>
    </w:p>
    <w:p w14:paraId="50088A8D" w14:textId="2EC943AF" w:rsidR="006E622A" w:rsidRPr="00502587" w:rsidRDefault="006E622A" w:rsidP="00FE02AB">
      <w:pPr>
        <w:spacing w:after="0" w:line="480" w:lineRule="auto"/>
        <w:jc w:val="both"/>
        <w:rPr>
          <w:rFonts w:ascii="Times New Roman" w:eastAsia="Cambria" w:hAnsi="Times New Roman"/>
          <w:szCs w:val="24"/>
        </w:rPr>
      </w:pPr>
      <w:r w:rsidRPr="00502587">
        <w:rPr>
          <w:rFonts w:ascii="Times New Roman" w:eastAsia="Cambria" w:hAnsi="Times New Roman"/>
          <w:szCs w:val="24"/>
        </w:rPr>
        <w:t>Judge Pikis’ opinion draws our attention to the nature of adversarial proceedings and its requ</w:t>
      </w:r>
      <w:r w:rsidR="00502587" w:rsidRPr="00502587">
        <w:rPr>
          <w:rFonts w:ascii="Times New Roman" w:eastAsia="Cambria" w:hAnsi="Times New Roman"/>
          <w:szCs w:val="24"/>
        </w:rPr>
        <w:t>irements.</w:t>
      </w:r>
      <w:r w:rsidR="0043694C">
        <w:rPr>
          <w:rFonts w:ascii="Times New Roman" w:eastAsia="Cambria" w:hAnsi="Times New Roman"/>
          <w:szCs w:val="24"/>
        </w:rPr>
        <w:t xml:space="preserve"> </w:t>
      </w:r>
      <w:r w:rsidR="00502587" w:rsidRPr="00502587">
        <w:rPr>
          <w:rFonts w:ascii="Times New Roman" w:eastAsia="Cambria" w:hAnsi="Times New Roman"/>
          <w:szCs w:val="24"/>
        </w:rPr>
        <w:t>The emphasis</w:t>
      </w:r>
      <w:r w:rsidR="00340D66">
        <w:rPr>
          <w:rFonts w:ascii="Times New Roman" w:eastAsia="Cambria" w:hAnsi="Times New Roman"/>
          <w:szCs w:val="24"/>
        </w:rPr>
        <w:t xml:space="preserve"> on disrupting the equality of arms if victims were permitted to tender evidence in </w:t>
      </w:r>
      <w:r w:rsidR="004E2495">
        <w:rPr>
          <w:rFonts w:ascii="Times New Roman" w:eastAsia="Cambria" w:hAnsi="Times New Roman"/>
          <w:szCs w:val="24"/>
        </w:rPr>
        <w:t>determining</w:t>
      </w:r>
      <w:r w:rsidR="00340D66">
        <w:rPr>
          <w:rFonts w:ascii="Times New Roman" w:eastAsia="Cambria" w:hAnsi="Times New Roman"/>
          <w:szCs w:val="24"/>
        </w:rPr>
        <w:t xml:space="preserve"> truth explains that an extended role for victims could prejudice the </w:t>
      </w:r>
      <w:r w:rsidR="007D0F7F">
        <w:rPr>
          <w:rFonts w:ascii="Times New Roman" w:eastAsia="Cambria" w:hAnsi="Times New Roman"/>
          <w:szCs w:val="24"/>
        </w:rPr>
        <w:t>accused's rights</w:t>
      </w:r>
      <w:r w:rsidRPr="00502587">
        <w:rPr>
          <w:rFonts w:ascii="Times New Roman" w:eastAsia="Cambria" w:hAnsi="Times New Roman"/>
          <w:szCs w:val="24"/>
        </w:rPr>
        <w:t xml:space="preserve"> as he is supposedly against two accusers.</w:t>
      </w:r>
    </w:p>
    <w:p w14:paraId="6836E9B8" w14:textId="77777777" w:rsidR="004E2495" w:rsidRDefault="004E2495" w:rsidP="00FE02AB">
      <w:pPr>
        <w:spacing w:after="0" w:line="480" w:lineRule="auto"/>
        <w:jc w:val="both"/>
        <w:rPr>
          <w:rFonts w:ascii="Times New Roman" w:eastAsia="Cambria" w:hAnsi="Times New Roman"/>
          <w:szCs w:val="24"/>
        </w:rPr>
      </w:pPr>
    </w:p>
    <w:p w14:paraId="1CB2BB50" w14:textId="609FA983" w:rsidR="006E622A" w:rsidRDefault="006E622A" w:rsidP="00FE02AB">
      <w:pPr>
        <w:spacing w:after="0" w:line="480" w:lineRule="auto"/>
        <w:jc w:val="both"/>
        <w:rPr>
          <w:rFonts w:ascii="Times New Roman" w:eastAsia="Cambria" w:hAnsi="Times New Roman"/>
          <w:szCs w:val="24"/>
        </w:rPr>
      </w:pPr>
      <w:r w:rsidRPr="00502587">
        <w:rPr>
          <w:rFonts w:ascii="Times New Roman" w:eastAsia="Cambria" w:hAnsi="Times New Roman"/>
          <w:szCs w:val="24"/>
        </w:rPr>
        <w:t>Th</w:t>
      </w:r>
      <w:r w:rsidR="00C13339">
        <w:rPr>
          <w:rFonts w:ascii="Times New Roman" w:eastAsia="Cambria" w:hAnsi="Times New Roman"/>
          <w:szCs w:val="24"/>
        </w:rPr>
        <w:t>e ruling showed</w:t>
      </w:r>
      <w:r w:rsidRPr="00502587">
        <w:rPr>
          <w:rFonts w:ascii="Times New Roman" w:eastAsia="Cambria" w:hAnsi="Times New Roman"/>
          <w:szCs w:val="24"/>
        </w:rPr>
        <w:t xml:space="preserve"> progress from a broad definition of victims to a restrictive definition of victims a</w:t>
      </w:r>
      <w:r w:rsidR="00340D66">
        <w:rPr>
          <w:rFonts w:ascii="Times New Roman" w:eastAsia="Cambria" w:hAnsi="Times New Roman"/>
          <w:szCs w:val="24"/>
        </w:rPr>
        <w:t>nd</w:t>
      </w:r>
      <w:r w:rsidRPr="00502587">
        <w:rPr>
          <w:rFonts w:ascii="Times New Roman" w:eastAsia="Cambria" w:hAnsi="Times New Roman"/>
          <w:szCs w:val="24"/>
        </w:rPr>
        <w:t xml:space="preserve"> ascertaining whether victims can lead evidence.</w:t>
      </w:r>
      <w:r w:rsidR="00125FA5">
        <w:rPr>
          <w:rFonts w:ascii="Times New Roman" w:eastAsia="Cambria" w:hAnsi="Times New Roman"/>
          <w:szCs w:val="24"/>
        </w:rPr>
        <w:t xml:space="preserve"> While</w:t>
      </w:r>
      <w:r w:rsidR="000D6A2A">
        <w:rPr>
          <w:rFonts w:ascii="Times New Roman" w:eastAsia="Cambria" w:hAnsi="Times New Roman"/>
          <w:szCs w:val="24"/>
        </w:rPr>
        <w:t xml:space="preserve"> </w:t>
      </w:r>
      <w:r w:rsidR="00125FA5">
        <w:rPr>
          <w:rFonts w:ascii="Times New Roman" w:eastAsia="Cambria" w:hAnsi="Times New Roman"/>
          <w:szCs w:val="24"/>
        </w:rPr>
        <w:t xml:space="preserve">the </w:t>
      </w:r>
      <w:r w:rsidR="00502587">
        <w:rPr>
          <w:rFonts w:ascii="Times New Roman" w:eastAsia="Cambria" w:hAnsi="Times New Roman"/>
          <w:szCs w:val="24"/>
        </w:rPr>
        <w:t>p</w:t>
      </w:r>
      <w:r w:rsidRPr="00502587">
        <w:rPr>
          <w:rFonts w:ascii="Times New Roman" w:eastAsia="Cambria" w:hAnsi="Times New Roman"/>
          <w:szCs w:val="24"/>
        </w:rPr>
        <w:t>resenta</w:t>
      </w:r>
      <w:r w:rsidR="00502587">
        <w:rPr>
          <w:rFonts w:ascii="Times New Roman" w:eastAsia="Cambria" w:hAnsi="Times New Roman"/>
          <w:szCs w:val="24"/>
        </w:rPr>
        <w:t>t</w:t>
      </w:r>
      <w:r w:rsidRPr="00502587">
        <w:rPr>
          <w:rFonts w:ascii="Times New Roman" w:eastAsia="Cambria" w:hAnsi="Times New Roman"/>
          <w:szCs w:val="24"/>
        </w:rPr>
        <w:t>ion of evidence is pr</w:t>
      </w:r>
      <w:r w:rsidR="00502587">
        <w:rPr>
          <w:rFonts w:ascii="Times New Roman" w:eastAsia="Cambria" w:hAnsi="Times New Roman"/>
          <w:szCs w:val="24"/>
        </w:rPr>
        <w:t>imarily the role of the parties,</w:t>
      </w:r>
      <w:r w:rsidR="000D6A2A">
        <w:rPr>
          <w:rFonts w:ascii="Times New Roman" w:eastAsia="Cambria" w:hAnsi="Times New Roman"/>
          <w:szCs w:val="24"/>
        </w:rPr>
        <w:t xml:space="preserve"> </w:t>
      </w:r>
      <w:r w:rsidR="00125FA5">
        <w:rPr>
          <w:rFonts w:ascii="Times New Roman" w:eastAsia="Cambria" w:hAnsi="Times New Roman"/>
          <w:szCs w:val="24"/>
        </w:rPr>
        <w:t xml:space="preserve">in the determination of the truth, the Chamber held that </w:t>
      </w:r>
      <w:r w:rsidR="00502587">
        <w:rPr>
          <w:rFonts w:ascii="Times New Roman" w:eastAsia="Cambria" w:hAnsi="Times New Roman"/>
          <w:szCs w:val="24"/>
        </w:rPr>
        <w:t>victims</w:t>
      </w:r>
      <w:r w:rsidR="00125FA5">
        <w:rPr>
          <w:rFonts w:ascii="Times New Roman" w:eastAsia="Cambria" w:hAnsi="Times New Roman"/>
          <w:szCs w:val="24"/>
        </w:rPr>
        <w:t xml:space="preserve"> role might be extended to</w:t>
      </w:r>
      <w:r w:rsidR="00502587">
        <w:rPr>
          <w:rFonts w:ascii="Times New Roman" w:eastAsia="Cambria" w:hAnsi="Times New Roman"/>
          <w:szCs w:val="24"/>
        </w:rPr>
        <w:t xml:space="preserve"> </w:t>
      </w:r>
      <w:r w:rsidR="00125FA5">
        <w:rPr>
          <w:rFonts w:ascii="Times New Roman" w:eastAsia="Cambria" w:hAnsi="Times New Roman"/>
          <w:szCs w:val="24"/>
        </w:rPr>
        <w:t xml:space="preserve">the </w:t>
      </w:r>
      <w:r w:rsidR="009067E6">
        <w:rPr>
          <w:rFonts w:ascii="Times New Roman" w:eastAsia="Cambria" w:hAnsi="Times New Roman"/>
          <w:szCs w:val="24"/>
        </w:rPr>
        <w:t xml:space="preserve">provision </w:t>
      </w:r>
      <w:r w:rsidR="00125FA5">
        <w:rPr>
          <w:rFonts w:ascii="Times New Roman" w:eastAsia="Cambria" w:hAnsi="Times New Roman"/>
          <w:szCs w:val="24"/>
        </w:rPr>
        <w:t>of information-</w:t>
      </w:r>
      <w:r w:rsidR="009067E6">
        <w:rPr>
          <w:rFonts w:ascii="Times New Roman" w:eastAsia="Cambria" w:hAnsi="Times New Roman"/>
          <w:szCs w:val="24"/>
        </w:rPr>
        <w:t>.</w:t>
      </w:r>
      <w:r w:rsidR="000D6A2A">
        <w:rPr>
          <w:rFonts w:ascii="Times New Roman" w:eastAsia="Cambria" w:hAnsi="Times New Roman"/>
          <w:szCs w:val="24"/>
        </w:rPr>
        <w:t xml:space="preserve"> </w:t>
      </w:r>
      <w:r w:rsidR="00C13339">
        <w:rPr>
          <w:rFonts w:ascii="Times New Roman" w:eastAsia="Cambria" w:hAnsi="Times New Roman"/>
          <w:szCs w:val="24"/>
        </w:rPr>
        <w:t>It</w:t>
      </w:r>
      <w:r w:rsidR="009067E6">
        <w:rPr>
          <w:rFonts w:ascii="Times New Roman" w:eastAsia="Cambria" w:hAnsi="Times New Roman"/>
          <w:szCs w:val="24"/>
        </w:rPr>
        <w:t xml:space="preserve"> shall be explored under the heading of information</w:t>
      </w:r>
      <w:r w:rsidR="000D6A2A">
        <w:rPr>
          <w:rFonts w:ascii="Times New Roman" w:eastAsia="Cambria" w:hAnsi="Times New Roman"/>
          <w:szCs w:val="24"/>
        </w:rPr>
        <w:t>-</w:t>
      </w:r>
      <w:r w:rsidR="009067E6">
        <w:rPr>
          <w:rFonts w:ascii="Times New Roman" w:eastAsia="Cambria" w:hAnsi="Times New Roman"/>
          <w:szCs w:val="24"/>
        </w:rPr>
        <w:t>provision</w:t>
      </w:r>
      <w:r w:rsidR="00E81006">
        <w:rPr>
          <w:rFonts w:ascii="Times New Roman" w:eastAsia="Cambria" w:hAnsi="Times New Roman"/>
          <w:szCs w:val="24"/>
        </w:rPr>
        <w:t xml:space="preserve"> in the following section a</w:t>
      </w:r>
      <w:r w:rsidR="00340D66">
        <w:rPr>
          <w:rFonts w:ascii="Times New Roman" w:eastAsia="Cambria" w:hAnsi="Times New Roman"/>
          <w:szCs w:val="24"/>
        </w:rPr>
        <w:t>nd</w:t>
      </w:r>
      <w:r w:rsidR="00E81006">
        <w:rPr>
          <w:rFonts w:ascii="Times New Roman" w:eastAsia="Cambria" w:hAnsi="Times New Roman"/>
          <w:szCs w:val="24"/>
        </w:rPr>
        <w:t xml:space="preserve"> consultation and expression.</w:t>
      </w:r>
    </w:p>
    <w:p w14:paraId="229C94C4" w14:textId="77777777" w:rsidR="00E81006" w:rsidRDefault="00E81006" w:rsidP="00502587">
      <w:pPr>
        <w:spacing w:after="0" w:line="480" w:lineRule="auto"/>
        <w:jc w:val="both"/>
        <w:rPr>
          <w:rFonts w:ascii="Times New Roman" w:eastAsia="Cambria" w:hAnsi="Times New Roman"/>
          <w:szCs w:val="24"/>
        </w:rPr>
      </w:pPr>
    </w:p>
    <w:p w14:paraId="6C03F34D" w14:textId="224352F9" w:rsidR="006E622A" w:rsidRDefault="00B066B7" w:rsidP="00364EC8">
      <w:pPr>
        <w:pStyle w:val="Heading4"/>
        <w:rPr>
          <w:i/>
        </w:rPr>
      </w:pPr>
      <w:r>
        <w:lastRenderedPageBreak/>
        <w:t>3.</w:t>
      </w:r>
      <w:r w:rsidR="00CA05F5">
        <w:t>5</w:t>
      </w:r>
      <w:r>
        <w:t>.2.1</w:t>
      </w:r>
      <w:r w:rsidR="00FA0B6A" w:rsidRPr="00BA1EFB">
        <w:t xml:space="preserve"> </w:t>
      </w:r>
      <w:r w:rsidR="00FA0B6A" w:rsidRPr="00FE02AB">
        <w:t xml:space="preserve">Consultation </w:t>
      </w:r>
    </w:p>
    <w:p w14:paraId="0BD2EA7C" w14:textId="357A4A39" w:rsidR="00185C55" w:rsidRDefault="00185C55" w:rsidP="00185C55"/>
    <w:p w14:paraId="2F7E48DF" w14:textId="2BAD1E45" w:rsidR="00185C55" w:rsidRDefault="00185C55" w:rsidP="00185C55">
      <w:pPr>
        <w:jc w:val="center"/>
        <w:rPr>
          <w:rFonts w:ascii="Times New Roman" w:hAnsi="Times New Roman"/>
        </w:rPr>
      </w:pPr>
      <w:r w:rsidRPr="00185C55">
        <w:rPr>
          <w:rFonts w:ascii="Times New Roman" w:hAnsi="Times New Roman"/>
        </w:rPr>
        <w:t>“[O]</w:t>
      </w:r>
      <w:proofErr w:type="spellStart"/>
      <w:r w:rsidRPr="00185C55">
        <w:rPr>
          <w:rFonts w:ascii="Times New Roman" w:hAnsi="Times New Roman"/>
        </w:rPr>
        <w:t>ne</w:t>
      </w:r>
      <w:proofErr w:type="spellEnd"/>
      <w:r w:rsidRPr="00185C55">
        <w:rPr>
          <w:rFonts w:ascii="Times New Roman" w:hAnsi="Times New Roman"/>
        </w:rPr>
        <w:t xml:space="preserve"> of our child clients was wounded and remains disabled, but the physical wounds that the militias left are not the worse…..These children...were deprived of all contact with their families.</w:t>
      </w:r>
      <w:r w:rsidR="009E47DB">
        <w:rPr>
          <w:rFonts w:ascii="Times New Roman" w:hAnsi="Times New Roman"/>
        </w:rPr>
        <w:t xml:space="preserve"> </w:t>
      </w:r>
      <w:r w:rsidRPr="00185C55">
        <w:rPr>
          <w:rFonts w:ascii="Times New Roman" w:hAnsi="Times New Roman"/>
        </w:rPr>
        <w:t>They saw their friends die. They were forced to kill…One of my clients who is now barely 15 years, told us, the psychologist, I am not all right.</w:t>
      </w:r>
      <w:r>
        <w:rPr>
          <w:rFonts w:ascii="Times New Roman" w:hAnsi="Times New Roman"/>
        </w:rPr>
        <w:t xml:space="preserve"> </w:t>
      </w:r>
      <w:r w:rsidRPr="00185C55">
        <w:rPr>
          <w:rFonts w:ascii="Times New Roman" w:hAnsi="Times New Roman"/>
        </w:rPr>
        <w:t xml:space="preserve">I don’t know what to do. My body </w:t>
      </w:r>
      <w:proofErr w:type="spellStart"/>
      <w:r w:rsidRPr="00185C55">
        <w:rPr>
          <w:rFonts w:ascii="Times New Roman" w:hAnsi="Times New Roman"/>
        </w:rPr>
        <w:t>s</w:t>
      </w:r>
      <w:proofErr w:type="spellEnd"/>
      <w:r w:rsidRPr="00185C55">
        <w:rPr>
          <w:rFonts w:ascii="Times New Roman" w:hAnsi="Times New Roman"/>
        </w:rPr>
        <w:t xml:space="preserve"> not all right. My head hurts…”</w:t>
      </w:r>
      <w:r w:rsidR="009E47DB">
        <w:rPr>
          <w:rStyle w:val="FootnoteReference"/>
          <w:rFonts w:ascii="Times New Roman" w:hAnsi="Times New Roman"/>
        </w:rPr>
        <w:footnoteReference w:id="723"/>
      </w:r>
    </w:p>
    <w:p w14:paraId="57032129" w14:textId="60C330C8" w:rsidR="009E47DB" w:rsidRPr="00185C55" w:rsidRDefault="009E47DB" w:rsidP="009E47DB">
      <w:pPr>
        <w:spacing w:line="480" w:lineRule="auto"/>
        <w:jc w:val="both"/>
        <w:rPr>
          <w:rFonts w:ascii="Times New Roman" w:hAnsi="Times New Roman"/>
        </w:rPr>
      </w:pPr>
      <w:r>
        <w:rPr>
          <w:rFonts w:ascii="Times New Roman" w:hAnsi="Times New Roman"/>
        </w:rPr>
        <w:t>These excerpts illustrate victims’ views and concerns through their LRVs to the Court, including the judges. This</w:t>
      </w:r>
      <w:r w:rsidR="00C13339">
        <w:rPr>
          <w:rFonts w:ascii="Times New Roman" w:hAnsi="Times New Roman"/>
        </w:rPr>
        <w:t xml:space="preserve"> submission</w:t>
      </w:r>
      <w:r>
        <w:rPr>
          <w:rFonts w:ascii="Times New Roman" w:hAnsi="Times New Roman"/>
        </w:rPr>
        <w:t xml:space="preserve"> is considered a response to the court’s consultation. The response of the presiding judge supports this. “We are listening to you carefully, because what you have to say is perhaps what is most important, especially </w:t>
      </w:r>
      <w:r w:rsidR="007B3690">
        <w:rPr>
          <w:rFonts w:ascii="Times New Roman" w:hAnsi="Times New Roman"/>
        </w:rPr>
        <w:t>given</w:t>
      </w:r>
      <w:r>
        <w:rPr>
          <w:rFonts w:ascii="Times New Roman" w:hAnsi="Times New Roman"/>
        </w:rPr>
        <w:t xml:space="preserve"> the Statute of the ICC.”</w:t>
      </w:r>
      <w:r>
        <w:rPr>
          <w:rStyle w:val="FootnoteReference"/>
          <w:rFonts w:ascii="Times New Roman" w:hAnsi="Times New Roman"/>
        </w:rPr>
        <w:footnoteReference w:id="724"/>
      </w:r>
      <w:r>
        <w:rPr>
          <w:rFonts w:ascii="Times New Roman" w:hAnsi="Times New Roman"/>
        </w:rPr>
        <w:t xml:space="preserve"> The judge’s remarks show an acknowledgement of victims’ voice, which relates to victims being consulted while the judges listen. It depends on </w:t>
      </w:r>
      <w:r w:rsidR="00340D66">
        <w:rPr>
          <w:rFonts w:ascii="Times New Roman" w:hAnsi="Times New Roman"/>
        </w:rPr>
        <w:t>whether the judge decides to take these views and concerns</w:t>
      </w:r>
      <w:r>
        <w:rPr>
          <w:rFonts w:ascii="Times New Roman" w:hAnsi="Times New Roman"/>
        </w:rPr>
        <w:t xml:space="preserve"> while balancing it against the defence rights and fair trial.</w:t>
      </w:r>
    </w:p>
    <w:p w14:paraId="79C78BA2" w14:textId="77777777" w:rsidR="009E47DB" w:rsidRDefault="009E47DB" w:rsidP="003A18EA">
      <w:pPr>
        <w:spacing w:after="0" w:line="480" w:lineRule="auto"/>
        <w:jc w:val="both"/>
        <w:rPr>
          <w:rFonts w:ascii="Times New Roman" w:eastAsia="Cambria" w:hAnsi="Times New Roman"/>
          <w:szCs w:val="24"/>
        </w:rPr>
      </w:pPr>
    </w:p>
    <w:p w14:paraId="61B101AC" w14:textId="6EEFF511" w:rsidR="006E622A" w:rsidRPr="003A18EA" w:rsidRDefault="00966D54" w:rsidP="003A18EA">
      <w:pPr>
        <w:spacing w:after="0" w:line="480" w:lineRule="auto"/>
        <w:jc w:val="both"/>
        <w:rPr>
          <w:rFonts w:ascii="Times New Roman" w:eastAsia="Cambria" w:hAnsi="Times New Roman"/>
          <w:szCs w:val="24"/>
        </w:rPr>
      </w:pPr>
      <w:r w:rsidRPr="003A18EA">
        <w:rPr>
          <w:rFonts w:ascii="Times New Roman" w:eastAsia="Cambria" w:hAnsi="Times New Roman"/>
          <w:szCs w:val="24"/>
        </w:rPr>
        <w:t>The c</w:t>
      </w:r>
      <w:r w:rsidR="007276A7" w:rsidRPr="003A18EA">
        <w:rPr>
          <w:rFonts w:ascii="Times New Roman" w:eastAsia="Cambria" w:hAnsi="Times New Roman"/>
          <w:szCs w:val="24"/>
        </w:rPr>
        <w:t>onsultation offers victims powers to influence the process and outcome of the decision-making.</w:t>
      </w:r>
      <w:r w:rsidR="007276A7" w:rsidRPr="003A18EA">
        <w:rPr>
          <w:rStyle w:val="FootnoteReference"/>
          <w:rFonts w:ascii="Times New Roman" w:eastAsia="Cambria" w:hAnsi="Times New Roman"/>
          <w:szCs w:val="24"/>
        </w:rPr>
        <w:footnoteReference w:id="725"/>
      </w:r>
      <w:r w:rsidR="006E622A" w:rsidRPr="003A18EA">
        <w:rPr>
          <w:rFonts w:ascii="Times New Roman" w:eastAsia="Cambria" w:hAnsi="Times New Roman"/>
          <w:szCs w:val="24"/>
        </w:rPr>
        <w:t>However, this is subject to judicial discretion.</w:t>
      </w:r>
      <w:r w:rsidRPr="003A18EA">
        <w:rPr>
          <w:rFonts w:ascii="Times New Roman" w:eastAsia="Cambria" w:hAnsi="Times New Roman"/>
          <w:szCs w:val="24"/>
        </w:rPr>
        <w:t xml:space="preserve"> </w:t>
      </w:r>
      <w:r w:rsidR="006E622A" w:rsidRPr="003A18EA">
        <w:rPr>
          <w:rFonts w:ascii="Times New Roman" w:eastAsia="Cambria" w:hAnsi="Times New Roman"/>
          <w:szCs w:val="24"/>
        </w:rPr>
        <w:t>It is a process that seeks to ascertain and consider opinions before or dur</w:t>
      </w:r>
      <w:r w:rsidR="007276A7" w:rsidRPr="003A18EA">
        <w:rPr>
          <w:rFonts w:ascii="Times New Roman" w:eastAsia="Cambria" w:hAnsi="Times New Roman"/>
          <w:szCs w:val="24"/>
        </w:rPr>
        <w:t>ing the decision-making process;</w:t>
      </w:r>
      <w:r w:rsidRPr="003A18EA">
        <w:rPr>
          <w:rFonts w:ascii="Times New Roman" w:eastAsia="Cambria" w:hAnsi="Times New Roman"/>
          <w:szCs w:val="24"/>
        </w:rPr>
        <w:t xml:space="preserve"> </w:t>
      </w:r>
      <w:r w:rsidR="007276A7" w:rsidRPr="003A18EA">
        <w:rPr>
          <w:rFonts w:ascii="Times New Roman" w:eastAsia="Cambria" w:hAnsi="Times New Roman"/>
          <w:szCs w:val="24"/>
        </w:rPr>
        <w:t xml:space="preserve">which encourages </w:t>
      </w:r>
      <w:r w:rsidRPr="003A18EA">
        <w:rPr>
          <w:rFonts w:ascii="Times New Roman" w:eastAsia="Cambria" w:hAnsi="Times New Roman"/>
          <w:szCs w:val="24"/>
        </w:rPr>
        <w:t xml:space="preserve">the </w:t>
      </w:r>
      <w:r w:rsidR="007276A7" w:rsidRPr="003A18EA">
        <w:rPr>
          <w:rFonts w:ascii="Times New Roman" w:eastAsia="Cambria" w:hAnsi="Times New Roman"/>
          <w:szCs w:val="24"/>
        </w:rPr>
        <w:t>active participation of victims.</w:t>
      </w:r>
      <w:r w:rsidRPr="003A18EA">
        <w:rPr>
          <w:rFonts w:ascii="Times New Roman" w:eastAsia="Cambria" w:hAnsi="Times New Roman"/>
          <w:szCs w:val="24"/>
        </w:rPr>
        <w:t xml:space="preserve"> </w:t>
      </w:r>
      <w:r w:rsidR="007276A7" w:rsidRPr="003A18EA">
        <w:rPr>
          <w:rFonts w:ascii="Times New Roman" w:eastAsia="Cambria" w:hAnsi="Times New Roman"/>
          <w:szCs w:val="24"/>
        </w:rPr>
        <w:t xml:space="preserve">While victims are not </w:t>
      </w:r>
      <w:r w:rsidR="00340D66">
        <w:rPr>
          <w:rFonts w:ascii="Times New Roman" w:eastAsia="Cambria" w:hAnsi="Times New Roman"/>
          <w:szCs w:val="24"/>
        </w:rPr>
        <w:t>obligated</w:t>
      </w:r>
      <w:r w:rsidR="007276A7" w:rsidRPr="003A18EA">
        <w:rPr>
          <w:rFonts w:ascii="Times New Roman" w:eastAsia="Cambria" w:hAnsi="Times New Roman"/>
          <w:szCs w:val="24"/>
        </w:rPr>
        <w:t xml:space="preserve"> </w:t>
      </w:r>
      <w:r w:rsidR="007276A7" w:rsidRPr="003A18EA">
        <w:rPr>
          <w:rFonts w:ascii="Times New Roman" w:eastAsia="Cambria" w:hAnsi="Times New Roman"/>
          <w:szCs w:val="24"/>
        </w:rPr>
        <w:lastRenderedPageBreak/>
        <w:t>to participate, the decision-makers are under a</w:t>
      </w:r>
      <w:r w:rsidR="009E47DB">
        <w:rPr>
          <w:rFonts w:ascii="Times New Roman" w:eastAsia="Cambria" w:hAnsi="Times New Roman"/>
          <w:szCs w:val="24"/>
        </w:rPr>
        <w:t xml:space="preserve"> duty</w:t>
      </w:r>
      <w:r w:rsidR="007276A7" w:rsidRPr="003A18EA">
        <w:rPr>
          <w:rFonts w:ascii="Times New Roman" w:eastAsia="Cambria" w:hAnsi="Times New Roman"/>
          <w:szCs w:val="24"/>
        </w:rPr>
        <w:t xml:space="preserve"> to consult the victims.</w:t>
      </w:r>
      <w:r w:rsidRPr="003A18EA">
        <w:rPr>
          <w:rFonts w:ascii="Times New Roman" w:eastAsia="Cambria" w:hAnsi="Times New Roman"/>
          <w:szCs w:val="24"/>
        </w:rPr>
        <w:t xml:space="preserve"> </w:t>
      </w:r>
      <w:r w:rsidR="00DE2697" w:rsidRPr="003A18EA">
        <w:rPr>
          <w:rFonts w:ascii="Times New Roman" w:eastAsia="Cambria" w:hAnsi="Times New Roman"/>
          <w:szCs w:val="24"/>
        </w:rPr>
        <w:t>However,</w:t>
      </w:r>
      <w:r w:rsidRPr="003A18EA">
        <w:rPr>
          <w:rFonts w:ascii="Times New Roman" w:eastAsia="Cambria" w:hAnsi="Times New Roman"/>
          <w:szCs w:val="24"/>
        </w:rPr>
        <w:t xml:space="preserve"> </w:t>
      </w:r>
      <w:r w:rsidR="00DE2697" w:rsidRPr="003A18EA">
        <w:rPr>
          <w:rFonts w:ascii="Times New Roman" w:eastAsia="Cambria" w:hAnsi="Times New Roman"/>
          <w:szCs w:val="24"/>
        </w:rPr>
        <w:t>t</w:t>
      </w:r>
      <w:r w:rsidR="006E622A" w:rsidRPr="003A18EA">
        <w:rPr>
          <w:rFonts w:ascii="Times New Roman" w:eastAsia="Cambria" w:hAnsi="Times New Roman"/>
          <w:szCs w:val="24"/>
        </w:rPr>
        <w:t>he Court</w:t>
      </w:r>
      <w:r w:rsidR="00DE2697" w:rsidRPr="003A18EA">
        <w:rPr>
          <w:rFonts w:ascii="Times New Roman" w:eastAsia="Cambria" w:hAnsi="Times New Roman"/>
          <w:szCs w:val="24"/>
        </w:rPr>
        <w:t>(decision-makers)</w:t>
      </w:r>
      <w:r w:rsidR="006E622A" w:rsidRPr="003A18EA">
        <w:rPr>
          <w:rFonts w:ascii="Times New Roman" w:eastAsia="Cambria" w:hAnsi="Times New Roman"/>
          <w:szCs w:val="24"/>
        </w:rPr>
        <w:t xml:space="preserve"> may decide to </w:t>
      </w:r>
      <w:r w:rsidR="00C13339">
        <w:rPr>
          <w:rFonts w:ascii="Times New Roman" w:eastAsia="Cambria" w:hAnsi="Times New Roman"/>
          <w:szCs w:val="24"/>
        </w:rPr>
        <w:t>consider the victim preference</w:t>
      </w:r>
      <w:r w:rsidR="006E622A" w:rsidRPr="003A18EA">
        <w:rPr>
          <w:rFonts w:ascii="Times New Roman" w:eastAsia="Cambria" w:hAnsi="Times New Roman"/>
          <w:szCs w:val="24"/>
        </w:rPr>
        <w:t>.</w:t>
      </w:r>
      <w:r w:rsidR="00DE2697" w:rsidRPr="003A18EA">
        <w:rPr>
          <w:rFonts w:ascii="Times New Roman" w:eastAsia="Cambria" w:hAnsi="Times New Roman"/>
          <w:szCs w:val="24"/>
        </w:rPr>
        <w:t xml:space="preserve"> They are not obliged to take into account the opinion or wishes of the victims</w:t>
      </w:r>
      <w:r w:rsidRPr="003A18EA">
        <w:rPr>
          <w:rFonts w:ascii="Times New Roman" w:eastAsia="Cambria" w:hAnsi="Times New Roman"/>
          <w:szCs w:val="24"/>
        </w:rPr>
        <w:t>,</w:t>
      </w:r>
      <w:r w:rsidR="00DE2697" w:rsidRPr="003A18EA">
        <w:rPr>
          <w:rFonts w:ascii="Times New Roman" w:eastAsia="Cambria" w:hAnsi="Times New Roman"/>
          <w:szCs w:val="24"/>
        </w:rPr>
        <w:t xml:space="preserve"> but the Court would seek their opinions.</w:t>
      </w:r>
      <w:r w:rsidRPr="003A18EA">
        <w:rPr>
          <w:rFonts w:ascii="Times New Roman" w:eastAsia="Cambria" w:hAnsi="Times New Roman"/>
          <w:szCs w:val="24"/>
        </w:rPr>
        <w:t xml:space="preserve"> </w:t>
      </w:r>
      <w:r w:rsidR="00DE2697" w:rsidRPr="003A18EA">
        <w:rPr>
          <w:rFonts w:ascii="Times New Roman" w:eastAsia="Cambria" w:hAnsi="Times New Roman"/>
          <w:szCs w:val="24"/>
        </w:rPr>
        <w:t>This implies that the outcome may contradict the wishes of the victims.</w:t>
      </w:r>
      <w:r w:rsidR="00DE2697" w:rsidRPr="003A18EA">
        <w:rPr>
          <w:rStyle w:val="FootnoteReference"/>
          <w:rFonts w:ascii="Times New Roman" w:eastAsia="Cambria" w:hAnsi="Times New Roman"/>
          <w:szCs w:val="24"/>
        </w:rPr>
        <w:footnoteReference w:id="726"/>
      </w:r>
      <w:r w:rsidR="00DE2697" w:rsidRPr="003A18EA">
        <w:rPr>
          <w:rFonts w:ascii="Times New Roman" w:eastAsia="Cambria" w:hAnsi="Times New Roman"/>
          <w:szCs w:val="24"/>
        </w:rPr>
        <w:t xml:space="preserve"> </w:t>
      </w:r>
      <w:r w:rsidR="006E622A" w:rsidRPr="003A18EA">
        <w:rPr>
          <w:rFonts w:ascii="Times New Roman" w:eastAsia="Cambria" w:hAnsi="Times New Roman"/>
          <w:szCs w:val="24"/>
        </w:rPr>
        <w:t xml:space="preserve">The ICC seeks </w:t>
      </w:r>
      <w:r w:rsidR="00340D66">
        <w:rPr>
          <w:rFonts w:ascii="Times New Roman" w:eastAsia="Cambria" w:hAnsi="Times New Roman"/>
          <w:szCs w:val="24"/>
        </w:rPr>
        <w:t>victims' opinion</w:t>
      </w:r>
      <w:r w:rsidR="006E622A" w:rsidRPr="003A18EA">
        <w:rPr>
          <w:rFonts w:ascii="Times New Roman" w:eastAsia="Cambria" w:hAnsi="Times New Roman"/>
          <w:szCs w:val="24"/>
        </w:rPr>
        <w:t xml:space="preserve"> as an independent third party with a stake in the criminal proceedings.</w:t>
      </w:r>
      <w:r w:rsidRPr="003A18EA">
        <w:rPr>
          <w:rFonts w:ascii="Times New Roman" w:eastAsia="Cambria" w:hAnsi="Times New Roman"/>
          <w:szCs w:val="24"/>
        </w:rPr>
        <w:t xml:space="preserve"> </w:t>
      </w:r>
      <w:r w:rsidR="006E622A" w:rsidRPr="003A18EA">
        <w:rPr>
          <w:rFonts w:ascii="Times New Roman" w:eastAsia="Cambria" w:hAnsi="Times New Roman"/>
          <w:szCs w:val="24"/>
        </w:rPr>
        <w:t>The influence of victims here is considered low as well as their power to influence the proceedings.</w:t>
      </w:r>
      <w:r w:rsidRPr="003A18EA">
        <w:rPr>
          <w:rFonts w:ascii="Times New Roman" w:eastAsia="Cambria" w:hAnsi="Times New Roman"/>
          <w:szCs w:val="24"/>
        </w:rPr>
        <w:t xml:space="preserve"> </w:t>
      </w:r>
      <w:r w:rsidR="006E622A" w:rsidRPr="003A18EA">
        <w:rPr>
          <w:rFonts w:ascii="Times New Roman" w:eastAsia="Cambria" w:hAnsi="Times New Roman"/>
          <w:szCs w:val="24"/>
        </w:rPr>
        <w:t>However, their contribution may shape the outcome of the decision-making process.</w:t>
      </w:r>
      <w:r w:rsidRPr="003A18EA">
        <w:rPr>
          <w:rFonts w:ascii="Times New Roman" w:eastAsia="Cambria" w:hAnsi="Times New Roman"/>
          <w:szCs w:val="24"/>
        </w:rPr>
        <w:t xml:space="preserve"> </w:t>
      </w:r>
      <w:r w:rsidR="00C13339">
        <w:rPr>
          <w:rFonts w:ascii="Times New Roman" w:eastAsia="Cambria" w:hAnsi="Times New Roman"/>
          <w:szCs w:val="24"/>
        </w:rPr>
        <w:t>The ICC statute and RPE regulate victims participation</w:t>
      </w:r>
      <w:r w:rsidR="00DE2697" w:rsidRPr="003A18EA">
        <w:rPr>
          <w:rFonts w:ascii="Times New Roman" w:eastAsia="Cambria" w:hAnsi="Times New Roman"/>
          <w:szCs w:val="24"/>
        </w:rPr>
        <w:t>.</w:t>
      </w:r>
      <w:r w:rsidRPr="003A18EA">
        <w:rPr>
          <w:rFonts w:ascii="Times New Roman" w:eastAsia="Cambria" w:hAnsi="Times New Roman"/>
          <w:szCs w:val="24"/>
        </w:rPr>
        <w:t xml:space="preserve"> </w:t>
      </w:r>
      <w:r w:rsidR="009C03BF" w:rsidRPr="003A18EA">
        <w:rPr>
          <w:rFonts w:ascii="Times New Roman" w:eastAsia="Cambria" w:hAnsi="Times New Roman"/>
          <w:szCs w:val="24"/>
        </w:rPr>
        <w:t xml:space="preserve">For instance, Rule 89(1) provides that </w:t>
      </w:r>
      <w:r w:rsidR="00C13339">
        <w:rPr>
          <w:rFonts w:ascii="Times New Roman" w:eastAsia="Cambria" w:hAnsi="Times New Roman"/>
          <w:szCs w:val="24"/>
        </w:rPr>
        <w:t>victims can</w:t>
      </w:r>
      <w:r w:rsidR="009C03BF" w:rsidRPr="003A18EA">
        <w:rPr>
          <w:rFonts w:ascii="Times New Roman" w:eastAsia="Cambria" w:hAnsi="Times New Roman"/>
          <w:szCs w:val="24"/>
        </w:rPr>
        <w:t xml:space="preserve"> make opening and closing statements at hearings.</w:t>
      </w:r>
      <w:r w:rsidRPr="003A18EA">
        <w:rPr>
          <w:rFonts w:ascii="Times New Roman" w:eastAsia="Cambria" w:hAnsi="Times New Roman"/>
          <w:szCs w:val="24"/>
        </w:rPr>
        <w:t xml:space="preserve"> </w:t>
      </w:r>
      <w:r w:rsidR="009C03BF" w:rsidRPr="003A18EA">
        <w:rPr>
          <w:rFonts w:ascii="Times New Roman" w:eastAsia="Cambria" w:hAnsi="Times New Roman"/>
          <w:szCs w:val="24"/>
        </w:rPr>
        <w:t xml:space="preserve">Rule 93 </w:t>
      </w:r>
      <w:r w:rsidR="00C13339">
        <w:rPr>
          <w:rFonts w:ascii="Times New Roman" w:eastAsia="Cambria" w:hAnsi="Times New Roman"/>
          <w:szCs w:val="24"/>
        </w:rPr>
        <w:t>instructs</w:t>
      </w:r>
      <w:r w:rsidR="009C03BF" w:rsidRPr="003A18EA">
        <w:rPr>
          <w:rFonts w:ascii="Times New Roman" w:eastAsia="Cambria" w:hAnsi="Times New Roman"/>
          <w:szCs w:val="24"/>
        </w:rPr>
        <w:t xml:space="preserve"> the Chamber to seek </w:t>
      </w:r>
      <w:r w:rsidR="00340D66">
        <w:rPr>
          <w:rFonts w:ascii="Times New Roman" w:eastAsia="Cambria" w:hAnsi="Times New Roman"/>
          <w:szCs w:val="24"/>
        </w:rPr>
        <w:t>victims' view</w:t>
      </w:r>
      <w:r w:rsidR="009C03BF" w:rsidRPr="003A18EA">
        <w:rPr>
          <w:rFonts w:ascii="Times New Roman" w:eastAsia="Cambria" w:hAnsi="Times New Roman"/>
          <w:szCs w:val="24"/>
        </w:rPr>
        <w:t>s “on any issue” at all stages of the proceedings.</w:t>
      </w:r>
      <w:r w:rsidR="009C03BF" w:rsidRPr="003A18EA">
        <w:rPr>
          <w:rFonts w:ascii="Times New Roman" w:eastAsia="Cambria" w:hAnsi="Times New Roman"/>
          <w:szCs w:val="24"/>
          <w:vertAlign w:val="superscript"/>
        </w:rPr>
        <w:footnoteReference w:id="727"/>
      </w:r>
      <w:r w:rsidR="00DE2697" w:rsidRPr="003A18EA">
        <w:rPr>
          <w:rFonts w:ascii="Times New Roman" w:eastAsia="Cambria" w:hAnsi="Times New Roman"/>
          <w:szCs w:val="24"/>
        </w:rPr>
        <w:t>Furthermore, victims are provided with procedural rights to enhance their participation.</w:t>
      </w:r>
    </w:p>
    <w:p w14:paraId="5E9A08DD" w14:textId="77777777" w:rsidR="006E622A" w:rsidRPr="003A18EA" w:rsidRDefault="006E622A" w:rsidP="003A18EA">
      <w:pPr>
        <w:spacing w:after="0" w:line="480" w:lineRule="auto"/>
        <w:jc w:val="both"/>
        <w:rPr>
          <w:rFonts w:ascii="Times New Roman" w:eastAsia="Cambria" w:hAnsi="Times New Roman"/>
          <w:szCs w:val="24"/>
        </w:rPr>
      </w:pPr>
    </w:p>
    <w:p w14:paraId="5652EDE9" w14:textId="4BF6F23A" w:rsidR="006E622A" w:rsidRPr="003A18EA" w:rsidRDefault="00966D54" w:rsidP="003A18EA">
      <w:pPr>
        <w:spacing w:after="0" w:line="480" w:lineRule="auto"/>
        <w:jc w:val="both"/>
        <w:rPr>
          <w:rFonts w:ascii="Times New Roman" w:eastAsia="Cambria" w:hAnsi="Times New Roman"/>
          <w:szCs w:val="24"/>
        </w:rPr>
      </w:pPr>
      <w:r w:rsidRPr="003A18EA">
        <w:rPr>
          <w:rFonts w:ascii="Times New Roman" w:eastAsia="Cambria" w:hAnsi="Times New Roman"/>
          <w:szCs w:val="24"/>
        </w:rPr>
        <w:t>This consultation is a means</w:t>
      </w:r>
      <w:r w:rsidR="006E622A" w:rsidRPr="003A18EA">
        <w:rPr>
          <w:rFonts w:ascii="Times New Roman" w:eastAsia="Cambria" w:hAnsi="Times New Roman"/>
          <w:szCs w:val="24"/>
        </w:rPr>
        <w:t xml:space="preserve"> to give victims a ‘say’ in the proceedings.</w:t>
      </w:r>
      <w:r w:rsidRPr="003A18EA">
        <w:rPr>
          <w:rFonts w:ascii="Times New Roman" w:eastAsia="Cambria" w:hAnsi="Times New Roman"/>
          <w:szCs w:val="24"/>
        </w:rPr>
        <w:t xml:space="preserve"> </w:t>
      </w:r>
      <w:r w:rsidR="006E622A" w:rsidRPr="003A18EA">
        <w:rPr>
          <w:rFonts w:ascii="Times New Roman" w:eastAsia="Cambria" w:hAnsi="Times New Roman"/>
          <w:szCs w:val="24"/>
        </w:rPr>
        <w:t>One implication of this is that it ensures transparency and accessibility to the court.</w:t>
      </w:r>
      <w:r w:rsidR="006E622A" w:rsidRPr="003A18EA">
        <w:rPr>
          <w:rFonts w:ascii="Times New Roman" w:eastAsia="Cambria" w:hAnsi="Times New Roman"/>
          <w:szCs w:val="24"/>
          <w:vertAlign w:val="superscript"/>
        </w:rPr>
        <w:footnoteReference w:id="728"/>
      </w:r>
      <w:r w:rsidR="006E622A" w:rsidRPr="003A18EA">
        <w:rPr>
          <w:rFonts w:ascii="Times New Roman" w:eastAsia="Cambria" w:hAnsi="Times New Roman"/>
          <w:szCs w:val="24"/>
        </w:rPr>
        <w:t xml:space="preserve"> Victims are not full</w:t>
      </w:r>
      <w:r w:rsidR="00C13339">
        <w:rPr>
          <w:rFonts w:ascii="Times New Roman" w:eastAsia="Cambria" w:hAnsi="Times New Roman"/>
          <w:szCs w:val="24"/>
        </w:rPr>
        <w:t>y enabled</w:t>
      </w:r>
      <w:r w:rsidR="006E622A" w:rsidRPr="003A18EA">
        <w:rPr>
          <w:rFonts w:ascii="Times New Roman" w:eastAsia="Cambria" w:hAnsi="Times New Roman"/>
          <w:szCs w:val="24"/>
        </w:rPr>
        <w:t xml:space="preserve"> with decision-making power</w:t>
      </w:r>
      <w:r w:rsidRPr="003A18EA">
        <w:rPr>
          <w:rFonts w:ascii="Times New Roman" w:eastAsia="Cambria" w:hAnsi="Times New Roman"/>
          <w:szCs w:val="24"/>
        </w:rPr>
        <w:t>,</w:t>
      </w:r>
      <w:r w:rsidR="006E622A" w:rsidRPr="003A18EA">
        <w:rPr>
          <w:rFonts w:ascii="Times New Roman" w:eastAsia="Cambria" w:hAnsi="Times New Roman"/>
          <w:szCs w:val="24"/>
        </w:rPr>
        <w:t xml:space="preserve"> but they are </w:t>
      </w:r>
      <w:r w:rsidR="009E47DB">
        <w:rPr>
          <w:rFonts w:ascii="Times New Roman" w:eastAsia="Cambria" w:hAnsi="Times New Roman"/>
          <w:szCs w:val="24"/>
        </w:rPr>
        <w:t>granted</w:t>
      </w:r>
      <w:r w:rsidR="006E622A" w:rsidRPr="003A18EA">
        <w:rPr>
          <w:rFonts w:ascii="Times New Roman" w:eastAsia="Cambria" w:hAnsi="Times New Roman"/>
          <w:szCs w:val="24"/>
        </w:rPr>
        <w:t xml:space="preserve"> the power to influence the process and outcome.</w:t>
      </w:r>
      <w:r w:rsidR="006E622A" w:rsidRPr="003A18EA">
        <w:rPr>
          <w:rFonts w:ascii="Times New Roman" w:eastAsia="Cambria" w:hAnsi="Times New Roman"/>
          <w:szCs w:val="24"/>
          <w:vertAlign w:val="superscript"/>
        </w:rPr>
        <w:footnoteReference w:id="729"/>
      </w:r>
      <w:r w:rsidR="006E622A" w:rsidRPr="003A18EA">
        <w:rPr>
          <w:rFonts w:ascii="Times New Roman" w:eastAsia="Cambria" w:hAnsi="Times New Roman"/>
          <w:szCs w:val="24"/>
        </w:rPr>
        <w:t>This consultation does not necessarily determine the outcome</w:t>
      </w:r>
      <w:r w:rsidRPr="003A18EA">
        <w:rPr>
          <w:rFonts w:ascii="Times New Roman" w:eastAsia="Cambria" w:hAnsi="Times New Roman"/>
          <w:szCs w:val="24"/>
        </w:rPr>
        <w:t>,</w:t>
      </w:r>
      <w:r w:rsidR="006E622A" w:rsidRPr="003A18EA">
        <w:rPr>
          <w:rFonts w:ascii="Times New Roman" w:eastAsia="Cambria" w:hAnsi="Times New Roman"/>
          <w:szCs w:val="24"/>
        </w:rPr>
        <w:t xml:space="preserve"> nor will it re</w:t>
      </w:r>
      <w:r w:rsidR="009E2736" w:rsidRPr="003A18EA">
        <w:rPr>
          <w:rFonts w:ascii="Times New Roman" w:eastAsia="Cambria" w:hAnsi="Times New Roman"/>
          <w:szCs w:val="24"/>
        </w:rPr>
        <w:t>flect the wishes of the victims</w:t>
      </w:r>
      <w:r w:rsidR="006E622A" w:rsidRPr="003A18EA">
        <w:rPr>
          <w:rFonts w:ascii="Times New Roman" w:eastAsia="Cambria" w:hAnsi="Times New Roman"/>
          <w:szCs w:val="24"/>
        </w:rPr>
        <w:t>.</w:t>
      </w:r>
      <w:r w:rsidRPr="003A18EA">
        <w:rPr>
          <w:rFonts w:ascii="Times New Roman" w:eastAsia="Cambria" w:hAnsi="Times New Roman"/>
          <w:szCs w:val="24"/>
        </w:rPr>
        <w:t xml:space="preserve"> </w:t>
      </w:r>
      <w:r w:rsidR="006E622A" w:rsidRPr="003A18EA">
        <w:rPr>
          <w:rFonts w:ascii="Times New Roman" w:eastAsia="Cambria" w:hAnsi="Times New Roman"/>
          <w:szCs w:val="24"/>
        </w:rPr>
        <w:t xml:space="preserve">One main criticism of this </w:t>
      </w:r>
      <w:r w:rsidR="00340D66">
        <w:rPr>
          <w:rFonts w:ascii="Times New Roman" w:eastAsia="Cambria" w:hAnsi="Times New Roman"/>
          <w:szCs w:val="24"/>
        </w:rPr>
        <w:t>non-dispositive classification category is that it is not best suited for realising victims</w:t>
      </w:r>
      <w:r w:rsidR="006E622A" w:rsidRPr="003A18EA">
        <w:rPr>
          <w:rFonts w:ascii="Times New Roman" w:eastAsia="Cambria" w:hAnsi="Times New Roman"/>
          <w:szCs w:val="24"/>
        </w:rPr>
        <w:t xml:space="preserve">’ </w:t>
      </w:r>
      <w:r w:rsidR="006E622A" w:rsidRPr="003A18EA">
        <w:rPr>
          <w:rFonts w:ascii="Times New Roman" w:eastAsia="Cambria" w:hAnsi="Times New Roman"/>
          <w:szCs w:val="24"/>
        </w:rPr>
        <w:lastRenderedPageBreak/>
        <w:t>rights.</w:t>
      </w:r>
      <w:r w:rsidR="006E622A" w:rsidRPr="003A18EA">
        <w:rPr>
          <w:rFonts w:ascii="Times New Roman" w:eastAsia="Cambria" w:hAnsi="Times New Roman"/>
          <w:szCs w:val="24"/>
          <w:vertAlign w:val="superscript"/>
        </w:rPr>
        <w:footnoteReference w:id="730"/>
      </w:r>
      <w:r w:rsidR="006E622A" w:rsidRPr="003A18EA">
        <w:rPr>
          <w:rFonts w:ascii="Times New Roman" w:eastAsia="Cambria" w:hAnsi="Times New Roman"/>
          <w:szCs w:val="24"/>
        </w:rPr>
        <w:t xml:space="preserve">It </w:t>
      </w:r>
      <w:r w:rsidR="00C13339">
        <w:rPr>
          <w:rFonts w:ascii="Times New Roman" w:eastAsia="Cambria" w:hAnsi="Times New Roman"/>
          <w:szCs w:val="24"/>
        </w:rPr>
        <w:t xml:space="preserve">could be </w:t>
      </w:r>
      <w:r w:rsidRPr="003A18EA">
        <w:rPr>
          <w:rFonts w:ascii="Times New Roman" w:eastAsia="Cambria" w:hAnsi="Times New Roman"/>
          <w:szCs w:val="24"/>
        </w:rPr>
        <w:t>a</w:t>
      </w:r>
      <w:r w:rsidR="00C13339">
        <w:rPr>
          <w:rFonts w:ascii="Times New Roman" w:eastAsia="Cambria" w:hAnsi="Times New Roman"/>
          <w:szCs w:val="24"/>
        </w:rPr>
        <w:t>n</w:t>
      </w:r>
      <w:r w:rsidRPr="003A18EA">
        <w:rPr>
          <w:rFonts w:ascii="Times New Roman" w:eastAsia="Cambria" w:hAnsi="Times New Roman"/>
          <w:szCs w:val="24"/>
        </w:rPr>
        <w:t xml:space="preserve"> </w:t>
      </w:r>
      <w:r w:rsidR="00C13339">
        <w:rPr>
          <w:rFonts w:ascii="Times New Roman" w:eastAsia="Cambria" w:hAnsi="Times New Roman"/>
          <w:szCs w:val="24"/>
        </w:rPr>
        <w:t>ideal approach</w:t>
      </w:r>
      <w:r w:rsidR="006E622A" w:rsidRPr="003A18EA">
        <w:rPr>
          <w:rFonts w:ascii="Times New Roman" w:eastAsia="Cambria" w:hAnsi="Times New Roman"/>
          <w:szCs w:val="24"/>
        </w:rPr>
        <w:t xml:space="preserve"> </w:t>
      </w:r>
      <w:r w:rsidR="00C13339">
        <w:rPr>
          <w:rFonts w:ascii="Times New Roman" w:eastAsia="Cambria" w:hAnsi="Times New Roman"/>
          <w:szCs w:val="24"/>
        </w:rPr>
        <w:t xml:space="preserve">to </w:t>
      </w:r>
      <w:r w:rsidR="006E622A" w:rsidRPr="003A18EA">
        <w:rPr>
          <w:rFonts w:ascii="Times New Roman" w:eastAsia="Cambria" w:hAnsi="Times New Roman"/>
          <w:szCs w:val="24"/>
        </w:rPr>
        <w:t>victims’ rights</w:t>
      </w:r>
      <w:r w:rsidR="00C13339">
        <w:rPr>
          <w:rFonts w:ascii="Times New Roman" w:eastAsia="Cambria" w:hAnsi="Times New Roman"/>
          <w:szCs w:val="24"/>
        </w:rPr>
        <w:t>—a</w:t>
      </w:r>
      <w:r w:rsidRPr="003A18EA">
        <w:rPr>
          <w:rFonts w:ascii="Times New Roman" w:eastAsia="Cambria" w:hAnsi="Times New Roman"/>
          <w:szCs w:val="24"/>
        </w:rPr>
        <w:t xml:space="preserve"> contrast</w:t>
      </w:r>
      <w:r w:rsidR="006E622A" w:rsidRPr="003A18EA">
        <w:rPr>
          <w:rFonts w:ascii="Times New Roman" w:eastAsia="Cambria" w:hAnsi="Times New Roman"/>
          <w:szCs w:val="24"/>
        </w:rPr>
        <w:t xml:space="preserve"> to control as a dispositive classification which gives victims full empowerment</w:t>
      </w:r>
      <w:r w:rsidR="00C13339">
        <w:rPr>
          <w:rFonts w:ascii="Times New Roman" w:eastAsia="Cambria" w:hAnsi="Times New Roman"/>
          <w:szCs w:val="24"/>
        </w:rPr>
        <w:t xml:space="preserve"> to dominate </w:t>
      </w:r>
      <w:r w:rsidR="006E622A" w:rsidRPr="003A18EA">
        <w:rPr>
          <w:rFonts w:ascii="Times New Roman" w:eastAsia="Cambria" w:hAnsi="Times New Roman"/>
          <w:szCs w:val="24"/>
        </w:rPr>
        <w:t>decision- making.</w:t>
      </w:r>
      <w:r w:rsidR="006E622A" w:rsidRPr="003A18EA">
        <w:rPr>
          <w:rFonts w:ascii="Times New Roman" w:eastAsia="Cambria" w:hAnsi="Times New Roman"/>
          <w:szCs w:val="24"/>
          <w:vertAlign w:val="superscript"/>
        </w:rPr>
        <w:footnoteReference w:id="731"/>
      </w:r>
    </w:p>
    <w:p w14:paraId="467DE580" w14:textId="77777777" w:rsidR="006E622A" w:rsidRPr="003A18EA" w:rsidRDefault="006E622A" w:rsidP="003A18EA">
      <w:pPr>
        <w:spacing w:after="0" w:line="480" w:lineRule="auto"/>
        <w:jc w:val="both"/>
        <w:rPr>
          <w:rFonts w:ascii="Times New Roman" w:eastAsia="Cambria" w:hAnsi="Times New Roman"/>
          <w:szCs w:val="24"/>
        </w:rPr>
      </w:pPr>
    </w:p>
    <w:p w14:paraId="66DA41E1" w14:textId="2B73D922" w:rsidR="006E622A" w:rsidRPr="003A18EA" w:rsidRDefault="006E622A" w:rsidP="003A18EA">
      <w:pPr>
        <w:spacing w:after="0" w:line="480" w:lineRule="auto"/>
        <w:jc w:val="both"/>
        <w:rPr>
          <w:rFonts w:ascii="Times New Roman" w:eastAsia="Cambria" w:hAnsi="Times New Roman"/>
          <w:szCs w:val="24"/>
        </w:rPr>
      </w:pPr>
      <w:r w:rsidRPr="003A18EA">
        <w:rPr>
          <w:rFonts w:ascii="Times New Roman" w:eastAsia="Cambria" w:hAnsi="Times New Roman"/>
          <w:szCs w:val="24"/>
        </w:rPr>
        <w:t xml:space="preserve">Therefore, consultation as a form of participation applies where the Chamber seeks </w:t>
      </w:r>
      <w:r w:rsidR="00340D66">
        <w:rPr>
          <w:rFonts w:ascii="Times New Roman" w:eastAsia="Cambria" w:hAnsi="Times New Roman"/>
          <w:szCs w:val="24"/>
        </w:rPr>
        <w:t>victims' views and concern</w:t>
      </w:r>
      <w:r w:rsidRPr="003A18EA">
        <w:rPr>
          <w:rFonts w:ascii="Times New Roman" w:eastAsia="Cambria" w:hAnsi="Times New Roman"/>
          <w:szCs w:val="24"/>
        </w:rPr>
        <w:t>s because it affects their personal interests.</w:t>
      </w:r>
      <w:r w:rsidR="00966D54" w:rsidRPr="003A18EA">
        <w:rPr>
          <w:rFonts w:ascii="Times New Roman" w:eastAsia="Cambria" w:hAnsi="Times New Roman"/>
          <w:szCs w:val="24"/>
        </w:rPr>
        <w:t xml:space="preserve"> </w:t>
      </w:r>
      <w:r w:rsidRPr="003A18EA">
        <w:rPr>
          <w:rFonts w:ascii="Times New Roman" w:eastAsia="Cambria" w:hAnsi="Times New Roman"/>
          <w:szCs w:val="24"/>
        </w:rPr>
        <w:t>In such a situation, the Court deems it fit to seek information from victims because they are stakeholders in the proceedings.</w:t>
      </w:r>
      <w:r w:rsidR="00966D54" w:rsidRPr="003A18EA">
        <w:rPr>
          <w:rFonts w:ascii="Times New Roman" w:eastAsia="Cambria" w:hAnsi="Times New Roman"/>
          <w:szCs w:val="24"/>
        </w:rPr>
        <w:t xml:space="preserve"> </w:t>
      </w:r>
      <w:r w:rsidRPr="003A18EA">
        <w:rPr>
          <w:rFonts w:ascii="Times New Roman" w:eastAsia="Cambria" w:hAnsi="Times New Roman"/>
          <w:szCs w:val="24"/>
        </w:rPr>
        <w:t>Whether the Court takes the views and concerns of the victims into account is dependent on judicial discretion.</w:t>
      </w:r>
      <w:r w:rsidR="00966D54" w:rsidRPr="003A18EA">
        <w:rPr>
          <w:rFonts w:ascii="Times New Roman" w:eastAsia="Cambria" w:hAnsi="Times New Roman"/>
          <w:szCs w:val="24"/>
        </w:rPr>
        <w:t xml:space="preserve"> </w:t>
      </w:r>
      <w:r w:rsidRPr="003A18EA">
        <w:rPr>
          <w:rFonts w:ascii="Times New Roman" w:eastAsia="Cambria" w:hAnsi="Times New Roman"/>
          <w:szCs w:val="24"/>
        </w:rPr>
        <w:t>There is no consensus on the definition of victims’ views and concerns, but different chambers have defined victims’ views and concern</w:t>
      </w:r>
      <w:r w:rsidR="00E12BD8" w:rsidRPr="003A18EA">
        <w:rPr>
          <w:rFonts w:ascii="Times New Roman" w:eastAsia="Cambria" w:hAnsi="Times New Roman"/>
          <w:szCs w:val="24"/>
        </w:rPr>
        <w:t>s</w:t>
      </w:r>
      <w:r w:rsidRPr="003A18EA">
        <w:rPr>
          <w:rFonts w:ascii="Times New Roman" w:eastAsia="Cambria" w:hAnsi="Times New Roman"/>
          <w:szCs w:val="24"/>
        </w:rPr>
        <w:t xml:space="preserve"> with a proposition on ‘personal </w:t>
      </w:r>
      <w:proofErr w:type="spellStart"/>
      <w:r w:rsidRPr="003A18EA">
        <w:rPr>
          <w:rFonts w:ascii="Times New Roman" w:eastAsia="Cambria" w:hAnsi="Times New Roman"/>
          <w:szCs w:val="24"/>
        </w:rPr>
        <w:t>interests’.According</w:t>
      </w:r>
      <w:proofErr w:type="spellEnd"/>
      <w:r w:rsidRPr="003A18EA">
        <w:rPr>
          <w:rFonts w:ascii="Times New Roman" w:eastAsia="Cambria" w:hAnsi="Times New Roman"/>
          <w:szCs w:val="24"/>
        </w:rPr>
        <w:t xml:space="preserve"> to </w:t>
      </w:r>
      <w:r w:rsidR="00E12BD8" w:rsidRPr="003A18EA">
        <w:rPr>
          <w:rFonts w:ascii="Times New Roman" w:eastAsia="Cambria" w:hAnsi="Times New Roman"/>
          <w:szCs w:val="24"/>
        </w:rPr>
        <w:t xml:space="preserve">the </w:t>
      </w:r>
      <w:r w:rsidRPr="003A18EA">
        <w:rPr>
          <w:rFonts w:ascii="Times New Roman" w:eastAsia="Cambria" w:hAnsi="Times New Roman"/>
          <w:szCs w:val="24"/>
        </w:rPr>
        <w:t>Chamber;</w:t>
      </w:r>
    </w:p>
    <w:p w14:paraId="5E1E4188" w14:textId="77777777" w:rsidR="006E622A" w:rsidRPr="006E622A" w:rsidRDefault="006E622A" w:rsidP="003A18EA">
      <w:pPr>
        <w:spacing w:after="0"/>
        <w:jc w:val="center"/>
        <w:rPr>
          <w:rFonts w:ascii="Times New Roman" w:eastAsia="Cambria" w:hAnsi="Times New Roman"/>
          <w:sz w:val="22"/>
        </w:rPr>
      </w:pPr>
      <w:r w:rsidRPr="00E01357">
        <w:rPr>
          <w:rStyle w:val="QuoteChar"/>
          <w:rFonts w:eastAsia="Cambria"/>
        </w:rPr>
        <w:t>“</w:t>
      </w:r>
      <w:r w:rsidRPr="00966D54">
        <w:rPr>
          <w:rStyle w:val="QuoteChar"/>
          <w:rFonts w:ascii="Times New Roman" w:eastAsia="Cambria" w:hAnsi="Times New Roman"/>
          <w:i w:val="0"/>
        </w:rPr>
        <w:t>In order to be granted leave to express their “views and concerns” at the trial, the Statute requires that victims be able to demonstrate that their personal interests are affected. Accordingly, where it is clear that an intervention by a legal representative is not related to the personal interests of any of the victims represented by that counsel, the Chamber cannot allow it.</w:t>
      </w:r>
      <w:r w:rsidRPr="006E622A">
        <w:rPr>
          <w:rFonts w:ascii="Times New Roman" w:eastAsia="Cambria" w:hAnsi="Times New Roman"/>
          <w:i/>
          <w:sz w:val="22"/>
        </w:rPr>
        <w:t>”</w:t>
      </w:r>
      <w:r w:rsidRPr="006E622A">
        <w:rPr>
          <w:rFonts w:ascii="Times New Roman" w:eastAsia="Cambria" w:hAnsi="Times New Roman"/>
          <w:sz w:val="22"/>
          <w:vertAlign w:val="superscript"/>
        </w:rPr>
        <w:footnoteReference w:id="732"/>
      </w:r>
    </w:p>
    <w:p w14:paraId="49C4F4B8" w14:textId="77777777" w:rsidR="006E622A" w:rsidRPr="006E622A" w:rsidRDefault="006E622A" w:rsidP="006E622A">
      <w:pPr>
        <w:spacing w:after="0" w:line="240" w:lineRule="auto"/>
        <w:jc w:val="both"/>
        <w:rPr>
          <w:rFonts w:ascii="Times New Roman" w:eastAsia="Cambria" w:hAnsi="Times New Roman"/>
          <w:sz w:val="22"/>
        </w:rPr>
      </w:pPr>
    </w:p>
    <w:p w14:paraId="23ED096B" w14:textId="77777777" w:rsidR="006E622A" w:rsidRPr="006E622A" w:rsidRDefault="006E622A" w:rsidP="006E622A">
      <w:pPr>
        <w:spacing w:after="0" w:line="240" w:lineRule="auto"/>
        <w:jc w:val="both"/>
        <w:rPr>
          <w:rFonts w:ascii="Times New Roman" w:eastAsia="Cambria" w:hAnsi="Times New Roman"/>
          <w:sz w:val="22"/>
        </w:rPr>
      </w:pPr>
    </w:p>
    <w:p w14:paraId="578F07CA" w14:textId="6B65FEC3" w:rsidR="006E622A" w:rsidRPr="00E01357" w:rsidRDefault="006E622A" w:rsidP="003A18EA">
      <w:pPr>
        <w:spacing w:after="0" w:line="480" w:lineRule="auto"/>
        <w:jc w:val="both"/>
        <w:rPr>
          <w:rFonts w:ascii="Times New Roman" w:eastAsia="Cambria" w:hAnsi="Times New Roman"/>
          <w:szCs w:val="24"/>
        </w:rPr>
      </w:pPr>
      <w:r w:rsidRPr="00E01357">
        <w:rPr>
          <w:rFonts w:ascii="Times New Roman" w:eastAsia="Cambria" w:hAnsi="Times New Roman"/>
          <w:szCs w:val="24"/>
        </w:rPr>
        <w:lastRenderedPageBreak/>
        <w:t xml:space="preserve">While ruling on a </w:t>
      </w:r>
      <w:r w:rsidR="00340D66">
        <w:rPr>
          <w:rFonts w:ascii="Times New Roman" w:eastAsia="Cambria" w:hAnsi="Times New Roman"/>
          <w:szCs w:val="24"/>
        </w:rPr>
        <w:t>DRC situation</w:t>
      </w:r>
      <w:r w:rsidRPr="00E01357">
        <w:rPr>
          <w:rFonts w:ascii="Times New Roman" w:eastAsia="Cambria" w:hAnsi="Times New Roman"/>
          <w:szCs w:val="24"/>
        </w:rPr>
        <w:t xml:space="preserve"> has described views and concerns to indicate ‘</w:t>
      </w:r>
      <w:r w:rsidRPr="00966D54">
        <w:rPr>
          <w:rFonts w:ascii="Times New Roman" w:eastAsia="Cambria" w:hAnsi="Times New Roman"/>
          <w:szCs w:val="24"/>
        </w:rPr>
        <w:t>opinions or ‘preoccupations</w:t>
      </w:r>
      <w:r w:rsidRPr="00E01357">
        <w:rPr>
          <w:rFonts w:ascii="Times New Roman" w:eastAsia="Cambria" w:hAnsi="Times New Roman"/>
          <w:szCs w:val="24"/>
        </w:rPr>
        <w:t>’.</w:t>
      </w:r>
      <w:r w:rsidRPr="00E01357">
        <w:rPr>
          <w:rFonts w:ascii="Times New Roman" w:eastAsia="Cambria" w:hAnsi="Times New Roman"/>
          <w:szCs w:val="24"/>
          <w:vertAlign w:val="superscript"/>
        </w:rPr>
        <w:footnoteReference w:id="733"/>
      </w:r>
      <w:r w:rsidRPr="00E01357">
        <w:rPr>
          <w:rFonts w:ascii="Times New Roman" w:eastAsia="Cambria" w:hAnsi="Times New Roman"/>
          <w:szCs w:val="24"/>
        </w:rPr>
        <w:t xml:space="preserve"> The court is under an obligation to examine these views and concerns.</w:t>
      </w:r>
      <w:r w:rsidR="00966D54">
        <w:rPr>
          <w:rFonts w:ascii="Times New Roman" w:eastAsia="Cambria" w:hAnsi="Times New Roman"/>
          <w:szCs w:val="24"/>
        </w:rPr>
        <w:t xml:space="preserve"> </w:t>
      </w:r>
      <w:r w:rsidRPr="00E01357">
        <w:rPr>
          <w:rFonts w:ascii="Times New Roman" w:eastAsia="Cambria" w:hAnsi="Times New Roman"/>
          <w:szCs w:val="24"/>
        </w:rPr>
        <w:t>It is worth</w:t>
      </w:r>
      <w:r w:rsidR="007D0F7F">
        <w:rPr>
          <w:rFonts w:ascii="Times New Roman" w:eastAsia="Cambria" w:hAnsi="Times New Roman"/>
          <w:szCs w:val="24"/>
        </w:rPr>
        <w:t xml:space="preserve"> mentioning</w:t>
      </w:r>
      <w:r w:rsidRPr="00E01357">
        <w:rPr>
          <w:rFonts w:ascii="Times New Roman" w:eastAsia="Cambria" w:hAnsi="Times New Roman"/>
          <w:szCs w:val="24"/>
        </w:rPr>
        <w:t xml:space="preserve"> that victim-witnesses</w:t>
      </w:r>
      <w:r w:rsidR="00340D66">
        <w:rPr>
          <w:rFonts w:ascii="Times New Roman" w:eastAsia="Cambria" w:hAnsi="Times New Roman"/>
          <w:szCs w:val="24"/>
        </w:rPr>
        <w:t xml:space="preserve"> cannot give their views and concerns in their capacity as witnesse</w:t>
      </w:r>
      <w:r w:rsidRPr="00E01357">
        <w:rPr>
          <w:rFonts w:ascii="Times New Roman" w:eastAsia="Cambria" w:hAnsi="Times New Roman"/>
          <w:szCs w:val="24"/>
        </w:rPr>
        <w:t>s.</w:t>
      </w:r>
      <w:r w:rsidR="00966D54">
        <w:rPr>
          <w:rFonts w:ascii="Times New Roman" w:eastAsia="Cambria" w:hAnsi="Times New Roman"/>
          <w:szCs w:val="24"/>
        </w:rPr>
        <w:t xml:space="preserve"> </w:t>
      </w:r>
      <w:r w:rsidR="009C51CF">
        <w:rPr>
          <w:rFonts w:ascii="Times New Roman" w:eastAsia="Cambria" w:hAnsi="Times New Roman"/>
          <w:szCs w:val="24"/>
        </w:rPr>
        <w:t>According</w:t>
      </w:r>
      <w:r w:rsidRPr="00E01357">
        <w:rPr>
          <w:rFonts w:ascii="Times New Roman" w:eastAsia="Cambria" w:hAnsi="Times New Roman"/>
          <w:szCs w:val="24"/>
        </w:rPr>
        <w:t xml:space="preserve"> </w:t>
      </w:r>
      <w:r w:rsidR="00966D54">
        <w:rPr>
          <w:rFonts w:ascii="Times New Roman" w:eastAsia="Cambria" w:hAnsi="Times New Roman"/>
          <w:szCs w:val="24"/>
        </w:rPr>
        <w:t>to</w:t>
      </w:r>
      <w:r w:rsidRPr="00E01357">
        <w:rPr>
          <w:rFonts w:ascii="Times New Roman" w:eastAsia="Cambria" w:hAnsi="Times New Roman"/>
          <w:szCs w:val="24"/>
        </w:rPr>
        <w:t xml:space="preserve"> their dual status, they are only permitted to give evidence and answer questions.</w:t>
      </w:r>
      <w:r w:rsidRPr="00E01357">
        <w:rPr>
          <w:rFonts w:ascii="Times New Roman" w:eastAsia="Cambria" w:hAnsi="Times New Roman"/>
          <w:szCs w:val="24"/>
          <w:vertAlign w:val="superscript"/>
        </w:rPr>
        <w:footnoteReference w:id="734"/>
      </w:r>
      <w:r w:rsidR="009C51CF">
        <w:rPr>
          <w:rFonts w:ascii="Times New Roman" w:eastAsia="Cambria" w:hAnsi="Times New Roman"/>
          <w:szCs w:val="24"/>
        </w:rPr>
        <w:t>Besides, the Chamber</w:t>
      </w:r>
      <w:r w:rsidRPr="00E01357">
        <w:rPr>
          <w:rFonts w:ascii="Times New Roman" w:eastAsia="Cambria" w:hAnsi="Times New Roman"/>
          <w:szCs w:val="24"/>
        </w:rPr>
        <w:t xml:space="preserve"> stated that questioning of witnesses </w:t>
      </w:r>
      <w:r w:rsidR="009C51CF">
        <w:rPr>
          <w:rFonts w:ascii="Times New Roman" w:eastAsia="Cambria" w:hAnsi="Times New Roman"/>
          <w:szCs w:val="24"/>
        </w:rPr>
        <w:t>under</w:t>
      </w:r>
      <w:r w:rsidRPr="00E01357">
        <w:rPr>
          <w:rFonts w:ascii="Times New Roman" w:eastAsia="Cambria" w:hAnsi="Times New Roman"/>
          <w:szCs w:val="24"/>
        </w:rPr>
        <w:t xml:space="preserve"> rule 91(3) is a means by which LRVs may use to present their ‘views and concerns’ within the context of article 68 of the Statute.</w:t>
      </w:r>
      <w:r w:rsidRPr="00E01357">
        <w:rPr>
          <w:rFonts w:ascii="Times New Roman" w:eastAsia="Cambria" w:hAnsi="Times New Roman"/>
          <w:szCs w:val="24"/>
          <w:vertAlign w:val="superscript"/>
        </w:rPr>
        <w:footnoteReference w:id="735"/>
      </w:r>
    </w:p>
    <w:p w14:paraId="252AB9E2" w14:textId="77777777" w:rsidR="006E622A" w:rsidRPr="00E01357" w:rsidRDefault="006E622A" w:rsidP="003A18EA">
      <w:pPr>
        <w:spacing w:after="0" w:line="480" w:lineRule="auto"/>
        <w:jc w:val="both"/>
        <w:rPr>
          <w:rFonts w:ascii="Times New Roman" w:eastAsia="Cambria" w:hAnsi="Times New Roman"/>
          <w:szCs w:val="24"/>
        </w:rPr>
      </w:pPr>
    </w:p>
    <w:p w14:paraId="7329E359" w14:textId="465731CD" w:rsidR="006E622A" w:rsidRDefault="006E622A" w:rsidP="003A18EA">
      <w:pPr>
        <w:spacing w:after="0" w:line="480" w:lineRule="auto"/>
        <w:jc w:val="both"/>
        <w:rPr>
          <w:rFonts w:ascii="Times New Roman" w:eastAsia="Cambria" w:hAnsi="Times New Roman"/>
          <w:szCs w:val="24"/>
        </w:rPr>
      </w:pPr>
      <w:r w:rsidRPr="00E01357">
        <w:rPr>
          <w:rFonts w:ascii="Times New Roman" w:eastAsia="Cambria" w:hAnsi="Times New Roman"/>
          <w:szCs w:val="24"/>
        </w:rPr>
        <w:t xml:space="preserve">At times, </w:t>
      </w:r>
      <w:r w:rsidR="009C51CF">
        <w:rPr>
          <w:rFonts w:ascii="Times New Roman" w:eastAsia="Cambria" w:hAnsi="Times New Roman"/>
          <w:szCs w:val="24"/>
        </w:rPr>
        <w:t>t</w:t>
      </w:r>
      <w:r w:rsidRPr="00E01357">
        <w:rPr>
          <w:rFonts w:ascii="Times New Roman" w:eastAsia="Cambria" w:hAnsi="Times New Roman"/>
          <w:szCs w:val="24"/>
        </w:rPr>
        <w:t>he presentation of views and concerns could flow into the role of the parties.</w:t>
      </w:r>
      <w:r w:rsidR="00966D54">
        <w:rPr>
          <w:rFonts w:ascii="Times New Roman" w:eastAsia="Cambria" w:hAnsi="Times New Roman"/>
          <w:szCs w:val="24"/>
        </w:rPr>
        <w:t xml:space="preserve"> </w:t>
      </w:r>
      <w:r w:rsidRPr="00E01357">
        <w:rPr>
          <w:rFonts w:ascii="Times New Roman" w:eastAsia="Cambria" w:hAnsi="Times New Roman"/>
          <w:szCs w:val="24"/>
        </w:rPr>
        <w:t>Some judges have ex</w:t>
      </w:r>
      <w:r w:rsidR="006C0612">
        <w:rPr>
          <w:rFonts w:ascii="Times New Roman" w:eastAsia="Cambria" w:hAnsi="Times New Roman"/>
          <w:szCs w:val="24"/>
        </w:rPr>
        <w:t>pressed their concerns about</w:t>
      </w:r>
      <w:r w:rsidRPr="00E01357">
        <w:rPr>
          <w:rFonts w:ascii="Times New Roman" w:eastAsia="Cambria" w:hAnsi="Times New Roman"/>
          <w:szCs w:val="24"/>
        </w:rPr>
        <w:t xml:space="preserve"> potentially abdicating the role of the parties to the victims</w:t>
      </w:r>
      <w:r w:rsidR="009C51CF">
        <w:rPr>
          <w:rFonts w:ascii="Times New Roman" w:eastAsia="Cambria" w:hAnsi="Times New Roman"/>
          <w:szCs w:val="24"/>
        </w:rPr>
        <w:t>.</w:t>
      </w:r>
      <w:r w:rsidR="00340D66">
        <w:rPr>
          <w:rFonts w:ascii="Times New Roman" w:eastAsia="Cambria" w:hAnsi="Times New Roman"/>
          <w:szCs w:val="24"/>
        </w:rPr>
        <w:t xml:space="preserve"> </w:t>
      </w:r>
      <w:r w:rsidR="009C51CF">
        <w:rPr>
          <w:rFonts w:ascii="Times New Roman" w:eastAsia="Cambria" w:hAnsi="Times New Roman"/>
          <w:szCs w:val="24"/>
        </w:rPr>
        <w:t>V</w:t>
      </w:r>
      <w:r w:rsidRPr="00E01357">
        <w:rPr>
          <w:rFonts w:ascii="Times New Roman" w:eastAsia="Cambria" w:hAnsi="Times New Roman"/>
          <w:szCs w:val="24"/>
        </w:rPr>
        <w:t>ictims’ voice may blur the distinction between their roles and those of the parties.</w:t>
      </w:r>
      <w:r w:rsidR="00966D54">
        <w:rPr>
          <w:rFonts w:ascii="Times New Roman" w:eastAsia="Cambria" w:hAnsi="Times New Roman"/>
          <w:szCs w:val="24"/>
        </w:rPr>
        <w:t xml:space="preserve"> </w:t>
      </w:r>
      <w:r w:rsidRPr="00E01357">
        <w:rPr>
          <w:rFonts w:ascii="Times New Roman" w:eastAsia="Cambria" w:hAnsi="Times New Roman"/>
          <w:szCs w:val="24"/>
        </w:rPr>
        <w:t>Judge Pikis calls our attention to this in his dissenting opinion:</w:t>
      </w:r>
    </w:p>
    <w:p w14:paraId="2903BBC7" w14:textId="77777777" w:rsidR="003A18EA" w:rsidRPr="00E01357" w:rsidRDefault="003A18EA" w:rsidP="003A18EA">
      <w:pPr>
        <w:spacing w:after="0" w:line="480" w:lineRule="auto"/>
        <w:jc w:val="both"/>
        <w:rPr>
          <w:rFonts w:ascii="Times New Roman" w:eastAsia="Cambria" w:hAnsi="Times New Roman"/>
          <w:szCs w:val="24"/>
        </w:rPr>
      </w:pPr>
    </w:p>
    <w:p w14:paraId="0F47913F" w14:textId="77777777" w:rsidR="006E622A" w:rsidRPr="00966D54" w:rsidRDefault="006E622A" w:rsidP="009E47DB">
      <w:pPr>
        <w:spacing w:after="0" w:line="480" w:lineRule="auto"/>
        <w:jc w:val="center"/>
        <w:rPr>
          <w:rFonts w:ascii="Times New Roman" w:eastAsia="Cambria" w:hAnsi="Times New Roman"/>
          <w:szCs w:val="24"/>
        </w:rPr>
      </w:pPr>
      <w:r w:rsidRPr="00E01357">
        <w:rPr>
          <w:rFonts w:ascii="Times New Roman" w:eastAsia="Cambria" w:hAnsi="Times New Roman"/>
          <w:i/>
          <w:szCs w:val="24"/>
        </w:rPr>
        <w:t>“</w:t>
      </w:r>
      <w:r w:rsidRPr="00966D54">
        <w:rPr>
          <w:rFonts w:ascii="Times New Roman" w:eastAsia="Cambria" w:hAnsi="Times New Roman"/>
          <w:szCs w:val="24"/>
        </w:rPr>
        <w:t>The participation of victims in the proceedings is confined to the expression of their</w:t>
      </w:r>
    </w:p>
    <w:p w14:paraId="479BCA18" w14:textId="2D0DBDC6" w:rsidR="006E622A" w:rsidRPr="00966D54" w:rsidRDefault="006E622A" w:rsidP="009E47DB">
      <w:pPr>
        <w:spacing w:after="0" w:line="480" w:lineRule="auto"/>
        <w:jc w:val="center"/>
        <w:rPr>
          <w:rFonts w:ascii="Times New Roman" w:eastAsia="Cambria" w:hAnsi="Times New Roman"/>
          <w:szCs w:val="24"/>
          <w:u w:val="single"/>
        </w:rPr>
      </w:pPr>
      <w:r w:rsidRPr="00966D54">
        <w:rPr>
          <w:rFonts w:ascii="Times New Roman" w:eastAsia="Cambria" w:hAnsi="Times New Roman"/>
          <w:szCs w:val="24"/>
        </w:rPr>
        <w:t>views and concerns</w:t>
      </w:r>
      <w:r w:rsidR="008711C7">
        <w:rPr>
          <w:rFonts w:ascii="Times New Roman" w:eastAsia="Cambria" w:hAnsi="Times New Roman"/>
          <w:szCs w:val="24"/>
        </w:rPr>
        <w:t>…</w:t>
      </w:r>
      <w:r w:rsidRPr="00966D54">
        <w:rPr>
          <w:rFonts w:ascii="Times New Roman" w:eastAsia="Cambria" w:hAnsi="Times New Roman"/>
          <w:szCs w:val="24"/>
        </w:rPr>
        <w:t>participation of victims is confined to the expression of their "views and concerns," whereafter I added, "</w:t>
      </w:r>
      <w:r w:rsidRPr="00966D54">
        <w:rPr>
          <w:rFonts w:ascii="Times New Roman" w:eastAsia="Cambria" w:hAnsi="Times New Roman"/>
          <w:szCs w:val="24"/>
          <w:u w:val="single"/>
        </w:rPr>
        <w:t xml:space="preserve">It is </w:t>
      </w:r>
      <w:r w:rsidR="008711C7">
        <w:rPr>
          <w:rFonts w:ascii="Times New Roman" w:eastAsia="Cambria" w:hAnsi="Times New Roman"/>
          <w:szCs w:val="24"/>
          <w:u w:val="single"/>
        </w:rPr>
        <w:t xml:space="preserve">a </w:t>
      </w:r>
      <w:r w:rsidRPr="00966D54">
        <w:rPr>
          <w:rFonts w:ascii="Times New Roman" w:eastAsia="Cambria" w:hAnsi="Times New Roman"/>
          <w:szCs w:val="24"/>
          <w:u w:val="single"/>
        </w:rPr>
        <w:t>highly qualified</w:t>
      </w:r>
    </w:p>
    <w:p w14:paraId="3EA4DB01" w14:textId="77777777" w:rsidR="006E622A" w:rsidRPr="00966D54" w:rsidRDefault="006E622A" w:rsidP="009E47DB">
      <w:pPr>
        <w:spacing w:after="0" w:line="480" w:lineRule="auto"/>
        <w:jc w:val="center"/>
        <w:rPr>
          <w:rFonts w:ascii="Times New Roman" w:eastAsia="Cambria" w:hAnsi="Times New Roman"/>
          <w:szCs w:val="24"/>
          <w:u w:val="single"/>
        </w:rPr>
      </w:pPr>
      <w:r w:rsidRPr="00966D54">
        <w:rPr>
          <w:rFonts w:ascii="Times New Roman" w:eastAsia="Cambria" w:hAnsi="Times New Roman"/>
          <w:szCs w:val="24"/>
          <w:u w:val="single"/>
        </w:rPr>
        <w:t>participation limited to the voicing of their views and concerns. Victims are not made</w:t>
      </w:r>
    </w:p>
    <w:p w14:paraId="55727880" w14:textId="45AC611C" w:rsidR="006E622A" w:rsidRPr="00E01357" w:rsidRDefault="006E622A" w:rsidP="009E47DB">
      <w:pPr>
        <w:spacing w:after="0" w:line="480" w:lineRule="auto"/>
        <w:jc w:val="center"/>
        <w:rPr>
          <w:rFonts w:ascii="Times New Roman" w:eastAsia="Cambria" w:hAnsi="Times New Roman"/>
          <w:szCs w:val="24"/>
        </w:rPr>
      </w:pPr>
      <w:r w:rsidRPr="00966D54">
        <w:rPr>
          <w:rFonts w:ascii="Times New Roman" w:eastAsia="Cambria" w:hAnsi="Times New Roman"/>
          <w:szCs w:val="24"/>
          <w:u w:val="single"/>
        </w:rPr>
        <w:lastRenderedPageBreak/>
        <w:t>parties to the proceedings nor can they proffer or advance anything other than their 'views and concerns expression of their "views and concerns,"</w:t>
      </w:r>
      <w:r w:rsidRPr="006C0612">
        <w:rPr>
          <w:rFonts w:ascii="Times New Roman" w:eastAsia="Cambria" w:hAnsi="Times New Roman"/>
          <w:szCs w:val="24"/>
        </w:rPr>
        <w:t xml:space="preserve"> '”</w:t>
      </w:r>
      <w:r w:rsidRPr="006C0612">
        <w:rPr>
          <w:rFonts w:ascii="Times New Roman" w:eastAsia="Cambria" w:hAnsi="Times New Roman"/>
          <w:szCs w:val="24"/>
          <w:vertAlign w:val="superscript"/>
        </w:rPr>
        <w:footnoteReference w:id="736"/>
      </w:r>
      <w:r w:rsidRPr="006C0612">
        <w:rPr>
          <w:rFonts w:ascii="Times New Roman" w:eastAsia="Cambria" w:hAnsi="Times New Roman"/>
          <w:szCs w:val="24"/>
        </w:rPr>
        <w:t xml:space="preserve"> In relation to what can victims express their views and concerns was the next subject I addressed ……</w:t>
      </w:r>
      <w:r w:rsidR="009C51CF">
        <w:rPr>
          <w:rFonts w:ascii="Times New Roman" w:eastAsia="Cambria" w:hAnsi="Times New Roman"/>
          <w:szCs w:val="24"/>
        </w:rPr>
        <w:t>”</w:t>
      </w:r>
      <w:r w:rsidRPr="006C0612">
        <w:rPr>
          <w:rFonts w:ascii="Times New Roman" w:eastAsia="Cambria" w:hAnsi="Times New Roman"/>
          <w:szCs w:val="24"/>
        </w:rPr>
        <w:t>Not in relation to the proof of the case or the advancement of the defence. The burden of proof of the guilt of the accused lies squarely with the Prosecutor; article 66(2) of the Statute</w:t>
      </w:r>
      <w:r w:rsidR="00966D54">
        <w:rPr>
          <w:rFonts w:ascii="Times New Roman" w:eastAsia="Cambria" w:hAnsi="Times New Roman"/>
          <w:szCs w:val="24"/>
        </w:rPr>
        <w:t>.</w:t>
      </w:r>
      <w:r w:rsidR="009C51CF">
        <w:rPr>
          <w:rFonts w:ascii="Times New Roman" w:eastAsia="Cambria" w:hAnsi="Times New Roman"/>
          <w:szCs w:val="24"/>
        </w:rPr>
        <w:t>”</w:t>
      </w:r>
      <w:r w:rsidRPr="00E01357">
        <w:rPr>
          <w:rFonts w:ascii="Times New Roman" w:eastAsia="Cambria" w:hAnsi="Times New Roman"/>
          <w:szCs w:val="24"/>
          <w:vertAlign w:val="superscript"/>
        </w:rPr>
        <w:footnoteReference w:id="737"/>
      </w:r>
    </w:p>
    <w:p w14:paraId="238596C0" w14:textId="77777777" w:rsidR="006E622A" w:rsidRPr="00E01357" w:rsidRDefault="006E622A" w:rsidP="00E01357">
      <w:pPr>
        <w:spacing w:after="0" w:line="480" w:lineRule="auto"/>
        <w:jc w:val="both"/>
        <w:rPr>
          <w:rFonts w:ascii="Times New Roman" w:eastAsia="Cambria" w:hAnsi="Times New Roman"/>
          <w:szCs w:val="24"/>
        </w:rPr>
      </w:pPr>
    </w:p>
    <w:p w14:paraId="56F50BD4" w14:textId="1904DFB4" w:rsidR="006E622A" w:rsidRPr="003A18EA" w:rsidRDefault="006E622A" w:rsidP="003A18EA">
      <w:pPr>
        <w:spacing w:after="0" w:line="480" w:lineRule="auto"/>
        <w:jc w:val="both"/>
        <w:rPr>
          <w:rFonts w:ascii="Times New Roman" w:eastAsia="Cambria" w:hAnsi="Times New Roman"/>
          <w:szCs w:val="24"/>
        </w:rPr>
      </w:pPr>
      <w:r w:rsidRPr="003A18EA">
        <w:rPr>
          <w:rFonts w:ascii="Times New Roman" w:eastAsia="Cambria" w:hAnsi="Times New Roman"/>
          <w:szCs w:val="24"/>
        </w:rPr>
        <w:t xml:space="preserve">This dissenting opinion shows the </w:t>
      </w:r>
      <w:r w:rsidR="009C51CF">
        <w:rPr>
          <w:rFonts w:ascii="Times New Roman" w:eastAsia="Cambria" w:hAnsi="Times New Roman"/>
          <w:szCs w:val="24"/>
        </w:rPr>
        <w:t xml:space="preserve">judges </w:t>
      </w:r>
      <w:r w:rsidRPr="003A18EA">
        <w:rPr>
          <w:rFonts w:ascii="Times New Roman" w:eastAsia="Cambria" w:hAnsi="Times New Roman"/>
          <w:szCs w:val="24"/>
        </w:rPr>
        <w:t xml:space="preserve">dissensus on victims’ expression of views and concerns as well </w:t>
      </w:r>
      <w:r w:rsidR="006C0612" w:rsidRPr="003A18EA">
        <w:rPr>
          <w:rFonts w:ascii="Times New Roman" w:eastAsia="Cambria" w:hAnsi="Times New Roman"/>
          <w:szCs w:val="24"/>
        </w:rPr>
        <w:t xml:space="preserve">as </w:t>
      </w:r>
      <w:r w:rsidR="00966D54" w:rsidRPr="003A18EA">
        <w:rPr>
          <w:rFonts w:ascii="Times New Roman" w:eastAsia="Cambria" w:hAnsi="Times New Roman"/>
          <w:szCs w:val="24"/>
        </w:rPr>
        <w:t xml:space="preserve">the </w:t>
      </w:r>
      <w:r w:rsidR="006C0612" w:rsidRPr="003A18EA">
        <w:rPr>
          <w:rFonts w:ascii="Times New Roman" w:eastAsia="Cambria" w:hAnsi="Times New Roman"/>
          <w:szCs w:val="24"/>
        </w:rPr>
        <w:t xml:space="preserve">place of </w:t>
      </w:r>
      <w:r w:rsidR="00966D54" w:rsidRPr="003A18EA">
        <w:rPr>
          <w:rFonts w:ascii="Times New Roman" w:eastAsia="Cambria" w:hAnsi="Times New Roman"/>
          <w:szCs w:val="24"/>
        </w:rPr>
        <w:t xml:space="preserve">the </w:t>
      </w:r>
      <w:r w:rsidR="006C0612" w:rsidRPr="003A18EA">
        <w:rPr>
          <w:rFonts w:ascii="Times New Roman" w:eastAsia="Cambria" w:hAnsi="Times New Roman"/>
          <w:szCs w:val="24"/>
        </w:rPr>
        <w:t>adversarial system</w:t>
      </w:r>
      <w:r w:rsidRPr="003A18EA">
        <w:rPr>
          <w:rFonts w:ascii="Times New Roman" w:eastAsia="Cambria" w:hAnsi="Times New Roman"/>
          <w:szCs w:val="24"/>
        </w:rPr>
        <w:t xml:space="preserve"> of procedure.</w:t>
      </w:r>
      <w:r w:rsidR="00966D54" w:rsidRPr="003A18EA">
        <w:rPr>
          <w:rFonts w:ascii="Times New Roman" w:eastAsia="Cambria" w:hAnsi="Times New Roman"/>
          <w:szCs w:val="24"/>
        </w:rPr>
        <w:t xml:space="preserve"> </w:t>
      </w:r>
      <w:r w:rsidRPr="003A18EA">
        <w:rPr>
          <w:rFonts w:ascii="Times New Roman" w:eastAsia="Cambria" w:hAnsi="Times New Roman"/>
          <w:szCs w:val="24"/>
        </w:rPr>
        <w:t xml:space="preserve">For </w:t>
      </w:r>
      <w:r w:rsidR="009C51CF">
        <w:rPr>
          <w:rFonts w:ascii="Times New Roman" w:eastAsia="Cambria" w:hAnsi="Times New Roman"/>
          <w:szCs w:val="24"/>
        </w:rPr>
        <w:t xml:space="preserve">the </w:t>
      </w:r>
      <w:r w:rsidRPr="003A18EA">
        <w:rPr>
          <w:rFonts w:ascii="Times New Roman" w:eastAsia="Cambria" w:hAnsi="Times New Roman"/>
          <w:szCs w:val="24"/>
        </w:rPr>
        <w:t>determination of truth, the Court has the right to invite victims</w:t>
      </w:r>
      <w:r w:rsidR="009C51CF">
        <w:rPr>
          <w:rFonts w:ascii="Times New Roman" w:eastAsia="Cambria" w:hAnsi="Times New Roman"/>
          <w:szCs w:val="24"/>
        </w:rPr>
        <w:t xml:space="preserve"> to</w:t>
      </w:r>
      <w:r w:rsidRPr="003A18EA">
        <w:rPr>
          <w:rFonts w:ascii="Times New Roman" w:eastAsia="Cambria" w:hAnsi="Times New Roman"/>
          <w:szCs w:val="24"/>
        </w:rPr>
        <w:t xml:space="preserve"> present evidence</w:t>
      </w:r>
      <w:r w:rsidR="00966D54" w:rsidRPr="003A18EA">
        <w:rPr>
          <w:rFonts w:ascii="Times New Roman" w:eastAsia="Cambria" w:hAnsi="Times New Roman"/>
          <w:szCs w:val="24"/>
        </w:rPr>
        <w:t>.</w:t>
      </w:r>
      <w:r w:rsidRPr="003A18EA">
        <w:rPr>
          <w:rFonts w:ascii="Times New Roman" w:eastAsia="Cambria" w:hAnsi="Times New Roman"/>
          <w:szCs w:val="24"/>
        </w:rPr>
        <w:t xml:space="preserve"> However, this presentation of evidence and questioning of witnesses seems to violate the </w:t>
      </w:r>
      <w:r w:rsidR="00340D66">
        <w:rPr>
          <w:rFonts w:ascii="Times New Roman" w:eastAsia="Cambria" w:hAnsi="Times New Roman"/>
          <w:szCs w:val="24"/>
        </w:rPr>
        <w:t>prosecutor's exclusive right because it bestows on the victims the opportunity to prove</w:t>
      </w:r>
      <w:r w:rsidRPr="003A18EA">
        <w:rPr>
          <w:rFonts w:ascii="Times New Roman" w:eastAsia="Cambria" w:hAnsi="Times New Roman"/>
          <w:szCs w:val="24"/>
        </w:rPr>
        <w:t xml:space="preserve"> or disproof the al</w:t>
      </w:r>
      <w:r w:rsidR="002D15CA" w:rsidRPr="003A18EA">
        <w:rPr>
          <w:rFonts w:ascii="Times New Roman" w:eastAsia="Cambria" w:hAnsi="Times New Roman"/>
          <w:szCs w:val="24"/>
        </w:rPr>
        <w:t xml:space="preserve">legations against the accused and how it </w:t>
      </w:r>
      <w:r w:rsidRPr="003A18EA">
        <w:rPr>
          <w:rFonts w:ascii="Times New Roman" w:eastAsia="Cambria" w:hAnsi="Times New Roman"/>
          <w:szCs w:val="24"/>
        </w:rPr>
        <w:t>affect</w:t>
      </w:r>
      <w:r w:rsidR="002D15CA" w:rsidRPr="003A18EA">
        <w:rPr>
          <w:rFonts w:ascii="Times New Roman" w:eastAsia="Cambria" w:hAnsi="Times New Roman"/>
          <w:szCs w:val="24"/>
        </w:rPr>
        <w:t>s</w:t>
      </w:r>
      <w:r w:rsidRPr="003A18EA">
        <w:rPr>
          <w:rFonts w:ascii="Times New Roman" w:eastAsia="Cambria" w:hAnsi="Times New Roman"/>
          <w:szCs w:val="24"/>
        </w:rPr>
        <w:t xml:space="preserve"> their personal interests.</w:t>
      </w:r>
      <w:r w:rsidR="00966D54" w:rsidRPr="003A18EA">
        <w:rPr>
          <w:rFonts w:ascii="Times New Roman" w:eastAsia="Cambria" w:hAnsi="Times New Roman"/>
          <w:szCs w:val="24"/>
        </w:rPr>
        <w:t xml:space="preserve"> </w:t>
      </w:r>
      <w:r w:rsidRPr="003A18EA">
        <w:rPr>
          <w:rFonts w:ascii="Times New Roman" w:eastAsia="Cambria" w:hAnsi="Times New Roman"/>
          <w:szCs w:val="24"/>
        </w:rPr>
        <w:t>The implication cent</w:t>
      </w:r>
      <w:r w:rsidR="00966D54" w:rsidRPr="003A18EA">
        <w:rPr>
          <w:rFonts w:ascii="Times New Roman" w:eastAsia="Cambria" w:hAnsi="Times New Roman"/>
          <w:szCs w:val="24"/>
        </w:rPr>
        <w:t>re</w:t>
      </w:r>
      <w:r w:rsidRPr="003A18EA">
        <w:rPr>
          <w:rFonts w:ascii="Times New Roman" w:eastAsia="Cambria" w:hAnsi="Times New Roman"/>
          <w:szCs w:val="24"/>
        </w:rPr>
        <w:t>s on a supposed encroachment of the parties ‘ rights</w:t>
      </w:r>
      <w:r w:rsidR="002D15CA" w:rsidRPr="003A18EA">
        <w:rPr>
          <w:rFonts w:ascii="Times New Roman" w:eastAsia="Cambria" w:hAnsi="Times New Roman"/>
          <w:szCs w:val="24"/>
        </w:rPr>
        <w:t xml:space="preserve">, </w:t>
      </w:r>
      <w:r w:rsidRPr="003A18EA">
        <w:rPr>
          <w:rFonts w:ascii="Times New Roman" w:eastAsia="Cambria" w:hAnsi="Times New Roman"/>
          <w:szCs w:val="24"/>
        </w:rPr>
        <w:t>as the Court bestows the sam</w:t>
      </w:r>
      <w:r w:rsidR="002D15CA" w:rsidRPr="003A18EA">
        <w:rPr>
          <w:rFonts w:ascii="Times New Roman" w:eastAsia="Cambria" w:hAnsi="Times New Roman"/>
          <w:szCs w:val="24"/>
        </w:rPr>
        <w:t>e</w:t>
      </w:r>
      <w:r w:rsidRPr="003A18EA">
        <w:rPr>
          <w:rFonts w:ascii="Times New Roman" w:eastAsia="Cambria" w:hAnsi="Times New Roman"/>
          <w:szCs w:val="24"/>
        </w:rPr>
        <w:t xml:space="preserve"> right on the victim.</w:t>
      </w:r>
    </w:p>
    <w:p w14:paraId="11D3BA2E" w14:textId="77777777" w:rsidR="006E622A" w:rsidRPr="003A18EA" w:rsidRDefault="006E622A" w:rsidP="003A18EA">
      <w:pPr>
        <w:spacing w:after="0" w:line="480" w:lineRule="auto"/>
        <w:jc w:val="both"/>
        <w:rPr>
          <w:rFonts w:ascii="Times New Roman" w:eastAsia="Cambria" w:hAnsi="Times New Roman"/>
          <w:i/>
          <w:szCs w:val="24"/>
        </w:rPr>
      </w:pPr>
    </w:p>
    <w:p w14:paraId="4CF9640C" w14:textId="3369368F" w:rsidR="006E622A" w:rsidRPr="003959AD" w:rsidRDefault="006E622A" w:rsidP="003A18EA">
      <w:pPr>
        <w:autoSpaceDE w:val="0"/>
        <w:autoSpaceDN w:val="0"/>
        <w:adjustRightInd w:val="0"/>
        <w:spacing w:after="0" w:line="480" w:lineRule="auto"/>
        <w:jc w:val="both"/>
        <w:rPr>
          <w:rFonts w:ascii="Times New Roman" w:eastAsia="Cambria" w:hAnsi="Times New Roman"/>
          <w:szCs w:val="24"/>
          <w:lang w:eastAsia="ja-JP"/>
        </w:rPr>
      </w:pPr>
      <w:r w:rsidRPr="003A18EA">
        <w:rPr>
          <w:rFonts w:ascii="Times New Roman" w:eastAsia="Cambria" w:hAnsi="Times New Roman"/>
          <w:szCs w:val="24"/>
          <w:lang w:eastAsia="ja-JP"/>
        </w:rPr>
        <w:t>Regarding the personal appearance of victims at trial,</w:t>
      </w:r>
      <w:r w:rsidR="00FC1BD6" w:rsidRPr="003A18EA">
        <w:rPr>
          <w:rFonts w:ascii="Times New Roman" w:eastAsia="Cambria" w:hAnsi="Times New Roman"/>
          <w:szCs w:val="24"/>
          <w:lang w:eastAsia="ja-JP"/>
        </w:rPr>
        <w:t xml:space="preserve"> </w:t>
      </w:r>
      <w:r w:rsidRPr="003A18EA">
        <w:rPr>
          <w:rFonts w:ascii="Times New Roman" w:eastAsia="Cambria" w:hAnsi="Times New Roman"/>
          <w:szCs w:val="24"/>
          <w:lang w:eastAsia="ja-JP"/>
        </w:rPr>
        <w:t>while the court acknowledged that victims could be invited to give their views and concerns in person,</w:t>
      </w:r>
      <w:r w:rsidR="00FC1BD6" w:rsidRPr="003A18EA">
        <w:rPr>
          <w:rFonts w:ascii="Times New Roman" w:eastAsia="Cambria" w:hAnsi="Times New Roman"/>
          <w:szCs w:val="24"/>
          <w:lang w:eastAsia="ja-JP"/>
        </w:rPr>
        <w:t xml:space="preserve"> </w:t>
      </w:r>
      <w:r w:rsidRPr="003A18EA">
        <w:rPr>
          <w:rFonts w:ascii="Times New Roman" w:eastAsia="Cambria" w:hAnsi="Times New Roman"/>
          <w:szCs w:val="24"/>
          <w:lang w:eastAsia="ja-JP"/>
        </w:rPr>
        <w:t>but noted this m</w:t>
      </w:r>
      <w:r w:rsidR="00FC1BD6" w:rsidRPr="003A18EA">
        <w:rPr>
          <w:rFonts w:ascii="Times New Roman" w:eastAsia="Cambria" w:hAnsi="Times New Roman"/>
          <w:szCs w:val="24"/>
          <w:lang w:eastAsia="ja-JP"/>
        </w:rPr>
        <w:t>ight</w:t>
      </w:r>
      <w:r w:rsidRPr="003A18EA">
        <w:rPr>
          <w:rFonts w:ascii="Times New Roman" w:eastAsia="Cambria" w:hAnsi="Times New Roman"/>
          <w:szCs w:val="24"/>
          <w:lang w:eastAsia="ja-JP"/>
        </w:rPr>
        <w:t xml:space="preserve"> slow down the trial.</w:t>
      </w:r>
      <w:r w:rsidR="00FC1BD6" w:rsidRPr="003A18EA">
        <w:rPr>
          <w:rFonts w:ascii="Times New Roman" w:eastAsia="Cambria" w:hAnsi="Times New Roman"/>
          <w:szCs w:val="24"/>
          <w:lang w:eastAsia="ja-JP"/>
        </w:rPr>
        <w:t xml:space="preserve"> </w:t>
      </w:r>
      <w:r w:rsidRPr="003A18EA">
        <w:rPr>
          <w:rFonts w:ascii="Times New Roman" w:eastAsia="Cambria" w:hAnsi="Times New Roman"/>
          <w:szCs w:val="24"/>
          <w:lang w:eastAsia="ja-JP"/>
        </w:rPr>
        <w:t xml:space="preserve">The court reiterated that </w:t>
      </w:r>
      <w:r w:rsidR="00340D66">
        <w:rPr>
          <w:rFonts w:ascii="Times New Roman" w:eastAsia="Cambria" w:hAnsi="Times New Roman"/>
          <w:szCs w:val="24"/>
          <w:lang w:eastAsia="ja-JP"/>
        </w:rPr>
        <w:t xml:space="preserve">it would be preferable for legal </w:t>
      </w:r>
      <w:r w:rsidR="00340D66">
        <w:rPr>
          <w:rFonts w:ascii="Times New Roman" w:eastAsia="Cambria" w:hAnsi="Times New Roman"/>
          <w:szCs w:val="24"/>
          <w:lang w:eastAsia="ja-JP"/>
        </w:rPr>
        <w:lastRenderedPageBreak/>
        <w:t xml:space="preserve">representatives to appear during trial rather than individual victims </w:t>
      </w:r>
      <w:r w:rsidR="00961ECD">
        <w:rPr>
          <w:rFonts w:ascii="Times New Roman" w:eastAsia="Cambria" w:hAnsi="Times New Roman"/>
          <w:szCs w:val="24"/>
          <w:lang w:eastAsia="ja-JP"/>
        </w:rPr>
        <w:t>to achieve</w:t>
      </w:r>
      <w:r w:rsidR="00340D66">
        <w:rPr>
          <w:rFonts w:ascii="Times New Roman" w:eastAsia="Cambria" w:hAnsi="Times New Roman"/>
          <w:szCs w:val="24"/>
          <w:lang w:eastAsia="ja-JP"/>
        </w:rPr>
        <w:t xml:space="preserve"> a fair and expeditious trial</w:t>
      </w:r>
      <w:r w:rsidRPr="003A18EA">
        <w:rPr>
          <w:rFonts w:ascii="Times New Roman" w:eastAsia="Cambria" w:hAnsi="Times New Roman"/>
          <w:szCs w:val="24"/>
          <w:lang w:eastAsia="ja-JP"/>
        </w:rPr>
        <w:t>.</w:t>
      </w:r>
      <w:r w:rsidR="00FC1BD6" w:rsidRPr="003A18EA">
        <w:rPr>
          <w:rFonts w:ascii="Times New Roman" w:eastAsia="Cambria" w:hAnsi="Times New Roman"/>
          <w:szCs w:val="24"/>
          <w:lang w:eastAsia="ja-JP"/>
        </w:rPr>
        <w:t xml:space="preserve"> </w:t>
      </w:r>
      <w:r w:rsidRPr="003A18EA">
        <w:rPr>
          <w:rFonts w:ascii="Times New Roman" w:eastAsia="Cambria" w:hAnsi="Times New Roman"/>
          <w:szCs w:val="24"/>
          <w:lang w:eastAsia="ja-JP"/>
        </w:rPr>
        <w:t>It stressed that for victims to appear in person, “there would have to be cogent,</w:t>
      </w:r>
      <w:r w:rsidR="00FC1BD6" w:rsidRPr="003A18EA">
        <w:rPr>
          <w:rFonts w:ascii="Times New Roman" w:eastAsia="Cambria" w:hAnsi="Times New Roman"/>
          <w:szCs w:val="24"/>
          <w:lang w:eastAsia="ja-JP"/>
        </w:rPr>
        <w:t xml:space="preserve"> </w:t>
      </w:r>
      <w:r w:rsidRPr="003A18EA">
        <w:rPr>
          <w:rFonts w:ascii="Times New Roman" w:eastAsia="Cambria" w:hAnsi="Times New Roman"/>
          <w:szCs w:val="24"/>
          <w:lang w:eastAsia="ja-JP"/>
        </w:rPr>
        <w:t>indeed powerful,</w:t>
      </w:r>
      <w:r w:rsidR="00FC1BD6" w:rsidRPr="003A18EA">
        <w:rPr>
          <w:rFonts w:ascii="Times New Roman" w:eastAsia="Cambria" w:hAnsi="Times New Roman"/>
          <w:szCs w:val="24"/>
          <w:lang w:eastAsia="ja-JP"/>
        </w:rPr>
        <w:t xml:space="preserve"> </w:t>
      </w:r>
      <w:r w:rsidRPr="003A18EA">
        <w:rPr>
          <w:rFonts w:ascii="Times New Roman" w:eastAsia="Cambria" w:hAnsi="Times New Roman"/>
          <w:szCs w:val="24"/>
          <w:lang w:eastAsia="ja-JP"/>
        </w:rPr>
        <w:t>reasons”</w:t>
      </w:r>
      <w:r w:rsidRPr="003A18EA">
        <w:rPr>
          <w:rFonts w:ascii="Times New Roman" w:eastAsia="Cambria" w:hAnsi="Times New Roman"/>
          <w:szCs w:val="24"/>
          <w:vertAlign w:val="superscript"/>
          <w:lang w:eastAsia="ja-JP"/>
        </w:rPr>
        <w:footnoteReference w:id="738"/>
      </w:r>
      <w:r w:rsidRPr="003A18EA">
        <w:rPr>
          <w:rFonts w:ascii="Times New Roman" w:eastAsia="Cambria" w:hAnsi="Times New Roman"/>
          <w:szCs w:val="24"/>
          <w:lang w:eastAsia="ja-JP"/>
        </w:rPr>
        <w:t xml:space="preserve"> The Chamber notes</w:t>
      </w:r>
      <w:r w:rsidRPr="003959AD">
        <w:rPr>
          <w:rFonts w:ascii="Times New Roman" w:eastAsia="Cambria" w:hAnsi="Times New Roman"/>
          <w:szCs w:val="24"/>
          <w:lang w:eastAsia="ja-JP"/>
        </w:rPr>
        <w:t xml:space="preserve">: </w:t>
      </w:r>
    </w:p>
    <w:p w14:paraId="16800F8E" w14:textId="77777777" w:rsidR="006E622A" w:rsidRPr="003959AD" w:rsidRDefault="006E622A" w:rsidP="003959AD">
      <w:pPr>
        <w:autoSpaceDE w:val="0"/>
        <w:autoSpaceDN w:val="0"/>
        <w:adjustRightInd w:val="0"/>
        <w:spacing w:after="0" w:line="480" w:lineRule="auto"/>
        <w:jc w:val="both"/>
        <w:rPr>
          <w:rFonts w:ascii="Times New Roman" w:eastAsia="Cambria" w:hAnsi="Times New Roman"/>
          <w:szCs w:val="24"/>
          <w:lang w:eastAsia="ja-JP"/>
        </w:rPr>
      </w:pPr>
      <w:r w:rsidRPr="003959AD">
        <w:rPr>
          <w:rFonts w:ascii="Times New Roman" w:eastAsia="Cambria" w:hAnsi="Times New Roman"/>
          <w:szCs w:val="24"/>
          <w:lang w:eastAsia="ja-JP"/>
        </w:rPr>
        <w:t xml:space="preserve"> </w:t>
      </w:r>
    </w:p>
    <w:p w14:paraId="49E18357" w14:textId="6F5F6F2C" w:rsidR="006E622A" w:rsidRPr="003959AD" w:rsidRDefault="006E622A" w:rsidP="003A18EA">
      <w:pPr>
        <w:autoSpaceDE w:val="0"/>
        <w:autoSpaceDN w:val="0"/>
        <w:adjustRightInd w:val="0"/>
        <w:spacing w:after="0" w:line="480" w:lineRule="auto"/>
        <w:jc w:val="center"/>
        <w:rPr>
          <w:rFonts w:ascii="Times New Roman" w:eastAsia="Cambria" w:hAnsi="Times New Roman"/>
          <w:szCs w:val="24"/>
          <w:lang w:eastAsia="ja-JP"/>
        </w:rPr>
      </w:pPr>
      <w:r w:rsidRPr="003959AD">
        <w:rPr>
          <w:rFonts w:ascii="Times New Roman" w:eastAsia="Cambria" w:hAnsi="Times New Roman"/>
          <w:i/>
          <w:iCs/>
          <w:color w:val="404040"/>
          <w:szCs w:val="24"/>
          <w:lang w:eastAsia="ja-JP"/>
        </w:rPr>
        <w:t>“</w:t>
      </w:r>
      <w:r w:rsidRPr="00FC1BD6">
        <w:rPr>
          <w:rFonts w:ascii="Times New Roman" w:eastAsia="Cambria" w:hAnsi="Times New Roman"/>
          <w:iCs/>
          <w:color w:val="404040"/>
          <w:szCs w:val="24"/>
          <w:lang w:eastAsia="ja-JP"/>
        </w:rPr>
        <w:t xml:space="preserve">people without legal training coming to talk about very difficult things that have happened to them could have a real capacity for destabilising these court proceedings….At the end of the day, </w:t>
      </w:r>
      <w:r w:rsidRPr="00FC1BD6">
        <w:rPr>
          <w:rFonts w:ascii="Times New Roman" w:eastAsia="Cambria" w:hAnsi="Times New Roman"/>
          <w:b/>
          <w:iCs/>
          <w:color w:val="404040"/>
          <w:szCs w:val="24"/>
          <w:u w:val="single"/>
          <w:lang w:eastAsia="ja-JP"/>
        </w:rPr>
        <w:t>this is not a truth and reconciliation commission  or a body of that kind</w:t>
      </w:r>
      <w:r w:rsidRPr="00FC1BD6">
        <w:rPr>
          <w:rFonts w:ascii="Times New Roman" w:eastAsia="Cambria" w:hAnsi="Times New Roman"/>
          <w:iCs/>
          <w:color w:val="404040"/>
          <w:szCs w:val="24"/>
          <w:lang w:eastAsia="ja-JP"/>
        </w:rPr>
        <w:t>[..] we’re not saying no, but we’</w:t>
      </w:r>
      <w:r w:rsidR="00FC1BD6">
        <w:rPr>
          <w:rFonts w:ascii="Times New Roman" w:eastAsia="Cambria" w:hAnsi="Times New Roman"/>
          <w:iCs/>
          <w:color w:val="404040"/>
          <w:szCs w:val="24"/>
          <w:lang w:eastAsia="ja-JP"/>
        </w:rPr>
        <w:t xml:space="preserve"> </w:t>
      </w:r>
      <w:r w:rsidRPr="00FC1BD6">
        <w:rPr>
          <w:rFonts w:ascii="Times New Roman" w:eastAsia="Cambria" w:hAnsi="Times New Roman"/>
          <w:iCs/>
          <w:color w:val="404040"/>
          <w:szCs w:val="24"/>
          <w:lang w:eastAsia="ja-JP"/>
        </w:rPr>
        <w:t xml:space="preserve">are saying exceptional and for </w:t>
      </w:r>
      <w:r w:rsidR="008711C7">
        <w:rPr>
          <w:rFonts w:ascii="Times New Roman" w:eastAsia="Cambria" w:hAnsi="Times New Roman"/>
          <w:iCs/>
          <w:color w:val="404040"/>
          <w:szCs w:val="24"/>
          <w:lang w:eastAsia="ja-JP"/>
        </w:rPr>
        <w:t xml:space="preserve">a </w:t>
      </w:r>
      <w:r w:rsidRPr="00FC1BD6">
        <w:rPr>
          <w:rFonts w:ascii="Times New Roman" w:eastAsia="Cambria" w:hAnsi="Times New Roman"/>
          <w:iCs/>
          <w:color w:val="404040"/>
          <w:szCs w:val="24"/>
          <w:lang w:eastAsia="ja-JP"/>
        </w:rPr>
        <w:t>good reason</w:t>
      </w:r>
      <w:r w:rsidR="00FC1BD6">
        <w:rPr>
          <w:rFonts w:ascii="Times New Roman" w:eastAsia="Cambria" w:hAnsi="Times New Roman"/>
          <w:iCs/>
          <w:color w:val="404040"/>
          <w:szCs w:val="24"/>
          <w:lang w:eastAsia="ja-JP"/>
        </w:rPr>
        <w:t>.</w:t>
      </w:r>
      <w:r w:rsidRPr="003959AD">
        <w:rPr>
          <w:rFonts w:ascii="Times New Roman" w:eastAsia="Cambria" w:hAnsi="Times New Roman"/>
          <w:i/>
          <w:szCs w:val="24"/>
          <w:lang w:eastAsia="ja-JP"/>
        </w:rPr>
        <w:t>”</w:t>
      </w:r>
      <w:r w:rsidRPr="003959AD">
        <w:rPr>
          <w:rFonts w:ascii="Times New Roman" w:eastAsia="Cambria" w:hAnsi="Times New Roman"/>
          <w:i/>
          <w:szCs w:val="24"/>
          <w:vertAlign w:val="superscript"/>
          <w:lang w:eastAsia="ja-JP"/>
        </w:rPr>
        <w:footnoteReference w:id="739"/>
      </w:r>
    </w:p>
    <w:p w14:paraId="6B7888C1" w14:textId="77777777" w:rsidR="006E622A" w:rsidRPr="003959AD" w:rsidRDefault="006E622A" w:rsidP="003959AD">
      <w:pPr>
        <w:autoSpaceDE w:val="0"/>
        <w:autoSpaceDN w:val="0"/>
        <w:adjustRightInd w:val="0"/>
        <w:spacing w:after="0" w:line="480" w:lineRule="auto"/>
        <w:jc w:val="both"/>
        <w:rPr>
          <w:rFonts w:ascii="Times New Roman" w:eastAsia="Cambria" w:hAnsi="Times New Roman"/>
          <w:szCs w:val="24"/>
          <w:lang w:eastAsia="ja-JP"/>
        </w:rPr>
      </w:pPr>
    </w:p>
    <w:p w14:paraId="0A234063" w14:textId="452D42F7" w:rsidR="006E622A" w:rsidRDefault="00A16A03" w:rsidP="003A18EA">
      <w:pPr>
        <w:spacing w:after="0" w:line="480" w:lineRule="auto"/>
        <w:jc w:val="both"/>
        <w:rPr>
          <w:rFonts w:ascii="Times New Roman" w:eastAsia="Cambria" w:hAnsi="Times New Roman"/>
          <w:szCs w:val="24"/>
          <w:lang w:eastAsia="ja-JP"/>
        </w:rPr>
      </w:pPr>
      <w:r w:rsidRPr="003A18EA">
        <w:rPr>
          <w:rFonts w:ascii="Times New Roman" w:eastAsia="Cambria" w:hAnsi="Times New Roman"/>
          <w:szCs w:val="24"/>
          <w:lang w:eastAsia="ja-JP"/>
        </w:rPr>
        <w:t>From this excerpt, o</w:t>
      </w:r>
      <w:r w:rsidR="006E622A" w:rsidRPr="003A18EA">
        <w:rPr>
          <w:rFonts w:ascii="Times New Roman" w:eastAsia="Cambria" w:hAnsi="Times New Roman"/>
          <w:szCs w:val="24"/>
          <w:lang w:eastAsia="ja-JP"/>
        </w:rPr>
        <w:t>ne could make inferences on the restricted platform the Court is willing to give to vict</w:t>
      </w:r>
      <w:r w:rsidR="0052550E" w:rsidRPr="003A18EA">
        <w:rPr>
          <w:rFonts w:ascii="Times New Roman" w:eastAsia="Cambria" w:hAnsi="Times New Roman"/>
          <w:szCs w:val="24"/>
          <w:lang w:eastAsia="ja-JP"/>
        </w:rPr>
        <w:t>ims who are interested in presenting their views and concerns</w:t>
      </w:r>
      <w:r w:rsidRPr="003A18EA">
        <w:rPr>
          <w:rFonts w:ascii="Times New Roman" w:eastAsia="Cambria" w:hAnsi="Times New Roman"/>
          <w:szCs w:val="24"/>
          <w:lang w:eastAsia="ja-JP"/>
        </w:rPr>
        <w:t xml:space="preserve"> in person</w:t>
      </w:r>
      <w:r w:rsidR="0052550E" w:rsidRPr="003A18EA">
        <w:rPr>
          <w:rFonts w:ascii="Times New Roman" w:eastAsia="Cambria" w:hAnsi="Times New Roman"/>
          <w:szCs w:val="24"/>
          <w:lang w:eastAsia="ja-JP"/>
        </w:rPr>
        <w:t>.</w:t>
      </w:r>
      <w:r w:rsidR="00FC1BD6" w:rsidRPr="003A18EA">
        <w:rPr>
          <w:rFonts w:ascii="Times New Roman" w:eastAsia="Cambria" w:hAnsi="Times New Roman"/>
          <w:szCs w:val="24"/>
          <w:lang w:eastAsia="ja-JP"/>
        </w:rPr>
        <w:t xml:space="preserve"> </w:t>
      </w:r>
      <w:r w:rsidR="006E622A" w:rsidRPr="003A18EA">
        <w:rPr>
          <w:rFonts w:ascii="Times New Roman" w:eastAsia="Cambria" w:hAnsi="Times New Roman"/>
          <w:szCs w:val="24"/>
          <w:lang w:eastAsia="ja-JP"/>
        </w:rPr>
        <w:t>It simply state</w:t>
      </w:r>
      <w:r w:rsidRPr="003A18EA">
        <w:rPr>
          <w:rFonts w:ascii="Times New Roman" w:eastAsia="Cambria" w:hAnsi="Times New Roman"/>
          <w:szCs w:val="24"/>
          <w:lang w:eastAsia="ja-JP"/>
        </w:rPr>
        <w:t xml:space="preserve">s that the </w:t>
      </w:r>
      <w:r w:rsidR="00340D66">
        <w:rPr>
          <w:rFonts w:ascii="Times New Roman" w:eastAsia="Cambria" w:hAnsi="Times New Roman"/>
          <w:szCs w:val="24"/>
          <w:lang w:eastAsia="ja-JP"/>
        </w:rPr>
        <w:t>court's procedural activity</w:t>
      </w:r>
      <w:r w:rsidR="006E622A" w:rsidRPr="003A18EA">
        <w:rPr>
          <w:rFonts w:ascii="Times New Roman" w:eastAsia="Cambria" w:hAnsi="Times New Roman"/>
          <w:szCs w:val="24"/>
          <w:lang w:eastAsia="ja-JP"/>
        </w:rPr>
        <w:t xml:space="preserve"> is not built like other mechanisms(TRC) to entertain victims’ appearances.</w:t>
      </w:r>
      <w:r w:rsidR="00FC1BD6" w:rsidRPr="003A18EA">
        <w:rPr>
          <w:rFonts w:ascii="Times New Roman" w:eastAsia="Cambria" w:hAnsi="Times New Roman"/>
          <w:szCs w:val="24"/>
          <w:lang w:eastAsia="ja-JP"/>
        </w:rPr>
        <w:t xml:space="preserve"> </w:t>
      </w:r>
      <w:r w:rsidR="006E622A" w:rsidRPr="003A18EA">
        <w:rPr>
          <w:rFonts w:ascii="Times New Roman" w:eastAsia="Cambria" w:hAnsi="Times New Roman"/>
          <w:szCs w:val="24"/>
          <w:lang w:eastAsia="ja-JP"/>
        </w:rPr>
        <w:t>I</w:t>
      </w:r>
      <w:r w:rsidR="00340D66">
        <w:rPr>
          <w:rFonts w:ascii="Times New Roman" w:eastAsia="Cambria" w:hAnsi="Times New Roman"/>
          <w:szCs w:val="24"/>
          <w:lang w:eastAsia="ja-JP"/>
        </w:rPr>
        <w:t>n exceptional circumstances, the court observed that the court permits</w:t>
      </w:r>
      <w:r w:rsidR="006E622A" w:rsidRPr="003A18EA">
        <w:rPr>
          <w:rFonts w:ascii="Times New Roman" w:eastAsia="Cambria" w:hAnsi="Times New Roman"/>
          <w:szCs w:val="24"/>
          <w:lang w:eastAsia="ja-JP"/>
        </w:rPr>
        <w:t xml:space="preserve"> victims to make appearances based on ‘cogent and powerful reasons’.</w:t>
      </w:r>
      <w:r w:rsidR="006E622A" w:rsidRPr="003A18EA">
        <w:rPr>
          <w:rFonts w:ascii="Times New Roman" w:eastAsia="Cambria" w:hAnsi="Times New Roman"/>
          <w:szCs w:val="24"/>
          <w:vertAlign w:val="superscript"/>
          <w:lang w:eastAsia="ja-JP"/>
        </w:rPr>
        <w:footnoteReference w:id="740"/>
      </w:r>
      <w:r w:rsidR="006E622A" w:rsidRPr="003A18EA">
        <w:rPr>
          <w:rFonts w:ascii="Times New Roman" w:eastAsia="Cambria" w:hAnsi="Times New Roman"/>
          <w:szCs w:val="24"/>
          <w:lang w:eastAsia="ja-JP"/>
        </w:rPr>
        <w:t xml:space="preserve"> Interestingly,</w:t>
      </w:r>
      <w:r w:rsidR="00FC1BD6" w:rsidRPr="003A18EA">
        <w:rPr>
          <w:rFonts w:ascii="Times New Roman" w:eastAsia="Cambria" w:hAnsi="Times New Roman"/>
          <w:szCs w:val="24"/>
          <w:lang w:eastAsia="ja-JP"/>
        </w:rPr>
        <w:t xml:space="preserve"> </w:t>
      </w:r>
      <w:r w:rsidR="006E622A" w:rsidRPr="003A18EA">
        <w:rPr>
          <w:rFonts w:ascii="Times New Roman" w:eastAsia="Cambria" w:hAnsi="Times New Roman"/>
          <w:szCs w:val="24"/>
          <w:lang w:eastAsia="ja-JP"/>
        </w:rPr>
        <w:t>the Chamber authorised the request of a</w:t>
      </w:r>
      <w:r w:rsidR="008711C7">
        <w:rPr>
          <w:rFonts w:ascii="Times New Roman" w:eastAsia="Cambria" w:hAnsi="Times New Roman"/>
          <w:szCs w:val="24"/>
          <w:lang w:eastAsia="ja-JP"/>
        </w:rPr>
        <w:t>n</w:t>
      </w:r>
      <w:r w:rsidR="006E622A" w:rsidRPr="003A18EA">
        <w:rPr>
          <w:rFonts w:ascii="Times New Roman" w:eastAsia="Cambria" w:hAnsi="Times New Roman"/>
          <w:szCs w:val="24"/>
          <w:lang w:eastAsia="ja-JP"/>
        </w:rPr>
        <w:t xml:space="preserve"> LRV for three victims to testify at trial.</w:t>
      </w:r>
      <w:r w:rsidR="006E622A" w:rsidRPr="003A18EA">
        <w:rPr>
          <w:rFonts w:ascii="Times New Roman" w:eastAsia="Cambria" w:hAnsi="Times New Roman"/>
          <w:szCs w:val="24"/>
          <w:vertAlign w:val="superscript"/>
          <w:lang w:eastAsia="ja-JP"/>
        </w:rPr>
        <w:footnoteReference w:id="741"/>
      </w:r>
      <w:r w:rsidR="006E622A" w:rsidRPr="003A18EA">
        <w:rPr>
          <w:rFonts w:ascii="Times New Roman" w:eastAsia="Cambria" w:hAnsi="Times New Roman"/>
          <w:szCs w:val="24"/>
          <w:lang w:eastAsia="ja-JP"/>
        </w:rPr>
        <w:t xml:space="preserve">Their testimonies included </w:t>
      </w:r>
      <w:r w:rsidR="00340D66">
        <w:rPr>
          <w:rFonts w:ascii="Times New Roman" w:eastAsia="Cambria" w:hAnsi="Times New Roman"/>
          <w:szCs w:val="24"/>
          <w:lang w:eastAsia="ja-JP"/>
        </w:rPr>
        <w:t>presenting</w:t>
      </w:r>
      <w:r w:rsidR="006E622A" w:rsidRPr="003A18EA">
        <w:rPr>
          <w:rFonts w:ascii="Times New Roman" w:eastAsia="Cambria" w:hAnsi="Times New Roman"/>
          <w:szCs w:val="24"/>
          <w:lang w:eastAsia="ja-JP"/>
        </w:rPr>
        <w:t xml:space="preserve"> their views and concerns in person after they had tend</w:t>
      </w:r>
      <w:r w:rsidRPr="003A18EA">
        <w:rPr>
          <w:rFonts w:ascii="Times New Roman" w:eastAsia="Cambria" w:hAnsi="Times New Roman"/>
          <w:szCs w:val="24"/>
          <w:lang w:eastAsia="ja-JP"/>
        </w:rPr>
        <w:t xml:space="preserve">ered their personal witnesses’ </w:t>
      </w:r>
      <w:r w:rsidR="006E622A" w:rsidRPr="003A18EA">
        <w:rPr>
          <w:rFonts w:ascii="Times New Roman" w:eastAsia="Cambria" w:hAnsi="Times New Roman"/>
          <w:szCs w:val="24"/>
          <w:lang w:eastAsia="ja-JP"/>
        </w:rPr>
        <w:t xml:space="preserve"> account as </w:t>
      </w:r>
      <w:r w:rsidR="006E622A" w:rsidRPr="003A18EA">
        <w:rPr>
          <w:rFonts w:ascii="Times New Roman" w:eastAsia="Cambria" w:hAnsi="Times New Roman"/>
          <w:szCs w:val="24"/>
          <w:lang w:eastAsia="ja-JP"/>
        </w:rPr>
        <w:lastRenderedPageBreak/>
        <w:t>evidence.</w:t>
      </w:r>
      <w:r w:rsidR="006E622A" w:rsidRPr="003A18EA">
        <w:rPr>
          <w:rFonts w:ascii="Times New Roman" w:eastAsia="Cambria" w:hAnsi="Times New Roman"/>
          <w:szCs w:val="24"/>
          <w:vertAlign w:val="superscript"/>
          <w:lang w:eastAsia="ja-JP"/>
        </w:rPr>
        <w:footnoteReference w:id="742"/>
      </w:r>
      <w:r w:rsidR="006E622A" w:rsidRPr="003A18EA">
        <w:rPr>
          <w:rFonts w:ascii="Times New Roman" w:eastAsia="Cambria" w:hAnsi="Times New Roman"/>
          <w:szCs w:val="24"/>
          <w:lang w:eastAsia="ja-JP"/>
        </w:rPr>
        <w:t xml:space="preserve"> The Chamber posited that in this situation, it sh</w:t>
      </w:r>
      <w:r w:rsidR="00FC1BD6" w:rsidRPr="003A18EA">
        <w:rPr>
          <w:rFonts w:ascii="Times New Roman" w:eastAsia="Cambria" w:hAnsi="Times New Roman"/>
          <w:szCs w:val="24"/>
          <w:lang w:eastAsia="ja-JP"/>
        </w:rPr>
        <w:t>ould</w:t>
      </w:r>
      <w:r w:rsidR="006E622A" w:rsidRPr="003A18EA">
        <w:rPr>
          <w:rFonts w:ascii="Times New Roman" w:eastAsia="Cambria" w:hAnsi="Times New Roman"/>
          <w:szCs w:val="24"/>
          <w:lang w:eastAsia="ja-JP"/>
        </w:rPr>
        <w:t xml:space="preserve"> ensure that </w:t>
      </w:r>
      <w:r w:rsidRPr="003A18EA">
        <w:rPr>
          <w:rFonts w:ascii="Times New Roman" w:eastAsia="Cambria" w:hAnsi="Times New Roman"/>
          <w:szCs w:val="24"/>
          <w:lang w:eastAsia="ja-JP"/>
        </w:rPr>
        <w:t>t</w:t>
      </w:r>
      <w:r w:rsidR="006E622A" w:rsidRPr="003A18EA">
        <w:rPr>
          <w:rFonts w:ascii="Times New Roman" w:eastAsia="Cambria" w:hAnsi="Times New Roman"/>
          <w:szCs w:val="24"/>
          <w:lang w:eastAsia="ja-JP"/>
        </w:rPr>
        <w:t xml:space="preserve">he victims’ views and concerns </w:t>
      </w:r>
      <w:r w:rsidR="00FC1BD6" w:rsidRPr="003A18EA">
        <w:rPr>
          <w:rFonts w:ascii="Times New Roman" w:eastAsia="Cambria" w:hAnsi="Times New Roman"/>
          <w:szCs w:val="24"/>
          <w:lang w:eastAsia="ja-JP"/>
        </w:rPr>
        <w:t>are</w:t>
      </w:r>
      <w:r w:rsidR="006E622A" w:rsidRPr="003A18EA">
        <w:rPr>
          <w:rFonts w:ascii="Times New Roman" w:eastAsia="Cambria" w:hAnsi="Times New Roman"/>
          <w:szCs w:val="24"/>
          <w:lang w:eastAsia="ja-JP"/>
        </w:rPr>
        <w:t xml:space="preserve"> not a repetition of their witness’s account(evidence).</w:t>
      </w:r>
      <w:r w:rsidR="006E622A" w:rsidRPr="003A18EA">
        <w:rPr>
          <w:rFonts w:ascii="Times New Roman" w:eastAsia="Cambria" w:hAnsi="Times New Roman"/>
          <w:szCs w:val="24"/>
          <w:vertAlign w:val="superscript"/>
          <w:lang w:eastAsia="ja-JP"/>
        </w:rPr>
        <w:footnoteReference w:id="743"/>
      </w:r>
    </w:p>
    <w:p w14:paraId="2E2B2996" w14:textId="48E7184A" w:rsidR="006A7856" w:rsidRDefault="006A7856" w:rsidP="003A18EA">
      <w:pPr>
        <w:spacing w:after="0" w:line="480" w:lineRule="auto"/>
        <w:jc w:val="both"/>
        <w:rPr>
          <w:rFonts w:ascii="Times New Roman" w:eastAsia="Cambria" w:hAnsi="Times New Roman"/>
          <w:szCs w:val="24"/>
          <w:lang w:eastAsia="ja-JP"/>
        </w:rPr>
      </w:pPr>
    </w:p>
    <w:p w14:paraId="649B9C95" w14:textId="5C9E3EB5" w:rsidR="006A7856" w:rsidRPr="003A18EA" w:rsidRDefault="006A7856" w:rsidP="003A18E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Interestingly, In another ruling, Judge </w:t>
      </w:r>
      <w:proofErr w:type="spellStart"/>
      <w:r>
        <w:rPr>
          <w:rFonts w:ascii="Times New Roman" w:eastAsia="Cambria" w:hAnsi="Times New Roman"/>
          <w:szCs w:val="24"/>
          <w:lang w:eastAsia="ja-JP"/>
        </w:rPr>
        <w:t>Blattman</w:t>
      </w:r>
      <w:proofErr w:type="spellEnd"/>
      <w:r>
        <w:rPr>
          <w:rFonts w:ascii="Times New Roman" w:eastAsia="Cambria" w:hAnsi="Times New Roman"/>
          <w:szCs w:val="24"/>
          <w:lang w:eastAsia="ja-JP"/>
        </w:rPr>
        <w:t xml:space="preserve"> reiterated the statutory nature of victim participatory right:  “victims’ participation is not a concession of the Bench, but rather a right accorded to victims by the Statute.”</w:t>
      </w:r>
      <w:r>
        <w:rPr>
          <w:rStyle w:val="FootnoteReference"/>
          <w:rFonts w:ascii="Times New Roman" w:eastAsia="Cambria" w:hAnsi="Times New Roman"/>
          <w:szCs w:val="24"/>
          <w:lang w:eastAsia="ja-JP"/>
        </w:rPr>
        <w:footnoteReference w:id="744"/>
      </w:r>
      <w:r>
        <w:rPr>
          <w:rFonts w:ascii="Times New Roman" w:eastAsia="Cambria" w:hAnsi="Times New Roman"/>
          <w:szCs w:val="24"/>
          <w:lang w:eastAsia="ja-JP"/>
        </w:rPr>
        <w:t xml:space="preserve"> Furthermore, “The Chamber should be mindful that the right to participate when victims’ interests are affected is the consequence of a legal protected interest of the victim.”</w:t>
      </w:r>
      <w:r>
        <w:rPr>
          <w:rStyle w:val="FootnoteReference"/>
          <w:rFonts w:ascii="Times New Roman" w:eastAsia="Cambria" w:hAnsi="Times New Roman"/>
          <w:szCs w:val="24"/>
          <w:lang w:eastAsia="ja-JP"/>
        </w:rPr>
        <w:footnoteReference w:id="745"/>
      </w:r>
      <w:r>
        <w:rPr>
          <w:rFonts w:ascii="Times New Roman" w:eastAsia="Cambria" w:hAnsi="Times New Roman"/>
          <w:szCs w:val="24"/>
          <w:lang w:eastAsia="ja-JP"/>
        </w:rPr>
        <w:t xml:space="preserve"> Hence, participatory rights legalised, there are boundaries to the extent of its applicability to uphold the </w:t>
      </w:r>
      <w:r w:rsidR="00340D66">
        <w:rPr>
          <w:rFonts w:ascii="Times New Roman" w:eastAsia="Cambria" w:hAnsi="Times New Roman"/>
          <w:szCs w:val="24"/>
          <w:lang w:eastAsia="ja-JP"/>
        </w:rPr>
        <w:t>court's mandate</w:t>
      </w:r>
      <w:r>
        <w:rPr>
          <w:rFonts w:ascii="Times New Roman" w:eastAsia="Cambria" w:hAnsi="Times New Roman"/>
          <w:szCs w:val="24"/>
          <w:lang w:eastAsia="ja-JP"/>
        </w:rPr>
        <w:t>.</w:t>
      </w:r>
    </w:p>
    <w:p w14:paraId="1808A61C" w14:textId="77777777" w:rsidR="00115040" w:rsidRDefault="00115040" w:rsidP="003A18EA">
      <w:pPr>
        <w:spacing w:after="0" w:line="480" w:lineRule="auto"/>
        <w:jc w:val="both"/>
        <w:rPr>
          <w:rFonts w:ascii="Times New Roman" w:eastAsia="Cambria" w:hAnsi="Times New Roman"/>
          <w:szCs w:val="24"/>
          <w:lang w:eastAsia="ja-JP"/>
        </w:rPr>
      </w:pPr>
    </w:p>
    <w:p w14:paraId="4919666D" w14:textId="5E5347E1" w:rsidR="00A16A03" w:rsidRPr="003A18EA" w:rsidRDefault="00BB4821" w:rsidP="003A18EA">
      <w:pPr>
        <w:spacing w:after="0" w:line="480" w:lineRule="auto"/>
        <w:jc w:val="both"/>
        <w:rPr>
          <w:rFonts w:ascii="Times New Roman" w:eastAsia="Cambria" w:hAnsi="Times New Roman"/>
          <w:szCs w:val="24"/>
          <w:lang w:eastAsia="ja-JP"/>
        </w:rPr>
      </w:pPr>
      <w:r w:rsidRPr="003A18EA">
        <w:rPr>
          <w:rFonts w:ascii="Times New Roman" w:eastAsia="Cambria" w:hAnsi="Times New Roman"/>
          <w:szCs w:val="24"/>
          <w:lang w:eastAsia="ja-JP"/>
        </w:rPr>
        <w:t xml:space="preserve">In summary, the use of consultation </w:t>
      </w:r>
      <w:r w:rsidR="008B2A74" w:rsidRPr="003A18EA">
        <w:rPr>
          <w:rFonts w:ascii="Times New Roman" w:eastAsia="Cambria" w:hAnsi="Times New Roman"/>
          <w:szCs w:val="24"/>
          <w:lang w:eastAsia="ja-JP"/>
        </w:rPr>
        <w:t>may enhance victims visibility during the proceedings as it explores th</w:t>
      </w:r>
      <w:r w:rsidR="00115040">
        <w:rPr>
          <w:rFonts w:ascii="Times New Roman" w:eastAsia="Cambria" w:hAnsi="Times New Roman"/>
          <w:szCs w:val="24"/>
          <w:lang w:eastAsia="ja-JP"/>
        </w:rPr>
        <w:t>eir</w:t>
      </w:r>
      <w:r w:rsidR="008B2A74" w:rsidRPr="003A18EA">
        <w:rPr>
          <w:rFonts w:ascii="Times New Roman" w:eastAsia="Cambria" w:hAnsi="Times New Roman"/>
          <w:szCs w:val="24"/>
          <w:lang w:eastAsia="ja-JP"/>
        </w:rPr>
        <w:t xml:space="preserve"> influence on the outcome of the decision.</w:t>
      </w:r>
      <w:r w:rsidR="00FC1BD6" w:rsidRPr="003A18EA">
        <w:rPr>
          <w:rFonts w:ascii="Times New Roman" w:eastAsia="Cambria" w:hAnsi="Times New Roman"/>
          <w:szCs w:val="24"/>
          <w:lang w:eastAsia="ja-JP"/>
        </w:rPr>
        <w:t xml:space="preserve"> </w:t>
      </w:r>
      <w:r w:rsidR="00540D5C" w:rsidRPr="003A18EA">
        <w:rPr>
          <w:rFonts w:ascii="Times New Roman" w:eastAsia="Cambria" w:hAnsi="Times New Roman"/>
          <w:szCs w:val="24"/>
          <w:lang w:eastAsia="ja-JP"/>
        </w:rPr>
        <w:t xml:space="preserve">Therefore, the court is </w:t>
      </w:r>
      <w:r w:rsidR="00340D66">
        <w:rPr>
          <w:rFonts w:ascii="Times New Roman" w:eastAsia="Cambria" w:hAnsi="Times New Roman"/>
          <w:szCs w:val="24"/>
          <w:lang w:eastAsia="ja-JP"/>
        </w:rPr>
        <w:t xml:space="preserve">obligated to consult victims in </w:t>
      </w:r>
      <w:r w:rsidR="007D0F7F">
        <w:rPr>
          <w:rFonts w:ascii="Times New Roman" w:eastAsia="Cambria" w:hAnsi="Times New Roman"/>
          <w:szCs w:val="24"/>
          <w:lang w:eastAsia="ja-JP"/>
        </w:rPr>
        <w:t>court proceedings that affect them, but</w:t>
      </w:r>
      <w:r w:rsidR="00340D66">
        <w:rPr>
          <w:rFonts w:ascii="Times New Roman" w:eastAsia="Cambria" w:hAnsi="Times New Roman"/>
          <w:szCs w:val="24"/>
          <w:lang w:eastAsia="ja-JP"/>
        </w:rPr>
        <w:t xml:space="preserve"> this consultation may contribute to</w:t>
      </w:r>
      <w:r w:rsidR="00540D5C" w:rsidRPr="003A18EA">
        <w:rPr>
          <w:rFonts w:ascii="Times New Roman" w:eastAsia="Cambria" w:hAnsi="Times New Roman"/>
          <w:szCs w:val="24"/>
          <w:lang w:eastAsia="ja-JP"/>
        </w:rPr>
        <w:t xml:space="preserve"> the process or outcome.</w:t>
      </w:r>
      <w:r w:rsidR="00FC1BD6" w:rsidRPr="003A18EA">
        <w:rPr>
          <w:rFonts w:ascii="Times New Roman" w:eastAsia="Cambria" w:hAnsi="Times New Roman"/>
          <w:szCs w:val="24"/>
          <w:lang w:eastAsia="ja-JP"/>
        </w:rPr>
        <w:t xml:space="preserve"> </w:t>
      </w:r>
      <w:r w:rsidR="00540D5C" w:rsidRPr="003A18EA">
        <w:rPr>
          <w:rFonts w:ascii="Times New Roman" w:eastAsia="Cambria" w:hAnsi="Times New Roman"/>
          <w:szCs w:val="24"/>
          <w:lang w:eastAsia="ja-JP"/>
        </w:rPr>
        <w:t>Expressing of views and concerns of victims is the main form of consultation.</w:t>
      </w:r>
    </w:p>
    <w:p w14:paraId="6E7B3D22" w14:textId="77777777" w:rsidR="006E622A" w:rsidRPr="003A18EA" w:rsidRDefault="006E622A" w:rsidP="003A18EA">
      <w:pPr>
        <w:spacing w:after="0" w:line="480" w:lineRule="auto"/>
        <w:jc w:val="both"/>
        <w:rPr>
          <w:rFonts w:ascii="Times New Roman" w:eastAsia="Cambria" w:hAnsi="Times New Roman"/>
          <w:szCs w:val="24"/>
          <w:lang w:eastAsia="ja-JP"/>
        </w:rPr>
      </w:pPr>
    </w:p>
    <w:p w14:paraId="08E543E1" w14:textId="3DFF9DD6" w:rsidR="006E622A" w:rsidRPr="003A18EA" w:rsidRDefault="00B066B7" w:rsidP="00364EC8">
      <w:pPr>
        <w:pStyle w:val="Heading4"/>
        <w:rPr>
          <w:i/>
        </w:rPr>
      </w:pPr>
      <w:r>
        <w:t>3.</w:t>
      </w:r>
      <w:r w:rsidR="00CA05F5">
        <w:t>5</w:t>
      </w:r>
      <w:r>
        <w:t xml:space="preserve">.2.2 </w:t>
      </w:r>
      <w:r w:rsidR="006E622A" w:rsidRPr="003A18EA">
        <w:t>Information provision</w:t>
      </w:r>
    </w:p>
    <w:p w14:paraId="5E69D266" w14:textId="77777777" w:rsidR="00E71230" w:rsidRPr="003A18EA" w:rsidRDefault="00E71230" w:rsidP="003A18EA">
      <w:pPr>
        <w:spacing w:after="0" w:line="480" w:lineRule="auto"/>
        <w:jc w:val="both"/>
        <w:rPr>
          <w:rFonts w:ascii="Times New Roman" w:hAnsi="Times New Roman"/>
          <w:szCs w:val="24"/>
          <w:lang w:eastAsia="ja-JP"/>
        </w:rPr>
      </w:pPr>
    </w:p>
    <w:p w14:paraId="1CB96DB8" w14:textId="3E5E6066" w:rsidR="00ED538C" w:rsidRPr="003A18EA" w:rsidRDefault="00340D66" w:rsidP="003A18E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Th</w:t>
      </w:r>
      <w:r w:rsidR="003518F9">
        <w:rPr>
          <w:rFonts w:ascii="Times New Roman" w:eastAsia="Cambria" w:hAnsi="Times New Roman"/>
          <w:szCs w:val="24"/>
          <w:lang w:eastAsia="ja-JP"/>
        </w:rPr>
        <w:t xml:space="preserve">e information provision </w:t>
      </w:r>
      <w:r>
        <w:rPr>
          <w:rFonts w:ascii="Times New Roman" w:eastAsia="Cambria" w:hAnsi="Times New Roman"/>
          <w:szCs w:val="24"/>
          <w:lang w:eastAsia="ja-JP"/>
        </w:rPr>
        <w:t>is another sub-division of non-dispositive category from Edwards the</w:t>
      </w:r>
      <w:r w:rsidR="00435D7A" w:rsidRPr="003A18EA">
        <w:rPr>
          <w:rFonts w:ascii="Times New Roman" w:eastAsia="Cambria" w:hAnsi="Times New Roman"/>
          <w:szCs w:val="24"/>
          <w:lang w:eastAsia="ja-JP"/>
        </w:rPr>
        <w:t xml:space="preserve">ory, which </w:t>
      </w:r>
      <w:r w:rsidR="006E622A" w:rsidRPr="003A18EA">
        <w:rPr>
          <w:rFonts w:ascii="Times New Roman" w:eastAsia="Cambria" w:hAnsi="Times New Roman"/>
          <w:szCs w:val="24"/>
          <w:lang w:eastAsia="ja-JP"/>
        </w:rPr>
        <w:t>ensures a two</w:t>
      </w:r>
      <w:r w:rsidR="00FC1BD6" w:rsidRPr="003A18EA">
        <w:rPr>
          <w:rFonts w:ascii="Times New Roman" w:eastAsia="Cambria" w:hAnsi="Times New Roman"/>
          <w:szCs w:val="24"/>
          <w:lang w:eastAsia="ja-JP"/>
        </w:rPr>
        <w:t>-</w:t>
      </w:r>
      <w:r w:rsidR="006E622A" w:rsidRPr="003A18EA">
        <w:rPr>
          <w:rFonts w:ascii="Times New Roman" w:eastAsia="Cambria" w:hAnsi="Times New Roman"/>
          <w:szCs w:val="24"/>
          <w:lang w:eastAsia="ja-JP"/>
        </w:rPr>
        <w:t>way obligation between the decision-maker and the victim.</w:t>
      </w:r>
      <w:r w:rsidR="00FC1BD6" w:rsidRPr="003A18EA">
        <w:rPr>
          <w:rFonts w:ascii="Times New Roman" w:eastAsia="Cambria" w:hAnsi="Times New Roman"/>
          <w:szCs w:val="24"/>
          <w:lang w:eastAsia="ja-JP"/>
        </w:rPr>
        <w:t xml:space="preserve"> </w:t>
      </w:r>
      <w:r w:rsidR="006E622A" w:rsidRPr="003A18EA">
        <w:rPr>
          <w:rFonts w:ascii="Times New Roman" w:eastAsia="Cambria" w:hAnsi="Times New Roman"/>
          <w:szCs w:val="24"/>
          <w:lang w:eastAsia="ja-JP"/>
        </w:rPr>
        <w:t xml:space="preserve">The decision-maker seeks or requests information from the victims, while the victim </w:t>
      </w:r>
      <w:r w:rsidR="003518F9">
        <w:rPr>
          <w:rFonts w:ascii="Times New Roman" w:eastAsia="Cambria" w:hAnsi="Times New Roman"/>
          <w:szCs w:val="24"/>
          <w:lang w:eastAsia="ja-JP"/>
        </w:rPr>
        <w:t>must</w:t>
      </w:r>
      <w:r w:rsidR="006E622A" w:rsidRPr="003A18EA">
        <w:rPr>
          <w:rFonts w:ascii="Times New Roman" w:eastAsia="Cambria" w:hAnsi="Times New Roman"/>
          <w:szCs w:val="24"/>
          <w:lang w:eastAsia="ja-JP"/>
        </w:rPr>
        <w:t xml:space="preserve"> provide information to the decision</w:t>
      </w:r>
      <w:r w:rsidR="00FC1BD6" w:rsidRPr="003A18EA">
        <w:rPr>
          <w:rFonts w:ascii="Times New Roman" w:eastAsia="Cambria" w:hAnsi="Times New Roman"/>
          <w:szCs w:val="24"/>
          <w:lang w:eastAsia="ja-JP"/>
        </w:rPr>
        <w:t>-make</w:t>
      </w:r>
      <w:r w:rsidR="006E622A" w:rsidRPr="003A18EA">
        <w:rPr>
          <w:rFonts w:ascii="Times New Roman" w:eastAsia="Cambria" w:hAnsi="Times New Roman"/>
          <w:szCs w:val="24"/>
          <w:lang w:eastAsia="ja-JP"/>
        </w:rPr>
        <w:t>r.</w:t>
      </w:r>
      <w:r w:rsidR="006E622A" w:rsidRPr="003A18EA">
        <w:rPr>
          <w:rFonts w:ascii="Times New Roman" w:eastAsia="Cambria" w:hAnsi="Times New Roman"/>
          <w:szCs w:val="24"/>
          <w:vertAlign w:val="superscript"/>
          <w:lang w:eastAsia="ja-JP"/>
        </w:rPr>
        <w:footnoteReference w:id="746"/>
      </w:r>
      <w:r w:rsidR="006E622A" w:rsidRPr="003A18EA">
        <w:rPr>
          <w:rFonts w:ascii="Times New Roman" w:eastAsia="Cambria" w:hAnsi="Times New Roman"/>
          <w:szCs w:val="24"/>
          <w:lang w:eastAsia="ja-JP"/>
        </w:rPr>
        <w:t xml:space="preserve"> Here, the victims </w:t>
      </w:r>
      <w:r>
        <w:rPr>
          <w:rFonts w:ascii="Times New Roman" w:eastAsia="Cambria" w:hAnsi="Times New Roman"/>
          <w:szCs w:val="24"/>
          <w:lang w:eastAsia="ja-JP"/>
        </w:rPr>
        <w:t>offer</w:t>
      </w:r>
      <w:r w:rsidR="006E622A" w:rsidRPr="003A18EA">
        <w:rPr>
          <w:rFonts w:ascii="Times New Roman" w:eastAsia="Cambria" w:hAnsi="Times New Roman"/>
          <w:szCs w:val="24"/>
          <w:lang w:eastAsia="ja-JP"/>
        </w:rPr>
        <w:t xml:space="preserve"> information according to rules set by the decis</w:t>
      </w:r>
      <w:r w:rsidR="00FC1BD6" w:rsidRPr="003A18EA">
        <w:rPr>
          <w:rFonts w:ascii="Times New Roman" w:eastAsia="Cambria" w:hAnsi="Times New Roman"/>
          <w:szCs w:val="24"/>
          <w:lang w:eastAsia="ja-JP"/>
        </w:rPr>
        <w:t xml:space="preserve">ion-maker, the Statute and RPE. </w:t>
      </w:r>
      <w:r w:rsidR="006E622A" w:rsidRPr="003A18EA">
        <w:rPr>
          <w:rFonts w:ascii="Times New Roman" w:eastAsia="Cambria" w:hAnsi="Times New Roman"/>
          <w:szCs w:val="24"/>
          <w:lang w:eastAsia="ja-JP"/>
        </w:rPr>
        <w:t>It is noteworthy that the victim ha</w:t>
      </w:r>
      <w:r w:rsidR="00FC1BD6" w:rsidRPr="003A18EA">
        <w:rPr>
          <w:rFonts w:ascii="Times New Roman" w:eastAsia="Cambria" w:hAnsi="Times New Roman"/>
          <w:szCs w:val="24"/>
          <w:lang w:eastAsia="ja-JP"/>
        </w:rPr>
        <w:t>s</w:t>
      </w:r>
      <w:r w:rsidR="006E622A" w:rsidRPr="003A18EA">
        <w:rPr>
          <w:rFonts w:ascii="Times New Roman" w:eastAsia="Cambria" w:hAnsi="Times New Roman"/>
          <w:szCs w:val="24"/>
          <w:lang w:eastAsia="ja-JP"/>
        </w:rPr>
        <w:t xml:space="preserve"> a non-optional supply of information.</w:t>
      </w:r>
      <w:r w:rsidR="006E622A" w:rsidRPr="003A18EA">
        <w:rPr>
          <w:rFonts w:ascii="Times New Roman" w:eastAsia="Cambria" w:hAnsi="Times New Roman"/>
          <w:szCs w:val="24"/>
          <w:vertAlign w:val="superscript"/>
          <w:lang w:eastAsia="ja-JP"/>
        </w:rPr>
        <w:footnoteReference w:id="747"/>
      </w:r>
      <w:r w:rsidR="006E622A" w:rsidRPr="003A18EA">
        <w:rPr>
          <w:rFonts w:ascii="Times New Roman" w:eastAsia="Cambria" w:hAnsi="Times New Roman"/>
          <w:szCs w:val="24"/>
          <w:lang w:eastAsia="ja-JP"/>
        </w:rPr>
        <w:t xml:space="preserve">The role of </w:t>
      </w:r>
      <w:r w:rsidR="00FC1BD6" w:rsidRPr="003A18EA">
        <w:rPr>
          <w:rFonts w:ascii="Times New Roman" w:eastAsia="Cambria" w:hAnsi="Times New Roman"/>
          <w:szCs w:val="24"/>
          <w:lang w:eastAsia="ja-JP"/>
        </w:rPr>
        <w:t xml:space="preserve">the </w:t>
      </w:r>
      <w:r w:rsidR="006E622A" w:rsidRPr="003A18EA">
        <w:rPr>
          <w:rFonts w:ascii="Times New Roman" w:eastAsia="Cambria" w:hAnsi="Times New Roman"/>
          <w:szCs w:val="24"/>
          <w:lang w:eastAsia="ja-JP"/>
        </w:rPr>
        <w:t>victim as a witness is a typical example of this type of participation.</w:t>
      </w:r>
      <w:r w:rsidR="00FC1BD6" w:rsidRPr="003A18EA">
        <w:rPr>
          <w:rFonts w:ascii="Times New Roman" w:eastAsia="Cambria" w:hAnsi="Times New Roman"/>
          <w:szCs w:val="24"/>
          <w:lang w:eastAsia="ja-JP"/>
        </w:rPr>
        <w:t xml:space="preserve"> </w:t>
      </w:r>
      <w:r w:rsidR="006E622A" w:rsidRPr="003A18EA">
        <w:rPr>
          <w:rFonts w:ascii="Times New Roman" w:eastAsia="Cambria" w:hAnsi="Times New Roman"/>
          <w:szCs w:val="24"/>
          <w:lang w:eastAsia="ja-JP"/>
        </w:rPr>
        <w:t>One drawback of this sub-category is that it utilises victims as instruments for information.</w:t>
      </w:r>
      <w:r w:rsidR="00FC1BD6" w:rsidRPr="003A18EA">
        <w:rPr>
          <w:rFonts w:ascii="Times New Roman" w:eastAsia="Cambria" w:hAnsi="Times New Roman"/>
          <w:szCs w:val="24"/>
          <w:lang w:eastAsia="ja-JP"/>
        </w:rPr>
        <w:t xml:space="preserve"> </w:t>
      </w:r>
      <w:r w:rsidR="006E622A" w:rsidRPr="003A18EA">
        <w:rPr>
          <w:rFonts w:ascii="Times New Roman" w:eastAsia="Cambria" w:hAnsi="Times New Roman"/>
          <w:szCs w:val="24"/>
          <w:lang w:eastAsia="ja-JP"/>
        </w:rPr>
        <w:t xml:space="preserve">In such a situation, a victim may be </w:t>
      </w:r>
      <w:r w:rsidR="00ED538C" w:rsidRPr="003A18EA">
        <w:rPr>
          <w:rFonts w:ascii="Times New Roman" w:eastAsia="Cambria" w:hAnsi="Times New Roman"/>
          <w:szCs w:val="24"/>
          <w:lang w:eastAsia="ja-JP"/>
        </w:rPr>
        <w:t>compelled b</w:t>
      </w:r>
      <w:r w:rsidR="00987C16" w:rsidRPr="003A18EA">
        <w:rPr>
          <w:rFonts w:ascii="Times New Roman" w:eastAsia="Cambria" w:hAnsi="Times New Roman"/>
          <w:szCs w:val="24"/>
          <w:lang w:eastAsia="ja-JP"/>
        </w:rPr>
        <w:t>y the decision-maker to provide</w:t>
      </w:r>
      <w:r w:rsidR="00ED538C" w:rsidRPr="003A18EA">
        <w:rPr>
          <w:rFonts w:ascii="Times New Roman" w:eastAsia="Cambria" w:hAnsi="Times New Roman"/>
          <w:szCs w:val="24"/>
          <w:lang w:eastAsia="ja-JP"/>
        </w:rPr>
        <w:t xml:space="preserve"> information.</w:t>
      </w:r>
      <w:r w:rsidR="00FC1BD6" w:rsidRPr="003A18EA">
        <w:rPr>
          <w:rFonts w:ascii="Times New Roman" w:eastAsia="Cambria" w:hAnsi="Times New Roman"/>
          <w:szCs w:val="24"/>
          <w:lang w:eastAsia="ja-JP"/>
        </w:rPr>
        <w:t xml:space="preserve"> </w:t>
      </w:r>
      <w:r w:rsidR="00BE5912">
        <w:rPr>
          <w:rFonts w:ascii="Times New Roman" w:eastAsia="Cambria" w:hAnsi="Times New Roman"/>
          <w:szCs w:val="24"/>
          <w:lang w:eastAsia="ja-JP"/>
        </w:rPr>
        <w:t>It is featured</w:t>
      </w:r>
      <w:r w:rsidR="00ED538C" w:rsidRPr="003A18EA">
        <w:rPr>
          <w:rFonts w:ascii="Times New Roman" w:eastAsia="Cambria" w:hAnsi="Times New Roman"/>
          <w:szCs w:val="24"/>
          <w:lang w:eastAsia="ja-JP"/>
        </w:rPr>
        <w:t xml:space="preserve"> in </w:t>
      </w:r>
      <w:r w:rsidR="00BE5912">
        <w:rPr>
          <w:rFonts w:ascii="Times New Roman" w:eastAsia="Cambria" w:hAnsi="Times New Roman"/>
          <w:szCs w:val="24"/>
          <w:lang w:eastAsia="ja-JP"/>
        </w:rPr>
        <w:t>T</w:t>
      </w:r>
      <w:r w:rsidR="00ED538C" w:rsidRPr="003A18EA">
        <w:rPr>
          <w:rFonts w:ascii="Times New Roman" w:eastAsia="Cambria" w:hAnsi="Times New Roman"/>
          <w:szCs w:val="24"/>
          <w:lang w:eastAsia="ja-JP"/>
        </w:rPr>
        <w:t>ruth commissions with subpoena powers.</w:t>
      </w:r>
      <w:r w:rsidR="00ED538C" w:rsidRPr="003A18EA">
        <w:rPr>
          <w:rStyle w:val="FootnoteReference"/>
          <w:rFonts w:ascii="Times New Roman" w:eastAsia="Cambria" w:hAnsi="Times New Roman"/>
          <w:szCs w:val="24"/>
          <w:lang w:eastAsia="ja-JP"/>
        </w:rPr>
        <w:footnoteReference w:id="748"/>
      </w:r>
      <w:r w:rsidR="00ED538C" w:rsidRPr="003A18EA">
        <w:rPr>
          <w:rFonts w:ascii="Times New Roman" w:eastAsia="Cambria" w:hAnsi="Times New Roman"/>
          <w:szCs w:val="24"/>
          <w:lang w:eastAsia="ja-JP"/>
        </w:rPr>
        <w:t xml:space="preserve"> Victims are seen as witnesses rather than stakeholders who may exercise powers or influence during the proceedings.</w:t>
      </w:r>
    </w:p>
    <w:p w14:paraId="10B2FD72" w14:textId="77777777" w:rsidR="00ED538C" w:rsidRDefault="00ED538C" w:rsidP="003A18EA">
      <w:pPr>
        <w:spacing w:after="0" w:line="480" w:lineRule="auto"/>
        <w:jc w:val="both"/>
        <w:rPr>
          <w:rFonts w:ascii="Times New Roman" w:eastAsia="Cambria" w:hAnsi="Times New Roman"/>
          <w:szCs w:val="24"/>
          <w:lang w:eastAsia="ja-JP"/>
        </w:rPr>
      </w:pPr>
    </w:p>
    <w:p w14:paraId="76A46135" w14:textId="677332C5" w:rsidR="00110AA0" w:rsidRDefault="00987C16" w:rsidP="003A18E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It addition, the role of victims as information providers</w:t>
      </w:r>
      <w:r w:rsidR="00FC1BD6">
        <w:rPr>
          <w:rFonts w:ascii="Times New Roman" w:eastAsia="Cambria" w:hAnsi="Times New Roman"/>
          <w:szCs w:val="24"/>
          <w:lang w:eastAsia="ja-JP"/>
        </w:rPr>
        <w:t>,</w:t>
      </w:r>
      <w:r>
        <w:rPr>
          <w:rFonts w:ascii="Times New Roman" w:eastAsia="Cambria" w:hAnsi="Times New Roman"/>
          <w:szCs w:val="24"/>
          <w:lang w:eastAsia="ja-JP"/>
        </w:rPr>
        <w:t xml:space="preserve"> </w:t>
      </w:r>
      <w:r w:rsidR="007623BF">
        <w:rPr>
          <w:rFonts w:ascii="Times New Roman" w:eastAsia="Cambria" w:hAnsi="Times New Roman"/>
          <w:szCs w:val="24"/>
          <w:lang w:eastAsia="ja-JP"/>
        </w:rPr>
        <w:t>increases the risk of ‘tokenism’.</w:t>
      </w:r>
      <w:r w:rsidR="007623BF">
        <w:rPr>
          <w:rStyle w:val="FootnoteReference"/>
          <w:rFonts w:ascii="Times New Roman" w:eastAsia="Cambria" w:hAnsi="Times New Roman"/>
          <w:szCs w:val="24"/>
          <w:lang w:eastAsia="ja-JP"/>
        </w:rPr>
        <w:footnoteReference w:id="749"/>
      </w:r>
      <w:r w:rsidR="005B1196">
        <w:rPr>
          <w:rFonts w:ascii="Times New Roman" w:eastAsia="Cambria" w:hAnsi="Times New Roman"/>
          <w:szCs w:val="24"/>
          <w:lang w:eastAsia="ja-JP"/>
        </w:rPr>
        <w:t xml:space="preserve">Understandably, </w:t>
      </w:r>
      <w:r>
        <w:rPr>
          <w:rFonts w:ascii="Times New Roman" w:eastAsia="Cambria" w:hAnsi="Times New Roman"/>
          <w:szCs w:val="24"/>
          <w:lang w:eastAsia="ja-JP"/>
        </w:rPr>
        <w:t>victims who give testimonies as witnesses are underrepresented groups from a large pool of victims.</w:t>
      </w:r>
      <w:r w:rsidR="00576878">
        <w:rPr>
          <w:rFonts w:ascii="Times New Roman" w:eastAsia="Cambria" w:hAnsi="Times New Roman"/>
          <w:szCs w:val="24"/>
          <w:lang w:eastAsia="ja-JP"/>
        </w:rPr>
        <w:t xml:space="preserve"> Consequently, the process</w:t>
      </w:r>
      <w:r w:rsidR="006E622A" w:rsidRPr="00540D5C">
        <w:rPr>
          <w:rFonts w:ascii="Times New Roman" w:eastAsia="Cambria" w:hAnsi="Times New Roman"/>
          <w:szCs w:val="24"/>
          <w:lang w:eastAsia="ja-JP"/>
        </w:rPr>
        <w:t xml:space="preserve"> robs the victim of </w:t>
      </w:r>
      <w:r w:rsidR="00BE5912">
        <w:rPr>
          <w:rFonts w:ascii="Times New Roman" w:eastAsia="Cambria" w:hAnsi="Times New Roman"/>
          <w:szCs w:val="24"/>
          <w:lang w:eastAsia="ja-JP"/>
        </w:rPr>
        <w:t>choosing</w:t>
      </w:r>
      <w:r w:rsidR="006E622A" w:rsidRPr="00540D5C">
        <w:rPr>
          <w:rFonts w:ascii="Times New Roman" w:eastAsia="Cambria" w:hAnsi="Times New Roman"/>
          <w:szCs w:val="24"/>
          <w:lang w:eastAsia="ja-JP"/>
        </w:rPr>
        <w:t xml:space="preserve"> to provide information</w:t>
      </w:r>
      <w:r>
        <w:rPr>
          <w:rFonts w:ascii="Times New Roman" w:eastAsia="Cambria" w:hAnsi="Times New Roman"/>
          <w:szCs w:val="24"/>
          <w:lang w:eastAsia="ja-JP"/>
        </w:rPr>
        <w:t xml:space="preserve"> in their capacities as victims, as they are </w:t>
      </w:r>
      <w:r>
        <w:rPr>
          <w:rFonts w:ascii="Times New Roman" w:eastAsia="Cambria" w:hAnsi="Times New Roman"/>
          <w:szCs w:val="24"/>
          <w:lang w:eastAsia="ja-JP"/>
        </w:rPr>
        <w:lastRenderedPageBreak/>
        <w:t>under oath.</w:t>
      </w:r>
      <w:r w:rsidR="00FC1BD6">
        <w:rPr>
          <w:rFonts w:ascii="Times New Roman" w:eastAsia="Cambria" w:hAnsi="Times New Roman"/>
          <w:szCs w:val="24"/>
          <w:lang w:eastAsia="ja-JP"/>
        </w:rPr>
        <w:t xml:space="preserve"> </w:t>
      </w:r>
      <w:r>
        <w:rPr>
          <w:rFonts w:ascii="Times New Roman" w:eastAsia="Cambria" w:hAnsi="Times New Roman"/>
          <w:szCs w:val="24"/>
          <w:lang w:eastAsia="ja-JP"/>
        </w:rPr>
        <w:t>The role of victims as a stakeholder whose interests require attention is swept under the carpet</w:t>
      </w:r>
      <w:r w:rsidR="00BE5912">
        <w:rPr>
          <w:rFonts w:ascii="Times New Roman" w:eastAsia="Cambria" w:hAnsi="Times New Roman"/>
          <w:szCs w:val="24"/>
          <w:lang w:eastAsia="ja-JP"/>
        </w:rPr>
        <w:t>. At the same time,</w:t>
      </w:r>
      <w:r>
        <w:rPr>
          <w:rFonts w:ascii="Times New Roman" w:eastAsia="Cambria" w:hAnsi="Times New Roman"/>
          <w:szCs w:val="24"/>
          <w:lang w:eastAsia="ja-JP"/>
        </w:rPr>
        <w:t xml:space="preserve"> he acts as </w:t>
      </w:r>
      <w:r w:rsidR="00FC1BD6">
        <w:rPr>
          <w:rFonts w:ascii="Times New Roman" w:eastAsia="Cambria" w:hAnsi="Times New Roman"/>
          <w:szCs w:val="24"/>
          <w:lang w:eastAsia="ja-JP"/>
        </w:rPr>
        <w:t>an</w:t>
      </w:r>
      <w:r>
        <w:rPr>
          <w:rFonts w:ascii="Times New Roman" w:eastAsia="Cambria" w:hAnsi="Times New Roman"/>
          <w:szCs w:val="24"/>
          <w:lang w:eastAsia="ja-JP"/>
        </w:rPr>
        <w:t xml:space="preserve"> information provider in response to the </w:t>
      </w:r>
      <w:r w:rsidR="00340D66">
        <w:rPr>
          <w:rFonts w:ascii="Times New Roman" w:eastAsia="Cambria" w:hAnsi="Times New Roman"/>
          <w:szCs w:val="24"/>
          <w:lang w:eastAsia="ja-JP"/>
        </w:rPr>
        <w:t>decision maker's needs</w:t>
      </w:r>
      <w:r w:rsidR="000A4041">
        <w:rPr>
          <w:rFonts w:ascii="Times New Roman" w:eastAsia="Cambria" w:hAnsi="Times New Roman"/>
          <w:szCs w:val="24"/>
          <w:lang w:eastAsia="ja-JP"/>
        </w:rPr>
        <w:t>.</w:t>
      </w:r>
      <w:r w:rsidR="006E622A" w:rsidRPr="00540D5C">
        <w:rPr>
          <w:rFonts w:ascii="Times New Roman" w:eastAsia="Cambria" w:hAnsi="Times New Roman"/>
          <w:szCs w:val="24"/>
          <w:lang w:eastAsia="ja-JP"/>
        </w:rPr>
        <w:t xml:space="preserve"> </w:t>
      </w:r>
      <w:r w:rsidR="000A4041">
        <w:rPr>
          <w:rFonts w:ascii="Times New Roman" w:eastAsia="Cambria" w:hAnsi="Times New Roman"/>
          <w:szCs w:val="24"/>
          <w:lang w:eastAsia="ja-JP"/>
        </w:rPr>
        <w:t>T</w:t>
      </w:r>
      <w:r w:rsidR="006E622A" w:rsidRPr="00540D5C">
        <w:rPr>
          <w:rFonts w:ascii="Times New Roman" w:eastAsia="Cambria" w:hAnsi="Times New Roman"/>
          <w:szCs w:val="24"/>
          <w:lang w:eastAsia="ja-JP"/>
        </w:rPr>
        <w:t xml:space="preserve">he victim is </w:t>
      </w:r>
      <w:r w:rsidR="000A4041">
        <w:rPr>
          <w:rFonts w:ascii="Times New Roman" w:eastAsia="Cambria" w:hAnsi="Times New Roman"/>
          <w:szCs w:val="24"/>
          <w:lang w:eastAsia="ja-JP"/>
        </w:rPr>
        <w:t>perceived</w:t>
      </w:r>
      <w:r w:rsidR="006E622A" w:rsidRPr="00540D5C">
        <w:rPr>
          <w:rFonts w:ascii="Times New Roman" w:eastAsia="Cambria" w:hAnsi="Times New Roman"/>
          <w:szCs w:val="24"/>
          <w:lang w:eastAsia="ja-JP"/>
        </w:rPr>
        <w:t xml:space="preserve"> as a source of information</w:t>
      </w:r>
      <w:r w:rsidR="000A4041">
        <w:rPr>
          <w:rFonts w:ascii="Times New Roman" w:eastAsia="Cambria" w:hAnsi="Times New Roman"/>
          <w:szCs w:val="24"/>
          <w:lang w:eastAsia="ja-JP"/>
        </w:rPr>
        <w:t>;</w:t>
      </w:r>
      <w:r w:rsidR="00576878">
        <w:rPr>
          <w:rFonts w:ascii="Times New Roman" w:eastAsia="Cambria" w:hAnsi="Times New Roman"/>
          <w:szCs w:val="24"/>
          <w:lang w:eastAsia="ja-JP"/>
        </w:rPr>
        <w:t xml:space="preserve"> t</w:t>
      </w:r>
      <w:r w:rsidR="006E622A" w:rsidRPr="00540D5C">
        <w:rPr>
          <w:rFonts w:ascii="Times New Roman" w:eastAsia="Cambria" w:hAnsi="Times New Roman"/>
          <w:szCs w:val="24"/>
          <w:lang w:eastAsia="ja-JP"/>
        </w:rPr>
        <w:t>hey are put on oath to testify as witnesses during the trial</w:t>
      </w:r>
      <w:r w:rsidR="00340D66">
        <w:rPr>
          <w:rFonts w:ascii="Times New Roman" w:eastAsia="Cambria" w:hAnsi="Times New Roman"/>
          <w:szCs w:val="24"/>
          <w:lang w:eastAsia="ja-JP"/>
        </w:rPr>
        <w:t xml:space="preserve">. This brings to light the dual status of the victims. </w:t>
      </w:r>
      <w:r w:rsidR="006E622A" w:rsidRPr="00540D5C">
        <w:rPr>
          <w:rFonts w:ascii="Times New Roman" w:eastAsia="Cambria" w:hAnsi="Times New Roman"/>
          <w:szCs w:val="24"/>
          <w:lang w:eastAsia="ja-JP"/>
        </w:rPr>
        <w:t>These phase of testimonies is besieged with examinations in chief and cross-examination.</w:t>
      </w:r>
      <w:r w:rsidR="001F17A8" w:rsidRPr="00540D5C">
        <w:rPr>
          <w:rFonts w:ascii="Times New Roman" w:eastAsia="Cambria" w:hAnsi="Times New Roman"/>
          <w:szCs w:val="24"/>
          <w:lang w:eastAsia="ja-JP"/>
        </w:rPr>
        <w:t xml:space="preserve"> </w:t>
      </w:r>
    </w:p>
    <w:p w14:paraId="6BAF26C8" w14:textId="77777777" w:rsidR="00110AA0" w:rsidRDefault="00110AA0" w:rsidP="003A18EA">
      <w:pPr>
        <w:spacing w:after="0" w:line="480" w:lineRule="auto"/>
        <w:jc w:val="both"/>
        <w:rPr>
          <w:rFonts w:ascii="Times New Roman" w:eastAsia="Cambria" w:hAnsi="Times New Roman"/>
          <w:szCs w:val="24"/>
          <w:lang w:eastAsia="ja-JP"/>
        </w:rPr>
      </w:pPr>
    </w:p>
    <w:p w14:paraId="0F720688" w14:textId="512F9E85" w:rsidR="005B1196" w:rsidRDefault="00340D66" w:rsidP="003A18EA">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Victims as witnesses do</w:t>
      </w:r>
      <w:r w:rsidR="006E622A" w:rsidRPr="00540D5C">
        <w:rPr>
          <w:rFonts w:ascii="Times New Roman" w:eastAsia="Cambria" w:hAnsi="Times New Roman"/>
          <w:szCs w:val="24"/>
          <w:lang w:eastAsia="ja-JP"/>
        </w:rPr>
        <w:t xml:space="preserve"> not provide a convenient platform for victims to tell their stories or emote.</w:t>
      </w:r>
      <w:r w:rsidR="00EA7723">
        <w:rPr>
          <w:rFonts w:ascii="Times New Roman" w:eastAsia="Cambria" w:hAnsi="Times New Roman"/>
          <w:szCs w:val="24"/>
          <w:lang w:eastAsia="ja-JP"/>
        </w:rPr>
        <w:t xml:space="preserve"> </w:t>
      </w:r>
      <w:r w:rsidR="006E622A" w:rsidRPr="00540D5C">
        <w:rPr>
          <w:rFonts w:ascii="Times New Roman" w:eastAsia="Cambria" w:hAnsi="Times New Roman"/>
          <w:szCs w:val="24"/>
          <w:lang w:eastAsia="ja-JP"/>
        </w:rPr>
        <w:t>Their primary function is to provide accurate information to the parties.</w:t>
      </w:r>
      <w:r w:rsidR="006E622A" w:rsidRPr="00540D5C">
        <w:rPr>
          <w:rFonts w:ascii="Times New Roman" w:eastAsia="Cambria" w:hAnsi="Times New Roman"/>
          <w:szCs w:val="24"/>
          <w:vertAlign w:val="superscript"/>
          <w:lang w:eastAsia="ja-JP"/>
        </w:rPr>
        <w:footnoteReference w:id="750"/>
      </w:r>
      <w:r w:rsidR="006E622A" w:rsidRPr="00540D5C">
        <w:rPr>
          <w:rFonts w:ascii="Times New Roman" w:eastAsia="Cambria" w:hAnsi="Times New Roman"/>
          <w:szCs w:val="24"/>
          <w:lang w:eastAsia="ja-JP"/>
        </w:rPr>
        <w:t xml:space="preserve">At this stage, the privileges of victim status </w:t>
      </w:r>
      <w:r w:rsidR="00EA7723">
        <w:rPr>
          <w:rFonts w:ascii="Times New Roman" w:eastAsia="Cambria" w:hAnsi="Times New Roman"/>
          <w:szCs w:val="24"/>
          <w:lang w:eastAsia="ja-JP"/>
        </w:rPr>
        <w:t>are</w:t>
      </w:r>
      <w:r w:rsidR="006E622A" w:rsidRPr="00540D5C">
        <w:rPr>
          <w:rFonts w:ascii="Times New Roman" w:eastAsia="Cambria" w:hAnsi="Times New Roman"/>
          <w:szCs w:val="24"/>
          <w:lang w:eastAsia="ja-JP"/>
        </w:rPr>
        <w:t xml:space="preserve"> suspended.</w:t>
      </w:r>
      <w:r w:rsidR="00EA7723">
        <w:rPr>
          <w:rFonts w:ascii="Times New Roman" w:eastAsia="Cambria" w:hAnsi="Times New Roman"/>
          <w:szCs w:val="24"/>
          <w:lang w:eastAsia="ja-JP"/>
        </w:rPr>
        <w:t xml:space="preserve"> </w:t>
      </w:r>
      <w:r w:rsidR="0098415D">
        <w:rPr>
          <w:rFonts w:ascii="Times New Roman" w:eastAsia="Cambria" w:hAnsi="Times New Roman"/>
          <w:szCs w:val="24"/>
          <w:lang w:eastAsia="ja-JP"/>
        </w:rPr>
        <w:t>A</w:t>
      </w:r>
      <w:r w:rsidR="00110AA0">
        <w:rPr>
          <w:rFonts w:ascii="Times New Roman" w:eastAsia="Cambria" w:hAnsi="Times New Roman"/>
          <w:szCs w:val="24"/>
          <w:lang w:eastAsia="ja-JP"/>
        </w:rPr>
        <w:t>n excellent</w:t>
      </w:r>
      <w:r w:rsidR="0098415D">
        <w:rPr>
          <w:rFonts w:ascii="Times New Roman" w:eastAsia="Cambria" w:hAnsi="Times New Roman"/>
          <w:szCs w:val="24"/>
          <w:lang w:eastAsia="ja-JP"/>
        </w:rPr>
        <w:t xml:space="preserve"> example of this can be found in </w:t>
      </w:r>
      <w:r w:rsidR="00EA5B64">
        <w:rPr>
          <w:rFonts w:ascii="Times New Roman" w:eastAsia="Cambria" w:hAnsi="Times New Roman"/>
          <w:szCs w:val="24"/>
          <w:lang w:eastAsia="ja-JP"/>
        </w:rPr>
        <w:t>the arguments of the prosecutor:</w:t>
      </w:r>
      <w:r w:rsidR="00110AA0">
        <w:rPr>
          <w:rFonts w:ascii="Times New Roman" w:eastAsia="Cambria" w:hAnsi="Times New Roman"/>
          <w:szCs w:val="24"/>
          <w:lang w:eastAsia="ja-JP"/>
        </w:rPr>
        <w:t xml:space="preserve"> </w:t>
      </w:r>
      <w:r w:rsidR="00EA5B64">
        <w:rPr>
          <w:rFonts w:ascii="Times New Roman" w:eastAsia="Cambria" w:hAnsi="Times New Roman"/>
          <w:szCs w:val="24"/>
          <w:lang w:eastAsia="ja-JP"/>
        </w:rPr>
        <w:t>“</w:t>
      </w:r>
      <w:r w:rsidR="00EA5B64" w:rsidRPr="00EA7723">
        <w:rPr>
          <w:rFonts w:ascii="Times New Roman" w:eastAsia="Cambria" w:hAnsi="Times New Roman"/>
          <w:szCs w:val="24"/>
          <w:lang w:eastAsia="ja-JP"/>
        </w:rPr>
        <w:t xml:space="preserve">such status is fraught with confusion and opens the door to victims intruding into the investigation process, the exclusive province </w:t>
      </w:r>
      <w:r w:rsidR="005F708B">
        <w:rPr>
          <w:rFonts w:ascii="Times New Roman" w:eastAsia="Cambria" w:hAnsi="Times New Roman"/>
          <w:szCs w:val="24"/>
          <w:lang w:eastAsia="ja-JP"/>
        </w:rPr>
        <w:t>o</w:t>
      </w:r>
      <w:r w:rsidR="00EA5B64" w:rsidRPr="00EA7723">
        <w:rPr>
          <w:rFonts w:ascii="Times New Roman" w:eastAsia="Cambria" w:hAnsi="Times New Roman"/>
          <w:szCs w:val="24"/>
          <w:lang w:eastAsia="ja-JP"/>
        </w:rPr>
        <w:t>f the Prosecutor</w:t>
      </w:r>
      <w:r w:rsidR="00EA7723">
        <w:rPr>
          <w:rFonts w:ascii="Times New Roman" w:eastAsia="Cambria" w:hAnsi="Times New Roman"/>
          <w:szCs w:val="24"/>
          <w:lang w:eastAsia="ja-JP"/>
        </w:rPr>
        <w:t>.</w:t>
      </w:r>
      <w:r w:rsidR="00110AA0">
        <w:rPr>
          <w:rFonts w:ascii="Times New Roman" w:eastAsia="Cambria" w:hAnsi="Times New Roman"/>
          <w:szCs w:val="24"/>
          <w:lang w:eastAsia="ja-JP"/>
        </w:rPr>
        <w:t>”</w:t>
      </w:r>
      <w:r w:rsidR="00EA5B64">
        <w:rPr>
          <w:rStyle w:val="FootnoteReference"/>
          <w:rFonts w:ascii="Times New Roman" w:eastAsia="Cambria" w:hAnsi="Times New Roman"/>
          <w:szCs w:val="24"/>
          <w:lang w:eastAsia="ja-JP"/>
        </w:rPr>
        <w:footnoteReference w:id="751"/>
      </w:r>
      <w:r w:rsidR="00EA7723">
        <w:rPr>
          <w:rFonts w:ascii="Times New Roman" w:eastAsia="Cambria" w:hAnsi="Times New Roman"/>
          <w:szCs w:val="24"/>
          <w:lang w:eastAsia="ja-JP"/>
        </w:rPr>
        <w:t xml:space="preserve"> </w:t>
      </w:r>
      <w:r w:rsidR="00C51233">
        <w:rPr>
          <w:rFonts w:ascii="Times New Roman" w:eastAsia="Cambria" w:hAnsi="Times New Roman"/>
          <w:szCs w:val="24"/>
          <w:lang w:eastAsia="ja-JP"/>
        </w:rPr>
        <w:t>The Prosecutor’s arguments present a perspective which d</w:t>
      </w:r>
      <w:r w:rsidR="00541C81">
        <w:rPr>
          <w:rFonts w:ascii="Times New Roman" w:eastAsia="Cambria" w:hAnsi="Times New Roman"/>
          <w:szCs w:val="24"/>
          <w:lang w:eastAsia="ja-JP"/>
        </w:rPr>
        <w:t>oes not grant a warm</w:t>
      </w:r>
      <w:r w:rsidR="00C51233">
        <w:rPr>
          <w:rFonts w:ascii="Times New Roman" w:eastAsia="Cambria" w:hAnsi="Times New Roman"/>
          <w:szCs w:val="24"/>
          <w:lang w:eastAsia="ja-JP"/>
        </w:rPr>
        <w:t xml:space="preserve"> welcome for victims inclusivity in criminal proceedings.</w:t>
      </w:r>
      <w:r w:rsidR="00EA7723">
        <w:rPr>
          <w:rFonts w:ascii="Times New Roman" w:eastAsia="Cambria" w:hAnsi="Times New Roman"/>
          <w:szCs w:val="24"/>
          <w:lang w:eastAsia="ja-JP"/>
        </w:rPr>
        <w:t xml:space="preserve"> </w:t>
      </w:r>
      <w:r w:rsidR="00BE5912">
        <w:rPr>
          <w:rFonts w:ascii="Times New Roman" w:eastAsia="Cambria" w:hAnsi="Times New Roman"/>
          <w:szCs w:val="24"/>
          <w:lang w:eastAsia="ja-JP"/>
        </w:rPr>
        <w:t>H</w:t>
      </w:r>
      <w:r w:rsidR="00C51233">
        <w:rPr>
          <w:rFonts w:ascii="Times New Roman" w:eastAsia="Cambria" w:hAnsi="Times New Roman"/>
          <w:szCs w:val="24"/>
          <w:lang w:eastAsia="ja-JP"/>
        </w:rPr>
        <w:t xml:space="preserve">is </w:t>
      </w:r>
      <w:r w:rsidR="005F708B">
        <w:rPr>
          <w:rFonts w:ascii="Times New Roman" w:eastAsia="Cambria" w:hAnsi="Times New Roman"/>
          <w:szCs w:val="24"/>
          <w:lang w:eastAsia="ja-JP"/>
        </w:rPr>
        <w:t>view</w:t>
      </w:r>
      <w:r w:rsidR="00C51233">
        <w:rPr>
          <w:rFonts w:ascii="Times New Roman" w:eastAsia="Cambria" w:hAnsi="Times New Roman"/>
          <w:szCs w:val="24"/>
          <w:lang w:eastAsia="ja-JP"/>
        </w:rPr>
        <w:t xml:space="preserve">s </w:t>
      </w:r>
      <w:r w:rsidR="00BE5912">
        <w:rPr>
          <w:rFonts w:ascii="Times New Roman" w:eastAsia="Cambria" w:hAnsi="Times New Roman"/>
          <w:szCs w:val="24"/>
          <w:lang w:eastAsia="ja-JP"/>
        </w:rPr>
        <w:t>emphasise</w:t>
      </w:r>
      <w:r w:rsidR="00C51233">
        <w:rPr>
          <w:rFonts w:ascii="Times New Roman" w:eastAsia="Cambria" w:hAnsi="Times New Roman"/>
          <w:szCs w:val="24"/>
          <w:lang w:eastAsia="ja-JP"/>
        </w:rPr>
        <w:t xml:space="preserve"> </w:t>
      </w:r>
      <w:r>
        <w:rPr>
          <w:rFonts w:ascii="Times New Roman" w:eastAsia="Cambria" w:hAnsi="Times New Roman"/>
          <w:szCs w:val="24"/>
          <w:lang w:eastAsia="ja-JP"/>
        </w:rPr>
        <w:t>victims' initial state</w:t>
      </w:r>
      <w:r w:rsidR="00C51233">
        <w:rPr>
          <w:rFonts w:ascii="Times New Roman" w:eastAsia="Cambria" w:hAnsi="Times New Roman"/>
          <w:szCs w:val="24"/>
          <w:lang w:eastAsia="ja-JP"/>
        </w:rPr>
        <w:t xml:space="preserve"> as witnesses(information provid</w:t>
      </w:r>
      <w:r w:rsidR="00EA7723">
        <w:rPr>
          <w:rFonts w:ascii="Times New Roman" w:eastAsia="Cambria" w:hAnsi="Times New Roman"/>
          <w:szCs w:val="24"/>
          <w:lang w:eastAsia="ja-JP"/>
        </w:rPr>
        <w:t>er)</w:t>
      </w:r>
      <w:r w:rsidR="00DD1176">
        <w:rPr>
          <w:rFonts w:ascii="Times New Roman" w:eastAsia="Cambria" w:hAnsi="Times New Roman"/>
          <w:szCs w:val="24"/>
          <w:lang w:eastAsia="ja-JP"/>
        </w:rPr>
        <w:t>, in contrast to their</w:t>
      </w:r>
      <w:r w:rsidR="00C51233">
        <w:rPr>
          <w:rFonts w:ascii="Times New Roman" w:eastAsia="Cambria" w:hAnsi="Times New Roman"/>
          <w:szCs w:val="24"/>
          <w:lang w:eastAsia="ja-JP"/>
        </w:rPr>
        <w:t xml:space="preserve"> emergent s</w:t>
      </w:r>
      <w:r w:rsidR="00541C81">
        <w:rPr>
          <w:rFonts w:ascii="Times New Roman" w:eastAsia="Cambria" w:hAnsi="Times New Roman"/>
          <w:szCs w:val="24"/>
          <w:lang w:eastAsia="ja-JP"/>
        </w:rPr>
        <w:t xml:space="preserve">tatus as </w:t>
      </w:r>
      <w:r w:rsidR="00C51233">
        <w:rPr>
          <w:rFonts w:ascii="Times New Roman" w:eastAsia="Cambria" w:hAnsi="Times New Roman"/>
          <w:szCs w:val="24"/>
          <w:lang w:eastAsia="ja-JP"/>
        </w:rPr>
        <w:t>stakeholders.</w:t>
      </w:r>
    </w:p>
    <w:p w14:paraId="2805CAF0" w14:textId="77777777" w:rsidR="005B1196" w:rsidRDefault="005B1196" w:rsidP="003A18EA">
      <w:pPr>
        <w:spacing w:after="0" w:line="480" w:lineRule="auto"/>
        <w:jc w:val="both"/>
        <w:rPr>
          <w:rFonts w:ascii="Times New Roman" w:eastAsia="Cambria" w:hAnsi="Times New Roman"/>
          <w:szCs w:val="24"/>
          <w:lang w:eastAsia="ja-JP"/>
        </w:rPr>
      </w:pPr>
    </w:p>
    <w:p w14:paraId="133F2C62" w14:textId="428CB14D" w:rsidR="00340D66" w:rsidRDefault="005B1196" w:rsidP="005B1196">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 xml:space="preserve">The </w:t>
      </w:r>
      <w:r w:rsidRPr="00541C81">
        <w:rPr>
          <w:rFonts w:ascii="Times New Roman" w:eastAsia="Cambria" w:hAnsi="Times New Roman"/>
          <w:szCs w:val="24"/>
          <w:lang w:eastAsia="ja-JP"/>
        </w:rPr>
        <w:t>victims’ right to present evidence at the</w:t>
      </w:r>
      <w:r>
        <w:rPr>
          <w:rFonts w:ascii="Times New Roman" w:eastAsia="Cambria" w:hAnsi="Times New Roman"/>
          <w:szCs w:val="24"/>
          <w:lang w:eastAsia="ja-JP"/>
        </w:rPr>
        <w:t xml:space="preserve"> trial was examined in the Lubanga case</w:t>
      </w:r>
      <w:r w:rsidR="00340D66">
        <w:rPr>
          <w:rFonts w:ascii="Times New Roman" w:eastAsia="Cambria" w:hAnsi="Times New Roman"/>
          <w:szCs w:val="24"/>
          <w:lang w:eastAsia="ja-JP"/>
        </w:rPr>
        <w:t>. The prosecutor and the Defence sought leave to appeal the Trial Chamber decision(referred to as an</w:t>
      </w:r>
      <w:r w:rsidRPr="00541C81">
        <w:rPr>
          <w:rFonts w:ascii="Times New Roman" w:eastAsia="Cambria" w:hAnsi="Times New Roman"/>
          <w:szCs w:val="24"/>
          <w:lang w:eastAsia="ja-JP"/>
        </w:rPr>
        <w:t xml:space="preserve"> impugned decision).</w:t>
      </w:r>
      <w:r w:rsidRPr="00541C81">
        <w:rPr>
          <w:rFonts w:ascii="Times New Roman" w:eastAsia="Cambria" w:hAnsi="Times New Roman"/>
          <w:szCs w:val="24"/>
          <w:vertAlign w:val="superscript"/>
          <w:lang w:eastAsia="ja-JP"/>
        </w:rPr>
        <w:footnoteReference w:id="752"/>
      </w:r>
      <w:r w:rsidRPr="00541C81">
        <w:rPr>
          <w:rFonts w:ascii="Times New Roman" w:eastAsia="Cambria" w:hAnsi="Times New Roman"/>
          <w:szCs w:val="24"/>
          <w:lang w:eastAsia="ja-JP"/>
        </w:rPr>
        <w:t xml:space="preserve">On merits,  the AC had to decide </w:t>
      </w:r>
      <w:r w:rsidR="00340D66">
        <w:rPr>
          <w:rFonts w:ascii="Times New Roman" w:eastAsia="Cambria" w:hAnsi="Times New Roman"/>
          <w:szCs w:val="24"/>
          <w:lang w:eastAsia="ja-JP"/>
        </w:rPr>
        <w:t xml:space="preserve">whether it was possible for victims participating at trial to lead evidence pertaining to the </w:t>
      </w:r>
      <w:r w:rsidR="007D0F7F">
        <w:rPr>
          <w:rFonts w:ascii="Times New Roman" w:eastAsia="Cambria" w:hAnsi="Times New Roman"/>
          <w:szCs w:val="24"/>
          <w:lang w:eastAsia="ja-JP"/>
        </w:rPr>
        <w:t>accused's guilt or innocence</w:t>
      </w:r>
      <w:r w:rsidR="00340D66">
        <w:rPr>
          <w:rFonts w:ascii="Times New Roman" w:eastAsia="Cambria" w:hAnsi="Times New Roman"/>
          <w:szCs w:val="24"/>
          <w:lang w:eastAsia="ja-JP"/>
        </w:rPr>
        <w:t xml:space="preserve"> and</w:t>
      </w:r>
      <w:r w:rsidRPr="00541C81">
        <w:rPr>
          <w:rFonts w:ascii="Times New Roman" w:eastAsia="Cambria" w:hAnsi="Times New Roman"/>
          <w:szCs w:val="24"/>
          <w:lang w:eastAsia="ja-JP"/>
        </w:rPr>
        <w:t xml:space="preserve"> challenge </w:t>
      </w:r>
      <w:r w:rsidR="00887767">
        <w:rPr>
          <w:rFonts w:ascii="Times New Roman" w:eastAsia="Cambria" w:hAnsi="Times New Roman"/>
          <w:szCs w:val="24"/>
          <w:lang w:eastAsia="ja-JP"/>
        </w:rPr>
        <w:t>evidence's admissibility</w:t>
      </w:r>
      <w:r w:rsidRPr="00541C81">
        <w:rPr>
          <w:rFonts w:ascii="Times New Roman" w:eastAsia="Cambria" w:hAnsi="Times New Roman"/>
          <w:szCs w:val="24"/>
          <w:lang w:eastAsia="ja-JP"/>
        </w:rPr>
        <w:t>.</w:t>
      </w:r>
      <w:r w:rsidRPr="00541C81">
        <w:rPr>
          <w:rFonts w:ascii="Times New Roman" w:eastAsia="Cambria" w:hAnsi="Times New Roman"/>
          <w:szCs w:val="24"/>
          <w:vertAlign w:val="superscript"/>
          <w:lang w:eastAsia="ja-JP"/>
        </w:rPr>
        <w:footnoteReference w:id="753"/>
      </w:r>
      <w:r w:rsidRPr="00541C81">
        <w:rPr>
          <w:rFonts w:ascii="Times New Roman" w:eastAsia="Cambria" w:hAnsi="Times New Roman"/>
          <w:szCs w:val="24"/>
          <w:lang w:eastAsia="ja-JP"/>
        </w:rPr>
        <w:t xml:space="preserve"> The impugned decision found that the right to introduce evidence is not exclusive to the parties.</w:t>
      </w:r>
      <w:r>
        <w:rPr>
          <w:rFonts w:ascii="Times New Roman" w:eastAsia="Cambria" w:hAnsi="Times New Roman"/>
          <w:szCs w:val="24"/>
          <w:lang w:eastAsia="ja-JP"/>
        </w:rPr>
        <w:t xml:space="preserve"> </w:t>
      </w:r>
      <w:r w:rsidRPr="00541C81">
        <w:rPr>
          <w:rFonts w:ascii="Times New Roman" w:eastAsia="Cambria" w:hAnsi="Times New Roman"/>
          <w:szCs w:val="24"/>
          <w:lang w:eastAsia="ja-JP"/>
        </w:rPr>
        <w:t xml:space="preserve">The Court has a general right(not dependent on the </w:t>
      </w:r>
      <w:r w:rsidR="00340D66">
        <w:rPr>
          <w:rFonts w:ascii="Times New Roman" w:eastAsia="Cambria" w:hAnsi="Times New Roman"/>
          <w:szCs w:val="24"/>
          <w:lang w:eastAsia="ja-JP"/>
        </w:rPr>
        <w:t>parties' consent</w:t>
      </w:r>
      <w:r w:rsidRPr="00541C81">
        <w:rPr>
          <w:rFonts w:ascii="Times New Roman" w:eastAsia="Cambria" w:hAnsi="Times New Roman"/>
          <w:szCs w:val="24"/>
          <w:lang w:eastAsia="ja-JP"/>
        </w:rPr>
        <w:t xml:space="preserve">) </w:t>
      </w:r>
      <w:r w:rsidRPr="00541C81">
        <w:rPr>
          <w:rFonts w:ascii="Times New Roman" w:eastAsia="Cambria" w:hAnsi="Times New Roman"/>
          <w:i/>
          <w:szCs w:val="24"/>
          <w:lang w:eastAsia="ja-JP"/>
        </w:rPr>
        <w:t>to request the presentati</w:t>
      </w:r>
      <w:r>
        <w:rPr>
          <w:rFonts w:ascii="Times New Roman" w:eastAsia="Cambria" w:hAnsi="Times New Roman"/>
          <w:i/>
          <w:szCs w:val="24"/>
          <w:lang w:eastAsia="ja-JP"/>
        </w:rPr>
        <w:t>on of all ev</w:t>
      </w:r>
      <w:r w:rsidRPr="00541C81">
        <w:rPr>
          <w:rFonts w:ascii="Times New Roman" w:eastAsia="Cambria" w:hAnsi="Times New Roman"/>
          <w:i/>
          <w:szCs w:val="24"/>
          <w:lang w:eastAsia="ja-JP"/>
        </w:rPr>
        <w:t xml:space="preserve">idence necessary for the determination of the truth, pursuant to </w:t>
      </w:r>
      <w:r>
        <w:rPr>
          <w:rFonts w:ascii="Times New Roman" w:eastAsia="Cambria" w:hAnsi="Times New Roman"/>
          <w:i/>
          <w:szCs w:val="24"/>
          <w:lang w:eastAsia="ja-JP"/>
        </w:rPr>
        <w:t>A</w:t>
      </w:r>
      <w:r w:rsidRPr="00541C81">
        <w:rPr>
          <w:rFonts w:ascii="Times New Roman" w:eastAsia="Cambria" w:hAnsi="Times New Roman"/>
          <w:i/>
          <w:szCs w:val="24"/>
          <w:lang w:eastAsia="ja-JP"/>
        </w:rPr>
        <w:t>rticle 69(3).</w:t>
      </w:r>
      <w:r w:rsidRPr="00541C81">
        <w:rPr>
          <w:rFonts w:ascii="Times New Roman" w:eastAsia="Cambria" w:hAnsi="Times New Roman"/>
          <w:i/>
          <w:szCs w:val="24"/>
          <w:vertAlign w:val="superscript"/>
          <w:lang w:eastAsia="ja-JP"/>
        </w:rPr>
        <w:footnoteReference w:id="754"/>
      </w:r>
      <w:r w:rsidRPr="00541C81">
        <w:rPr>
          <w:rFonts w:ascii="Times New Roman" w:eastAsia="Cambria" w:hAnsi="Times New Roman"/>
          <w:szCs w:val="24"/>
          <w:lang w:eastAsia="ja-JP"/>
        </w:rPr>
        <w:t xml:space="preserve"> The Prosecutor argued that TC committed a ‘legal error’ for decidin</w:t>
      </w:r>
      <w:r>
        <w:rPr>
          <w:rFonts w:ascii="Times New Roman" w:eastAsia="Cambria" w:hAnsi="Times New Roman"/>
          <w:szCs w:val="24"/>
          <w:lang w:eastAsia="ja-JP"/>
        </w:rPr>
        <w:t>g that victims may introduce evidenc</w:t>
      </w:r>
      <w:r w:rsidRPr="00541C81">
        <w:rPr>
          <w:rFonts w:ascii="Times New Roman" w:eastAsia="Cambria" w:hAnsi="Times New Roman"/>
          <w:szCs w:val="24"/>
          <w:lang w:eastAsia="ja-JP"/>
        </w:rPr>
        <w:t xml:space="preserve">e </w:t>
      </w:r>
      <w:r>
        <w:rPr>
          <w:rFonts w:ascii="Times New Roman" w:eastAsia="Cambria" w:hAnsi="Times New Roman"/>
          <w:szCs w:val="24"/>
          <w:lang w:eastAsia="ja-JP"/>
        </w:rPr>
        <w:t>on</w:t>
      </w:r>
      <w:r w:rsidRPr="00541C81">
        <w:rPr>
          <w:rFonts w:ascii="Times New Roman" w:eastAsia="Cambria" w:hAnsi="Times New Roman"/>
          <w:szCs w:val="24"/>
          <w:lang w:eastAsia="ja-JP"/>
        </w:rPr>
        <w:t xml:space="preserve"> the guilt or innocence of the accused and t</w:t>
      </w:r>
      <w:r w:rsidR="00340D66">
        <w:rPr>
          <w:rFonts w:ascii="Times New Roman" w:eastAsia="Cambria" w:hAnsi="Times New Roman"/>
          <w:szCs w:val="24"/>
          <w:lang w:eastAsia="ja-JP"/>
        </w:rPr>
        <w:t>he extent to which</w:t>
      </w:r>
      <w:r w:rsidRPr="00541C81">
        <w:rPr>
          <w:rFonts w:ascii="Times New Roman" w:eastAsia="Cambria" w:hAnsi="Times New Roman"/>
          <w:szCs w:val="24"/>
          <w:lang w:eastAsia="ja-JP"/>
        </w:rPr>
        <w:t xml:space="preserve"> it authorised victims </w:t>
      </w:r>
      <w:r w:rsidR="007D0F7F">
        <w:rPr>
          <w:rFonts w:ascii="Times New Roman" w:eastAsia="Cambria" w:hAnsi="Times New Roman"/>
          <w:szCs w:val="24"/>
          <w:lang w:eastAsia="ja-JP"/>
        </w:rPr>
        <w:t>can</w:t>
      </w:r>
      <w:r w:rsidRPr="00541C81">
        <w:rPr>
          <w:rFonts w:ascii="Times New Roman" w:eastAsia="Cambria" w:hAnsi="Times New Roman"/>
          <w:szCs w:val="24"/>
          <w:lang w:eastAsia="ja-JP"/>
        </w:rPr>
        <w:t xml:space="preserve"> challenge the </w:t>
      </w:r>
      <w:r w:rsidR="007D0F7F">
        <w:rPr>
          <w:rFonts w:ascii="Times New Roman" w:eastAsia="Cambria" w:hAnsi="Times New Roman"/>
          <w:szCs w:val="24"/>
          <w:lang w:eastAsia="ja-JP"/>
        </w:rPr>
        <w:t>evidence's admissibility or releva</w:t>
      </w:r>
      <w:r w:rsidRPr="00541C81">
        <w:rPr>
          <w:rFonts w:ascii="Times New Roman" w:eastAsia="Cambria" w:hAnsi="Times New Roman"/>
          <w:szCs w:val="24"/>
          <w:lang w:eastAsia="ja-JP"/>
        </w:rPr>
        <w:t>nce.</w:t>
      </w:r>
      <w:r w:rsidRPr="00541C81">
        <w:rPr>
          <w:rFonts w:ascii="Times New Roman" w:eastAsia="Cambria" w:hAnsi="Times New Roman"/>
          <w:szCs w:val="24"/>
          <w:vertAlign w:val="superscript"/>
          <w:lang w:eastAsia="ja-JP"/>
        </w:rPr>
        <w:footnoteReference w:id="755"/>
      </w:r>
      <w:r>
        <w:rPr>
          <w:rFonts w:ascii="Times New Roman" w:eastAsia="Cambria" w:hAnsi="Times New Roman"/>
          <w:szCs w:val="24"/>
          <w:lang w:eastAsia="ja-JP"/>
        </w:rPr>
        <w:t>The Statute exclusively vests this power in the prosecutor.</w:t>
      </w:r>
      <w:r>
        <w:rPr>
          <w:rStyle w:val="FootnoteReference"/>
          <w:rFonts w:ascii="Times New Roman" w:eastAsia="Cambria" w:hAnsi="Times New Roman"/>
          <w:szCs w:val="24"/>
          <w:lang w:eastAsia="ja-JP"/>
        </w:rPr>
        <w:footnoteReference w:id="756"/>
      </w:r>
      <w:r>
        <w:rPr>
          <w:rFonts w:ascii="Times New Roman" w:eastAsia="Cambria" w:hAnsi="Times New Roman"/>
          <w:szCs w:val="24"/>
          <w:lang w:eastAsia="ja-JP"/>
        </w:rPr>
        <w:t xml:space="preserve"> The Prosecutor</w:t>
      </w:r>
      <w:r w:rsidRPr="00541C81">
        <w:rPr>
          <w:rFonts w:ascii="Times New Roman" w:eastAsia="Cambria" w:hAnsi="Times New Roman"/>
          <w:szCs w:val="24"/>
          <w:lang w:eastAsia="ja-JP"/>
        </w:rPr>
        <w:t xml:space="preserve"> also contende</w:t>
      </w:r>
      <w:r>
        <w:rPr>
          <w:rFonts w:ascii="Times New Roman" w:eastAsia="Cambria" w:hAnsi="Times New Roman"/>
          <w:szCs w:val="24"/>
          <w:lang w:eastAsia="ja-JP"/>
        </w:rPr>
        <w:t>d</w:t>
      </w:r>
      <w:r w:rsidRPr="00541C81">
        <w:rPr>
          <w:rFonts w:ascii="Times New Roman" w:eastAsia="Cambria" w:hAnsi="Times New Roman"/>
          <w:szCs w:val="24"/>
          <w:lang w:eastAsia="ja-JP"/>
        </w:rPr>
        <w:t xml:space="preserve"> that the presentation of views and concerns under </w:t>
      </w:r>
      <w:r>
        <w:rPr>
          <w:rFonts w:ascii="Times New Roman" w:eastAsia="Cambria" w:hAnsi="Times New Roman"/>
          <w:szCs w:val="24"/>
          <w:lang w:eastAsia="ja-JP"/>
        </w:rPr>
        <w:t>A</w:t>
      </w:r>
      <w:r w:rsidRPr="00541C81">
        <w:rPr>
          <w:rFonts w:ascii="Times New Roman" w:eastAsia="Cambria" w:hAnsi="Times New Roman"/>
          <w:szCs w:val="24"/>
          <w:lang w:eastAsia="ja-JP"/>
        </w:rPr>
        <w:t>rticle 68(3) of the Statute connotes the right of victims to present ‘</w:t>
      </w:r>
      <w:r w:rsidRPr="00541C81">
        <w:rPr>
          <w:rFonts w:ascii="Times New Roman" w:eastAsia="Cambria" w:hAnsi="Times New Roman"/>
          <w:i/>
          <w:szCs w:val="24"/>
          <w:lang w:eastAsia="ja-JP"/>
        </w:rPr>
        <w:t xml:space="preserve">their personal perspective or opinion on an issue’ </w:t>
      </w:r>
      <w:r w:rsidRPr="00541C81">
        <w:rPr>
          <w:rFonts w:ascii="Times New Roman" w:eastAsia="Cambria" w:hAnsi="Times New Roman"/>
          <w:szCs w:val="24"/>
          <w:lang w:eastAsia="ja-JP"/>
        </w:rPr>
        <w:t>rather than the submission of evidence.</w:t>
      </w:r>
      <w:r w:rsidR="00340D66">
        <w:rPr>
          <w:rStyle w:val="FootnoteReference"/>
          <w:rFonts w:ascii="Times New Roman" w:eastAsia="Cambria" w:hAnsi="Times New Roman"/>
          <w:szCs w:val="24"/>
          <w:lang w:eastAsia="ja-JP"/>
        </w:rPr>
        <w:footnoteReference w:id="757"/>
      </w:r>
    </w:p>
    <w:p w14:paraId="769F683A" w14:textId="77777777" w:rsidR="00340D66" w:rsidRDefault="00340D66" w:rsidP="005B1196">
      <w:pPr>
        <w:spacing w:after="0" w:line="480" w:lineRule="auto"/>
        <w:jc w:val="both"/>
        <w:rPr>
          <w:rFonts w:ascii="Times New Roman" w:eastAsia="Cambria" w:hAnsi="Times New Roman"/>
          <w:szCs w:val="24"/>
          <w:vertAlign w:val="superscript"/>
          <w:lang w:eastAsia="ja-JP"/>
        </w:rPr>
      </w:pPr>
    </w:p>
    <w:p w14:paraId="0147314F" w14:textId="64A39221" w:rsidR="005B1196" w:rsidRPr="00541C81" w:rsidRDefault="005B1196" w:rsidP="005B1196">
      <w:pPr>
        <w:spacing w:after="0" w:line="480" w:lineRule="auto"/>
        <w:jc w:val="both"/>
        <w:rPr>
          <w:rFonts w:ascii="Times New Roman" w:eastAsia="Cambria" w:hAnsi="Times New Roman"/>
          <w:szCs w:val="24"/>
          <w:lang w:eastAsia="ja-JP"/>
        </w:rPr>
      </w:pPr>
      <w:r w:rsidRPr="00541C81">
        <w:rPr>
          <w:rFonts w:ascii="Times New Roman" w:eastAsia="Cambria" w:hAnsi="Times New Roman"/>
          <w:szCs w:val="24"/>
          <w:lang w:eastAsia="ja-JP"/>
        </w:rPr>
        <w:t xml:space="preserve">Moreover, the Prosecutor averred that the TC’s powers under Articles 64(6) (d) and 69(3) do not provide </w:t>
      </w:r>
      <w:r>
        <w:rPr>
          <w:rFonts w:ascii="Times New Roman" w:eastAsia="Cambria" w:hAnsi="Times New Roman"/>
          <w:szCs w:val="24"/>
          <w:lang w:eastAsia="ja-JP"/>
        </w:rPr>
        <w:t xml:space="preserve">a </w:t>
      </w:r>
      <w:r w:rsidRPr="00541C81">
        <w:rPr>
          <w:rFonts w:ascii="Times New Roman" w:eastAsia="Cambria" w:hAnsi="Times New Roman"/>
          <w:szCs w:val="24"/>
          <w:lang w:eastAsia="ja-JP"/>
        </w:rPr>
        <w:t xml:space="preserve">basis for victims to present evidence </w:t>
      </w:r>
      <w:r>
        <w:rPr>
          <w:rFonts w:ascii="Times New Roman" w:eastAsia="Cambria" w:hAnsi="Times New Roman"/>
          <w:szCs w:val="24"/>
          <w:lang w:eastAsia="ja-JP"/>
        </w:rPr>
        <w:t>about</w:t>
      </w:r>
      <w:r w:rsidRPr="00541C81">
        <w:rPr>
          <w:rFonts w:ascii="Times New Roman" w:eastAsia="Cambria" w:hAnsi="Times New Roman"/>
          <w:szCs w:val="24"/>
          <w:lang w:eastAsia="ja-JP"/>
        </w:rPr>
        <w:t xml:space="preserve"> the guilt or innocence </w:t>
      </w:r>
      <w:r w:rsidRPr="00541C81">
        <w:rPr>
          <w:rFonts w:ascii="Times New Roman" w:eastAsia="Cambria" w:hAnsi="Times New Roman"/>
          <w:szCs w:val="24"/>
          <w:lang w:eastAsia="ja-JP"/>
        </w:rPr>
        <w:lastRenderedPageBreak/>
        <w:t>of the accused.</w:t>
      </w:r>
      <w:r w:rsidRPr="00541C81">
        <w:rPr>
          <w:rFonts w:ascii="Times New Roman" w:eastAsia="Cambria" w:hAnsi="Times New Roman"/>
          <w:szCs w:val="24"/>
          <w:vertAlign w:val="superscript"/>
          <w:lang w:eastAsia="ja-JP"/>
        </w:rPr>
        <w:footnoteReference w:id="758"/>
      </w:r>
      <w:r w:rsidRPr="00541C81">
        <w:rPr>
          <w:rFonts w:ascii="Times New Roman" w:eastAsia="Cambria" w:hAnsi="Times New Roman"/>
          <w:szCs w:val="24"/>
          <w:lang w:eastAsia="ja-JP"/>
        </w:rPr>
        <w:t xml:space="preserve"> He stated that these provisions regulate the functions and powers of the Chambers.</w:t>
      </w:r>
      <w:r>
        <w:rPr>
          <w:rFonts w:ascii="Times New Roman" w:eastAsia="Cambria" w:hAnsi="Times New Roman"/>
          <w:szCs w:val="24"/>
          <w:lang w:eastAsia="ja-JP"/>
        </w:rPr>
        <w:t xml:space="preserve"> </w:t>
      </w:r>
      <w:r w:rsidRPr="00541C81">
        <w:rPr>
          <w:rFonts w:ascii="Times New Roman" w:eastAsia="Cambria" w:hAnsi="Times New Roman"/>
          <w:szCs w:val="24"/>
          <w:lang w:eastAsia="ja-JP"/>
        </w:rPr>
        <w:t>As such</w:t>
      </w:r>
      <w:r>
        <w:rPr>
          <w:rFonts w:ascii="Times New Roman" w:eastAsia="Cambria" w:hAnsi="Times New Roman"/>
          <w:szCs w:val="24"/>
          <w:lang w:eastAsia="ja-JP"/>
        </w:rPr>
        <w:t>,</w:t>
      </w:r>
      <w:r w:rsidRPr="00541C81">
        <w:rPr>
          <w:rFonts w:ascii="Times New Roman" w:eastAsia="Cambria" w:hAnsi="Times New Roman"/>
          <w:szCs w:val="24"/>
          <w:lang w:eastAsia="ja-JP"/>
        </w:rPr>
        <w:t xml:space="preserve"> the interpretation of Articles 64 and 69 is inconsistent with victims’ right to present evidence. In his words; “</w:t>
      </w:r>
      <w:r w:rsidRPr="00541C81">
        <w:rPr>
          <w:rFonts w:ascii="Times New Roman" w:eastAsia="Cambria" w:hAnsi="Times New Roman"/>
          <w:i/>
          <w:szCs w:val="24"/>
          <w:lang w:eastAsia="ja-JP"/>
        </w:rPr>
        <w:t xml:space="preserve">the erroneous conflation of the interests of the victims and the role of the Prosecution”. </w:t>
      </w:r>
      <w:r w:rsidRPr="00541C81">
        <w:rPr>
          <w:rFonts w:ascii="Times New Roman" w:eastAsia="Cambria" w:hAnsi="Times New Roman"/>
          <w:szCs w:val="24"/>
          <w:lang w:eastAsia="ja-JP"/>
        </w:rPr>
        <w:t xml:space="preserve">The Defence argued that the right to present evidence relating to the guilt or innocence should be within the </w:t>
      </w:r>
      <w:r w:rsidR="00340D66">
        <w:rPr>
          <w:rFonts w:ascii="Times New Roman" w:eastAsia="Cambria" w:hAnsi="Times New Roman"/>
          <w:szCs w:val="24"/>
          <w:lang w:eastAsia="ja-JP"/>
        </w:rPr>
        <w:t>parties' exclusive</w:t>
      </w:r>
      <w:r w:rsidRPr="00541C81">
        <w:rPr>
          <w:rFonts w:ascii="Times New Roman" w:eastAsia="Cambria" w:hAnsi="Times New Roman"/>
          <w:szCs w:val="24"/>
          <w:lang w:eastAsia="ja-JP"/>
        </w:rPr>
        <w:t>.</w:t>
      </w:r>
      <w:r>
        <w:rPr>
          <w:rFonts w:ascii="Times New Roman" w:eastAsia="Cambria" w:hAnsi="Times New Roman"/>
          <w:szCs w:val="24"/>
          <w:lang w:eastAsia="ja-JP"/>
        </w:rPr>
        <w:t xml:space="preserve"> </w:t>
      </w:r>
      <w:r w:rsidRPr="00541C81">
        <w:rPr>
          <w:rFonts w:ascii="Times New Roman" w:eastAsia="Cambria" w:hAnsi="Times New Roman"/>
          <w:szCs w:val="24"/>
          <w:lang w:eastAsia="ja-JP"/>
        </w:rPr>
        <w:t>He submitted that the TC erred in allowing victims to lead evidence and to challenge the admissibility of evidence.</w:t>
      </w:r>
      <w:r w:rsidRPr="00541C81">
        <w:rPr>
          <w:rFonts w:ascii="Times New Roman" w:eastAsia="Cambria" w:hAnsi="Times New Roman"/>
          <w:szCs w:val="24"/>
          <w:vertAlign w:val="superscript"/>
          <w:lang w:eastAsia="ja-JP"/>
        </w:rPr>
        <w:footnoteReference w:id="759"/>
      </w:r>
      <w:r w:rsidRPr="00541C81">
        <w:rPr>
          <w:rFonts w:ascii="Times New Roman" w:eastAsia="Cambria" w:hAnsi="Times New Roman"/>
          <w:szCs w:val="24"/>
          <w:lang w:eastAsia="ja-JP"/>
        </w:rPr>
        <w:t>The Prosecutor supported the Defence arguments.</w:t>
      </w:r>
      <w:r>
        <w:rPr>
          <w:rFonts w:ascii="Times New Roman" w:eastAsia="Cambria" w:hAnsi="Times New Roman"/>
          <w:szCs w:val="24"/>
          <w:lang w:eastAsia="ja-JP"/>
        </w:rPr>
        <w:t xml:space="preserve"> </w:t>
      </w:r>
      <w:r w:rsidRPr="00541C81">
        <w:rPr>
          <w:rFonts w:ascii="Times New Roman" w:eastAsia="Cambria" w:hAnsi="Times New Roman"/>
          <w:szCs w:val="24"/>
          <w:lang w:eastAsia="ja-JP"/>
        </w:rPr>
        <w:t xml:space="preserve">In his arguments, the LRVs argued that the </w:t>
      </w:r>
      <w:r w:rsidR="00340D66">
        <w:rPr>
          <w:rFonts w:ascii="Times New Roman" w:eastAsia="Cambria" w:hAnsi="Times New Roman"/>
          <w:szCs w:val="24"/>
          <w:lang w:eastAsia="ja-JP"/>
        </w:rPr>
        <w:t>accused's guilt or innocence</w:t>
      </w:r>
      <w:r w:rsidRPr="00541C81">
        <w:rPr>
          <w:rFonts w:ascii="Times New Roman" w:eastAsia="Cambria" w:hAnsi="Times New Roman"/>
          <w:szCs w:val="24"/>
          <w:lang w:eastAsia="ja-JP"/>
        </w:rPr>
        <w:t xml:space="preserve"> affects the victims.</w:t>
      </w:r>
      <w:r>
        <w:rPr>
          <w:rFonts w:ascii="Times New Roman" w:eastAsia="Cambria" w:hAnsi="Times New Roman"/>
          <w:szCs w:val="24"/>
          <w:lang w:eastAsia="ja-JP"/>
        </w:rPr>
        <w:t xml:space="preserve"> Also</w:t>
      </w:r>
      <w:r w:rsidRPr="00541C81">
        <w:rPr>
          <w:rFonts w:ascii="Times New Roman" w:eastAsia="Cambria" w:hAnsi="Times New Roman"/>
          <w:szCs w:val="24"/>
          <w:lang w:eastAsia="ja-JP"/>
        </w:rPr>
        <w:t xml:space="preserve">, the LRV  contended that </w:t>
      </w:r>
      <w:r w:rsidR="00340D66">
        <w:rPr>
          <w:rFonts w:ascii="Times New Roman" w:eastAsia="Cambria" w:hAnsi="Times New Roman"/>
          <w:szCs w:val="24"/>
          <w:lang w:eastAsia="ja-JP"/>
        </w:rPr>
        <w:t>victims' personal interest</w:t>
      </w:r>
      <w:r w:rsidRPr="00541C81">
        <w:rPr>
          <w:rFonts w:ascii="Times New Roman" w:eastAsia="Cambria" w:hAnsi="Times New Roman"/>
          <w:szCs w:val="24"/>
          <w:lang w:eastAsia="ja-JP"/>
        </w:rPr>
        <w:t>s m</w:t>
      </w:r>
      <w:r>
        <w:rPr>
          <w:rFonts w:ascii="Times New Roman" w:eastAsia="Cambria" w:hAnsi="Times New Roman"/>
          <w:szCs w:val="24"/>
          <w:lang w:eastAsia="ja-JP"/>
        </w:rPr>
        <w:t>ight</w:t>
      </w:r>
      <w:r w:rsidRPr="00541C81">
        <w:rPr>
          <w:rFonts w:ascii="Times New Roman" w:eastAsia="Cambria" w:hAnsi="Times New Roman"/>
          <w:szCs w:val="24"/>
          <w:lang w:eastAsia="ja-JP"/>
        </w:rPr>
        <w:t xml:space="preserve"> be affected by the evidence presented or proposed.</w:t>
      </w:r>
      <w:r>
        <w:rPr>
          <w:rFonts w:ascii="Times New Roman" w:eastAsia="Cambria" w:hAnsi="Times New Roman"/>
          <w:szCs w:val="24"/>
          <w:lang w:eastAsia="ja-JP"/>
        </w:rPr>
        <w:t xml:space="preserve"> </w:t>
      </w:r>
      <w:r w:rsidRPr="00541C81">
        <w:rPr>
          <w:rFonts w:ascii="Times New Roman" w:eastAsia="Cambria" w:hAnsi="Times New Roman"/>
          <w:szCs w:val="24"/>
          <w:lang w:eastAsia="ja-JP"/>
        </w:rPr>
        <w:t>Given that presentation of evidence by the parties may prejudice their right to reparations.</w:t>
      </w:r>
      <w:r w:rsidRPr="00541C81">
        <w:rPr>
          <w:rFonts w:ascii="Times New Roman" w:eastAsia="Cambria" w:hAnsi="Times New Roman"/>
          <w:szCs w:val="24"/>
          <w:vertAlign w:val="superscript"/>
          <w:lang w:eastAsia="ja-JP"/>
        </w:rPr>
        <w:footnoteReference w:id="760"/>
      </w:r>
    </w:p>
    <w:p w14:paraId="233B4831" w14:textId="77777777" w:rsidR="005B1196" w:rsidRPr="00541C81" w:rsidRDefault="005B1196" w:rsidP="005B1196">
      <w:pPr>
        <w:spacing w:after="0" w:line="480" w:lineRule="auto"/>
        <w:jc w:val="both"/>
        <w:rPr>
          <w:rFonts w:ascii="Times New Roman" w:eastAsia="Cambria" w:hAnsi="Times New Roman"/>
          <w:szCs w:val="24"/>
          <w:lang w:eastAsia="ja-JP"/>
        </w:rPr>
      </w:pPr>
    </w:p>
    <w:p w14:paraId="344D44E3" w14:textId="28012802" w:rsidR="005B1196" w:rsidRPr="00541C81" w:rsidRDefault="005B1196" w:rsidP="005B1196">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Th</w:t>
      </w:r>
      <w:r w:rsidRPr="00541C81">
        <w:rPr>
          <w:rFonts w:ascii="Times New Roman" w:eastAsia="Cambria" w:hAnsi="Times New Roman"/>
          <w:szCs w:val="24"/>
          <w:lang w:eastAsia="ja-JP"/>
        </w:rPr>
        <w:t xml:space="preserve">e AC stressed that the </w:t>
      </w:r>
      <w:r>
        <w:rPr>
          <w:rFonts w:ascii="Times New Roman" w:eastAsia="Cambria" w:hAnsi="Times New Roman"/>
          <w:szCs w:val="24"/>
          <w:lang w:eastAsia="ja-JP"/>
        </w:rPr>
        <w:t xml:space="preserve">parties predominantly own the right to lead evidence on the </w:t>
      </w:r>
      <w:r w:rsidR="00340D66">
        <w:rPr>
          <w:rFonts w:ascii="Times New Roman" w:eastAsia="Cambria" w:hAnsi="Times New Roman"/>
          <w:szCs w:val="24"/>
          <w:lang w:eastAsia="ja-JP"/>
        </w:rPr>
        <w:t>accused's guilt or innocence</w:t>
      </w:r>
      <w:r>
        <w:rPr>
          <w:rFonts w:ascii="Times New Roman" w:eastAsia="Cambria" w:hAnsi="Times New Roman"/>
          <w:szCs w:val="24"/>
          <w:lang w:eastAsia="ja-JP"/>
        </w:rPr>
        <w:t xml:space="preserve"> and the right to challenge the admissibility of evidence. </w:t>
      </w:r>
      <w:r w:rsidRPr="00541C81">
        <w:rPr>
          <w:rFonts w:ascii="Times New Roman" w:eastAsia="Cambria" w:hAnsi="Times New Roman"/>
          <w:szCs w:val="24"/>
          <w:lang w:eastAsia="ja-JP"/>
        </w:rPr>
        <w:t xml:space="preserve">It noted that the sentence of article 68(3) and </w:t>
      </w:r>
      <w:r>
        <w:rPr>
          <w:rFonts w:ascii="Times New Roman" w:eastAsia="Cambria" w:hAnsi="Times New Roman"/>
          <w:szCs w:val="24"/>
          <w:lang w:eastAsia="ja-JP"/>
        </w:rPr>
        <w:t>A</w:t>
      </w:r>
      <w:r w:rsidRPr="00541C81">
        <w:rPr>
          <w:rFonts w:ascii="Times New Roman" w:eastAsia="Cambria" w:hAnsi="Times New Roman"/>
          <w:szCs w:val="24"/>
          <w:lang w:eastAsia="ja-JP"/>
        </w:rPr>
        <w:t>rticle 64(6) (d) specifically mentioned ‘parties’ not parties and victims or victims.</w:t>
      </w:r>
      <w:r>
        <w:rPr>
          <w:rFonts w:ascii="Times New Roman" w:eastAsia="Cambria" w:hAnsi="Times New Roman"/>
          <w:szCs w:val="24"/>
          <w:lang w:eastAsia="ja-JP"/>
        </w:rPr>
        <w:t xml:space="preserve"> </w:t>
      </w:r>
      <w:r w:rsidRPr="00541C81">
        <w:rPr>
          <w:rFonts w:ascii="Times New Roman" w:eastAsia="Cambria" w:hAnsi="Times New Roman"/>
          <w:szCs w:val="24"/>
          <w:lang w:eastAsia="ja-JP"/>
        </w:rPr>
        <w:t xml:space="preserve">The </w:t>
      </w:r>
      <w:r>
        <w:rPr>
          <w:rFonts w:ascii="Times New Roman" w:eastAsia="Cambria" w:hAnsi="Times New Roman"/>
          <w:szCs w:val="24"/>
          <w:lang w:eastAsia="ja-JP"/>
        </w:rPr>
        <w:t xml:space="preserve">Prosecutor's burden of proof </w:t>
      </w:r>
      <w:r w:rsidRPr="00541C81">
        <w:rPr>
          <w:rFonts w:ascii="Times New Roman" w:eastAsia="Cambria" w:hAnsi="Times New Roman"/>
          <w:szCs w:val="24"/>
          <w:lang w:eastAsia="ja-JP"/>
        </w:rPr>
        <w:t xml:space="preserve">supports the </w:t>
      </w:r>
      <w:r w:rsidR="00340D66">
        <w:rPr>
          <w:rFonts w:ascii="Times New Roman" w:eastAsia="Cambria" w:hAnsi="Times New Roman"/>
          <w:szCs w:val="24"/>
          <w:lang w:eastAsia="ja-JP"/>
        </w:rPr>
        <w:t>parties' exclusive right to present evidence and</w:t>
      </w:r>
      <w:r w:rsidRPr="00541C81">
        <w:rPr>
          <w:rFonts w:ascii="Times New Roman" w:eastAsia="Cambria" w:hAnsi="Times New Roman"/>
          <w:szCs w:val="24"/>
          <w:lang w:eastAsia="ja-JP"/>
        </w:rPr>
        <w:t xml:space="preserve"> the </w:t>
      </w:r>
      <w:r w:rsidR="007D0F7F">
        <w:rPr>
          <w:rFonts w:ascii="Times New Roman" w:eastAsia="Cambria" w:hAnsi="Times New Roman"/>
          <w:szCs w:val="24"/>
          <w:lang w:eastAsia="ja-JP"/>
        </w:rPr>
        <w:t>parties' disclosure obligation</w:t>
      </w:r>
      <w:r>
        <w:rPr>
          <w:rFonts w:ascii="Times New Roman" w:eastAsia="Cambria" w:hAnsi="Times New Roman"/>
          <w:szCs w:val="24"/>
          <w:lang w:eastAsia="ja-JP"/>
        </w:rPr>
        <w:t>s. The AC, h</w:t>
      </w:r>
      <w:r w:rsidRPr="00541C81">
        <w:rPr>
          <w:rFonts w:ascii="Times New Roman" w:eastAsia="Cambria" w:hAnsi="Times New Roman"/>
          <w:szCs w:val="24"/>
          <w:lang w:eastAsia="ja-JP"/>
        </w:rPr>
        <w:t>owever, this provision does not preclude the victims form tend</w:t>
      </w:r>
      <w:r>
        <w:rPr>
          <w:rFonts w:ascii="Times New Roman" w:eastAsia="Cambria" w:hAnsi="Times New Roman"/>
          <w:szCs w:val="24"/>
          <w:lang w:eastAsia="ja-JP"/>
        </w:rPr>
        <w:t>er</w:t>
      </w:r>
      <w:r w:rsidRPr="00541C81">
        <w:rPr>
          <w:rFonts w:ascii="Times New Roman" w:eastAsia="Cambria" w:hAnsi="Times New Roman"/>
          <w:szCs w:val="24"/>
          <w:lang w:eastAsia="ja-JP"/>
        </w:rPr>
        <w:t>ing and presenting evidence.</w:t>
      </w:r>
      <w:r>
        <w:rPr>
          <w:rFonts w:ascii="Times New Roman" w:eastAsia="Cambria" w:hAnsi="Times New Roman"/>
          <w:szCs w:val="24"/>
          <w:lang w:eastAsia="ja-JP"/>
        </w:rPr>
        <w:t xml:space="preserve"> </w:t>
      </w:r>
      <w:r w:rsidRPr="00541C81">
        <w:rPr>
          <w:rFonts w:ascii="Times New Roman" w:eastAsia="Cambria" w:hAnsi="Times New Roman"/>
          <w:szCs w:val="24"/>
          <w:lang w:eastAsia="ja-JP"/>
        </w:rPr>
        <w:t xml:space="preserve">The Chamber confirms the </w:t>
      </w:r>
      <w:r w:rsidR="00340D66">
        <w:rPr>
          <w:rFonts w:ascii="Times New Roman" w:eastAsia="Cambria" w:hAnsi="Times New Roman"/>
          <w:szCs w:val="24"/>
          <w:lang w:eastAsia="ja-JP"/>
        </w:rPr>
        <w:t>TC's finding on victims' ability to lead evidence and challenge the evidence's admissibility</w:t>
      </w:r>
      <w:r w:rsidRPr="00541C81">
        <w:rPr>
          <w:rFonts w:ascii="Times New Roman" w:eastAsia="Cambria" w:hAnsi="Times New Roman"/>
          <w:szCs w:val="24"/>
          <w:lang w:eastAsia="ja-JP"/>
        </w:rPr>
        <w:t>.</w:t>
      </w:r>
      <w:r w:rsidRPr="00541C81">
        <w:rPr>
          <w:rFonts w:ascii="Times New Roman" w:eastAsia="Cambria" w:hAnsi="Times New Roman"/>
          <w:szCs w:val="24"/>
          <w:vertAlign w:val="superscript"/>
          <w:lang w:eastAsia="ja-JP"/>
        </w:rPr>
        <w:footnoteReference w:id="761"/>
      </w:r>
    </w:p>
    <w:p w14:paraId="036AC21D" w14:textId="6A5DFFDB" w:rsidR="00541C81" w:rsidRPr="005B1196" w:rsidRDefault="00C51233" w:rsidP="005B1196">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 xml:space="preserve"> </w:t>
      </w:r>
    </w:p>
    <w:p w14:paraId="31A591ED" w14:textId="4EE92429" w:rsidR="00541C81" w:rsidRPr="006D4CC1" w:rsidRDefault="00541C81" w:rsidP="003A18EA">
      <w:pPr>
        <w:spacing w:before="200" w:after="160"/>
        <w:ind w:left="864" w:right="864"/>
        <w:jc w:val="center"/>
        <w:rPr>
          <w:rFonts w:ascii="Times New Roman" w:eastAsia="Cambria" w:hAnsi="Times New Roman"/>
          <w:i/>
          <w:iCs/>
          <w:color w:val="404040"/>
          <w:sz w:val="22"/>
          <w:lang w:eastAsia="ja-JP"/>
        </w:rPr>
      </w:pPr>
      <w:r w:rsidRPr="006D4CC1">
        <w:rPr>
          <w:rFonts w:ascii="Times New Roman" w:eastAsia="Cambria" w:hAnsi="Times New Roman"/>
          <w:i/>
          <w:iCs/>
          <w:color w:val="404040"/>
          <w:sz w:val="22"/>
          <w:lang w:eastAsia="ja-JP"/>
        </w:rPr>
        <w:t>“</w:t>
      </w:r>
      <w:r w:rsidRPr="0099605C">
        <w:rPr>
          <w:rFonts w:ascii="Times New Roman" w:eastAsia="Cambria" w:hAnsi="Times New Roman"/>
          <w:iCs/>
          <w:color w:val="404040"/>
          <w:sz w:val="22"/>
          <w:lang w:eastAsia="ja-JP"/>
        </w:rPr>
        <w:t>The Appellant opposes the participation of the Victims in the admissibility proceedings as well as at the hearing of the appeal itself if the decision is found to be</w:t>
      </w:r>
      <w:r w:rsidR="0099605C" w:rsidRPr="0099605C">
        <w:rPr>
          <w:rFonts w:ascii="Times New Roman" w:eastAsia="Cambria" w:hAnsi="Times New Roman"/>
          <w:iCs/>
          <w:color w:val="404040"/>
          <w:sz w:val="22"/>
          <w:lang w:eastAsia="ja-JP"/>
        </w:rPr>
        <w:t xml:space="preserve"> </w:t>
      </w:r>
      <w:r w:rsidRPr="0099605C">
        <w:rPr>
          <w:rFonts w:ascii="Times New Roman" w:eastAsia="Cambria" w:hAnsi="Times New Roman"/>
          <w:iCs/>
          <w:color w:val="404040"/>
          <w:sz w:val="22"/>
          <w:lang w:eastAsia="ja-JP"/>
        </w:rPr>
        <w:t>appealable. The Victims have no conceivable interest, as he maintains, in the determination of the admissibility of the appeal and none as regards the appeal itself. In his contention, they can have no interest in the confirmation of the charges either or any appeal arising therefrom. Their interest is confined to trial proceedings that lay the ground for the pursuit of reparations</w:t>
      </w:r>
      <w:r w:rsidRPr="006D4CC1">
        <w:rPr>
          <w:rFonts w:ascii="Times New Roman" w:eastAsia="Cambria" w:hAnsi="Times New Roman"/>
          <w:i/>
          <w:iCs/>
          <w:color w:val="404040"/>
          <w:sz w:val="22"/>
          <w:lang w:eastAsia="ja-JP"/>
        </w:rPr>
        <w:t>….”</w:t>
      </w:r>
      <w:r w:rsidRPr="006D4CC1">
        <w:rPr>
          <w:rFonts w:ascii="Times New Roman" w:eastAsia="Cambria" w:hAnsi="Times New Roman"/>
          <w:i/>
          <w:iCs/>
          <w:color w:val="404040"/>
          <w:sz w:val="22"/>
          <w:vertAlign w:val="superscript"/>
          <w:lang w:eastAsia="ja-JP"/>
        </w:rPr>
        <w:footnoteReference w:id="762"/>
      </w:r>
    </w:p>
    <w:p w14:paraId="37DBFE33" w14:textId="77777777" w:rsidR="00541C81" w:rsidRPr="006D4CC1" w:rsidRDefault="00541C81" w:rsidP="00541C81">
      <w:pPr>
        <w:spacing w:after="0"/>
        <w:jc w:val="both"/>
        <w:rPr>
          <w:rFonts w:ascii="Times New Roman" w:eastAsia="Cambria" w:hAnsi="Times New Roman"/>
          <w:sz w:val="22"/>
          <w:lang w:eastAsia="ja-JP"/>
        </w:rPr>
      </w:pPr>
    </w:p>
    <w:p w14:paraId="0DB3C0D9" w14:textId="332D5478" w:rsidR="00541C81" w:rsidRPr="006D4CC1" w:rsidRDefault="00541C81" w:rsidP="003A18EA">
      <w:pPr>
        <w:spacing w:before="200" w:after="160"/>
        <w:ind w:left="864" w:right="864"/>
        <w:jc w:val="center"/>
        <w:rPr>
          <w:rFonts w:ascii="Times New Roman" w:eastAsia="Cambria" w:hAnsi="Times New Roman"/>
          <w:i/>
          <w:iCs/>
          <w:color w:val="404040"/>
          <w:sz w:val="22"/>
          <w:lang w:eastAsia="ja-JP"/>
        </w:rPr>
      </w:pPr>
      <w:r w:rsidRPr="006D4CC1">
        <w:rPr>
          <w:rFonts w:ascii="Times New Roman" w:eastAsia="Cambria" w:hAnsi="Times New Roman"/>
          <w:i/>
          <w:iCs/>
          <w:color w:val="404040"/>
          <w:sz w:val="22"/>
          <w:lang w:eastAsia="ja-JP"/>
        </w:rPr>
        <w:t>“</w:t>
      </w:r>
      <w:r w:rsidRPr="0099605C">
        <w:rPr>
          <w:rFonts w:ascii="Times New Roman" w:eastAsia="Cambria" w:hAnsi="Times New Roman"/>
          <w:iCs/>
          <w:color w:val="404040"/>
          <w:sz w:val="22"/>
          <w:lang w:eastAsia="ja-JP"/>
        </w:rPr>
        <w:t>Equality of arms is another element of a fair trial, which in the context of the Statute, putting the burden of proof on the Prosecutor, means that the defendant cannot be required to confront more than one accuser. Holding the scales even between the parties with the burden of proof cast upon the Prosecutor rules out a second accuser. The Prosecutor, the accuser, is required to forewarn and inform the person about the case he/she has to face at the confirmation hearing or at the trial. The defendant</w:t>
      </w:r>
      <w:r w:rsidR="005B1196">
        <w:rPr>
          <w:rFonts w:ascii="Times New Roman" w:eastAsia="Cambria" w:hAnsi="Times New Roman"/>
          <w:iCs/>
          <w:color w:val="404040"/>
          <w:sz w:val="22"/>
          <w:lang w:eastAsia="ja-JP"/>
        </w:rPr>
        <w:t>,</w:t>
      </w:r>
      <w:r w:rsidRPr="0099605C">
        <w:rPr>
          <w:rFonts w:ascii="Times New Roman" w:eastAsia="Cambria" w:hAnsi="Times New Roman"/>
          <w:iCs/>
          <w:color w:val="404040"/>
          <w:sz w:val="22"/>
          <w:lang w:eastAsia="ja-JP"/>
        </w:rPr>
        <w:t xml:space="preserve"> too is</w:t>
      </w:r>
      <w:r w:rsidR="0099605C">
        <w:rPr>
          <w:rFonts w:ascii="Times New Roman" w:eastAsia="Cambria" w:hAnsi="Times New Roman"/>
          <w:iCs/>
          <w:color w:val="404040"/>
          <w:sz w:val="22"/>
          <w:lang w:eastAsia="ja-JP"/>
        </w:rPr>
        <w:t xml:space="preserve"> </w:t>
      </w:r>
      <w:r w:rsidRPr="0099605C">
        <w:rPr>
          <w:rFonts w:ascii="Times New Roman" w:eastAsia="Cambria" w:hAnsi="Times New Roman"/>
          <w:iCs/>
          <w:color w:val="404040"/>
          <w:sz w:val="22"/>
          <w:lang w:eastAsia="ja-JP"/>
        </w:rPr>
        <w:t>required to forewarn and inform the other side</w:t>
      </w:r>
      <w:r w:rsidR="0099605C">
        <w:rPr>
          <w:rFonts w:ascii="Times New Roman" w:eastAsia="Cambria" w:hAnsi="Times New Roman"/>
          <w:iCs/>
          <w:color w:val="404040"/>
          <w:sz w:val="22"/>
          <w:lang w:eastAsia="ja-JP"/>
        </w:rPr>
        <w:t>,</w:t>
      </w:r>
      <w:r w:rsidRPr="0099605C">
        <w:rPr>
          <w:rFonts w:ascii="Times New Roman" w:eastAsia="Cambria" w:hAnsi="Times New Roman"/>
          <w:iCs/>
          <w:color w:val="404040"/>
          <w:sz w:val="22"/>
          <w:lang w:eastAsia="ja-JP"/>
        </w:rPr>
        <w:t xml:space="preserve"> respecting the advancement of specified defences. A right to inspect </w:t>
      </w:r>
      <w:r w:rsidR="0099605C">
        <w:rPr>
          <w:rFonts w:ascii="Times New Roman" w:eastAsia="Cambria" w:hAnsi="Times New Roman"/>
          <w:iCs/>
          <w:color w:val="404040"/>
          <w:sz w:val="22"/>
          <w:lang w:eastAsia="ja-JP"/>
        </w:rPr>
        <w:t xml:space="preserve">the </w:t>
      </w:r>
      <w:r w:rsidRPr="0099605C">
        <w:rPr>
          <w:rFonts w:ascii="Times New Roman" w:eastAsia="Cambria" w:hAnsi="Times New Roman"/>
          <w:iCs/>
          <w:color w:val="404040"/>
          <w:sz w:val="22"/>
          <w:lang w:eastAsia="ja-JP"/>
        </w:rPr>
        <w:t>material in possession of either side is also envisaged</w:t>
      </w:r>
      <w:r w:rsidRPr="006D4CC1">
        <w:rPr>
          <w:rFonts w:ascii="Times New Roman" w:eastAsia="Cambria" w:hAnsi="Times New Roman"/>
          <w:i/>
          <w:iCs/>
          <w:color w:val="404040"/>
          <w:sz w:val="22"/>
          <w:lang w:eastAsia="ja-JP"/>
        </w:rPr>
        <w:t>.”</w:t>
      </w:r>
      <w:r w:rsidRPr="006D4CC1">
        <w:rPr>
          <w:rFonts w:ascii="Times New Roman" w:eastAsia="Cambria" w:hAnsi="Times New Roman"/>
          <w:iCs/>
          <w:color w:val="404040"/>
          <w:sz w:val="22"/>
          <w:vertAlign w:val="superscript"/>
          <w:lang w:eastAsia="ja-JP"/>
        </w:rPr>
        <w:footnoteReference w:id="763"/>
      </w:r>
    </w:p>
    <w:p w14:paraId="43FA01E6" w14:textId="77777777" w:rsidR="00541C81" w:rsidRPr="006D4CC1" w:rsidRDefault="00541C81" w:rsidP="00541C81">
      <w:pPr>
        <w:spacing w:after="0" w:line="480" w:lineRule="auto"/>
        <w:jc w:val="both"/>
        <w:rPr>
          <w:rFonts w:ascii="Times New Roman" w:eastAsia="Cambria" w:hAnsi="Times New Roman"/>
          <w:sz w:val="22"/>
          <w:lang w:eastAsia="ja-JP"/>
        </w:rPr>
      </w:pPr>
    </w:p>
    <w:p w14:paraId="6927AFD1" w14:textId="058F16AC" w:rsidR="00541C81" w:rsidRDefault="00541C81" w:rsidP="003A18EA">
      <w:pPr>
        <w:spacing w:before="200" w:after="160"/>
        <w:ind w:left="864" w:right="864"/>
        <w:jc w:val="center"/>
        <w:rPr>
          <w:rFonts w:ascii="Times New Roman" w:eastAsia="Cambria" w:hAnsi="Times New Roman"/>
          <w:i/>
          <w:iCs/>
          <w:color w:val="404040"/>
          <w:sz w:val="22"/>
          <w:lang w:eastAsia="ja-JP"/>
        </w:rPr>
      </w:pPr>
      <w:r w:rsidRPr="006D4CC1">
        <w:rPr>
          <w:rFonts w:ascii="Times New Roman" w:eastAsia="Cambria" w:hAnsi="Times New Roman"/>
          <w:i/>
          <w:iCs/>
          <w:color w:val="404040"/>
          <w:sz w:val="22"/>
          <w:lang w:eastAsia="ja-JP"/>
        </w:rPr>
        <w:t>“</w:t>
      </w:r>
      <w:r w:rsidRPr="0099605C">
        <w:rPr>
          <w:rFonts w:ascii="Times New Roman" w:eastAsia="Cambria" w:hAnsi="Times New Roman"/>
          <w:iCs/>
          <w:color w:val="404040"/>
          <w:sz w:val="22"/>
          <w:lang w:eastAsia="ja-JP"/>
        </w:rPr>
        <w:t xml:space="preserve">Thus, the Victims assert that their interests lie, first of all, in the possibility of seeking reparations. Secondly, the Victims assert their </w:t>
      </w:r>
      <w:r w:rsidRPr="0099605C">
        <w:rPr>
          <w:rFonts w:ascii="Times New Roman" w:eastAsia="Cambria" w:hAnsi="Times New Roman"/>
          <w:iCs/>
          <w:color w:val="404040"/>
          <w:sz w:val="22"/>
          <w:lang w:eastAsia="ja-JP"/>
        </w:rPr>
        <w:lastRenderedPageBreak/>
        <w:t>interest in seeing the Appellant being prosecuted; in other words, the Victims want that justice is done</w:t>
      </w:r>
      <w:r w:rsidRPr="006D4CC1">
        <w:rPr>
          <w:rFonts w:ascii="Times New Roman" w:eastAsia="Cambria" w:hAnsi="Times New Roman"/>
          <w:i/>
          <w:iCs/>
          <w:color w:val="404040"/>
          <w:sz w:val="22"/>
          <w:lang w:eastAsia="ja-JP"/>
        </w:rPr>
        <w:t>.”</w:t>
      </w:r>
      <w:r w:rsidRPr="006D4CC1">
        <w:rPr>
          <w:rFonts w:ascii="Times New Roman" w:eastAsia="Cambria" w:hAnsi="Times New Roman"/>
          <w:i/>
          <w:iCs/>
          <w:color w:val="404040"/>
          <w:sz w:val="22"/>
          <w:vertAlign w:val="superscript"/>
          <w:lang w:eastAsia="ja-JP"/>
        </w:rPr>
        <w:footnoteReference w:id="764"/>
      </w:r>
    </w:p>
    <w:p w14:paraId="5D657317" w14:textId="17FD1273" w:rsidR="00CF1AB0" w:rsidRDefault="00CF1AB0" w:rsidP="003A18EA">
      <w:pPr>
        <w:spacing w:before="200" w:after="160"/>
        <w:ind w:left="864" w:right="864"/>
        <w:jc w:val="center"/>
        <w:rPr>
          <w:rFonts w:ascii="Times New Roman" w:eastAsia="Cambria" w:hAnsi="Times New Roman"/>
          <w:i/>
          <w:iCs/>
          <w:color w:val="404040"/>
          <w:sz w:val="22"/>
          <w:lang w:eastAsia="ja-JP"/>
        </w:rPr>
      </w:pPr>
    </w:p>
    <w:p w14:paraId="62B97821" w14:textId="13868757" w:rsidR="00CF1AB0" w:rsidRDefault="00CF1AB0" w:rsidP="005B1196">
      <w:pPr>
        <w:spacing w:before="200" w:after="160" w:line="480" w:lineRule="auto"/>
        <w:ind w:right="864"/>
        <w:jc w:val="both"/>
        <w:rPr>
          <w:rFonts w:ascii="Times New Roman" w:eastAsia="Cambria" w:hAnsi="Times New Roman"/>
          <w:color w:val="404040"/>
          <w:szCs w:val="24"/>
          <w:lang w:eastAsia="ja-JP"/>
        </w:rPr>
      </w:pPr>
      <w:r w:rsidRPr="00CF1AB0">
        <w:rPr>
          <w:rFonts w:ascii="Times New Roman" w:eastAsia="Cambria" w:hAnsi="Times New Roman"/>
          <w:color w:val="404040"/>
          <w:szCs w:val="24"/>
          <w:lang w:eastAsia="ja-JP"/>
        </w:rPr>
        <w:t xml:space="preserve">The ruling reiterates the </w:t>
      </w:r>
      <w:r w:rsidR="00340D66">
        <w:rPr>
          <w:rFonts w:ascii="Times New Roman" w:eastAsia="Cambria" w:hAnsi="Times New Roman"/>
          <w:color w:val="404040"/>
          <w:szCs w:val="24"/>
          <w:lang w:eastAsia="ja-JP"/>
        </w:rPr>
        <w:t>ICC's truth-seeking power</w:t>
      </w:r>
      <w:r w:rsidRPr="00CF1AB0">
        <w:rPr>
          <w:rFonts w:ascii="Times New Roman" w:eastAsia="Cambria" w:hAnsi="Times New Roman"/>
          <w:color w:val="404040"/>
          <w:szCs w:val="24"/>
          <w:lang w:eastAsia="ja-JP"/>
        </w:rPr>
        <w:t xml:space="preserve"> as part of a criminal justice system</w:t>
      </w:r>
      <w:r w:rsidR="003228C9">
        <w:rPr>
          <w:rFonts w:ascii="Times New Roman" w:eastAsia="Cambria" w:hAnsi="Times New Roman"/>
          <w:color w:val="404040"/>
          <w:szCs w:val="24"/>
          <w:lang w:eastAsia="ja-JP"/>
        </w:rPr>
        <w:t>-one of the rationale behind the establishment of the Court.</w:t>
      </w:r>
      <w:r w:rsidRPr="00CF1AB0">
        <w:rPr>
          <w:rFonts w:ascii="Times New Roman" w:eastAsia="Cambria" w:hAnsi="Times New Roman"/>
          <w:color w:val="404040"/>
          <w:szCs w:val="24"/>
          <w:lang w:eastAsia="ja-JP"/>
        </w:rPr>
        <w:t xml:space="preserve"> Truth serves a dual function in this instance; truth as an objective of the ICC</w:t>
      </w:r>
      <w:r w:rsidRPr="00CF1AB0">
        <w:rPr>
          <w:rStyle w:val="FootnoteReference"/>
          <w:rFonts w:ascii="Times New Roman" w:eastAsia="Cambria" w:hAnsi="Times New Roman"/>
          <w:color w:val="404040"/>
          <w:szCs w:val="24"/>
          <w:lang w:eastAsia="ja-JP"/>
        </w:rPr>
        <w:footnoteReference w:id="765"/>
      </w:r>
      <w:r w:rsidRPr="00CF1AB0">
        <w:rPr>
          <w:rFonts w:ascii="Times New Roman" w:eastAsia="Cambria" w:hAnsi="Times New Roman"/>
          <w:color w:val="404040"/>
          <w:szCs w:val="24"/>
          <w:lang w:eastAsia="ja-JP"/>
        </w:rPr>
        <w:t xml:space="preserve"> and truth as a fundamental right of the victims.</w:t>
      </w:r>
      <w:r w:rsidRPr="00CF1AB0">
        <w:rPr>
          <w:rStyle w:val="FootnoteReference"/>
          <w:rFonts w:ascii="Times New Roman" w:eastAsia="Cambria" w:hAnsi="Times New Roman"/>
          <w:color w:val="404040"/>
          <w:szCs w:val="24"/>
          <w:lang w:eastAsia="ja-JP"/>
        </w:rPr>
        <w:footnoteReference w:id="766"/>
      </w:r>
      <w:r w:rsidRPr="00CF1AB0">
        <w:rPr>
          <w:rFonts w:ascii="Times New Roman" w:eastAsia="Cambria" w:hAnsi="Times New Roman"/>
          <w:color w:val="404040"/>
          <w:szCs w:val="24"/>
          <w:lang w:eastAsia="ja-JP"/>
        </w:rPr>
        <w:t>Obtaining an accurate historical record propels the arraignment and prosecution of the accused.</w:t>
      </w:r>
      <w:r w:rsidRPr="00CF1AB0">
        <w:rPr>
          <w:rStyle w:val="FootnoteReference"/>
          <w:rFonts w:ascii="Times New Roman" w:eastAsia="Cambria" w:hAnsi="Times New Roman"/>
          <w:color w:val="404040"/>
          <w:szCs w:val="24"/>
          <w:lang w:eastAsia="ja-JP"/>
        </w:rPr>
        <w:footnoteReference w:id="767"/>
      </w:r>
      <w:r w:rsidRPr="00CF1AB0">
        <w:rPr>
          <w:rFonts w:ascii="Times New Roman" w:eastAsia="Cambria" w:hAnsi="Times New Roman"/>
          <w:color w:val="404040"/>
          <w:szCs w:val="24"/>
          <w:lang w:eastAsia="ja-JP"/>
        </w:rPr>
        <w:t xml:space="preserve"> </w:t>
      </w:r>
      <w:r>
        <w:rPr>
          <w:rFonts w:ascii="Times New Roman" w:eastAsia="Cambria" w:hAnsi="Times New Roman"/>
          <w:color w:val="404040"/>
          <w:szCs w:val="24"/>
          <w:lang w:eastAsia="ja-JP"/>
        </w:rPr>
        <w:t>It is worth</w:t>
      </w:r>
      <w:r w:rsidR="00340D66">
        <w:rPr>
          <w:rFonts w:ascii="Times New Roman" w:eastAsia="Cambria" w:hAnsi="Times New Roman"/>
          <w:color w:val="404040"/>
          <w:szCs w:val="24"/>
          <w:lang w:eastAsia="ja-JP"/>
        </w:rPr>
        <w:t xml:space="preserve"> mentioning that the ICC's truth-seeking power may overshadow the criminal proceedings' adversarial nature</w:t>
      </w:r>
      <w:r>
        <w:rPr>
          <w:rFonts w:ascii="Times New Roman" w:eastAsia="Cambria" w:hAnsi="Times New Roman"/>
          <w:color w:val="404040"/>
          <w:szCs w:val="24"/>
          <w:lang w:eastAsia="ja-JP"/>
        </w:rPr>
        <w:t xml:space="preserve"> in light of the judges' role as passive umpire. If article 69(3) empowers the judges to invite victims for </w:t>
      </w:r>
      <w:r w:rsidR="00340D66">
        <w:rPr>
          <w:rFonts w:ascii="Times New Roman" w:eastAsia="Cambria" w:hAnsi="Times New Roman"/>
          <w:color w:val="404040"/>
          <w:szCs w:val="24"/>
          <w:lang w:eastAsia="ja-JP"/>
        </w:rPr>
        <w:t>evidence presentation</w:t>
      </w:r>
      <w:r>
        <w:rPr>
          <w:rFonts w:ascii="Times New Roman" w:eastAsia="Cambria" w:hAnsi="Times New Roman"/>
          <w:color w:val="404040"/>
          <w:szCs w:val="24"/>
          <w:lang w:eastAsia="ja-JP"/>
        </w:rPr>
        <w:t>, then it may be that the Rome Statute enables the judges to perform a truth-finding function.</w:t>
      </w:r>
      <w:r w:rsidR="004C5BEE">
        <w:rPr>
          <w:rFonts w:ascii="Times New Roman" w:eastAsia="Cambria" w:hAnsi="Times New Roman"/>
          <w:color w:val="404040"/>
          <w:szCs w:val="24"/>
          <w:lang w:eastAsia="ja-JP"/>
        </w:rPr>
        <w:t xml:space="preserve"> A cursory look at article 54(1)a also illustrates that the </w:t>
      </w:r>
      <w:r w:rsidR="00340D66">
        <w:rPr>
          <w:rFonts w:ascii="Times New Roman" w:eastAsia="Cambria" w:hAnsi="Times New Roman"/>
          <w:color w:val="404040"/>
          <w:szCs w:val="24"/>
          <w:lang w:eastAsia="ja-JP"/>
        </w:rPr>
        <w:t>prosecutor is interested</w:t>
      </w:r>
      <w:r w:rsidR="004C5BEE">
        <w:rPr>
          <w:rFonts w:ascii="Times New Roman" w:eastAsia="Cambria" w:hAnsi="Times New Roman"/>
          <w:color w:val="404040"/>
          <w:szCs w:val="24"/>
          <w:lang w:eastAsia="ja-JP"/>
        </w:rPr>
        <w:t xml:space="preserve"> in establishing the truth. However, the operation of this article 69(3) </w:t>
      </w:r>
      <w:r w:rsidR="009148AB">
        <w:rPr>
          <w:rFonts w:ascii="Times New Roman" w:eastAsia="Cambria" w:hAnsi="Times New Roman"/>
          <w:color w:val="404040"/>
          <w:szCs w:val="24"/>
          <w:lang w:eastAsia="ja-JP"/>
        </w:rPr>
        <w:t xml:space="preserve"> stretches</w:t>
      </w:r>
      <w:r w:rsidR="004C5BEE">
        <w:rPr>
          <w:rFonts w:ascii="Times New Roman" w:eastAsia="Cambria" w:hAnsi="Times New Roman"/>
          <w:color w:val="404040"/>
          <w:szCs w:val="24"/>
          <w:lang w:eastAsia="ja-JP"/>
        </w:rPr>
        <w:t xml:space="preserve"> the third</w:t>
      </w:r>
      <w:r w:rsidR="009148AB">
        <w:rPr>
          <w:rFonts w:ascii="Times New Roman" w:eastAsia="Cambria" w:hAnsi="Times New Roman"/>
          <w:color w:val="404040"/>
          <w:szCs w:val="24"/>
          <w:lang w:eastAsia="ja-JP"/>
        </w:rPr>
        <w:t>-</w:t>
      </w:r>
      <w:r w:rsidR="004C5BEE">
        <w:rPr>
          <w:rFonts w:ascii="Times New Roman" w:eastAsia="Cambria" w:hAnsi="Times New Roman"/>
          <w:color w:val="404040"/>
          <w:szCs w:val="24"/>
          <w:lang w:eastAsia="ja-JP"/>
        </w:rPr>
        <w:t>party status of victims</w:t>
      </w:r>
      <w:r w:rsidR="005833F4">
        <w:rPr>
          <w:rFonts w:ascii="Times New Roman" w:eastAsia="Cambria" w:hAnsi="Times New Roman"/>
          <w:color w:val="404040"/>
          <w:szCs w:val="24"/>
          <w:lang w:eastAsia="ja-JP"/>
        </w:rPr>
        <w:t xml:space="preserve">-granting them one of the rights of full party status. Interestingly, Judge </w:t>
      </w:r>
      <w:proofErr w:type="spellStart"/>
      <w:r w:rsidR="005833F4">
        <w:rPr>
          <w:rFonts w:ascii="Times New Roman" w:eastAsia="Cambria" w:hAnsi="Times New Roman"/>
          <w:color w:val="404040"/>
          <w:szCs w:val="24"/>
          <w:lang w:eastAsia="ja-JP"/>
        </w:rPr>
        <w:t>Wyngaert</w:t>
      </w:r>
      <w:proofErr w:type="spellEnd"/>
      <w:r w:rsidR="005833F4">
        <w:rPr>
          <w:rFonts w:ascii="Times New Roman" w:eastAsia="Cambria" w:hAnsi="Times New Roman"/>
          <w:color w:val="404040"/>
          <w:szCs w:val="24"/>
          <w:lang w:eastAsia="ja-JP"/>
        </w:rPr>
        <w:t xml:space="preserve"> doubts the contribution of victims to the ICC’s truth-finding process. She opines that considering victims’ views “may or may not, be </w:t>
      </w:r>
      <w:r w:rsidR="005833F4">
        <w:rPr>
          <w:rFonts w:ascii="Times New Roman" w:eastAsia="Cambria" w:hAnsi="Times New Roman"/>
          <w:color w:val="404040"/>
          <w:szCs w:val="24"/>
          <w:lang w:eastAsia="ja-JP"/>
        </w:rPr>
        <w:lastRenderedPageBreak/>
        <w:t>conducive to the truth-finding process.”</w:t>
      </w:r>
      <w:r w:rsidR="005833F4">
        <w:rPr>
          <w:rStyle w:val="FootnoteReference"/>
          <w:rFonts w:ascii="Times New Roman" w:eastAsia="Cambria" w:hAnsi="Times New Roman"/>
          <w:color w:val="404040"/>
          <w:szCs w:val="24"/>
          <w:lang w:eastAsia="ja-JP"/>
        </w:rPr>
        <w:footnoteReference w:id="768"/>
      </w:r>
      <w:r w:rsidR="005833F4">
        <w:rPr>
          <w:rFonts w:ascii="Times New Roman" w:eastAsia="Cambria" w:hAnsi="Times New Roman"/>
          <w:color w:val="404040"/>
          <w:szCs w:val="24"/>
          <w:lang w:eastAsia="ja-JP"/>
        </w:rPr>
        <w:t>False or inaccurate narrative and testimonies from victims will affect the outcome of truth-finding.</w:t>
      </w:r>
    </w:p>
    <w:p w14:paraId="66D14E76" w14:textId="244CC49B" w:rsidR="004C5BEE" w:rsidRPr="00CF1AB0" w:rsidRDefault="004C5BEE" w:rsidP="005833F4">
      <w:pPr>
        <w:spacing w:before="200" w:after="160" w:line="480" w:lineRule="auto"/>
        <w:ind w:right="864"/>
        <w:jc w:val="both"/>
        <w:rPr>
          <w:rFonts w:ascii="Times New Roman" w:eastAsia="Cambria" w:hAnsi="Times New Roman"/>
          <w:color w:val="404040"/>
          <w:szCs w:val="24"/>
          <w:lang w:eastAsia="ja-JP"/>
        </w:rPr>
      </w:pPr>
      <w:r>
        <w:rPr>
          <w:rFonts w:ascii="Times New Roman" w:eastAsia="Cambria" w:hAnsi="Times New Roman"/>
          <w:color w:val="404040"/>
          <w:szCs w:val="24"/>
          <w:lang w:eastAsia="ja-JP"/>
        </w:rPr>
        <w:t>Be that as it may, victims also have a right to know the truth.</w:t>
      </w:r>
      <w:r>
        <w:rPr>
          <w:rStyle w:val="FootnoteReference"/>
          <w:rFonts w:ascii="Times New Roman" w:eastAsia="Cambria" w:hAnsi="Times New Roman"/>
          <w:color w:val="404040"/>
          <w:szCs w:val="24"/>
          <w:lang w:eastAsia="ja-JP"/>
        </w:rPr>
        <w:footnoteReference w:id="769"/>
      </w:r>
      <w:r w:rsidR="005833F4">
        <w:rPr>
          <w:rFonts w:ascii="Times New Roman" w:eastAsia="Cambria" w:hAnsi="Times New Roman"/>
          <w:color w:val="404040"/>
          <w:szCs w:val="24"/>
          <w:lang w:eastAsia="ja-JP"/>
        </w:rPr>
        <w:t>They have an interest in the determination of the facts and the identification of the perpetrators of crimes.</w:t>
      </w:r>
      <w:r w:rsidR="005833F4">
        <w:rPr>
          <w:rStyle w:val="FootnoteReference"/>
          <w:rFonts w:ascii="Times New Roman" w:eastAsia="Cambria" w:hAnsi="Times New Roman"/>
          <w:color w:val="404040"/>
          <w:szCs w:val="24"/>
          <w:lang w:eastAsia="ja-JP"/>
        </w:rPr>
        <w:footnoteReference w:id="770"/>
      </w:r>
      <w:r w:rsidR="005833F4">
        <w:rPr>
          <w:rFonts w:ascii="Times New Roman" w:eastAsia="Cambria" w:hAnsi="Times New Roman"/>
          <w:color w:val="404040"/>
          <w:szCs w:val="24"/>
          <w:lang w:eastAsia="ja-JP"/>
        </w:rPr>
        <w:t xml:space="preserve"> It is believed that </w:t>
      </w:r>
      <w:r w:rsidR="00340D66">
        <w:rPr>
          <w:rFonts w:ascii="Times New Roman" w:eastAsia="Cambria" w:hAnsi="Times New Roman"/>
          <w:color w:val="404040"/>
          <w:szCs w:val="24"/>
          <w:lang w:eastAsia="ja-JP"/>
        </w:rPr>
        <w:t>victims' right</w:t>
      </w:r>
      <w:r w:rsidR="005833F4">
        <w:rPr>
          <w:rFonts w:ascii="Times New Roman" w:eastAsia="Cambria" w:hAnsi="Times New Roman"/>
          <w:color w:val="404040"/>
          <w:szCs w:val="24"/>
          <w:lang w:eastAsia="ja-JP"/>
        </w:rPr>
        <w:t xml:space="preserve"> to know the truth about what happened may give them closure. It is observed that none of the provisions of the Rome Statute expressly provides for victims right to truth. However, a criminal prosecution could be a means to obtain the truth.</w:t>
      </w:r>
    </w:p>
    <w:p w14:paraId="31C36F49" w14:textId="45319F89" w:rsidR="00B7222A" w:rsidRPr="00F812C6" w:rsidRDefault="00F812C6" w:rsidP="0065715B">
      <w:pPr>
        <w:spacing w:before="200" w:after="160" w:line="480" w:lineRule="auto"/>
        <w:ind w:right="864"/>
        <w:jc w:val="both"/>
        <w:rPr>
          <w:rFonts w:ascii="Times New Roman" w:eastAsia="Cambria" w:hAnsi="Times New Roman"/>
          <w:color w:val="404040"/>
          <w:szCs w:val="24"/>
          <w:lang w:eastAsia="ja-JP"/>
        </w:rPr>
      </w:pPr>
      <w:r w:rsidRPr="00F812C6">
        <w:rPr>
          <w:rFonts w:ascii="Times New Roman" w:eastAsia="Cambria" w:hAnsi="Times New Roman"/>
          <w:color w:val="404040"/>
          <w:szCs w:val="24"/>
          <w:lang w:eastAsia="ja-JP"/>
        </w:rPr>
        <w:t>The approach of the judges reflects the literal interpretation of Article 69(3).</w:t>
      </w:r>
      <w:r>
        <w:rPr>
          <w:rFonts w:ascii="Times New Roman" w:eastAsia="Cambria" w:hAnsi="Times New Roman"/>
          <w:color w:val="404040"/>
          <w:szCs w:val="24"/>
          <w:lang w:eastAsia="ja-JP"/>
        </w:rPr>
        <w:t xml:space="preserve"> </w:t>
      </w:r>
      <w:r w:rsidRPr="00F812C6">
        <w:rPr>
          <w:rFonts w:ascii="Times New Roman" w:eastAsia="Cambria" w:hAnsi="Times New Roman"/>
          <w:color w:val="404040"/>
          <w:szCs w:val="24"/>
          <w:lang w:eastAsia="ja-JP"/>
        </w:rPr>
        <w:t xml:space="preserve">It is observed that this ruling offsets the </w:t>
      </w:r>
      <w:r w:rsidR="00340D66">
        <w:rPr>
          <w:rFonts w:ascii="Times New Roman" w:eastAsia="Cambria" w:hAnsi="Times New Roman"/>
          <w:color w:val="404040"/>
          <w:szCs w:val="24"/>
          <w:lang w:eastAsia="ja-JP"/>
        </w:rPr>
        <w:t>parties' exclusive right</w:t>
      </w:r>
      <w:r w:rsidRPr="00F812C6">
        <w:rPr>
          <w:rFonts w:ascii="Times New Roman" w:eastAsia="Cambria" w:hAnsi="Times New Roman"/>
          <w:color w:val="404040"/>
          <w:szCs w:val="24"/>
          <w:lang w:eastAsia="ja-JP"/>
        </w:rPr>
        <w:t>s to present evidence; an expansion of the rights of victims as third parties.</w:t>
      </w:r>
      <w:r w:rsidR="005833F4">
        <w:rPr>
          <w:rFonts w:ascii="Times New Roman" w:eastAsia="Cambria" w:hAnsi="Times New Roman"/>
          <w:color w:val="404040"/>
          <w:szCs w:val="24"/>
          <w:lang w:eastAsia="ja-JP"/>
        </w:rPr>
        <w:t xml:space="preserve"> </w:t>
      </w:r>
      <w:r w:rsidRPr="00F812C6">
        <w:rPr>
          <w:rFonts w:ascii="Times New Roman" w:eastAsia="Cambria" w:hAnsi="Times New Roman"/>
          <w:color w:val="404040"/>
          <w:szCs w:val="24"/>
          <w:lang w:eastAsia="ja-JP"/>
        </w:rPr>
        <w:t>This ruling demonstrates that the judges were willing to adjust the presupposed rights of the victims for truth-finding.</w:t>
      </w:r>
      <w:r>
        <w:rPr>
          <w:rFonts w:ascii="Times New Roman" w:eastAsia="Cambria" w:hAnsi="Times New Roman"/>
          <w:color w:val="404040"/>
          <w:szCs w:val="24"/>
          <w:lang w:eastAsia="ja-JP"/>
        </w:rPr>
        <w:t xml:space="preserve"> </w:t>
      </w:r>
      <w:r w:rsidRPr="00F812C6">
        <w:rPr>
          <w:rFonts w:ascii="Times New Roman" w:eastAsia="Cambria" w:hAnsi="Times New Roman"/>
          <w:color w:val="404040"/>
          <w:szCs w:val="24"/>
          <w:lang w:eastAsia="ja-JP"/>
        </w:rPr>
        <w:t xml:space="preserve">The judges did </w:t>
      </w:r>
      <w:r w:rsidR="005B164D">
        <w:rPr>
          <w:rFonts w:ascii="Times New Roman" w:eastAsia="Cambria" w:hAnsi="Times New Roman"/>
          <w:color w:val="404040"/>
          <w:szCs w:val="24"/>
          <w:lang w:eastAsia="ja-JP"/>
        </w:rPr>
        <w:t xml:space="preserve">exceed </w:t>
      </w:r>
      <w:r w:rsidRPr="00F812C6">
        <w:rPr>
          <w:rFonts w:ascii="Times New Roman" w:eastAsia="Cambria" w:hAnsi="Times New Roman"/>
          <w:color w:val="404040"/>
          <w:szCs w:val="24"/>
          <w:lang w:eastAsia="ja-JP"/>
        </w:rPr>
        <w:t xml:space="preserve">the scope of the </w:t>
      </w:r>
      <w:r>
        <w:rPr>
          <w:rFonts w:ascii="Times New Roman" w:eastAsia="Cambria" w:hAnsi="Times New Roman"/>
          <w:color w:val="404040"/>
          <w:szCs w:val="24"/>
          <w:lang w:eastAsia="ja-JP"/>
        </w:rPr>
        <w:t>R</w:t>
      </w:r>
      <w:r w:rsidRPr="00F812C6">
        <w:rPr>
          <w:rFonts w:ascii="Times New Roman" w:eastAsia="Cambria" w:hAnsi="Times New Roman"/>
          <w:color w:val="404040"/>
          <w:szCs w:val="24"/>
          <w:lang w:eastAsia="ja-JP"/>
        </w:rPr>
        <w:t>ome statute.</w:t>
      </w:r>
      <w:r>
        <w:rPr>
          <w:rFonts w:ascii="Times New Roman" w:eastAsia="Cambria" w:hAnsi="Times New Roman"/>
          <w:color w:val="404040"/>
          <w:szCs w:val="24"/>
          <w:lang w:eastAsia="ja-JP"/>
        </w:rPr>
        <w:t xml:space="preserve"> </w:t>
      </w:r>
      <w:r w:rsidRPr="00F812C6">
        <w:rPr>
          <w:rFonts w:ascii="Times New Roman" w:eastAsia="Cambria" w:hAnsi="Times New Roman"/>
          <w:color w:val="404040"/>
          <w:szCs w:val="24"/>
          <w:lang w:eastAsia="ja-JP"/>
        </w:rPr>
        <w:t>The d</w:t>
      </w:r>
      <w:r>
        <w:rPr>
          <w:rFonts w:ascii="Times New Roman" w:eastAsia="Cambria" w:hAnsi="Times New Roman"/>
          <w:color w:val="404040"/>
          <w:szCs w:val="24"/>
          <w:lang w:eastAsia="ja-JP"/>
        </w:rPr>
        <w:t>e</w:t>
      </w:r>
      <w:r w:rsidRPr="00F812C6">
        <w:rPr>
          <w:rFonts w:ascii="Times New Roman" w:eastAsia="Cambria" w:hAnsi="Times New Roman"/>
          <w:color w:val="404040"/>
          <w:szCs w:val="24"/>
          <w:lang w:eastAsia="ja-JP"/>
        </w:rPr>
        <w:t>termination of the truth is an essential element of criminal prosecution.</w:t>
      </w:r>
      <w:r>
        <w:rPr>
          <w:rFonts w:ascii="Times New Roman" w:eastAsia="Cambria" w:hAnsi="Times New Roman"/>
          <w:color w:val="404040"/>
          <w:szCs w:val="24"/>
          <w:lang w:eastAsia="ja-JP"/>
        </w:rPr>
        <w:t xml:space="preserve"> </w:t>
      </w:r>
      <w:r w:rsidRPr="00F812C6">
        <w:rPr>
          <w:rFonts w:ascii="Times New Roman" w:eastAsia="Cambria" w:hAnsi="Times New Roman"/>
          <w:color w:val="404040"/>
          <w:szCs w:val="24"/>
          <w:lang w:eastAsia="ja-JP"/>
        </w:rPr>
        <w:t>Both parties are interested in the truth.</w:t>
      </w:r>
      <w:r>
        <w:rPr>
          <w:rFonts w:ascii="Times New Roman" w:eastAsia="Cambria" w:hAnsi="Times New Roman"/>
          <w:color w:val="404040"/>
          <w:szCs w:val="24"/>
          <w:lang w:eastAsia="ja-JP"/>
        </w:rPr>
        <w:t xml:space="preserve"> </w:t>
      </w:r>
      <w:r w:rsidRPr="00F812C6">
        <w:rPr>
          <w:rFonts w:ascii="Times New Roman" w:eastAsia="Cambria" w:hAnsi="Times New Roman"/>
          <w:color w:val="404040"/>
          <w:szCs w:val="24"/>
          <w:lang w:eastAsia="ja-JP"/>
        </w:rPr>
        <w:t>Victims are also interested in the truth.</w:t>
      </w:r>
      <w:r>
        <w:rPr>
          <w:rFonts w:ascii="Times New Roman" w:eastAsia="Cambria" w:hAnsi="Times New Roman"/>
          <w:color w:val="404040"/>
          <w:szCs w:val="24"/>
          <w:lang w:eastAsia="ja-JP"/>
        </w:rPr>
        <w:t xml:space="preserve"> </w:t>
      </w:r>
      <w:r w:rsidRPr="00F812C6">
        <w:rPr>
          <w:rFonts w:ascii="Times New Roman" w:eastAsia="Cambria" w:hAnsi="Times New Roman"/>
          <w:color w:val="404040"/>
          <w:szCs w:val="24"/>
          <w:lang w:eastAsia="ja-JP"/>
        </w:rPr>
        <w:t>Therefore, their participation in th</w:t>
      </w:r>
      <w:r w:rsidR="005B164D">
        <w:rPr>
          <w:rFonts w:ascii="Times New Roman" w:eastAsia="Cambria" w:hAnsi="Times New Roman"/>
          <w:color w:val="404040"/>
          <w:szCs w:val="24"/>
          <w:lang w:eastAsia="ja-JP"/>
        </w:rPr>
        <w:t>is aspect</w:t>
      </w:r>
      <w:r w:rsidRPr="00F812C6">
        <w:rPr>
          <w:rFonts w:ascii="Times New Roman" w:eastAsia="Cambria" w:hAnsi="Times New Roman"/>
          <w:color w:val="404040"/>
          <w:szCs w:val="24"/>
          <w:lang w:eastAsia="ja-JP"/>
        </w:rPr>
        <w:t xml:space="preserve"> </w:t>
      </w:r>
      <w:r w:rsidR="005B164D">
        <w:rPr>
          <w:rFonts w:ascii="Times New Roman" w:eastAsia="Cambria" w:hAnsi="Times New Roman"/>
          <w:color w:val="404040"/>
          <w:szCs w:val="24"/>
          <w:lang w:eastAsia="ja-JP"/>
        </w:rPr>
        <w:t>facilitates in uncovering the truth.</w:t>
      </w:r>
    </w:p>
    <w:p w14:paraId="3290C7E8" w14:textId="77777777" w:rsidR="00541C81" w:rsidRPr="00540D5C" w:rsidRDefault="00541C81" w:rsidP="00987C16">
      <w:pPr>
        <w:spacing w:after="0" w:line="480" w:lineRule="auto"/>
        <w:jc w:val="both"/>
        <w:rPr>
          <w:rFonts w:ascii="Times New Roman" w:eastAsia="Cambria" w:hAnsi="Times New Roman"/>
          <w:szCs w:val="24"/>
          <w:lang w:eastAsia="ja-JP"/>
        </w:rPr>
      </w:pPr>
    </w:p>
    <w:p w14:paraId="1C1B7F6E" w14:textId="611D1940" w:rsidR="006E622A" w:rsidRPr="00540D5C" w:rsidRDefault="00982648" w:rsidP="00786405">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Furthermore,</w:t>
      </w:r>
      <w:r w:rsidR="0099605C">
        <w:rPr>
          <w:rFonts w:ascii="Times New Roman" w:eastAsia="Cambria" w:hAnsi="Times New Roman"/>
          <w:szCs w:val="24"/>
          <w:lang w:eastAsia="ja-JP"/>
        </w:rPr>
        <w:t xml:space="preserve"> </w:t>
      </w:r>
      <w:r>
        <w:rPr>
          <w:rFonts w:ascii="Times New Roman" w:eastAsia="Cambria" w:hAnsi="Times New Roman"/>
          <w:szCs w:val="24"/>
          <w:lang w:eastAsia="ja-JP"/>
        </w:rPr>
        <w:t>o</w:t>
      </w:r>
      <w:r w:rsidR="006E622A" w:rsidRPr="00540D5C">
        <w:rPr>
          <w:rFonts w:ascii="Times New Roman" w:eastAsia="Cambria" w:hAnsi="Times New Roman"/>
          <w:szCs w:val="24"/>
          <w:lang w:eastAsia="ja-JP"/>
        </w:rPr>
        <w:t>ne</w:t>
      </w:r>
      <w:r w:rsidR="000739C8">
        <w:rPr>
          <w:rFonts w:ascii="Times New Roman" w:eastAsia="Cambria" w:hAnsi="Times New Roman"/>
          <w:szCs w:val="24"/>
          <w:lang w:eastAsia="ja-JP"/>
        </w:rPr>
        <w:t xml:space="preserve"> other</w:t>
      </w:r>
      <w:r w:rsidR="006E622A" w:rsidRPr="00540D5C">
        <w:rPr>
          <w:rFonts w:ascii="Times New Roman" w:eastAsia="Cambria" w:hAnsi="Times New Roman"/>
          <w:szCs w:val="24"/>
          <w:lang w:eastAsia="ja-JP"/>
        </w:rPr>
        <w:t xml:space="preserve"> issue which arises is the conflict of interests between the LRV and the Prosecutor.</w:t>
      </w:r>
      <w:r w:rsidR="0099605C">
        <w:rPr>
          <w:rFonts w:ascii="Times New Roman" w:eastAsia="Cambria" w:hAnsi="Times New Roman"/>
          <w:szCs w:val="24"/>
          <w:lang w:eastAsia="ja-JP"/>
        </w:rPr>
        <w:t xml:space="preserve"> </w:t>
      </w:r>
      <w:r w:rsidR="0098415D">
        <w:rPr>
          <w:rFonts w:ascii="Times New Roman" w:eastAsia="Cambria" w:hAnsi="Times New Roman"/>
          <w:szCs w:val="24"/>
          <w:lang w:eastAsia="ja-JP"/>
        </w:rPr>
        <w:t>This has been seen in the case of  Prosecutor v Germain Katanga</w:t>
      </w:r>
      <w:r w:rsidR="0099605C">
        <w:rPr>
          <w:rFonts w:ascii="Times New Roman" w:eastAsia="Cambria" w:hAnsi="Times New Roman"/>
          <w:szCs w:val="24"/>
          <w:lang w:eastAsia="ja-JP"/>
        </w:rPr>
        <w:t xml:space="preserve">; </w:t>
      </w:r>
      <w:r w:rsidR="000739C8">
        <w:rPr>
          <w:rFonts w:ascii="Times New Roman" w:eastAsia="Cambria" w:hAnsi="Times New Roman"/>
          <w:szCs w:val="24"/>
          <w:lang w:eastAsia="ja-JP"/>
        </w:rPr>
        <w:t>t</w:t>
      </w:r>
      <w:r w:rsidR="006E622A" w:rsidRPr="00540D5C">
        <w:rPr>
          <w:rFonts w:ascii="Times New Roman" w:eastAsia="Cambria" w:hAnsi="Times New Roman"/>
          <w:szCs w:val="24"/>
          <w:lang w:eastAsia="ja-JP"/>
        </w:rPr>
        <w:t>he AC had to determine if the TC erred in law by allowing victims to present incriminating evidence without corresponding disclosure obligations.</w:t>
      </w:r>
      <w:r w:rsidR="0099605C">
        <w:rPr>
          <w:rFonts w:ascii="Times New Roman" w:eastAsia="Cambria" w:hAnsi="Times New Roman"/>
          <w:szCs w:val="24"/>
          <w:lang w:eastAsia="ja-JP"/>
        </w:rPr>
        <w:t xml:space="preserve"> </w:t>
      </w:r>
      <w:r w:rsidR="006E622A" w:rsidRPr="00540D5C">
        <w:rPr>
          <w:rFonts w:ascii="Times New Roman" w:eastAsia="Cambria" w:hAnsi="Times New Roman"/>
          <w:szCs w:val="24"/>
          <w:lang w:eastAsia="ja-JP"/>
        </w:rPr>
        <w:t>In addressing this issue, the LRV stated:</w:t>
      </w:r>
    </w:p>
    <w:p w14:paraId="65F44E3D" w14:textId="77777777" w:rsidR="006E622A" w:rsidRPr="00540D5C" w:rsidRDefault="006E622A" w:rsidP="00987C16">
      <w:pPr>
        <w:spacing w:after="0" w:line="480" w:lineRule="auto"/>
        <w:jc w:val="both"/>
        <w:rPr>
          <w:rFonts w:ascii="Times New Roman" w:eastAsia="Cambria" w:hAnsi="Times New Roman"/>
          <w:szCs w:val="24"/>
          <w:lang w:eastAsia="ja-JP"/>
        </w:rPr>
      </w:pPr>
    </w:p>
    <w:p w14:paraId="686A6B99" w14:textId="77777777" w:rsidR="006E622A" w:rsidRPr="00CB3088" w:rsidRDefault="006E622A" w:rsidP="00786405">
      <w:pPr>
        <w:spacing w:after="0"/>
        <w:ind w:firstLine="720"/>
        <w:jc w:val="center"/>
        <w:rPr>
          <w:rFonts w:eastAsia="Cambria" w:cs="Arial"/>
          <w:szCs w:val="24"/>
          <w:lang w:eastAsia="ja-JP"/>
        </w:rPr>
      </w:pPr>
      <w:r w:rsidRPr="00CB3088">
        <w:rPr>
          <w:rStyle w:val="QuoteChar"/>
          <w:rFonts w:eastAsia="Cambria" w:cs="Arial"/>
        </w:rPr>
        <w:t>“</w:t>
      </w:r>
      <w:r w:rsidRPr="0099605C">
        <w:rPr>
          <w:rStyle w:val="QuoteChar"/>
          <w:rFonts w:ascii="Times New Roman" w:eastAsia="Cambria" w:hAnsi="Times New Roman"/>
          <w:i w:val="0"/>
          <w:sz w:val="22"/>
        </w:rPr>
        <w:t>The two Legal Representatives consider that, while it is agreed that the victims cannot assume the role of the Prosecutor, with whom the burden of proof solely lies, and that their intervention must in no way have the effect of their replacing the latter, they nevertheless have – as does the Court – an interest in the determination of the truth. Furthermore, they emphasise that the proliferation of victims in the instant case will have no implications for the Defence’s workload since  not all the victims will want or be able to systematically present evidence</w:t>
      </w:r>
      <w:r w:rsidRPr="0099605C">
        <w:rPr>
          <w:rFonts w:ascii="Times New Roman" w:eastAsia="Cambria" w:hAnsi="Times New Roman"/>
          <w:i/>
          <w:szCs w:val="24"/>
          <w:lang w:eastAsia="ja-JP"/>
        </w:rPr>
        <w:t>.</w:t>
      </w:r>
      <w:r w:rsidRPr="00CB3088">
        <w:rPr>
          <w:rFonts w:eastAsia="Cambria" w:cs="Arial"/>
          <w:szCs w:val="24"/>
          <w:lang w:eastAsia="ja-JP"/>
        </w:rPr>
        <w:t>”</w:t>
      </w:r>
      <w:r w:rsidRPr="00CB3088">
        <w:rPr>
          <w:rFonts w:eastAsia="Cambria" w:cs="Arial"/>
          <w:szCs w:val="24"/>
          <w:vertAlign w:val="superscript"/>
          <w:lang w:eastAsia="ja-JP"/>
        </w:rPr>
        <w:footnoteReference w:id="771"/>
      </w:r>
    </w:p>
    <w:p w14:paraId="55AECCEF" w14:textId="77777777" w:rsidR="006E622A" w:rsidRPr="00CB3088" w:rsidRDefault="006E622A" w:rsidP="006E622A">
      <w:pPr>
        <w:spacing w:after="0" w:line="276" w:lineRule="auto"/>
        <w:jc w:val="both"/>
        <w:rPr>
          <w:rFonts w:eastAsia="Cambria" w:cs="Arial"/>
          <w:szCs w:val="24"/>
          <w:lang w:eastAsia="ja-JP"/>
        </w:rPr>
      </w:pPr>
    </w:p>
    <w:p w14:paraId="2DF8CC6F" w14:textId="77777777" w:rsidR="006E622A" w:rsidRPr="006E622A" w:rsidRDefault="006E622A" w:rsidP="006E622A">
      <w:pPr>
        <w:spacing w:after="0" w:line="276" w:lineRule="auto"/>
        <w:jc w:val="both"/>
        <w:rPr>
          <w:rFonts w:ascii="Times New Roman" w:eastAsia="Cambria" w:hAnsi="Times New Roman"/>
          <w:szCs w:val="24"/>
          <w:lang w:eastAsia="ja-JP"/>
        </w:rPr>
      </w:pPr>
    </w:p>
    <w:p w14:paraId="3CC78F79" w14:textId="77777777" w:rsidR="006E622A" w:rsidRPr="00CB3088" w:rsidRDefault="006E622A" w:rsidP="00786405">
      <w:pPr>
        <w:spacing w:after="0"/>
        <w:ind w:firstLine="720"/>
        <w:jc w:val="center"/>
        <w:rPr>
          <w:rFonts w:eastAsia="Cambria" w:cs="Arial"/>
          <w:szCs w:val="24"/>
          <w:lang w:eastAsia="ja-JP"/>
        </w:rPr>
      </w:pPr>
      <w:r w:rsidRPr="00CB3088">
        <w:rPr>
          <w:rFonts w:eastAsia="Cambria" w:cs="Arial"/>
          <w:szCs w:val="24"/>
          <w:lang w:eastAsia="ja-JP"/>
        </w:rPr>
        <w:t>“</w:t>
      </w:r>
      <w:r w:rsidRPr="0099605C">
        <w:rPr>
          <w:rFonts w:ascii="Times New Roman" w:eastAsia="Cambria" w:hAnsi="Times New Roman"/>
          <w:szCs w:val="24"/>
          <w:lang w:eastAsia="ja-JP"/>
        </w:rPr>
        <w:t>With respect to the possibility of the Legal Representatives conducting investigations, they recall that their sole objective is to gather evidence seeking to prove the harm suffered by the victims and not to investigate the guilt of the accused</w:t>
      </w:r>
      <w:r w:rsidRPr="00CB3088">
        <w:rPr>
          <w:rFonts w:eastAsia="Cambria" w:cs="Arial"/>
          <w:i/>
          <w:szCs w:val="24"/>
          <w:lang w:eastAsia="ja-JP"/>
        </w:rPr>
        <w:t>.”</w:t>
      </w:r>
      <w:r w:rsidRPr="00CB3088">
        <w:rPr>
          <w:rFonts w:eastAsia="Cambria" w:cs="Arial"/>
          <w:i/>
          <w:szCs w:val="24"/>
          <w:vertAlign w:val="superscript"/>
          <w:lang w:eastAsia="ja-JP"/>
        </w:rPr>
        <w:footnoteReference w:id="772"/>
      </w:r>
    </w:p>
    <w:p w14:paraId="4ED7E3EE" w14:textId="77777777" w:rsidR="006E622A" w:rsidRPr="00CB3088" w:rsidRDefault="006E622A" w:rsidP="006E622A">
      <w:pPr>
        <w:spacing w:after="0" w:line="240" w:lineRule="auto"/>
        <w:jc w:val="both"/>
        <w:rPr>
          <w:rFonts w:eastAsia="Cambria" w:cs="Arial"/>
          <w:szCs w:val="24"/>
          <w:lang w:eastAsia="ja-JP"/>
        </w:rPr>
      </w:pPr>
    </w:p>
    <w:p w14:paraId="4B500C88" w14:textId="77777777" w:rsidR="006E622A" w:rsidRPr="006E622A" w:rsidRDefault="006E622A" w:rsidP="006E622A">
      <w:pPr>
        <w:spacing w:after="0" w:line="240" w:lineRule="auto"/>
        <w:jc w:val="both"/>
        <w:rPr>
          <w:rFonts w:ascii="Times New Roman" w:eastAsia="Cambria" w:hAnsi="Times New Roman"/>
          <w:sz w:val="22"/>
          <w:lang w:eastAsia="ja-JP"/>
        </w:rPr>
      </w:pPr>
    </w:p>
    <w:p w14:paraId="58FDACE6" w14:textId="77777777" w:rsidR="006E622A" w:rsidRPr="006E622A" w:rsidRDefault="006E622A" w:rsidP="006E622A">
      <w:pPr>
        <w:spacing w:after="0" w:line="240" w:lineRule="auto"/>
        <w:jc w:val="both"/>
        <w:rPr>
          <w:rFonts w:ascii="Times New Roman" w:eastAsia="Cambria" w:hAnsi="Times New Roman"/>
          <w:sz w:val="22"/>
          <w:lang w:eastAsia="ja-JP"/>
        </w:rPr>
      </w:pPr>
    </w:p>
    <w:p w14:paraId="16DED830" w14:textId="092DD714" w:rsidR="006E622A" w:rsidRPr="006E622A" w:rsidRDefault="006E622A" w:rsidP="00942AA1">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Besides, the defence objected to the reliability of the testimonies of victim-witnesses.</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 </w:t>
      </w:r>
      <w:r w:rsidR="005B1196">
        <w:rPr>
          <w:rFonts w:ascii="Times New Roman" w:eastAsia="Cambria" w:hAnsi="Times New Roman"/>
          <w:szCs w:val="24"/>
          <w:lang w:eastAsia="ja-JP"/>
        </w:rPr>
        <w:t>T</w:t>
      </w:r>
      <w:r w:rsidRPr="006E622A">
        <w:rPr>
          <w:rFonts w:ascii="Times New Roman" w:eastAsia="Cambria" w:hAnsi="Times New Roman"/>
          <w:szCs w:val="24"/>
          <w:lang w:eastAsia="ja-JP"/>
        </w:rPr>
        <w:t>he probative value of such testimonies is questionable given the underlying interest of such witnesses as victim</w:t>
      </w:r>
      <w:r w:rsidR="0099605C">
        <w:rPr>
          <w:rFonts w:ascii="Times New Roman" w:eastAsia="Cambria" w:hAnsi="Times New Roman"/>
          <w:szCs w:val="24"/>
          <w:lang w:eastAsia="ja-JP"/>
        </w:rPr>
        <w:t>s</w:t>
      </w:r>
      <w:r w:rsidRPr="006E622A">
        <w:rPr>
          <w:rFonts w:ascii="Times New Roman" w:eastAsia="Cambria" w:hAnsi="Times New Roman"/>
          <w:szCs w:val="24"/>
          <w:lang w:eastAsia="ja-JP"/>
        </w:rPr>
        <w:t xml:space="preserve">. </w:t>
      </w:r>
      <w:r w:rsidR="00CB3088">
        <w:rPr>
          <w:rFonts w:ascii="Times New Roman" w:eastAsia="Cambria" w:hAnsi="Times New Roman"/>
          <w:szCs w:val="24"/>
          <w:lang w:eastAsia="ja-JP"/>
        </w:rPr>
        <w:t xml:space="preserve">In response, </w:t>
      </w:r>
      <w:r w:rsidR="00786405">
        <w:rPr>
          <w:rFonts w:ascii="Times New Roman" w:eastAsia="Cambria" w:hAnsi="Times New Roman"/>
          <w:szCs w:val="24"/>
          <w:lang w:eastAsia="ja-JP"/>
        </w:rPr>
        <w:t>the Chamber noted that</w:t>
      </w:r>
      <w:r w:rsidR="00E44B5F">
        <w:rPr>
          <w:rFonts w:ascii="Times New Roman" w:eastAsia="Cambria" w:hAnsi="Times New Roman"/>
          <w:szCs w:val="24"/>
          <w:lang w:eastAsia="ja-JP"/>
        </w:rPr>
        <w:t xml:space="preserve"> it is within its </w:t>
      </w:r>
      <w:r w:rsidR="00E44B5F">
        <w:rPr>
          <w:rFonts w:ascii="Times New Roman" w:eastAsia="Cambria" w:hAnsi="Times New Roman"/>
          <w:szCs w:val="24"/>
          <w:lang w:eastAsia="ja-JP"/>
        </w:rPr>
        <w:lastRenderedPageBreak/>
        <w:t>prerogative to decide whether it is appropriate to allow a victim to testify in person on order to ensure that the dual status of the victim does not sabotage the probative value of the testimonies</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773"/>
      </w:r>
    </w:p>
    <w:p w14:paraId="7E185ABD" w14:textId="77777777" w:rsidR="006E622A" w:rsidRPr="006E622A" w:rsidRDefault="006E622A" w:rsidP="00942AA1">
      <w:pPr>
        <w:spacing w:after="0" w:line="480" w:lineRule="auto"/>
        <w:jc w:val="both"/>
        <w:rPr>
          <w:rFonts w:ascii="Times New Roman" w:eastAsia="Cambria" w:hAnsi="Times New Roman"/>
          <w:szCs w:val="24"/>
          <w:lang w:eastAsia="ja-JP"/>
        </w:rPr>
      </w:pPr>
    </w:p>
    <w:p w14:paraId="075DF26F" w14:textId="77777777" w:rsidR="006E622A" w:rsidRPr="006E622A" w:rsidRDefault="006E622A" w:rsidP="00942AA1">
      <w:pPr>
        <w:spacing w:after="0" w:line="480" w:lineRule="auto"/>
        <w:jc w:val="both"/>
        <w:rPr>
          <w:rFonts w:ascii="Times New Roman" w:eastAsia="Cambria" w:hAnsi="Times New Roman"/>
          <w:sz w:val="22"/>
          <w:lang w:eastAsia="ja-JP"/>
        </w:rPr>
      </w:pPr>
      <w:r w:rsidRPr="00D51220">
        <w:rPr>
          <w:rFonts w:ascii="Times New Roman" w:eastAsia="Cambria" w:hAnsi="Times New Roman"/>
          <w:szCs w:val="24"/>
          <w:lang w:eastAsia="ja-JP"/>
        </w:rPr>
        <w:t>Fu</w:t>
      </w:r>
      <w:r w:rsidR="0099605C">
        <w:rPr>
          <w:rFonts w:ascii="Times New Roman" w:eastAsia="Cambria" w:hAnsi="Times New Roman"/>
          <w:szCs w:val="24"/>
          <w:lang w:eastAsia="ja-JP"/>
        </w:rPr>
        <w:t>r</w:t>
      </w:r>
      <w:r w:rsidRPr="00D51220">
        <w:rPr>
          <w:rFonts w:ascii="Times New Roman" w:eastAsia="Cambria" w:hAnsi="Times New Roman"/>
          <w:szCs w:val="24"/>
          <w:lang w:eastAsia="ja-JP"/>
        </w:rPr>
        <w:t xml:space="preserve">thermore,  the TC brought our attention to the general position of victims with dual </w:t>
      </w:r>
      <w:proofErr w:type="spellStart"/>
      <w:r w:rsidRPr="00D51220">
        <w:rPr>
          <w:rFonts w:ascii="Times New Roman" w:eastAsia="Cambria" w:hAnsi="Times New Roman"/>
          <w:szCs w:val="24"/>
          <w:lang w:eastAsia="ja-JP"/>
        </w:rPr>
        <w:t>status,victim</w:t>
      </w:r>
      <w:proofErr w:type="spellEnd"/>
      <w:r w:rsidRPr="00D51220">
        <w:rPr>
          <w:rFonts w:ascii="Times New Roman" w:eastAsia="Cambria" w:hAnsi="Times New Roman"/>
          <w:szCs w:val="24"/>
          <w:lang w:eastAsia="ja-JP"/>
        </w:rPr>
        <w:t>-witnesses.</w:t>
      </w:r>
      <w:r w:rsidR="0099605C">
        <w:rPr>
          <w:rFonts w:ascii="Times New Roman" w:eastAsia="Cambria" w:hAnsi="Times New Roman"/>
          <w:szCs w:val="24"/>
          <w:lang w:eastAsia="ja-JP"/>
        </w:rPr>
        <w:t xml:space="preserve"> </w:t>
      </w:r>
      <w:r w:rsidRPr="00D51220">
        <w:rPr>
          <w:rFonts w:ascii="Times New Roman" w:eastAsia="Cambria" w:hAnsi="Times New Roman"/>
          <w:szCs w:val="24"/>
          <w:lang w:eastAsia="ja-JP"/>
        </w:rPr>
        <w:t xml:space="preserve">And the implications of their testimonies as </w:t>
      </w:r>
      <w:r w:rsidR="0099605C">
        <w:rPr>
          <w:rFonts w:ascii="Times New Roman" w:eastAsia="Cambria" w:hAnsi="Times New Roman"/>
          <w:szCs w:val="24"/>
          <w:lang w:eastAsia="ja-JP"/>
        </w:rPr>
        <w:t xml:space="preserve">a </w:t>
      </w:r>
      <w:r w:rsidRPr="00D51220">
        <w:rPr>
          <w:rFonts w:ascii="Times New Roman" w:eastAsia="Cambria" w:hAnsi="Times New Roman"/>
          <w:szCs w:val="24"/>
          <w:lang w:eastAsia="ja-JP"/>
        </w:rPr>
        <w:t>source of information.</w:t>
      </w:r>
      <w:r w:rsidRPr="00D51220">
        <w:rPr>
          <w:rFonts w:ascii="Times New Roman" w:eastAsia="Cambria" w:hAnsi="Times New Roman"/>
          <w:szCs w:val="24"/>
          <w:vertAlign w:val="superscript"/>
          <w:lang w:eastAsia="ja-JP"/>
        </w:rPr>
        <w:footnoteReference w:id="774"/>
      </w:r>
      <w:r w:rsidRPr="00D51220">
        <w:rPr>
          <w:rFonts w:ascii="Times New Roman" w:eastAsia="Cambria" w:hAnsi="Times New Roman"/>
          <w:szCs w:val="24"/>
          <w:lang w:eastAsia="ja-JP"/>
        </w:rPr>
        <w:t>On January 2008, the TC held that victims appearing before the Court do not automatically qualify as witnesses.</w:t>
      </w:r>
      <w:r w:rsidRPr="00D51220">
        <w:rPr>
          <w:rFonts w:ascii="Times New Roman" w:eastAsia="Cambria" w:hAnsi="Times New Roman"/>
          <w:szCs w:val="24"/>
          <w:vertAlign w:val="superscript"/>
          <w:lang w:eastAsia="ja-JP"/>
        </w:rPr>
        <w:footnoteReference w:id="775"/>
      </w:r>
      <w:r w:rsidRPr="00D51220">
        <w:rPr>
          <w:rFonts w:ascii="Times New Roman" w:eastAsia="Cambria" w:hAnsi="Times New Roman"/>
          <w:szCs w:val="24"/>
          <w:lang w:eastAsia="ja-JP"/>
        </w:rPr>
        <w:t>It depends on whether th</w:t>
      </w:r>
      <w:r w:rsidR="00CB3088" w:rsidRPr="00D51220">
        <w:rPr>
          <w:rFonts w:ascii="Times New Roman" w:eastAsia="Cambria" w:hAnsi="Times New Roman"/>
          <w:szCs w:val="24"/>
          <w:lang w:eastAsia="ja-JP"/>
        </w:rPr>
        <w:t>ey are called as victims or witn</w:t>
      </w:r>
      <w:r w:rsidRPr="00D51220">
        <w:rPr>
          <w:rFonts w:ascii="Times New Roman" w:eastAsia="Cambria" w:hAnsi="Times New Roman"/>
          <w:szCs w:val="24"/>
          <w:lang w:eastAsia="ja-JP"/>
        </w:rPr>
        <w:t>esses.</w:t>
      </w:r>
      <w:r w:rsidR="0099605C">
        <w:rPr>
          <w:rFonts w:ascii="Times New Roman" w:eastAsia="Cambria" w:hAnsi="Times New Roman"/>
          <w:szCs w:val="24"/>
          <w:lang w:eastAsia="ja-JP"/>
        </w:rPr>
        <w:t xml:space="preserve"> </w:t>
      </w:r>
      <w:r w:rsidRPr="00D51220">
        <w:rPr>
          <w:rFonts w:ascii="Times New Roman" w:eastAsia="Cambria" w:hAnsi="Times New Roman"/>
          <w:szCs w:val="24"/>
          <w:lang w:eastAsia="ja-JP"/>
        </w:rPr>
        <w:t>It is necessary to ensure that the participation of victims with dual</w:t>
      </w:r>
      <w:r w:rsidR="0099605C">
        <w:rPr>
          <w:rFonts w:ascii="Times New Roman" w:eastAsia="Cambria" w:hAnsi="Times New Roman"/>
          <w:szCs w:val="24"/>
          <w:lang w:eastAsia="ja-JP"/>
        </w:rPr>
        <w:t>-</w:t>
      </w:r>
      <w:r w:rsidRPr="00D51220">
        <w:rPr>
          <w:rFonts w:ascii="Times New Roman" w:eastAsia="Cambria" w:hAnsi="Times New Roman"/>
          <w:szCs w:val="24"/>
          <w:lang w:eastAsia="ja-JP"/>
        </w:rPr>
        <w:t>status does not affect the rights of the defence</w:t>
      </w:r>
      <w:r w:rsidRPr="006E622A">
        <w:rPr>
          <w:rFonts w:ascii="Times New Roman" w:eastAsia="Cambria" w:hAnsi="Times New Roman"/>
          <w:sz w:val="22"/>
          <w:lang w:eastAsia="ja-JP"/>
        </w:rPr>
        <w:t>.</w:t>
      </w:r>
      <w:r w:rsidRPr="006E622A">
        <w:rPr>
          <w:rFonts w:ascii="Times New Roman" w:eastAsia="Cambria" w:hAnsi="Times New Roman"/>
          <w:sz w:val="22"/>
          <w:vertAlign w:val="superscript"/>
          <w:lang w:eastAsia="ja-JP"/>
        </w:rPr>
        <w:footnoteReference w:id="776"/>
      </w:r>
    </w:p>
    <w:p w14:paraId="3A2A43D9" w14:textId="77777777" w:rsidR="006E622A" w:rsidRPr="006E622A" w:rsidRDefault="006E622A" w:rsidP="006E622A">
      <w:pPr>
        <w:spacing w:after="0"/>
        <w:jc w:val="both"/>
        <w:rPr>
          <w:rFonts w:ascii="Times New Roman" w:eastAsia="Cambria" w:hAnsi="Times New Roman"/>
          <w:sz w:val="22"/>
          <w:lang w:eastAsia="ja-JP"/>
        </w:rPr>
      </w:pPr>
    </w:p>
    <w:p w14:paraId="0FE853EE" w14:textId="6B158465" w:rsidR="006E622A" w:rsidRPr="00942AA1" w:rsidRDefault="006E622A" w:rsidP="00942AA1">
      <w:pPr>
        <w:spacing w:before="200" w:after="160"/>
        <w:ind w:left="864" w:right="864"/>
        <w:jc w:val="center"/>
        <w:rPr>
          <w:rFonts w:ascii="Times New Roman" w:eastAsia="Cambria" w:hAnsi="Times New Roman"/>
          <w:iCs/>
          <w:color w:val="404040"/>
          <w:sz w:val="22"/>
          <w:lang w:eastAsia="ja-JP"/>
        </w:rPr>
      </w:pPr>
      <w:r w:rsidRPr="006E622A">
        <w:rPr>
          <w:rFonts w:ascii="Times New Roman" w:eastAsia="Cambria" w:hAnsi="Times New Roman"/>
          <w:i/>
          <w:iCs/>
          <w:color w:val="404040"/>
          <w:sz w:val="22"/>
          <w:lang w:eastAsia="ja-JP"/>
        </w:rPr>
        <w:t xml:space="preserve">  “ </w:t>
      </w:r>
      <w:r w:rsidR="00EC258F">
        <w:rPr>
          <w:rFonts w:ascii="Times New Roman" w:eastAsia="Cambria" w:hAnsi="Times New Roman"/>
          <w:iCs/>
          <w:color w:val="404040"/>
          <w:sz w:val="22"/>
          <w:lang w:eastAsia="ja-JP"/>
        </w:rPr>
        <w:t>T</w:t>
      </w:r>
      <w:r w:rsidRPr="0099605C">
        <w:rPr>
          <w:rFonts w:ascii="Times New Roman" w:eastAsia="Cambria" w:hAnsi="Times New Roman"/>
          <w:iCs/>
          <w:color w:val="404040"/>
          <w:sz w:val="22"/>
          <w:lang w:eastAsia="ja-JP"/>
        </w:rPr>
        <w:t>he Chamber indicated that their security should not be compromised, it also establi</w:t>
      </w:r>
      <w:r w:rsidR="0099605C">
        <w:rPr>
          <w:rFonts w:ascii="Times New Roman" w:eastAsia="Cambria" w:hAnsi="Times New Roman"/>
          <w:iCs/>
          <w:color w:val="404040"/>
          <w:sz w:val="22"/>
          <w:lang w:eastAsia="ja-JP"/>
        </w:rPr>
        <w:t>shed that individuals with dual-</w:t>
      </w:r>
      <w:r w:rsidRPr="0099605C">
        <w:rPr>
          <w:rFonts w:ascii="Times New Roman" w:eastAsia="Cambria" w:hAnsi="Times New Roman"/>
          <w:iCs/>
          <w:color w:val="404040"/>
          <w:sz w:val="22"/>
          <w:lang w:eastAsia="ja-JP"/>
        </w:rPr>
        <w:t>status do not accrue rights above and beyond those of someone who is solely a victim or a witness</w:t>
      </w:r>
      <w:r w:rsidRPr="006E622A">
        <w:rPr>
          <w:rFonts w:ascii="Times New Roman" w:eastAsia="Cambria" w:hAnsi="Times New Roman"/>
          <w:i/>
          <w:iCs/>
          <w:color w:val="404040"/>
          <w:sz w:val="22"/>
          <w:lang w:eastAsia="ja-JP"/>
        </w:rPr>
        <w:t>.”</w:t>
      </w:r>
      <w:r w:rsidRPr="006E622A">
        <w:rPr>
          <w:rFonts w:ascii="Times New Roman" w:eastAsia="Cambria" w:hAnsi="Times New Roman"/>
          <w:i/>
          <w:iCs/>
          <w:color w:val="404040"/>
          <w:sz w:val="22"/>
          <w:vertAlign w:val="superscript"/>
          <w:lang w:eastAsia="ja-JP"/>
        </w:rPr>
        <w:footnoteReference w:id="777"/>
      </w:r>
    </w:p>
    <w:p w14:paraId="5EE88D8E" w14:textId="77777777" w:rsidR="00334106" w:rsidRDefault="00334106" w:rsidP="00334106">
      <w:pPr>
        <w:spacing w:before="200" w:after="160" w:line="240" w:lineRule="auto"/>
        <w:ind w:right="864"/>
        <w:rPr>
          <w:rFonts w:ascii="Times New Roman" w:eastAsia="Cambria" w:hAnsi="Times New Roman"/>
          <w:i/>
          <w:iCs/>
          <w:color w:val="404040"/>
          <w:sz w:val="22"/>
          <w:lang w:eastAsia="ja-JP"/>
        </w:rPr>
      </w:pPr>
    </w:p>
    <w:p w14:paraId="1A8B64FE" w14:textId="1A3FDBF7" w:rsidR="00334106" w:rsidRPr="006E622A" w:rsidRDefault="00334106" w:rsidP="00942AA1">
      <w:pPr>
        <w:spacing w:after="0" w:line="480" w:lineRule="auto"/>
        <w:jc w:val="both"/>
        <w:rPr>
          <w:rFonts w:ascii="Times New Roman" w:eastAsia="Cambria" w:hAnsi="Times New Roman"/>
          <w:szCs w:val="24"/>
          <w:lang w:eastAsia="ja-JP"/>
        </w:rPr>
      </w:pPr>
      <w:r w:rsidRPr="00334106">
        <w:rPr>
          <w:rFonts w:ascii="Times New Roman" w:eastAsia="Cambria" w:hAnsi="Times New Roman"/>
          <w:iCs/>
          <w:color w:val="404040"/>
          <w:szCs w:val="24"/>
          <w:lang w:eastAsia="ja-JP"/>
        </w:rPr>
        <w:t xml:space="preserve">In </w:t>
      </w:r>
      <w:r w:rsidR="0099605C">
        <w:rPr>
          <w:rFonts w:ascii="Times New Roman" w:eastAsia="Cambria" w:hAnsi="Times New Roman"/>
          <w:iCs/>
          <w:color w:val="404040"/>
          <w:szCs w:val="24"/>
          <w:lang w:eastAsia="ja-JP"/>
        </w:rPr>
        <w:t xml:space="preserve">a </w:t>
      </w:r>
      <w:r w:rsidRPr="00334106">
        <w:rPr>
          <w:rFonts w:ascii="Times New Roman" w:eastAsia="Cambria" w:hAnsi="Times New Roman"/>
          <w:iCs/>
          <w:color w:val="404040"/>
          <w:szCs w:val="24"/>
          <w:lang w:eastAsia="ja-JP"/>
        </w:rPr>
        <w:t>similar vein,</w:t>
      </w:r>
      <w:r w:rsidRPr="00334106">
        <w:rPr>
          <w:rFonts w:ascii="Times New Roman" w:eastAsia="Cambria" w:hAnsi="Times New Roman"/>
          <w:szCs w:val="24"/>
          <w:lang w:eastAsia="ja-JP"/>
        </w:rPr>
        <w:t xml:space="preserve"> the role of victim-witnesses in information provision also came into play in Prosecutor v Germain Katanga</w:t>
      </w:r>
      <w:r w:rsidR="0099605C">
        <w:rPr>
          <w:rFonts w:ascii="Times New Roman" w:eastAsia="Cambria" w:hAnsi="Times New Roman"/>
          <w:szCs w:val="24"/>
          <w:lang w:eastAsia="ja-JP"/>
        </w:rPr>
        <w:t xml:space="preserve">; </w:t>
      </w:r>
      <w:r w:rsidRPr="00334106">
        <w:rPr>
          <w:rFonts w:ascii="Times New Roman" w:eastAsia="Cambria" w:hAnsi="Times New Roman"/>
          <w:szCs w:val="24"/>
          <w:lang w:eastAsia="ja-JP"/>
        </w:rPr>
        <w:t xml:space="preserve">the LRV aver that the joint reading of articles 68(3) and 69(1) of the Statute ascertain that the status of victims and witnesses are not </w:t>
      </w:r>
      <w:r w:rsidRPr="00334106">
        <w:rPr>
          <w:rFonts w:ascii="Times New Roman" w:eastAsia="Cambria" w:hAnsi="Times New Roman"/>
          <w:szCs w:val="24"/>
          <w:lang w:eastAsia="ja-JP"/>
        </w:rPr>
        <w:lastRenderedPageBreak/>
        <w:t>legally</w:t>
      </w:r>
      <w:r w:rsidRPr="006E622A">
        <w:rPr>
          <w:rFonts w:ascii="Times New Roman" w:eastAsia="Cambria" w:hAnsi="Times New Roman"/>
          <w:szCs w:val="24"/>
          <w:lang w:eastAsia="ja-JP"/>
        </w:rPr>
        <w:t xml:space="preserve"> incompatible.</w:t>
      </w:r>
      <w:r w:rsidRPr="006E622A">
        <w:rPr>
          <w:rFonts w:ascii="Times New Roman" w:eastAsia="Cambria" w:hAnsi="Times New Roman"/>
          <w:szCs w:val="24"/>
          <w:vertAlign w:val="superscript"/>
          <w:lang w:eastAsia="ja-JP"/>
        </w:rPr>
        <w:footnoteReference w:id="778"/>
      </w:r>
      <w:r w:rsidRPr="006E622A">
        <w:rPr>
          <w:rFonts w:ascii="Times New Roman" w:eastAsia="Cambria" w:hAnsi="Times New Roman"/>
          <w:szCs w:val="24"/>
          <w:lang w:eastAsia="ja-JP"/>
        </w:rPr>
        <w:t xml:space="preserve"> He further argued that if a victim is granted a dual status of victim-witnesses, this does not undermine the Chamber’s power to weigh testimony and evidence under article 69(4) of the Statute. Rather, it would assist in the determination of truth, which is the purpose of the trial.</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To support his argument, he made reference to the AC’s decision of 11 July 2008</w:t>
      </w:r>
      <w:r w:rsidR="00340D66">
        <w:rPr>
          <w:rFonts w:ascii="Times New Roman" w:eastAsia="Cambria" w:hAnsi="Times New Roman"/>
          <w:szCs w:val="24"/>
          <w:lang w:eastAsia="ja-JP"/>
        </w:rPr>
        <w:t>. This decision granted the victim the right to tender evidence at the trial and</w:t>
      </w:r>
      <w:r w:rsidRPr="006E622A">
        <w:rPr>
          <w:rFonts w:ascii="Times New Roman" w:eastAsia="Cambria" w:hAnsi="Times New Roman"/>
          <w:szCs w:val="24"/>
          <w:lang w:eastAsia="ja-JP"/>
        </w:rPr>
        <w:t xml:space="preserve"> discuss evidence adduced by the parties.</w:t>
      </w:r>
    </w:p>
    <w:p w14:paraId="70AE2708" w14:textId="77777777" w:rsidR="00334106" w:rsidRPr="006E622A" w:rsidRDefault="00334106" w:rsidP="00F0273E">
      <w:pPr>
        <w:spacing w:after="0" w:line="480" w:lineRule="auto"/>
        <w:jc w:val="both"/>
        <w:rPr>
          <w:rFonts w:ascii="Times New Roman" w:eastAsia="Cambria" w:hAnsi="Times New Roman"/>
          <w:szCs w:val="24"/>
          <w:lang w:eastAsia="ja-JP"/>
        </w:rPr>
      </w:pPr>
    </w:p>
    <w:p w14:paraId="641C580A" w14:textId="7D14ECD2" w:rsidR="00334106" w:rsidRPr="006E622A" w:rsidRDefault="00334106" w:rsidP="00942AA1">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The Chamber stressed that the recent jurisprudence of the Court recognises and permits the dual status of victim-witnesses.</w:t>
      </w:r>
      <w:r w:rsidR="0099605C">
        <w:rPr>
          <w:rFonts w:ascii="Times New Roman" w:eastAsia="Cambria" w:hAnsi="Times New Roman"/>
          <w:szCs w:val="24"/>
          <w:lang w:eastAsia="ja-JP"/>
        </w:rPr>
        <w:t xml:space="preserve"> </w:t>
      </w:r>
      <w:r w:rsidR="007D0F7F">
        <w:rPr>
          <w:rFonts w:ascii="Times New Roman" w:eastAsia="Cambria" w:hAnsi="Times New Roman"/>
          <w:szCs w:val="24"/>
          <w:lang w:eastAsia="ja-JP"/>
        </w:rPr>
        <w:t>Regarding</w:t>
      </w:r>
      <w:r w:rsidR="00B15D4A">
        <w:rPr>
          <w:rFonts w:ascii="Times New Roman" w:eastAsia="Cambria" w:hAnsi="Times New Roman"/>
          <w:szCs w:val="24"/>
          <w:lang w:eastAsia="ja-JP"/>
        </w:rPr>
        <w:t xml:space="preserve"> th</w:t>
      </w:r>
      <w:r w:rsidR="00881A40">
        <w:rPr>
          <w:rFonts w:ascii="Times New Roman" w:eastAsia="Cambria" w:hAnsi="Times New Roman"/>
          <w:szCs w:val="24"/>
          <w:lang w:eastAsia="ja-JP"/>
        </w:rPr>
        <w:t>e</w:t>
      </w:r>
      <w:r w:rsidR="00B15D4A">
        <w:rPr>
          <w:rFonts w:ascii="Times New Roman" w:eastAsia="Cambria" w:hAnsi="Times New Roman"/>
          <w:szCs w:val="24"/>
          <w:lang w:eastAsia="ja-JP"/>
        </w:rPr>
        <w:t xml:space="preserve"> case law dated 18 January 2008,</w:t>
      </w:r>
      <w:r w:rsidR="00B15D4A">
        <w:rPr>
          <w:rStyle w:val="FootnoteReference"/>
          <w:rFonts w:ascii="Times New Roman" w:eastAsia="Cambria" w:hAnsi="Times New Roman"/>
          <w:szCs w:val="24"/>
          <w:lang w:eastAsia="ja-JP"/>
        </w:rPr>
        <w:footnoteReference w:id="779"/>
      </w:r>
      <w:r w:rsidRPr="006E622A">
        <w:rPr>
          <w:rFonts w:ascii="Times New Roman" w:eastAsia="Cambria" w:hAnsi="Times New Roman"/>
          <w:szCs w:val="24"/>
          <w:lang w:eastAsia="ja-JP"/>
        </w:rPr>
        <w:t xml:space="preserve"> Besides, according to the context of the situation, it was challenging to find ‘</w:t>
      </w:r>
      <w:r w:rsidRPr="006E622A">
        <w:rPr>
          <w:rFonts w:ascii="Times New Roman" w:eastAsia="Cambria" w:hAnsi="Times New Roman"/>
          <w:i/>
          <w:szCs w:val="24"/>
          <w:lang w:eastAsia="ja-JP"/>
        </w:rPr>
        <w:t>spectators</w:t>
      </w:r>
      <w:r w:rsidRPr="006E622A">
        <w:rPr>
          <w:rFonts w:ascii="Times New Roman" w:eastAsia="Cambria" w:hAnsi="Times New Roman"/>
          <w:szCs w:val="24"/>
          <w:lang w:eastAsia="ja-JP"/>
        </w:rPr>
        <w:t xml:space="preserve">’ that are not victims of the </w:t>
      </w:r>
      <w:proofErr w:type="spellStart"/>
      <w:r w:rsidRPr="006E622A">
        <w:rPr>
          <w:rFonts w:ascii="Times New Roman" w:eastAsia="Cambria" w:hAnsi="Times New Roman"/>
          <w:szCs w:val="24"/>
          <w:lang w:eastAsia="ja-JP"/>
        </w:rPr>
        <w:t>Bogoro</w:t>
      </w:r>
      <w:proofErr w:type="spellEnd"/>
      <w:r w:rsidRPr="006E622A">
        <w:rPr>
          <w:rFonts w:ascii="Times New Roman" w:eastAsia="Cambria" w:hAnsi="Times New Roman"/>
          <w:szCs w:val="24"/>
          <w:lang w:eastAsia="ja-JP"/>
        </w:rPr>
        <w:t xml:space="preserve"> attack. The Chamber granted witness 166, the procedural status of victims at the PTC stage.  </w:t>
      </w:r>
    </w:p>
    <w:p w14:paraId="2E6A5478" w14:textId="77777777" w:rsidR="00334106" w:rsidRDefault="00334106" w:rsidP="00942AA1">
      <w:pPr>
        <w:spacing w:after="0" w:line="480" w:lineRule="auto"/>
        <w:jc w:val="both"/>
        <w:rPr>
          <w:rFonts w:ascii="Times New Roman" w:eastAsia="Cambria" w:hAnsi="Times New Roman"/>
          <w:iCs/>
          <w:color w:val="404040"/>
          <w:sz w:val="22"/>
          <w:lang w:eastAsia="ja-JP"/>
        </w:rPr>
      </w:pPr>
    </w:p>
    <w:p w14:paraId="40375B75" w14:textId="070883ED" w:rsidR="006E622A" w:rsidRPr="006E622A" w:rsidRDefault="006E622A" w:rsidP="00942AA1">
      <w:pPr>
        <w:spacing w:after="0"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The role and influence of evidence in criminal proceedings cannot be overemphasised.</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The preponderance of evidence determines the innocence or guilt of the accused.</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It is the primary responsibility of both parties-defence and prosecution- to present evidence and convince the judge or jury to </w:t>
      </w:r>
      <w:r w:rsidR="005B1196">
        <w:rPr>
          <w:rFonts w:ascii="Times New Roman" w:eastAsia="Cambria" w:hAnsi="Times New Roman"/>
          <w:szCs w:val="24"/>
          <w:lang w:eastAsia="ja-JP"/>
        </w:rPr>
        <w:t>decide</w:t>
      </w:r>
      <w:r w:rsidRPr="006E622A">
        <w:rPr>
          <w:rFonts w:ascii="Times New Roman" w:eastAsia="Cambria" w:hAnsi="Times New Roman"/>
          <w:szCs w:val="24"/>
          <w:lang w:eastAsia="ja-JP"/>
        </w:rPr>
        <w:t xml:space="preserve"> in their favour.</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This begs the question of the place of victims in the presentation of evidence.</w:t>
      </w:r>
      <w:r w:rsidR="00BF59F4">
        <w:rPr>
          <w:rFonts w:ascii="Times New Roman" w:eastAsia="Cambria" w:hAnsi="Times New Roman"/>
          <w:szCs w:val="24"/>
          <w:lang w:eastAsia="ja-JP"/>
        </w:rPr>
        <w:t xml:space="preserve"> I</w:t>
      </w:r>
      <w:r w:rsidRPr="006E622A">
        <w:rPr>
          <w:rFonts w:ascii="Times New Roman" w:eastAsia="Cambria" w:hAnsi="Times New Roman"/>
          <w:szCs w:val="24"/>
          <w:lang w:eastAsia="ja-JP"/>
        </w:rPr>
        <w:t>f victims are allowed to present evidence,</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this will disrupt the equality of arms and threaten the </w:t>
      </w:r>
      <w:r w:rsidR="00340D66">
        <w:rPr>
          <w:rFonts w:ascii="Times New Roman" w:eastAsia="Cambria" w:hAnsi="Times New Roman"/>
          <w:szCs w:val="24"/>
          <w:lang w:eastAsia="ja-JP"/>
        </w:rPr>
        <w:t xml:space="preserve">accused's fair </w:t>
      </w:r>
      <w:r w:rsidR="00340D66">
        <w:rPr>
          <w:rFonts w:ascii="Times New Roman" w:eastAsia="Cambria" w:hAnsi="Times New Roman"/>
          <w:szCs w:val="24"/>
          <w:lang w:eastAsia="ja-JP"/>
        </w:rPr>
        <w:lastRenderedPageBreak/>
        <w:t>trial</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780"/>
      </w:r>
      <w:r w:rsidRPr="006E622A">
        <w:rPr>
          <w:rFonts w:ascii="Times New Roman" w:eastAsia="Cambria" w:hAnsi="Times New Roman"/>
          <w:szCs w:val="24"/>
          <w:lang w:eastAsia="ja-JP"/>
        </w:rPr>
        <w:t>This connotes that the accused will be up against two accusers; the prosecution and victim.</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This is not consistent with the adversarial system of procedure. However, since the ICC system of procedure is a hybrid of </w:t>
      </w:r>
      <w:r w:rsidR="0099605C">
        <w:rPr>
          <w:rFonts w:ascii="Times New Roman" w:eastAsia="Cambria" w:hAnsi="Times New Roman"/>
          <w:szCs w:val="24"/>
          <w:lang w:eastAsia="ja-JP"/>
        </w:rPr>
        <w:t xml:space="preserve">the </w:t>
      </w:r>
      <w:r w:rsidRPr="006E622A">
        <w:rPr>
          <w:rFonts w:ascii="Times New Roman" w:eastAsia="Cambria" w:hAnsi="Times New Roman"/>
          <w:szCs w:val="24"/>
          <w:lang w:eastAsia="ja-JP"/>
        </w:rPr>
        <w:t xml:space="preserve">inquisitorial and adversarial system of procedure, victims may tender and examine </w:t>
      </w:r>
      <w:r w:rsidR="0099605C">
        <w:rPr>
          <w:rFonts w:ascii="Times New Roman" w:eastAsia="Cambria" w:hAnsi="Times New Roman"/>
          <w:szCs w:val="24"/>
          <w:lang w:eastAsia="ja-JP"/>
        </w:rPr>
        <w:t xml:space="preserve">the </w:t>
      </w:r>
      <w:r w:rsidRPr="006E622A">
        <w:rPr>
          <w:rFonts w:ascii="Times New Roman" w:eastAsia="Cambria" w:hAnsi="Times New Roman"/>
          <w:szCs w:val="24"/>
          <w:lang w:eastAsia="ja-JP"/>
        </w:rPr>
        <w:t>evidence with some exceptions.</w:t>
      </w:r>
      <w:r w:rsidR="0099605C">
        <w:rPr>
          <w:rFonts w:ascii="Times New Roman" w:eastAsia="Cambria" w:hAnsi="Times New Roman"/>
          <w:szCs w:val="24"/>
          <w:lang w:eastAsia="ja-JP"/>
        </w:rPr>
        <w:t xml:space="preserve"> </w:t>
      </w:r>
      <w:r w:rsidRPr="006E622A">
        <w:rPr>
          <w:rFonts w:ascii="Times New Roman" w:eastAsia="Cambria" w:hAnsi="Times New Roman"/>
          <w:szCs w:val="24"/>
          <w:lang w:eastAsia="ja-JP"/>
        </w:rPr>
        <w:t xml:space="preserve">It is debatable if victims have </w:t>
      </w:r>
      <w:r w:rsidR="0099605C">
        <w:rPr>
          <w:rFonts w:ascii="Times New Roman" w:eastAsia="Cambria" w:hAnsi="Times New Roman"/>
          <w:szCs w:val="24"/>
          <w:lang w:eastAsia="ja-JP"/>
        </w:rPr>
        <w:t xml:space="preserve">the </w:t>
      </w:r>
      <w:r w:rsidRPr="006E622A">
        <w:rPr>
          <w:rFonts w:ascii="Times New Roman" w:eastAsia="Cambria" w:hAnsi="Times New Roman"/>
          <w:szCs w:val="24"/>
          <w:lang w:eastAsia="ja-JP"/>
        </w:rPr>
        <w:t>right to present evidence during criminal proceedings.</w:t>
      </w:r>
    </w:p>
    <w:p w14:paraId="26BC6582" w14:textId="77777777" w:rsidR="006E622A" w:rsidRPr="006E622A" w:rsidRDefault="006E622A" w:rsidP="00942AA1">
      <w:pPr>
        <w:spacing w:after="0" w:line="480" w:lineRule="auto"/>
        <w:jc w:val="both"/>
        <w:rPr>
          <w:rFonts w:ascii="Times New Roman" w:eastAsia="Cambria" w:hAnsi="Times New Roman"/>
          <w:szCs w:val="24"/>
          <w:lang w:eastAsia="ja-JP"/>
        </w:rPr>
      </w:pPr>
    </w:p>
    <w:p w14:paraId="520F9A74" w14:textId="4DF78C02" w:rsidR="006E622A" w:rsidRPr="00B14706" w:rsidRDefault="0099605C" w:rsidP="00F0273E">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w:t>
      </w:r>
      <w:r w:rsidR="006E622A" w:rsidRPr="00B14706">
        <w:rPr>
          <w:rFonts w:ascii="Times New Roman" w:eastAsia="Cambria" w:hAnsi="Times New Roman"/>
          <w:szCs w:val="24"/>
          <w:lang w:eastAsia="ja-JP"/>
        </w:rPr>
        <w:t xml:space="preserve">Be that as it may, </w:t>
      </w:r>
      <w:r w:rsidR="00340D66">
        <w:rPr>
          <w:rFonts w:ascii="Times New Roman" w:eastAsia="Cambria" w:hAnsi="Times New Roman"/>
          <w:szCs w:val="24"/>
          <w:lang w:eastAsia="ja-JP"/>
        </w:rPr>
        <w:t>victims' personal interest</w:t>
      </w:r>
      <w:r w:rsidR="006E622A" w:rsidRPr="00B14706">
        <w:rPr>
          <w:rFonts w:ascii="Times New Roman" w:eastAsia="Cambria" w:hAnsi="Times New Roman"/>
          <w:szCs w:val="24"/>
          <w:lang w:eastAsia="ja-JP"/>
        </w:rPr>
        <w:t>s are not required for them to give evidence under oath.</w:t>
      </w:r>
      <w:r>
        <w:rPr>
          <w:rFonts w:ascii="Times New Roman" w:eastAsia="Cambria" w:hAnsi="Times New Roman"/>
          <w:szCs w:val="24"/>
          <w:lang w:eastAsia="ja-JP"/>
        </w:rPr>
        <w:t xml:space="preserve"> </w:t>
      </w:r>
      <w:r w:rsidR="006E622A" w:rsidRPr="00B14706">
        <w:rPr>
          <w:rFonts w:ascii="Times New Roman" w:eastAsia="Cambria" w:hAnsi="Times New Roman"/>
          <w:szCs w:val="24"/>
          <w:lang w:eastAsia="ja-JP"/>
        </w:rPr>
        <w:t>The TC  pointed this out.</w:t>
      </w:r>
      <w:r>
        <w:rPr>
          <w:rFonts w:ascii="Times New Roman" w:eastAsia="Cambria" w:hAnsi="Times New Roman"/>
          <w:szCs w:val="24"/>
          <w:lang w:eastAsia="ja-JP"/>
        </w:rPr>
        <w:t xml:space="preserve"> </w:t>
      </w:r>
      <w:r w:rsidR="006E622A" w:rsidRPr="00B14706">
        <w:rPr>
          <w:rFonts w:ascii="Times New Roman" w:eastAsia="Cambria" w:hAnsi="Times New Roman"/>
          <w:szCs w:val="24"/>
          <w:lang w:eastAsia="ja-JP"/>
        </w:rPr>
        <w:t xml:space="preserve">In its ruling, the Chamber has </w:t>
      </w:r>
      <w:r w:rsidR="006E622A" w:rsidRPr="0099605C">
        <w:rPr>
          <w:rFonts w:ascii="Times New Roman" w:eastAsia="Cambria" w:hAnsi="Times New Roman"/>
          <w:szCs w:val="24"/>
          <w:lang w:eastAsia="ja-JP"/>
        </w:rPr>
        <w:t>‘a general right to request the presentation of all evidence necessary for the determination of the truth…</w:t>
      </w:r>
      <w:r w:rsidR="006E622A" w:rsidRPr="00B14706">
        <w:rPr>
          <w:rFonts w:ascii="Times New Roman" w:eastAsia="Cambria" w:hAnsi="Times New Roman"/>
          <w:i/>
          <w:szCs w:val="24"/>
          <w:lang w:eastAsia="ja-JP"/>
        </w:rPr>
        <w:t>’</w:t>
      </w:r>
      <w:r w:rsidR="006E622A" w:rsidRPr="00B14706">
        <w:rPr>
          <w:rFonts w:ascii="Times New Roman" w:eastAsia="Cambria" w:hAnsi="Times New Roman"/>
          <w:i/>
          <w:szCs w:val="24"/>
          <w:vertAlign w:val="superscript"/>
          <w:lang w:eastAsia="ja-JP"/>
        </w:rPr>
        <w:footnoteReference w:id="781"/>
      </w:r>
      <w:r w:rsidR="006E622A" w:rsidRPr="00B14706">
        <w:rPr>
          <w:rFonts w:ascii="Times New Roman" w:eastAsia="Cambria" w:hAnsi="Times New Roman"/>
          <w:szCs w:val="24"/>
          <w:lang w:eastAsia="ja-JP"/>
        </w:rPr>
        <w:t xml:space="preserve">  The Chamber also acknowledged that  Rule 91(3) of the Rules permits participating victims to examine(question) witnesses with the leave of the Court.</w:t>
      </w:r>
      <w:r>
        <w:rPr>
          <w:rFonts w:ascii="Times New Roman" w:eastAsia="Cambria" w:hAnsi="Times New Roman"/>
          <w:szCs w:val="24"/>
          <w:lang w:eastAsia="ja-JP"/>
        </w:rPr>
        <w:t xml:space="preserve"> </w:t>
      </w:r>
      <w:r w:rsidR="006E622A" w:rsidRPr="00B14706">
        <w:rPr>
          <w:rFonts w:ascii="Times New Roman" w:eastAsia="Cambria" w:hAnsi="Times New Roman"/>
          <w:szCs w:val="24"/>
          <w:lang w:eastAsia="ja-JP"/>
        </w:rPr>
        <w:t>Therefore, this rule enables participating victims to tender and examine evidence if</w:t>
      </w:r>
      <w:r w:rsidR="007D0F7F">
        <w:rPr>
          <w:rFonts w:ascii="Times New Roman" w:eastAsia="Cambria" w:hAnsi="Times New Roman"/>
          <w:szCs w:val="24"/>
          <w:lang w:eastAsia="ja-JP"/>
        </w:rPr>
        <w:t xml:space="preserve"> it will assist in the determination of the truth in the Chamber's view</w:t>
      </w:r>
      <w:r w:rsidR="006E622A" w:rsidRPr="00B14706">
        <w:rPr>
          <w:rFonts w:ascii="Times New Roman" w:eastAsia="Cambria" w:hAnsi="Times New Roman"/>
          <w:szCs w:val="24"/>
          <w:lang w:eastAsia="ja-JP"/>
        </w:rPr>
        <w:t>.</w:t>
      </w:r>
      <w:r>
        <w:rPr>
          <w:rFonts w:ascii="Times New Roman" w:eastAsia="Cambria" w:hAnsi="Times New Roman"/>
          <w:szCs w:val="24"/>
          <w:lang w:eastAsia="ja-JP"/>
        </w:rPr>
        <w:t xml:space="preserve"> </w:t>
      </w:r>
      <w:r w:rsidR="006E622A" w:rsidRPr="00B14706">
        <w:rPr>
          <w:rFonts w:ascii="Times New Roman" w:eastAsia="Cambria" w:hAnsi="Times New Roman"/>
          <w:szCs w:val="24"/>
          <w:lang w:eastAsia="ja-JP"/>
        </w:rPr>
        <w:t xml:space="preserve">The test for this is the </w:t>
      </w:r>
      <w:r w:rsidR="00942AA1">
        <w:rPr>
          <w:rFonts w:ascii="Times New Roman" w:eastAsia="Cambria" w:hAnsi="Times New Roman"/>
          <w:szCs w:val="24"/>
          <w:lang w:eastAsia="ja-JP"/>
        </w:rPr>
        <w:t>“</w:t>
      </w:r>
      <w:r w:rsidR="006E622A" w:rsidRPr="00B14706">
        <w:rPr>
          <w:rFonts w:ascii="Times New Roman" w:eastAsia="Cambria" w:hAnsi="Times New Roman"/>
          <w:szCs w:val="24"/>
          <w:lang w:eastAsia="ja-JP"/>
        </w:rPr>
        <w:t>personal interests</w:t>
      </w:r>
      <w:r w:rsidR="00942AA1">
        <w:rPr>
          <w:rFonts w:ascii="Times New Roman" w:eastAsia="Cambria" w:hAnsi="Times New Roman"/>
          <w:szCs w:val="24"/>
          <w:lang w:eastAsia="ja-JP"/>
        </w:rPr>
        <w:t>”</w:t>
      </w:r>
      <w:r w:rsidR="006E622A" w:rsidRPr="00B14706">
        <w:rPr>
          <w:rFonts w:ascii="Times New Roman" w:eastAsia="Cambria" w:hAnsi="Times New Roman"/>
          <w:szCs w:val="24"/>
          <w:lang w:eastAsia="ja-JP"/>
        </w:rPr>
        <w:t xml:space="preserve"> test.</w:t>
      </w:r>
      <w:r w:rsidR="006E622A" w:rsidRPr="00B14706">
        <w:rPr>
          <w:rFonts w:ascii="Times New Roman" w:eastAsia="Cambria" w:hAnsi="Times New Roman"/>
          <w:szCs w:val="24"/>
          <w:vertAlign w:val="superscript"/>
          <w:lang w:eastAsia="ja-JP"/>
        </w:rPr>
        <w:footnoteReference w:id="782"/>
      </w:r>
      <w:r w:rsidR="006E622A" w:rsidRPr="00B14706">
        <w:rPr>
          <w:rFonts w:ascii="Times New Roman" w:eastAsia="Cambria" w:hAnsi="Times New Roman"/>
          <w:szCs w:val="24"/>
          <w:lang w:eastAsia="ja-JP"/>
        </w:rPr>
        <w:t>The Chamber reasoned that the victims applying to participate should be provided with access to the redacted version of the prosecution’s ‘</w:t>
      </w:r>
      <w:r w:rsidR="006E622A" w:rsidRPr="0099605C">
        <w:rPr>
          <w:rFonts w:ascii="Times New Roman" w:eastAsia="Cambria" w:hAnsi="Times New Roman"/>
          <w:szCs w:val="24"/>
          <w:lang w:eastAsia="ja-JP"/>
        </w:rPr>
        <w:t>summary of presentation of evidence</w:t>
      </w:r>
      <w:r w:rsidR="006E622A" w:rsidRPr="00B14706">
        <w:rPr>
          <w:rFonts w:ascii="Times New Roman" w:eastAsia="Cambria" w:hAnsi="Times New Roman"/>
          <w:i/>
          <w:szCs w:val="24"/>
          <w:lang w:eastAsia="ja-JP"/>
        </w:rPr>
        <w:t>’</w:t>
      </w:r>
      <w:r w:rsidR="006E622A" w:rsidRPr="00B14706">
        <w:rPr>
          <w:rFonts w:ascii="Times New Roman" w:eastAsia="Cambria" w:hAnsi="Times New Roman"/>
          <w:i/>
          <w:szCs w:val="24"/>
          <w:vertAlign w:val="superscript"/>
          <w:lang w:eastAsia="ja-JP"/>
        </w:rPr>
        <w:footnoteReference w:id="783"/>
      </w:r>
      <w:r w:rsidR="006E622A" w:rsidRPr="00B14706">
        <w:rPr>
          <w:rFonts w:ascii="Times New Roman" w:eastAsia="Cambria" w:hAnsi="Times New Roman"/>
          <w:i/>
          <w:szCs w:val="24"/>
          <w:lang w:eastAsia="ja-JP"/>
        </w:rPr>
        <w:t xml:space="preserve"> </w:t>
      </w:r>
      <w:r w:rsidR="006E622A" w:rsidRPr="00B14706">
        <w:rPr>
          <w:rFonts w:ascii="Times New Roman" w:eastAsia="Cambria" w:hAnsi="Times New Roman"/>
          <w:szCs w:val="24"/>
          <w:lang w:eastAsia="ja-JP"/>
        </w:rPr>
        <w:t>This shows that Court allows victims to lead evidence provided it is in the determination of the truth and such evidence affects the victims’ personal interests</w:t>
      </w:r>
      <w:r w:rsidR="00340D66">
        <w:rPr>
          <w:rFonts w:ascii="Times New Roman" w:eastAsia="Cambria" w:hAnsi="Times New Roman"/>
          <w:szCs w:val="24"/>
          <w:lang w:eastAsia="ja-JP"/>
        </w:rPr>
        <w:t>:</w:t>
      </w:r>
    </w:p>
    <w:p w14:paraId="3BA53493" w14:textId="77777777" w:rsidR="006E622A" w:rsidRPr="00B14706" w:rsidRDefault="006E622A" w:rsidP="00B14706">
      <w:pPr>
        <w:spacing w:after="0" w:line="480" w:lineRule="auto"/>
        <w:jc w:val="both"/>
        <w:rPr>
          <w:rFonts w:ascii="Times New Roman" w:eastAsia="Cambria" w:hAnsi="Times New Roman"/>
          <w:szCs w:val="24"/>
          <w:lang w:eastAsia="ja-JP"/>
        </w:rPr>
      </w:pPr>
    </w:p>
    <w:p w14:paraId="4BDEBC79" w14:textId="77777777" w:rsidR="006E622A" w:rsidRPr="00942AA1" w:rsidRDefault="006E622A" w:rsidP="00F0273E">
      <w:pPr>
        <w:spacing w:after="0" w:line="480" w:lineRule="auto"/>
        <w:jc w:val="center"/>
        <w:rPr>
          <w:rFonts w:ascii="Times New Roman" w:eastAsia="Cambria" w:hAnsi="Times New Roman"/>
          <w:iCs/>
          <w:szCs w:val="24"/>
          <w:lang w:eastAsia="ja-JP"/>
        </w:rPr>
      </w:pPr>
      <w:r w:rsidRPr="00942AA1">
        <w:rPr>
          <w:rFonts w:ascii="Times New Roman" w:eastAsia="Cambria" w:hAnsi="Times New Roman"/>
          <w:iCs/>
          <w:szCs w:val="24"/>
          <w:lang w:eastAsia="ja-JP"/>
        </w:rPr>
        <w:lastRenderedPageBreak/>
        <w:t>“ [T]he Chamber is satisfied that the victims of crimes are often able to</w:t>
      </w:r>
    </w:p>
    <w:p w14:paraId="3AF15C54" w14:textId="761356E9" w:rsidR="006E622A" w:rsidRPr="00942AA1" w:rsidRDefault="006E622A" w:rsidP="00F0273E">
      <w:pPr>
        <w:spacing w:after="0" w:line="480" w:lineRule="auto"/>
        <w:jc w:val="center"/>
        <w:rPr>
          <w:rFonts w:ascii="Times New Roman" w:eastAsia="Cambria" w:hAnsi="Times New Roman"/>
          <w:iCs/>
          <w:szCs w:val="24"/>
          <w:lang w:eastAsia="ja-JP"/>
        </w:rPr>
      </w:pPr>
      <w:r w:rsidRPr="00942AA1">
        <w:rPr>
          <w:rFonts w:ascii="Times New Roman" w:eastAsia="Cambria" w:hAnsi="Times New Roman"/>
          <w:iCs/>
          <w:szCs w:val="24"/>
          <w:u w:val="single"/>
          <w:lang w:eastAsia="ja-JP"/>
        </w:rPr>
        <w:t>give direct evidence</w:t>
      </w:r>
      <w:r w:rsidRPr="00942AA1">
        <w:rPr>
          <w:rFonts w:ascii="Times New Roman" w:eastAsia="Cambria" w:hAnsi="Times New Roman"/>
          <w:iCs/>
          <w:szCs w:val="24"/>
          <w:lang w:eastAsia="ja-JP"/>
        </w:rPr>
        <w:t xml:space="preserve"> about the alleged offences and as a result a general ban on</w:t>
      </w:r>
    </w:p>
    <w:p w14:paraId="586FCB58" w14:textId="77777777" w:rsidR="006E622A" w:rsidRPr="00942AA1" w:rsidRDefault="006E622A" w:rsidP="00F0273E">
      <w:pPr>
        <w:spacing w:after="0" w:line="480" w:lineRule="auto"/>
        <w:jc w:val="center"/>
        <w:rPr>
          <w:rFonts w:ascii="Times New Roman" w:eastAsia="Cambria" w:hAnsi="Times New Roman"/>
          <w:iCs/>
          <w:szCs w:val="24"/>
          <w:lang w:eastAsia="ja-JP"/>
        </w:rPr>
      </w:pPr>
      <w:r w:rsidRPr="00942AA1">
        <w:rPr>
          <w:rFonts w:ascii="Times New Roman" w:eastAsia="Cambria" w:hAnsi="Times New Roman"/>
          <w:iCs/>
          <w:szCs w:val="24"/>
          <w:lang w:eastAsia="ja-JP"/>
        </w:rPr>
        <w:t>their participation in the proceedings if they may be called as witnesses would</w:t>
      </w:r>
    </w:p>
    <w:p w14:paraId="53D8DE16" w14:textId="77777777" w:rsidR="006E622A" w:rsidRPr="00942AA1" w:rsidRDefault="006E622A" w:rsidP="00F0273E">
      <w:pPr>
        <w:spacing w:after="0" w:line="480" w:lineRule="auto"/>
        <w:jc w:val="center"/>
        <w:rPr>
          <w:rFonts w:ascii="Times New Roman" w:eastAsia="Cambria" w:hAnsi="Times New Roman"/>
          <w:iCs/>
          <w:szCs w:val="24"/>
          <w:lang w:eastAsia="ja-JP"/>
        </w:rPr>
      </w:pPr>
      <w:r w:rsidRPr="00942AA1">
        <w:rPr>
          <w:rFonts w:ascii="Times New Roman" w:eastAsia="Cambria" w:hAnsi="Times New Roman"/>
          <w:iCs/>
          <w:szCs w:val="24"/>
          <w:lang w:eastAsia="ja-JP"/>
        </w:rPr>
        <w:t>be contrary to the aim and purpose of Article 68(3) of the Statute and the</w:t>
      </w:r>
    </w:p>
    <w:p w14:paraId="41CCDA25" w14:textId="77777777" w:rsidR="006E622A" w:rsidRDefault="006E622A" w:rsidP="00F0273E">
      <w:pPr>
        <w:spacing w:after="0" w:line="480" w:lineRule="auto"/>
        <w:jc w:val="center"/>
        <w:rPr>
          <w:rFonts w:ascii="Times New Roman" w:eastAsia="Cambria" w:hAnsi="Times New Roman"/>
          <w:szCs w:val="24"/>
          <w:lang w:eastAsia="ja-JP"/>
        </w:rPr>
      </w:pPr>
      <w:r w:rsidRPr="00942AA1">
        <w:rPr>
          <w:rFonts w:ascii="Times New Roman" w:eastAsia="Cambria" w:hAnsi="Times New Roman"/>
          <w:iCs/>
          <w:szCs w:val="24"/>
          <w:lang w:eastAsia="ja-JP"/>
        </w:rPr>
        <w:t>Chamber's obligation to establish the truth</w:t>
      </w:r>
      <w:r w:rsidRPr="00B14706">
        <w:rPr>
          <w:rFonts w:ascii="Times New Roman" w:eastAsia="Cambria" w:hAnsi="Times New Roman"/>
          <w:szCs w:val="24"/>
          <w:lang w:eastAsia="ja-JP"/>
        </w:rPr>
        <w:t>.”</w:t>
      </w:r>
      <w:r w:rsidRPr="00B14706">
        <w:rPr>
          <w:rFonts w:ascii="Times New Roman" w:eastAsia="Cambria" w:hAnsi="Times New Roman"/>
          <w:szCs w:val="24"/>
          <w:vertAlign w:val="superscript"/>
          <w:lang w:eastAsia="ja-JP"/>
        </w:rPr>
        <w:footnoteReference w:id="784"/>
      </w:r>
    </w:p>
    <w:p w14:paraId="6AD98359" w14:textId="77777777" w:rsidR="00F56301" w:rsidRPr="00B14706" w:rsidRDefault="00F56301" w:rsidP="00B14706">
      <w:pPr>
        <w:spacing w:after="0" w:line="480" w:lineRule="auto"/>
        <w:jc w:val="both"/>
        <w:rPr>
          <w:rFonts w:ascii="Times New Roman" w:eastAsia="Cambria" w:hAnsi="Times New Roman"/>
          <w:szCs w:val="24"/>
          <w:lang w:eastAsia="ja-JP"/>
        </w:rPr>
      </w:pPr>
    </w:p>
    <w:p w14:paraId="3590D93B" w14:textId="55A1226B" w:rsidR="006E622A" w:rsidRDefault="006E622A" w:rsidP="00F0273E">
      <w:pPr>
        <w:spacing w:after="0" w:line="480" w:lineRule="auto"/>
        <w:jc w:val="both"/>
        <w:rPr>
          <w:rFonts w:ascii="Times New Roman" w:eastAsia="Cambria" w:hAnsi="Times New Roman"/>
          <w:szCs w:val="24"/>
          <w:lang w:eastAsia="ja-JP"/>
        </w:rPr>
      </w:pPr>
      <w:r w:rsidRPr="00F56301">
        <w:rPr>
          <w:rFonts w:ascii="Times New Roman" w:eastAsia="Cambria" w:hAnsi="Times New Roman"/>
          <w:szCs w:val="24"/>
          <w:lang w:eastAsia="ja-JP"/>
        </w:rPr>
        <w:t>Th</w:t>
      </w:r>
      <w:r w:rsidR="00942AA1">
        <w:rPr>
          <w:rFonts w:ascii="Times New Roman" w:eastAsia="Cambria" w:hAnsi="Times New Roman"/>
          <w:szCs w:val="24"/>
          <w:lang w:eastAsia="ja-JP"/>
        </w:rPr>
        <w:t>e</w:t>
      </w:r>
      <w:r w:rsidRPr="00F56301">
        <w:rPr>
          <w:rFonts w:ascii="Times New Roman" w:eastAsia="Cambria" w:hAnsi="Times New Roman"/>
          <w:szCs w:val="24"/>
          <w:lang w:eastAsia="ja-JP"/>
        </w:rPr>
        <w:t xml:space="preserve"> </w:t>
      </w:r>
      <w:r w:rsidR="00942AA1">
        <w:rPr>
          <w:rFonts w:ascii="Times New Roman" w:eastAsia="Cambria" w:hAnsi="Times New Roman"/>
          <w:szCs w:val="24"/>
          <w:lang w:eastAsia="ja-JP"/>
        </w:rPr>
        <w:t xml:space="preserve">ruling </w:t>
      </w:r>
      <w:r w:rsidRPr="00F56301">
        <w:rPr>
          <w:rFonts w:ascii="Times New Roman" w:eastAsia="Cambria" w:hAnsi="Times New Roman"/>
          <w:szCs w:val="24"/>
          <w:lang w:eastAsia="ja-JP"/>
        </w:rPr>
        <w:t xml:space="preserve">explains the stance of the Court on the dual status of victims. The </w:t>
      </w:r>
      <w:r w:rsidR="00340D66">
        <w:rPr>
          <w:rFonts w:ascii="Times New Roman" w:eastAsia="Cambria" w:hAnsi="Times New Roman"/>
          <w:szCs w:val="24"/>
          <w:lang w:eastAsia="ja-JP"/>
        </w:rPr>
        <w:t>position</w:t>
      </w:r>
      <w:r w:rsidR="00F56301">
        <w:rPr>
          <w:rFonts w:ascii="Times New Roman" w:eastAsia="Cambria" w:hAnsi="Times New Roman"/>
          <w:szCs w:val="24"/>
          <w:lang w:eastAsia="ja-JP"/>
        </w:rPr>
        <w:t xml:space="preserve"> of a victim does not preclude</w:t>
      </w:r>
      <w:r w:rsidRPr="00F56301">
        <w:rPr>
          <w:rFonts w:ascii="Times New Roman" w:eastAsia="Cambria" w:hAnsi="Times New Roman"/>
          <w:szCs w:val="24"/>
          <w:lang w:eastAsia="ja-JP"/>
        </w:rPr>
        <w:t xml:space="preserve"> him from being eligible as </w:t>
      </w:r>
      <w:r w:rsidR="0099605C">
        <w:rPr>
          <w:rFonts w:ascii="Times New Roman" w:eastAsia="Cambria" w:hAnsi="Times New Roman"/>
          <w:szCs w:val="24"/>
          <w:lang w:eastAsia="ja-JP"/>
        </w:rPr>
        <w:t xml:space="preserve">a </w:t>
      </w:r>
      <w:r w:rsidRPr="00F56301">
        <w:rPr>
          <w:rFonts w:ascii="Times New Roman" w:eastAsia="Cambria" w:hAnsi="Times New Roman"/>
          <w:szCs w:val="24"/>
          <w:lang w:eastAsia="ja-JP"/>
        </w:rPr>
        <w:t>witness.</w:t>
      </w:r>
      <w:r w:rsidR="0099605C">
        <w:rPr>
          <w:rFonts w:ascii="Times New Roman" w:eastAsia="Cambria" w:hAnsi="Times New Roman"/>
          <w:szCs w:val="24"/>
          <w:lang w:eastAsia="ja-JP"/>
        </w:rPr>
        <w:t xml:space="preserve"> </w:t>
      </w:r>
      <w:r w:rsidRPr="00F56301">
        <w:rPr>
          <w:rFonts w:ascii="Times New Roman" w:eastAsia="Cambria" w:hAnsi="Times New Roman"/>
          <w:szCs w:val="24"/>
          <w:lang w:eastAsia="ja-JP"/>
        </w:rPr>
        <w:t>In this situation, a victim performs two distinctive role</w:t>
      </w:r>
      <w:r w:rsidR="0099605C">
        <w:rPr>
          <w:rFonts w:ascii="Times New Roman" w:eastAsia="Cambria" w:hAnsi="Times New Roman"/>
          <w:szCs w:val="24"/>
          <w:lang w:eastAsia="ja-JP"/>
        </w:rPr>
        <w:t>s</w:t>
      </w:r>
      <w:r w:rsidRPr="00F56301">
        <w:rPr>
          <w:rFonts w:ascii="Times New Roman" w:eastAsia="Cambria" w:hAnsi="Times New Roman"/>
          <w:szCs w:val="24"/>
          <w:lang w:eastAsia="ja-JP"/>
        </w:rPr>
        <w:t>, participating victims and a witness.</w:t>
      </w:r>
      <w:r w:rsidR="0099605C">
        <w:rPr>
          <w:rFonts w:ascii="Times New Roman" w:eastAsia="Cambria" w:hAnsi="Times New Roman"/>
          <w:szCs w:val="24"/>
          <w:lang w:eastAsia="ja-JP"/>
        </w:rPr>
        <w:t xml:space="preserve"> </w:t>
      </w:r>
      <w:r w:rsidRPr="00F56301">
        <w:rPr>
          <w:rFonts w:ascii="Times New Roman" w:eastAsia="Cambria" w:hAnsi="Times New Roman"/>
          <w:szCs w:val="24"/>
          <w:lang w:eastAsia="ja-JP"/>
        </w:rPr>
        <w:t>Nevertheless, this does not affect the role of the victim as a third party to the proceedings.</w:t>
      </w:r>
      <w:r w:rsidR="0099605C">
        <w:rPr>
          <w:rFonts w:ascii="Times New Roman" w:eastAsia="Cambria" w:hAnsi="Times New Roman"/>
          <w:szCs w:val="24"/>
          <w:lang w:eastAsia="ja-JP"/>
        </w:rPr>
        <w:t xml:space="preserve"> </w:t>
      </w:r>
      <w:r w:rsidRPr="00F56301">
        <w:rPr>
          <w:rFonts w:ascii="Times New Roman" w:eastAsia="Cambria" w:hAnsi="Times New Roman"/>
          <w:szCs w:val="24"/>
          <w:lang w:eastAsia="ja-JP"/>
        </w:rPr>
        <w:t>The Prosecutor and the Defendant are full parties with obligations and rights in the proceedings.</w:t>
      </w:r>
      <w:r w:rsidR="0099605C">
        <w:rPr>
          <w:rFonts w:ascii="Times New Roman" w:eastAsia="Cambria" w:hAnsi="Times New Roman"/>
          <w:szCs w:val="24"/>
          <w:lang w:eastAsia="ja-JP"/>
        </w:rPr>
        <w:t xml:space="preserve"> </w:t>
      </w:r>
      <w:r w:rsidRPr="00F56301">
        <w:rPr>
          <w:rFonts w:ascii="Times New Roman" w:eastAsia="Cambria" w:hAnsi="Times New Roman"/>
          <w:szCs w:val="24"/>
          <w:lang w:eastAsia="ja-JP"/>
        </w:rPr>
        <w:t>One of such obligations is full disclosure obligations.</w:t>
      </w:r>
      <w:r w:rsidRPr="00F56301">
        <w:rPr>
          <w:rFonts w:ascii="Times New Roman" w:eastAsia="Cambria" w:hAnsi="Times New Roman"/>
          <w:szCs w:val="24"/>
          <w:vertAlign w:val="superscript"/>
          <w:lang w:eastAsia="ja-JP"/>
        </w:rPr>
        <w:footnoteReference w:id="785"/>
      </w:r>
      <w:r w:rsidRPr="00F56301">
        <w:rPr>
          <w:rFonts w:ascii="Times New Roman" w:eastAsia="Cambria" w:hAnsi="Times New Roman"/>
          <w:szCs w:val="24"/>
          <w:lang w:eastAsia="ja-JP"/>
        </w:rPr>
        <w:t xml:space="preserve">Both parties are under </w:t>
      </w:r>
      <w:r w:rsidR="0099605C">
        <w:rPr>
          <w:rFonts w:ascii="Times New Roman" w:eastAsia="Cambria" w:hAnsi="Times New Roman"/>
          <w:szCs w:val="24"/>
          <w:lang w:eastAsia="ja-JP"/>
        </w:rPr>
        <w:t>tota</w:t>
      </w:r>
      <w:r w:rsidRPr="00F56301">
        <w:rPr>
          <w:rFonts w:ascii="Times New Roman" w:eastAsia="Cambria" w:hAnsi="Times New Roman"/>
          <w:szCs w:val="24"/>
          <w:lang w:eastAsia="ja-JP"/>
        </w:rPr>
        <w:t>l disclosure obligations i</w:t>
      </w:r>
      <w:r w:rsidR="00340D66">
        <w:rPr>
          <w:rFonts w:ascii="Times New Roman" w:eastAsia="Cambria" w:hAnsi="Times New Roman"/>
          <w:szCs w:val="24"/>
          <w:lang w:eastAsia="ja-JP"/>
        </w:rPr>
        <w:t>f</w:t>
      </w:r>
      <w:r w:rsidRPr="00F56301">
        <w:rPr>
          <w:rFonts w:ascii="Times New Roman" w:eastAsia="Cambria" w:hAnsi="Times New Roman"/>
          <w:szCs w:val="24"/>
          <w:lang w:eastAsia="ja-JP"/>
        </w:rPr>
        <w:t xml:space="preserve"> they want to lead evidence,</w:t>
      </w:r>
      <w:r w:rsidR="0099605C">
        <w:rPr>
          <w:rFonts w:ascii="Times New Roman" w:eastAsia="Cambria" w:hAnsi="Times New Roman"/>
          <w:szCs w:val="24"/>
          <w:lang w:eastAsia="ja-JP"/>
        </w:rPr>
        <w:t xml:space="preserve"> </w:t>
      </w:r>
      <w:r w:rsidRPr="00F56301">
        <w:rPr>
          <w:rFonts w:ascii="Times New Roman" w:eastAsia="Cambria" w:hAnsi="Times New Roman"/>
          <w:szCs w:val="24"/>
          <w:lang w:eastAsia="ja-JP"/>
        </w:rPr>
        <w:t xml:space="preserve">which creates equal opportunities </w:t>
      </w:r>
      <w:r w:rsidR="0099605C">
        <w:rPr>
          <w:rFonts w:ascii="Times New Roman" w:eastAsia="Cambria" w:hAnsi="Times New Roman"/>
          <w:szCs w:val="24"/>
          <w:lang w:eastAsia="ja-JP"/>
        </w:rPr>
        <w:t>fo</w:t>
      </w:r>
      <w:r w:rsidRPr="00F56301">
        <w:rPr>
          <w:rFonts w:ascii="Times New Roman" w:eastAsia="Cambria" w:hAnsi="Times New Roman"/>
          <w:szCs w:val="24"/>
          <w:lang w:eastAsia="ja-JP"/>
        </w:rPr>
        <w:t>r them on equality of arms.</w:t>
      </w:r>
      <w:r w:rsidR="0099605C">
        <w:rPr>
          <w:rFonts w:ascii="Times New Roman" w:eastAsia="Cambria" w:hAnsi="Times New Roman"/>
          <w:szCs w:val="24"/>
          <w:lang w:eastAsia="ja-JP"/>
        </w:rPr>
        <w:t xml:space="preserve"> </w:t>
      </w:r>
      <w:r w:rsidRPr="00F56301">
        <w:rPr>
          <w:rFonts w:ascii="Times New Roman" w:eastAsia="Cambria" w:hAnsi="Times New Roman"/>
          <w:szCs w:val="24"/>
          <w:lang w:eastAsia="ja-JP"/>
        </w:rPr>
        <w:t>None of the provision under Section II (Rule 76-84) expressly provides for disclosure obligations on victims</w:t>
      </w:r>
      <w:r w:rsidR="0099605C">
        <w:rPr>
          <w:rFonts w:ascii="Times New Roman" w:eastAsia="Cambria" w:hAnsi="Times New Roman"/>
          <w:szCs w:val="24"/>
          <w:lang w:eastAsia="ja-JP"/>
        </w:rPr>
        <w:t>—s</w:t>
      </w:r>
      <w:r w:rsidRPr="00F56301">
        <w:rPr>
          <w:rFonts w:ascii="Times New Roman" w:eastAsia="Cambria" w:hAnsi="Times New Roman"/>
          <w:szCs w:val="24"/>
          <w:lang w:eastAsia="ja-JP"/>
        </w:rPr>
        <w:t>ame appli</w:t>
      </w:r>
      <w:r w:rsidR="0099605C">
        <w:rPr>
          <w:rFonts w:ascii="Times New Roman" w:eastAsia="Cambria" w:hAnsi="Times New Roman"/>
          <w:szCs w:val="24"/>
          <w:lang w:eastAsia="ja-JP"/>
        </w:rPr>
        <w:t>es</w:t>
      </w:r>
      <w:r w:rsidRPr="00F56301">
        <w:rPr>
          <w:rFonts w:ascii="Times New Roman" w:eastAsia="Cambria" w:hAnsi="Times New Roman"/>
          <w:szCs w:val="24"/>
          <w:lang w:eastAsia="ja-JP"/>
        </w:rPr>
        <w:t xml:space="preserve"> to the Rome Statute.</w:t>
      </w:r>
    </w:p>
    <w:p w14:paraId="3FB41E67" w14:textId="77777777" w:rsidR="00942AA1" w:rsidRPr="00F56301" w:rsidRDefault="00942AA1" w:rsidP="00F0273E">
      <w:pPr>
        <w:spacing w:after="0" w:line="480" w:lineRule="auto"/>
        <w:jc w:val="both"/>
        <w:rPr>
          <w:rFonts w:ascii="Times New Roman" w:eastAsia="Cambria" w:hAnsi="Times New Roman"/>
          <w:szCs w:val="24"/>
          <w:lang w:eastAsia="ja-JP"/>
        </w:rPr>
      </w:pPr>
    </w:p>
    <w:p w14:paraId="10EA757E" w14:textId="696B4392" w:rsidR="006E622A" w:rsidRPr="00545A48" w:rsidRDefault="00340D66"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The victims lead</w:t>
      </w:r>
      <w:r w:rsidR="006E622A" w:rsidRPr="00F56301">
        <w:rPr>
          <w:rFonts w:ascii="Times New Roman" w:eastAsia="Cambria" w:hAnsi="Times New Roman"/>
          <w:szCs w:val="24"/>
          <w:lang w:eastAsia="ja-JP"/>
        </w:rPr>
        <w:t xml:space="preserve"> evidence in their capacity as victims</w:t>
      </w:r>
      <w:r>
        <w:rPr>
          <w:rFonts w:ascii="Times New Roman" w:eastAsia="Cambria" w:hAnsi="Times New Roman"/>
          <w:szCs w:val="24"/>
          <w:lang w:eastAsia="ja-JP"/>
        </w:rPr>
        <w:t>;</w:t>
      </w:r>
      <w:r w:rsidR="006E622A" w:rsidRPr="00F56301">
        <w:rPr>
          <w:rFonts w:ascii="Times New Roman" w:eastAsia="Cambria" w:hAnsi="Times New Roman"/>
          <w:szCs w:val="24"/>
          <w:lang w:eastAsia="ja-JP"/>
        </w:rPr>
        <w:t xml:space="preserve"> it is believed that this could offset </w:t>
      </w:r>
      <w:r>
        <w:rPr>
          <w:rFonts w:ascii="Times New Roman" w:eastAsia="Cambria" w:hAnsi="Times New Roman"/>
          <w:szCs w:val="24"/>
          <w:lang w:eastAsia="ja-JP"/>
        </w:rPr>
        <w:t>arms' equality</w:t>
      </w:r>
      <w:r w:rsidR="006E622A" w:rsidRPr="00F56301">
        <w:rPr>
          <w:rFonts w:ascii="Times New Roman" w:eastAsia="Cambria" w:hAnsi="Times New Roman"/>
          <w:szCs w:val="24"/>
          <w:lang w:eastAsia="ja-JP"/>
        </w:rPr>
        <w:t xml:space="preserve"> and entrench them as assistant prosecutors.</w:t>
      </w:r>
      <w:r w:rsidR="0099605C">
        <w:rPr>
          <w:rFonts w:ascii="Times New Roman" w:eastAsia="Cambria" w:hAnsi="Times New Roman"/>
          <w:szCs w:val="24"/>
          <w:lang w:eastAsia="ja-JP"/>
        </w:rPr>
        <w:t xml:space="preserve"> </w:t>
      </w:r>
      <w:r w:rsidR="006E622A" w:rsidRPr="00F56301">
        <w:rPr>
          <w:rFonts w:ascii="Times New Roman" w:eastAsia="Cambria" w:hAnsi="Times New Roman"/>
          <w:szCs w:val="24"/>
          <w:lang w:eastAsia="ja-JP"/>
        </w:rPr>
        <w:t xml:space="preserve">This </w:t>
      </w:r>
      <w:r w:rsidR="006E622A" w:rsidRPr="00545A48">
        <w:rPr>
          <w:rFonts w:ascii="Times New Roman" w:eastAsia="Cambria" w:hAnsi="Times New Roman"/>
          <w:szCs w:val="24"/>
          <w:lang w:eastAsia="ja-JP"/>
        </w:rPr>
        <w:t>would pitch the defendant against two accusers.-the Prosecutor and the victims.</w:t>
      </w:r>
      <w:r w:rsidR="0099605C"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 xml:space="preserve">The </w:t>
      </w:r>
      <w:r w:rsidR="00F56301" w:rsidRPr="00545A48">
        <w:rPr>
          <w:rFonts w:ascii="Times New Roman" w:eastAsia="Cambria" w:hAnsi="Times New Roman"/>
          <w:szCs w:val="24"/>
          <w:lang w:eastAsia="ja-JP"/>
        </w:rPr>
        <w:t xml:space="preserve">court has noted </w:t>
      </w:r>
      <w:r w:rsidR="00F56301" w:rsidRPr="00545A48">
        <w:rPr>
          <w:rFonts w:ascii="Times New Roman" w:eastAsia="Cambria" w:hAnsi="Times New Roman"/>
          <w:szCs w:val="24"/>
          <w:lang w:eastAsia="ja-JP"/>
        </w:rPr>
        <w:lastRenderedPageBreak/>
        <w:t>that victims do</w:t>
      </w:r>
      <w:r w:rsidR="006E622A" w:rsidRPr="00545A48">
        <w:rPr>
          <w:rFonts w:ascii="Times New Roman" w:eastAsia="Cambria" w:hAnsi="Times New Roman"/>
          <w:szCs w:val="24"/>
          <w:lang w:eastAsia="ja-JP"/>
        </w:rPr>
        <w:t xml:space="preserve"> not have a corresponding obligation to disclose evidence to the other parties before trial because they are not parties to the proceedings.</w:t>
      </w:r>
    </w:p>
    <w:p w14:paraId="0DAA1A13" w14:textId="77777777" w:rsidR="006E622A" w:rsidRPr="00545A48" w:rsidRDefault="006E622A" w:rsidP="00545A48">
      <w:pPr>
        <w:spacing w:after="0" w:line="480" w:lineRule="auto"/>
        <w:jc w:val="both"/>
        <w:rPr>
          <w:rFonts w:ascii="Times New Roman" w:eastAsia="Cambria" w:hAnsi="Times New Roman"/>
          <w:szCs w:val="24"/>
          <w:lang w:eastAsia="ja-JP"/>
        </w:rPr>
      </w:pPr>
    </w:p>
    <w:p w14:paraId="7AD5A530" w14:textId="50AAE1D2" w:rsidR="006E622A" w:rsidRPr="00C733AB" w:rsidRDefault="006E622A" w:rsidP="00545A48">
      <w:pPr>
        <w:spacing w:after="0" w:line="480" w:lineRule="auto"/>
        <w:jc w:val="both"/>
        <w:rPr>
          <w:rFonts w:ascii="Times New Roman" w:eastAsia="Cambria" w:hAnsi="Times New Roman"/>
          <w:szCs w:val="24"/>
          <w:lang w:eastAsia="ja-JP"/>
        </w:rPr>
      </w:pPr>
      <w:r w:rsidRPr="00545A48">
        <w:rPr>
          <w:rFonts w:ascii="Times New Roman" w:eastAsia="Cambria" w:hAnsi="Times New Roman"/>
          <w:szCs w:val="24"/>
          <w:lang w:eastAsia="ja-JP"/>
        </w:rPr>
        <w:t>Th</w:t>
      </w:r>
      <w:r w:rsidR="005B1196">
        <w:rPr>
          <w:rFonts w:ascii="Times New Roman" w:eastAsia="Cambria" w:hAnsi="Times New Roman"/>
          <w:szCs w:val="24"/>
          <w:lang w:eastAsia="ja-JP"/>
        </w:rPr>
        <w:t xml:space="preserve">e </w:t>
      </w:r>
      <w:r w:rsidR="005378F1">
        <w:rPr>
          <w:rFonts w:ascii="Times New Roman" w:eastAsia="Cambria" w:hAnsi="Times New Roman"/>
          <w:szCs w:val="24"/>
          <w:lang w:eastAsia="ja-JP"/>
        </w:rPr>
        <w:t>scenario</w:t>
      </w:r>
      <w:r w:rsidRPr="00545A48">
        <w:rPr>
          <w:rFonts w:ascii="Times New Roman" w:eastAsia="Cambria" w:hAnsi="Times New Roman"/>
          <w:szCs w:val="24"/>
          <w:lang w:eastAsia="ja-JP"/>
        </w:rPr>
        <w:t xml:space="preserve"> is not strange in the jurisdiction of some continental Europe.</w:t>
      </w:r>
      <w:r w:rsidR="0099605C" w:rsidRPr="00545A48">
        <w:rPr>
          <w:rFonts w:ascii="Times New Roman" w:eastAsia="Cambria" w:hAnsi="Times New Roman"/>
          <w:szCs w:val="24"/>
          <w:lang w:eastAsia="ja-JP"/>
        </w:rPr>
        <w:t xml:space="preserve"> </w:t>
      </w:r>
      <w:r w:rsidRPr="00545A48">
        <w:rPr>
          <w:rFonts w:ascii="Times New Roman" w:eastAsia="Cambria" w:hAnsi="Times New Roman"/>
          <w:szCs w:val="24"/>
          <w:lang w:eastAsia="ja-JP"/>
        </w:rPr>
        <w:t>In Germany, Italy and Ukraine, victims have the right to present evidence.</w:t>
      </w:r>
      <w:r w:rsidRPr="00545A48">
        <w:rPr>
          <w:rFonts w:ascii="Times New Roman" w:eastAsia="Cambria" w:hAnsi="Times New Roman"/>
          <w:szCs w:val="24"/>
          <w:vertAlign w:val="superscript"/>
          <w:lang w:eastAsia="ja-JP"/>
        </w:rPr>
        <w:footnoteReference w:id="786"/>
      </w:r>
      <w:r w:rsidRPr="00545A48">
        <w:rPr>
          <w:rFonts w:ascii="Times New Roman" w:eastAsia="Cambria" w:hAnsi="Times New Roman"/>
          <w:szCs w:val="24"/>
          <w:lang w:eastAsia="ja-JP"/>
        </w:rPr>
        <w:t xml:space="preserve"> In Ukraine, </w:t>
      </w:r>
      <w:r w:rsidR="0099605C" w:rsidRPr="00545A48">
        <w:rPr>
          <w:rFonts w:ascii="Times New Roman" w:eastAsia="Cambria" w:hAnsi="Times New Roman"/>
          <w:szCs w:val="24"/>
          <w:lang w:eastAsia="ja-JP"/>
        </w:rPr>
        <w:t xml:space="preserve">the </w:t>
      </w:r>
      <w:r w:rsidRPr="00545A48">
        <w:rPr>
          <w:rFonts w:ascii="Times New Roman" w:eastAsia="Cambria" w:hAnsi="Times New Roman"/>
          <w:szCs w:val="24"/>
          <w:lang w:eastAsia="ja-JP"/>
        </w:rPr>
        <w:t>victims’ role included ‘scrutinising the</w:t>
      </w:r>
      <w:r w:rsidR="0099605C" w:rsidRPr="00545A48">
        <w:rPr>
          <w:rFonts w:ascii="Times New Roman" w:eastAsia="Cambria" w:hAnsi="Times New Roman"/>
          <w:szCs w:val="24"/>
          <w:lang w:eastAsia="ja-JP"/>
        </w:rPr>
        <w:t xml:space="preserve"> evidence at</w:t>
      </w:r>
      <w:r w:rsidRPr="00545A48">
        <w:rPr>
          <w:rFonts w:ascii="Times New Roman" w:eastAsia="Cambria" w:hAnsi="Times New Roman"/>
          <w:szCs w:val="24"/>
          <w:lang w:eastAsia="ja-JP"/>
        </w:rPr>
        <w:t xml:space="preserve"> trial’.</w:t>
      </w:r>
      <w:r w:rsidR="005378F1">
        <w:rPr>
          <w:rFonts w:ascii="Times New Roman" w:eastAsia="Cambria" w:hAnsi="Times New Roman"/>
          <w:szCs w:val="24"/>
          <w:lang w:eastAsia="ja-JP"/>
        </w:rPr>
        <w:t xml:space="preserve"> </w:t>
      </w:r>
      <w:r w:rsidRPr="00545A48">
        <w:rPr>
          <w:rFonts w:ascii="Times New Roman" w:eastAsia="Cambria" w:hAnsi="Times New Roman"/>
          <w:szCs w:val="24"/>
          <w:lang w:eastAsia="ja-JP"/>
        </w:rPr>
        <w:t>In a</w:t>
      </w:r>
      <w:r w:rsidR="0099605C" w:rsidRPr="00545A48">
        <w:rPr>
          <w:rFonts w:ascii="Times New Roman" w:eastAsia="Cambria" w:hAnsi="Times New Roman"/>
          <w:szCs w:val="24"/>
          <w:lang w:eastAsia="ja-JP"/>
        </w:rPr>
        <w:t>d</w:t>
      </w:r>
      <w:r w:rsidRPr="00545A48">
        <w:rPr>
          <w:rFonts w:ascii="Times New Roman" w:eastAsia="Cambria" w:hAnsi="Times New Roman"/>
          <w:szCs w:val="24"/>
          <w:lang w:eastAsia="ja-JP"/>
        </w:rPr>
        <w:t>dition, one of their rights also</w:t>
      </w:r>
      <w:r w:rsidRPr="00C733AB">
        <w:rPr>
          <w:rFonts w:ascii="Times New Roman" w:eastAsia="Cambria" w:hAnsi="Times New Roman"/>
          <w:szCs w:val="24"/>
          <w:lang w:eastAsia="ja-JP"/>
        </w:rPr>
        <w:t xml:space="preserve"> </w:t>
      </w:r>
      <w:r w:rsidR="00942AA1">
        <w:rPr>
          <w:rFonts w:ascii="Times New Roman" w:eastAsia="Cambria" w:hAnsi="Times New Roman"/>
          <w:szCs w:val="24"/>
          <w:lang w:eastAsia="ja-JP"/>
        </w:rPr>
        <w:t>consists of</w:t>
      </w:r>
      <w:r w:rsidRPr="00C733AB">
        <w:rPr>
          <w:rFonts w:ascii="Times New Roman" w:eastAsia="Cambria" w:hAnsi="Times New Roman"/>
          <w:szCs w:val="24"/>
          <w:lang w:eastAsia="ja-JP"/>
        </w:rPr>
        <w:t xml:space="preserve"> the right to file </w:t>
      </w:r>
      <w:r w:rsidR="0099605C">
        <w:rPr>
          <w:rFonts w:ascii="Times New Roman" w:eastAsia="Cambria" w:hAnsi="Times New Roman"/>
          <w:szCs w:val="24"/>
          <w:lang w:eastAsia="ja-JP"/>
        </w:rPr>
        <w:t xml:space="preserve">a </w:t>
      </w:r>
      <w:r w:rsidRPr="00C733AB">
        <w:rPr>
          <w:rFonts w:ascii="Times New Roman" w:eastAsia="Cambria" w:hAnsi="Times New Roman"/>
          <w:szCs w:val="24"/>
          <w:lang w:eastAsia="ja-JP"/>
        </w:rPr>
        <w:t xml:space="preserve">complaint against the </w:t>
      </w:r>
      <w:r w:rsidR="00340D66">
        <w:rPr>
          <w:rFonts w:ascii="Times New Roman" w:eastAsia="Cambria" w:hAnsi="Times New Roman"/>
          <w:szCs w:val="24"/>
          <w:lang w:eastAsia="ja-JP"/>
        </w:rPr>
        <w:t>prosecutor's actions</w:t>
      </w:r>
      <w:r w:rsidRPr="00C733AB">
        <w:rPr>
          <w:rFonts w:ascii="Times New Roman" w:eastAsia="Cambria" w:hAnsi="Times New Roman"/>
          <w:szCs w:val="24"/>
          <w:lang w:eastAsia="ja-JP"/>
        </w:rPr>
        <w:t>.</w:t>
      </w:r>
      <w:r w:rsidRPr="00C733AB">
        <w:rPr>
          <w:rFonts w:ascii="Times New Roman" w:eastAsia="Cambria" w:hAnsi="Times New Roman"/>
          <w:szCs w:val="24"/>
          <w:vertAlign w:val="superscript"/>
          <w:lang w:eastAsia="ja-JP"/>
        </w:rPr>
        <w:footnoteReference w:id="787"/>
      </w:r>
      <w:r w:rsidRPr="00C733AB">
        <w:rPr>
          <w:rFonts w:ascii="Times New Roman" w:eastAsia="Cambria" w:hAnsi="Times New Roman"/>
          <w:szCs w:val="24"/>
          <w:lang w:eastAsia="ja-JP"/>
        </w:rPr>
        <w:t xml:space="preserve"> This ruling shows that the pro</w:t>
      </w:r>
      <w:r w:rsidR="0099605C">
        <w:rPr>
          <w:rFonts w:ascii="Times New Roman" w:eastAsia="Cambria" w:hAnsi="Times New Roman"/>
          <w:szCs w:val="24"/>
          <w:lang w:eastAsia="ja-JP"/>
        </w:rPr>
        <w:t>c</w:t>
      </w:r>
      <w:r w:rsidRPr="00C733AB">
        <w:rPr>
          <w:rFonts w:ascii="Times New Roman" w:eastAsia="Cambria" w:hAnsi="Times New Roman"/>
          <w:szCs w:val="24"/>
          <w:lang w:eastAsia="ja-JP"/>
        </w:rPr>
        <w:t>eedings shifted way from a largely adversarial nature towards a continental criminal procedure.</w:t>
      </w:r>
      <w:r w:rsidR="005378F1">
        <w:rPr>
          <w:rFonts w:ascii="Times New Roman" w:eastAsia="Cambria" w:hAnsi="Times New Roman"/>
          <w:szCs w:val="24"/>
          <w:lang w:eastAsia="ja-JP"/>
        </w:rPr>
        <w:t xml:space="preserve"> </w:t>
      </w:r>
      <w:r w:rsidRPr="00C733AB">
        <w:rPr>
          <w:rFonts w:ascii="Times New Roman" w:eastAsia="Cambria" w:hAnsi="Times New Roman"/>
          <w:szCs w:val="24"/>
          <w:lang w:eastAsia="ja-JP"/>
        </w:rPr>
        <w:t xml:space="preserve">According to </w:t>
      </w:r>
      <w:proofErr w:type="spellStart"/>
      <w:r w:rsidRPr="00C733AB">
        <w:rPr>
          <w:rFonts w:ascii="Times New Roman" w:eastAsia="Cambria" w:hAnsi="Times New Roman"/>
          <w:szCs w:val="24"/>
          <w:lang w:eastAsia="ja-JP"/>
        </w:rPr>
        <w:t>Damaska</w:t>
      </w:r>
      <w:proofErr w:type="spellEnd"/>
      <w:r w:rsidRPr="00C733AB">
        <w:rPr>
          <w:rFonts w:ascii="Times New Roman" w:eastAsia="Cambria" w:hAnsi="Times New Roman"/>
          <w:szCs w:val="24"/>
          <w:lang w:eastAsia="ja-JP"/>
        </w:rPr>
        <w:t>, continental criminal procedure is not founded on ‘bipolar contest’</w:t>
      </w:r>
      <w:r w:rsidR="00340D66">
        <w:rPr>
          <w:rFonts w:ascii="Times New Roman" w:eastAsia="Cambria" w:hAnsi="Times New Roman"/>
          <w:szCs w:val="24"/>
          <w:lang w:eastAsia="ja-JP"/>
        </w:rPr>
        <w:t>, which marginalises victims' voice</w:t>
      </w:r>
      <w:r w:rsidRPr="00C733AB">
        <w:rPr>
          <w:rFonts w:ascii="Times New Roman" w:eastAsia="Cambria" w:hAnsi="Times New Roman"/>
          <w:szCs w:val="24"/>
          <w:lang w:eastAsia="ja-JP"/>
        </w:rPr>
        <w:t xml:space="preserve">. </w:t>
      </w:r>
      <w:r w:rsidR="007D0F7F">
        <w:rPr>
          <w:rFonts w:ascii="Times New Roman" w:eastAsia="Cambria" w:hAnsi="Times New Roman"/>
          <w:szCs w:val="24"/>
          <w:lang w:eastAsia="ja-JP"/>
        </w:rPr>
        <w:t>Victims' active participation</w:t>
      </w:r>
      <w:r w:rsidRPr="00C733AB">
        <w:rPr>
          <w:rFonts w:ascii="Times New Roman" w:eastAsia="Cambria" w:hAnsi="Times New Roman"/>
          <w:szCs w:val="24"/>
          <w:lang w:eastAsia="ja-JP"/>
        </w:rPr>
        <w:t xml:space="preserve"> in </w:t>
      </w:r>
      <w:r w:rsidR="00942AA1">
        <w:rPr>
          <w:rFonts w:ascii="Times New Roman" w:eastAsia="Cambria" w:hAnsi="Times New Roman"/>
          <w:szCs w:val="24"/>
          <w:lang w:eastAsia="ja-JP"/>
        </w:rPr>
        <w:t xml:space="preserve">the </w:t>
      </w:r>
      <w:r w:rsidRPr="00C733AB">
        <w:rPr>
          <w:rFonts w:ascii="Times New Roman" w:eastAsia="Cambria" w:hAnsi="Times New Roman"/>
          <w:szCs w:val="24"/>
          <w:lang w:eastAsia="ja-JP"/>
        </w:rPr>
        <w:t xml:space="preserve">continental criminal </w:t>
      </w:r>
      <w:r w:rsidR="00942AA1">
        <w:rPr>
          <w:rFonts w:ascii="Times New Roman" w:eastAsia="Cambria" w:hAnsi="Times New Roman"/>
          <w:szCs w:val="24"/>
          <w:lang w:eastAsia="ja-JP"/>
        </w:rPr>
        <w:t>system</w:t>
      </w:r>
      <w:r w:rsidRPr="00C733AB">
        <w:rPr>
          <w:rFonts w:ascii="Times New Roman" w:eastAsia="Cambria" w:hAnsi="Times New Roman"/>
          <w:szCs w:val="24"/>
          <w:lang w:eastAsia="ja-JP"/>
        </w:rPr>
        <w:t xml:space="preserve"> is not a clog in the pro</w:t>
      </w:r>
      <w:r w:rsidR="00340D66">
        <w:rPr>
          <w:rFonts w:ascii="Times New Roman" w:eastAsia="Cambria" w:hAnsi="Times New Roman"/>
          <w:szCs w:val="24"/>
          <w:lang w:eastAsia="ja-JP"/>
        </w:rPr>
        <w:t>ceedings' progres</w:t>
      </w:r>
      <w:r w:rsidRPr="00C733AB">
        <w:rPr>
          <w:rFonts w:ascii="Times New Roman" w:eastAsia="Cambria" w:hAnsi="Times New Roman"/>
          <w:szCs w:val="24"/>
          <w:lang w:eastAsia="ja-JP"/>
        </w:rPr>
        <w:t>s.</w:t>
      </w:r>
      <w:r w:rsidRPr="00C733AB">
        <w:rPr>
          <w:rFonts w:ascii="Times New Roman" w:eastAsia="Cambria" w:hAnsi="Times New Roman"/>
          <w:szCs w:val="24"/>
          <w:vertAlign w:val="superscript"/>
          <w:lang w:eastAsia="ja-JP"/>
        </w:rPr>
        <w:footnoteReference w:id="788"/>
      </w:r>
    </w:p>
    <w:p w14:paraId="712F20D7" w14:textId="77777777" w:rsidR="006E622A" w:rsidRPr="006E622A" w:rsidRDefault="006E622A" w:rsidP="00545A48">
      <w:pPr>
        <w:spacing w:after="0" w:line="480" w:lineRule="auto"/>
        <w:jc w:val="both"/>
        <w:rPr>
          <w:rFonts w:ascii="Times New Roman" w:eastAsia="Cambria" w:hAnsi="Times New Roman"/>
          <w:sz w:val="22"/>
          <w:lang w:eastAsia="ja-JP"/>
        </w:rPr>
      </w:pPr>
    </w:p>
    <w:p w14:paraId="333F9EAA" w14:textId="64A1B569" w:rsidR="00E3109E" w:rsidRDefault="004F6488" w:rsidP="00545A48">
      <w:pPr>
        <w:spacing w:after="0" w:line="480" w:lineRule="auto"/>
        <w:jc w:val="both"/>
        <w:rPr>
          <w:rFonts w:ascii="Times New Roman" w:eastAsia="Cambria" w:hAnsi="Times New Roman"/>
          <w:szCs w:val="24"/>
          <w:lang w:eastAsia="ja-JP"/>
        </w:rPr>
      </w:pPr>
      <w:r w:rsidRPr="00E3109E">
        <w:rPr>
          <w:rFonts w:ascii="Times New Roman" w:eastAsia="Cambria" w:hAnsi="Times New Roman"/>
          <w:szCs w:val="24"/>
          <w:lang w:eastAsia="ja-JP"/>
        </w:rPr>
        <w:t xml:space="preserve">Similarly, the Chamber </w:t>
      </w:r>
      <w:r w:rsidR="00FE4DCF" w:rsidRPr="00E3109E">
        <w:rPr>
          <w:rFonts w:ascii="Times New Roman" w:eastAsia="Cambria" w:hAnsi="Times New Roman"/>
          <w:szCs w:val="24"/>
          <w:lang w:eastAsia="ja-JP"/>
        </w:rPr>
        <w:t>made a distinction between “giving evidence” and  “expressing their views and concerns</w:t>
      </w:r>
      <w:r w:rsidR="00E3109E" w:rsidRPr="00E3109E">
        <w:rPr>
          <w:rFonts w:ascii="Times New Roman" w:eastAsia="Cambria" w:hAnsi="Times New Roman"/>
          <w:szCs w:val="24"/>
          <w:lang w:eastAsia="ja-JP"/>
        </w:rPr>
        <w:t>.</w:t>
      </w:r>
      <w:r w:rsidR="00FE4DCF" w:rsidRPr="00E3109E">
        <w:rPr>
          <w:rFonts w:ascii="Times New Roman" w:eastAsia="Cambria" w:hAnsi="Times New Roman"/>
          <w:szCs w:val="24"/>
          <w:lang w:eastAsia="ja-JP"/>
        </w:rPr>
        <w:t>”</w:t>
      </w:r>
      <w:r w:rsidR="00E3109E">
        <w:rPr>
          <w:rStyle w:val="FootnoteReference"/>
          <w:rFonts w:ascii="Times New Roman" w:eastAsia="Cambria" w:hAnsi="Times New Roman"/>
          <w:szCs w:val="24"/>
          <w:lang w:eastAsia="ja-JP"/>
        </w:rPr>
        <w:footnoteReference w:id="789"/>
      </w:r>
      <w:r w:rsidR="00E3109E" w:rsidRPr="00E3109E">
        <w:rPr>
          <w:rFonts w:ascii="Times New Roman" w:eastAsia="Cambria" w:hAnsi="Times New Roman"/>
          <w:szCs w:val="24"/>
          <w:lang w:eastAsia="ja-JP"/>
        </w:rPr>
        <w:t xml:space="preserve"> </w:t>
      </w:r>
      <w:r w:rsidR="00105416">
        <w:rPr>
          <w:rFonts w:ascii="Times New Roman" w:eastAsia="Cambria" w:hAnsi="Times New Roman"/>
          <w:szCs w:val="24"/>
          <w:lang w:eastAsia="ja-JP"/>
        </w:rPr>
        <w:t>T</w:t>
      </w:r>
      <w:r w:rsidR="00E3109E" w:rsidRPr="00E3109E">
        <w:rPr>
          <w:rFonts w:ascii="Times New Roman" w:eastAsia="Cambria" w:hAnsi="Times New Roman"/>
          <w:szCs w:val="24"/>
          <w:lang w:eastAsia="ja-JP"/>
        </w:rPr>
        <w:t>he former</w:t>
      </w:r>
      <w:r w:rsidR="00105416">
        <w:rPr>
          <w:rFonts w:ascii="Times New Roman" w:eastAsia="Cambria" w:hAnsi="Times New Roman"/>
          <w:szCs w:val="24"/>
          <w:lang w:eastAsia="ja-JP"/>
        </w:rPr>
        <w:t xml:space="preserve"> </w:t>
      </w:r>
      <w:r w:rsidR="00CE0D9B">
        <w:rPr>
          <w:rFonts w:ascii="Times New Roman" w:eastAsia="Cambria" w:hAnsi="Times New Roman"/>
          <w:szCs w:val="24"/>
          <w:lang w:eastAsia="ja-JP"/>
        </w:rPr>
        <w:t>are</w:t>
      </w:r>
      <w:r w:rsidR="00105416">
        <w:rPr>
          <w:rFonts w:ascii="Times New Roman" w:eastAsia="Cambria" w:hAnsi="Times New Roman"/>
          <w:szCs w:val="24"/>
          <w:lang w:eastAsia="ja-JP"/>
        </w:rPr>
        <w:t xml:space="preserve"> testimonies given under</w:t>
      </w:r>
      <w:r w:rsidR="00CE0D9B">
        <w:rPr>
          <w:rFonts w:ascii="Times New Roman" w:eastAsia="Cambria" w:hAnsi="Times New Roman"/>
          <w:szCs w:val="24"/>
          <w:lang w:eastAsia="ja-JP"/>
        </w:rPr>
        <w:t xml:space="preserve"> oath</w:t>
      </w:r>
      <w:r w:rsidR="00105416">
        <w:rPr>
          <w:rFonts w:ascii="Times New Roman" w:eastAsia="Cambria" w:hAnsi="Times New Roman"/>
          <w:szCs w:val="24"/>
          <w:lang w:eastAsia="ja-JP"/>
        </w:rPr>
        <w:t xml:space="preserve">; the latter includes victims story-telling, narratives and grievances. </w:t>
      </w:r>
      <w:r w:rsidR="00E3109E" w:rsidRPr="00E3109E">
        <w:rPr>
          <w:rFonts w:ascii="Times New Roman" w:eastAsia="Cambria" w:hAnsi="Times New Roman"/>
          <w:szCs w:val="24"/>
          <w:lang w:eastAsia="ja-JP"/>
        </w:rPr>
        <w:t>The victi</w:t>
      </w:r>
      <w:r w:rsidR="0099605C">
        <w:rPr>
          <w:rFonts w:ascii="Times New Roman" w:eastAsia="Cambria" w:hAnsi="Times New Roman"/>
          <w:szCs w:val="24"/>
          <w:lang w:eastAsia="ja-JP"/>
        </w:rPr>
        <w:t xml:space="preserve">ms are treated as </w:t>
      </w:r>
      <w:r w:rsidR="0099605C">
        <w:rPr>
          <w:rFonts w:ascii="Times New Roman" w:eastAsia="Cambria" w:hAnsi="Times New Roman"/>
          <w:szCs w:val="24"/>
          <w:lang w:eastAsia="ja-JP"/>
        </w:rPr>
        <w:lastRenderedPageBreak/>
        <w:t>witnesses.</w:t>
      </w:r>
      <w:r w:rsidR="00514973">
        <w:rPr>
          <w:rFonts w:ascii="Times New Roman" w:eastAsia="Cambria" w:hAnsi="Times New Roman"/>
          <w:szCs w:val="24"/>
          <w:lang w:eastAsia="ja-JP"/>
        </w:rPr>
        <w:t xml:space="preserve"> </w:t>
      </w:r>
      <w:r w:rsidR="00E3109E" w:rsidRPr="00E3109E">
        <w:rPr>
          <w:rFonts w:ascii="Times New Roman" w:eastAsia="Cambria" w:hAnsi="Times New Roman"/>
          <w:szCs w:val="24"/>
          <w:lang w:eastAsia="ja-JP"/>
        </w:rPr>
        <w:t xml:space="preserve">The LRVs, Prosecution and the </w:t>
      </w:r>
      <w:proofErr w:type="spellStart"/>
      <w:r w:rsidR="00E3109E" w:rsidRPr="00E3109E">
        <w:rPr>
          <w:rFonts w:ascii="Times New Roman" w:eastAsia="Cambria" w:hAnsi="Times New Roman"/>
          <w:szCs w:val="24"/>
          <w:lang w:eastAsia="ja-JP"/>
        </w:rPr>
        <w:t>Defense</w:t>
      </w:r>
      <w:proofErr w:type="spellEnd"/>
      <w:r w:rsidR="00E3109E" w:rsidRPr="00E3109E">
        <w:rPr>
          <w:rFonts w:ascii="Times New Roman" w:eastAsia="Cambria" w:hAnsi="Times New Roman"/>
          <w:szCs w:val="24"/>
          <w:lang w:eastAsia="ja-JP"/>
        </w:rPr>
        <w:t xml:space="preserve"> would ask them questions.</w:t>
      </w:r>
      <w:r w:rsidR="0099605C">
        <w:rPr>
          <w:rFonts w:ascii="Times New Roman" w:eastAsia="Cambria" w:hAnsi="Times New Roman"/>
          <w:szCs w:val="24"/>
          <w:lang w:eastAsia="ja-JP"/>
        </w:rPr>
        <w:t xml:space="preserve"> </w:t>
      </w:r>
      <w:r w:rsidR="00E3109E" w:rsidRPr="00E3109E">
        <w:rPr>
          <w:rFonts w:ascii="Times New Roman" w:eastAsia="Cambria" w:hAnsi="Times New Roman"/>
          <w:szCs w:val="24"/>
          <w:lang w:eastAsia="ja-JP"/>
        </w:rPr>
        <w:t>It was more of questioning than narratives.</w:t>
      </w:r>
    </w:p>
    <w:p w14:paraId="3D5EBC41" w14:textId="77777777" w:rsidR="00105416" w:rsidRDefault="00105416" w:rsidP="00545A48">
      <w:pPr>
        <w:spacing w:after="0" w:line="480" w:lineRule="auto"/>
        <w:jc w:val="both"/>
        <w:rPr>
          <w:rFonts w:ascii="Times New Roman" w:eastAsia="Cambria" w:hAnsi="Times New Roman"/>
          <w:szCs w:val="24"/>
          <w:lang w:eastAsia="ja-JP"/>
        </w:rPr>
      </w:pPr>
    </w:p>
    <w:p w14:paraId="40C53966" w14:textId="24A0E3D5" w:rsidR="00105416" w:rsidRDefault="00105416"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Besides, victims can also tender evidence as independent witnesses rather than witnesses called by any of the parties. It has been demonstrated in th</w:t>
      </w:r>
      <w:r w:rsidR="00340D66">
        <w:rPr>
          <w:rFonts w:ascii="Times New Roman" w:eastAsia="Cambria" w:hAnsi="Times New Roman"/>
          <w:szCs w:val="24"/>
          <w:lang w:eastAsia="ja-JP"/>
        </w:rPr>
        <w:t xml:space="preserve">ree victims' testimonies </w:t>
      </w:r>
      <w:r>
        <w:rPr>
          <w:rFonts w:ascii="Times New Roman" w:eastAsia="Cambria" w:hAnsi="Times New Roman"/>
          <w:szCs w:val="24"/>
          <w:lang w:eastAsia="ja-JP"/>
        </w:rPr>
        <w:t xml:space="preserve">(two former child soldiers and a school teacher)  in the Lubanga </w:t>
      </w:r>
      <w:r w:rsidRPr="00545A48">
        <w:rPr>
          <w:rFonts w:ascii="Times New Roman" w:eastAsia="Cambria" w:hAnsi="Times New Roman"/>
          <w:szCs w:val="24"/>
          <w:lang w:eastAsia="ja-JP"/>
        </w:rPr>
        <w:t>case.</w:t>
      </w:r>
      <w:r w:rsidRPr="00545A48">
        <w:rPr>
          <w:rStyle w:val="FootnoteReference"/>
          <w:rFonts w:ascii="Times New Roman" w:eastAsia="Cambria" w:hAnsi="Times New Roman"/>
          <w:szCs w:val="24"/>
          <w:lang w:eastAsia="ja-JP"/>
        </w:rPr>
        <w:footnoteReference w:id="790"/>
      </w:r>
    </w:p>
    <w:p w14:paraId="2AB69E8D" w14:textId="77777777" w:rsidR="00BB017D" w:rsidRDefault="00BB017D" w:rsidP="00545A48">
      <w:pPr>
        <w:spacing w:after="0" w:line="480" w:lineRule="auto"/>
        <w:jc w:val="both"/>
        <w:rPr>
          <w:rFonts w:ascii="Times New Roman" w:eastAsia="Cambria" w:hAnsi="Times New Roman"/>
          <w:szCs w:val="24"/>
          <w:lang w:eastAsia="ja-JP"/>
        </w:rPr>
      </w:pPr>
    </w:p>
    <w:p w14:paraId="3AED42F1" w14:textId="7668D391" w:rsidR="00BB017D" w:rsidRPr="00545A48" w:rsidRDefault="00BB017D"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This section has reviewed the participation of victims during </w:t>
      </w:r>
      <w:r w:rsidR="00514973">
        <w:rPr>
          <w:rFonts w:ascii="Times New Roman" w:eastAsia="Cambria" w:hAnsi="Times New Roman"/>
          <w:szCs w:val="24"/>
          <w:lang w:eastAsia="ja-JP"/>
        </w:rPr>
        <w:t xml:space="preserve">the </w:t>
      </w:r>
      <w:r>
        <w:rPr>
          <w:rFonts w:ascii="Times New Roman" w:eastAsia="Cambria" w:hAnsi="Times New Roman"/>
          <w:szCs w:val="24"/>
          <w:lang w:eastAsia="ja-JP"/>
        </w:rPr>
        <w:t>trial process as information providers.</w:t>
      </w:r>
      <w:r w:rsidR="00514973">
        <w:rPr>
          <w:rFonts w:ascii="Times New Roman" w:eastAsia="Cambria" w:hAnsi="Times New Roman"/>
          <w:szCs w:val="24"/>
          <w:lang w:eastAsia="ja-JP"/>
        </w:rPr>
        <w:t xml:space="preserve"> </w:t>
      </w:r>
      <w:r>
        <w:rPr>
          <w:rFonts w:ascii="Times New Roman" w:eastAsia="Cambria" w:hAnsi="Times New Roman"/>
          <w:szCs w:val="24"/>
          <w:lang w:eastAsia="ja-JP"/>
        </w:rPr>
        <w:t>It is noted that most times, the chambers permitted victims to present evidence, which is an exclusive right of the parties, where the provisi</w:t>
      </w:r>
      <w:r w:rsidR="00545A48">
        <w:rPr>
          <w:rFonts w:ascii="Times New Roman" w:eastAsia="Cambria" w:hAnsi="Times New Roman"/>
          <w:szCs w:val="24"/>
          <w:lang w:eastAsia="ja-JP"/>
        </w:rPr>
        <w:t>on of such evidence required for</w:t>
      </w:r>
      <w:r>
        <w:rPr>
          <w:rFonts w:ascii="Times New Roman" w:eastAsia="Cambria" w:hAnsi="Times New Roman"/>
          <w:szCs w:val="24"/>
          <w:lang w:eastAsia="ja-JP"/>
        </w:rPr>
        <w:t xml:space="preserve"> the determination of the truth.</w:t>
      </w:r>
      <w:r w:rsidR="00514973">
        <w:rPr>
          <w:rFonts w:ascii="Times New Roman" w:eastAsia="Cambria" w:hAnsi="Times New Roman"/>
          <w:szCs w:val="24"/>
          <w:lang w:eastAsia="ja-JP"/>
        </w:rPr>
        <w:t xml:space="preserve"> </w:t>
      </w:r>
      <w:r>
        <w:rPr>
          <w:rFonts w:ascii="Times New Roman" w:eastAsia="Cambria" w:hAnsi="Times New Roman"/>
          <w:szCs w:val="24"/>
          <w:lang w:eastAsia="ja-JP"/>
        </w:rPr>
        <w:t xml:space="preserve">It follows that the Court has a general right </w:t>
      </w:r>
      <w:r w:rsidR="00105416">
        <w:rPr>
          <w:rFonts w:ascii="Times New Roman" w:eastAsia="Cambria" w:hAnsi="Times New Roman"/>
          <w:szCs w:val="24"/>
          <w:lang w:eastAsia="ja-JP"/>
        </w:rPr>
        <w:t>per</w:t>
      </w:r>
      <w:r>
        <w:rPr>
          <w:rFonts w:ascii="Times New Roman" w:eastAsia="Cambria" w:hAnsi="Times New Roman"/>
          <w:szCs w:val="24"/>
          <w:lang w:eastAsia="ja-JP"/>
        </w:rPr>
        <w:t xml:space="preserve"> Article 69 to request victims to lead or give evidence.</w:t>
      </w:r>
      <w:r w:rsidR="00514973">
        <w:rPr>
          <w:rFonts w:ascii="Times New Roman" w:eastAsia="Cambria" w:hAnsi="Times New Roman"/>
          <w:szCs w:val="24"/>
          <w:lang w:eastAsia="ja-JP"/>
        </w:rPr>
        <w:t xml:space="preserve"> </w:t>
      </w:r>
      <w:r w:rsidR="00E95833" w:rsidRPr="00545A48">
        <w:rPr>
          <w:rFonts w:ascii="Times New Roman" w:eastAsia="Cambria" w:hAnsi="Times New Roman"/>
          <w:szCs w:val="24"/>
          <w:lang w:eastAsia="ja-JP"/>
        </w:rPr>
        <w:t xml:space="preserve">Victims </w:t>
      </w:r>
      <w:r w:rsidR="003E42EB">
        <w:rPr>
          <w:rFonts w:ascii="Times New Roman" w:eastAsia="Cambria" w:hAnsi="Times New Roman"/>
          <w:szCs w:val="24"/>
          <w:lang w:eastAsia="ja-JP"/>
        </w:rPr>
        <w:t>ma</w:t>
      </w:r>
      <w:r w:rsidR="00E95833" w:rsidRPr="00545A48">
        <w:rPr>
          <w:rFonts w:ascii="Times New Roman" w:eastAsia="Cambria" w:hAnsi="Times New Roman"/>
          <w:szCs w:val="24"/>
          <w:lang w:eastAsia="ja-JP"/>
        </w:rPr>
        <w:t>y also testify on their own right provided it would contribute to the ascertainment of truth.</w:t>
      </w:r>
      <w:r w:rsidR="00E95833" w:rsidRPr="00545A48">
        <w:rPr>
          <w:rStyle w:val="FootnoteReference"/>
          <w:rFonts w:ascii="Times New Roman" w:eastAsia="Cambria" w:hAnsi="Times New Roman"/>
          <w:szCs w:val="24"/>
          <w:lang w:eastAsia="ja-JP"/>
        </w:rPr>
        <w:footnoteReference w:id="791"/>
      </w:r>
    </w:p>
    <w:p w14:paraId="3B2DE879" w14:textId="77777777" w:rsidR="00B809AC" w:rsidRPr="00545A48" w:rsidRDefault="00B809AC" w:rsidP="00545A48">
      <w:pPr>
        <w:spacing w:after="0" w:line="480" w:lineRule="auto"/>
        <w:jc w:val="both"/>
        <w:rPr>
          <w:rFonts w:ascii="Times New Roman" w:eastAsia="Cambria" w:hAnsi="Times New Roman"/>
          <w:szCs w:val="24"/>
          <w:lang w:eastAsia="ja-JP"/>
        </w:rPr>
      </w:pPr>
    </w:p>
    <w:p w14:paraId="6B3C4A63" w14:textId="2B95F973" w:rsidR="006E622A" w:rsidRPr="00545A48" w:rsidRDefault="00B809AC" w:rsidP="00364EC8">
      <w:pPr>
        <w:pStyle w:val="Heading4"/>
      </w:pPr>
      <w:r w:rsidRPr="00545A48">
        <w:t>3</w:t>
      </w:r>
      <w:r w:rsidR="00B066B7">
        <w:t>.</w:t>
      </w:r>
      <w:r w:rsidR="00CA05F5">
        <w:t>5</w:t>
      </w:r>
      <w:r w:rsidR="00B066B7">
        <w:t>.2.3</w:t>
      </w:r>
      <w:r w:rsidRPr="00545A48">
        <w:t>.</w:t>
      </w:r>
      <w:r w:rsidR="00A53C40" w:rsidRPr="00545A48">
        <w:t xml:space="preserve"> </w:t>
      </w:r>
      <w:r w:rsidR="006E622A" w:rsidRPr="00545A48">
        <w:t>Expression</w:t>
      </w:r>
    </w:p>
    <w:p w14:paraId="02FEAF68" w14:textId="0FD16B14" w:rsidR="00773AC7" w:rsidRPr="00545A48" w:rsidRDefault="00582046" w:rsidP="00545A48">
      <w:pPr>
        <w:spacing w:after="0" w:line="480" w:lineRule="auto"/>
        <w:jc w:val="both"/>
        <w:rPr>
          <w:rFonts w:ascii="Times New Roman" w:eastAsia="Cambria" w:hAnsi="Times New Roman"/>
          <w:szCs w:val="24"/>
          <w:lang w:eastAsia="ja-JP"/>
        </w:rPr>
      </w:pPr>
      <w:r w:rsidRPr="00545A48">
        <w:rPr>
          <w:rFonts w:ascii="Times New Roman" w:eastAsia="Cambria" w:hAnsi="Times New Roman"/>
          <w:szCs w:val="24"/>
          <w:lang w:eastAsia="ja-JP"/>
        </w:rPr>
        <w:t>As was pointed out above</w:t>
      </w:r>
      <w:r w:rsidR="00514973" w:rsidRPr="00545A48">
        <w:rPr>
          <w:rFonts w:ascii="Times New Roman" w:eastAsia="Cambria" w:hAnsi="Times New Roman"/>
          <w:szCs w:val="24"/>
          <w:lang w:eastAsia="ja-JP"/>
        </w:rPr>
        <w:t>;</w:t>
      </w:r>
      <w:r w:rsidRPr="00545A48">
        <w:rPr>
          <w:rFonts w:ascii="Times New Roman" w:eastAsia="Cambria" w:hAnsi="Times New Roman"/>
          <w:szCs w:val="24"/>
          <w:lang w:eastAsia="ja-JP"/>
        </w:rPr>
        <w:t xml:space="preserve"> e</w:t>
      </w:r>
      <w:r w:rsidR="006E622A" w:rsidRPr="00545A48">
        <w:rPr>
          <w:rFonts w:ascii="Times New Roman" w:eastAsia="Cambria" w:hAnsi="Times New Roman"/>
          <w:szCs w:val="24"/>
          <w:lang w:eastAsia="ja-JP"/>
        </w:rPr>
        <w:t>xpression is an optional sup</w:t>
      </w:r>
      <w:r w:rsidR="000F58A3" w:rsidRPr="00545A48">
        <w:rPr>
          <w:rFonts w:ascii="Times New Roman" w:eastAsia="Cambria" w:hAnsi="Times New Roman"/>
          <w:szCs w:val="24"/>
          <w:lang w:eastAsia="ja-JP"/>
        </w:rPr>
        <w:t xml:space="preserve">ply of information or </w:t>
      </w:r>
      <w:r w:rsidR="006E622A" w:rsidRPr="00545A48">
        <w:rPr>
          <w:rFonts w:ascii="Times New Roman" w:eastAsia="Cambria" w:hAnsi="Times New Roman"/>
          <w:szCs w:val="24"/>
          <w:lang w:eastAsia="ja-JP"/>
        </w:rPr>
        <w:t>emotion</w:t>
      </w:r>
      <w:r w:rsidR="003E42EB">
        <w:rPr>
          <w:rFonts w:ascii="Times New Roman" w:eastAsia="Cambria" w:hAnsi="Times New Roman"/>
          <w:szCs w:val="24"/>
          <w:lang w:eastAsia="ja-JP"/>
        </w:rPr>
        <w:t>; the</w:t>
      </w:r>
      <w:r w:rsidR="006E622A" w:rsidRPr="00545A48">
        <w:rPr>
          <w:rFonts w:ascii="Times New Roman" w:eastAsia="Cambria" w:hAnsi="Times New Roman"/>
          <w:szCs w:val="24"/>
          <w:lang w:eastAsia="ja-JP"/>
        </w:rPr>
        <w:t xml:space="preserve"> permission to emote or tell stories.</w:t>
      </w:r>
      <w:r w:rsidR="0071092E" w:rsidRPr="00545A48">
        <w:rPr>
          <w:rFonts w:ascii="Times New Roman" w:eastAsia="Cambria" w:hAnsi="Times New Roman"/>
          <w:szCs w:val="24"/>
          <w:lang w:eastAsia="ja-JP"/>
        </w:rPr>
        <w:t xml:space="preserve"> </w:t>
      </w:r>
      <w:r w:rsidR="003E42EB">
        <w:rPr>
          <w:rFonts w:ascii="Times New Roman" w:eastAsia="Cambria" w:hAnsi="Times New Roman"/>
          <w:szCs w:val="24"/>
          <w:lang w:eastAsia="ja-JP"/>
        </w:rPr>
        <w:t>It</w:t>
      </w:r>
      <w:r w:rsidR="006E622A" w:rsidRPr="00545A48">
        <w:rPr>
          <w:rFonts w:ascii="Times New Roman" w:eastAsia="Cambria" w:hAnsi="Times New Roman"/>
          <w:szCs w:val="24"/>
          <w:lang w:eastAsia="ja-JP"/>
        </w:rPr>
        <w:t xml:space="preserve"> is voluntary because it</w:t>
      </w:r>
      <w:r w:rsidRPr="00545A48">
        <w:rPr>
          <w:rFonts w:ascii="Times New Roman" w:eastAsia="Cambria" w:hAnsi="Times New Roman"/>
          <w:szCs w:val="24"/>
          <w:lang w:eastAsia="ja-JP"/>
        </w:rPr>
        <w:t xml:space="preserve"> requires the victim to </w:t>
      </w:r>
      <w:r w:rsidRPr="00545A48">
        <w:rPr>
          <w:rFonts w:ascii="Times New Roman" w:eastAsia="Cambria" w:hAnsi="Times New Roman"/>
          <w:szCs w:val="24"/>
          <w:lang w:eastAsia="ja-JP"/>
        </w:rPr>
        <w:lastRenderedPageBreak/>
        <w:t>provide</w:t>
      </w:r>
      <w:r w:rsidR="006E622A" w:rsidRPr="00545A48">
        <w:rPr>
          <w:rFonts w:ascii="Times New Roman" w:eastAsia="Cambria" w:hAnsi="Times New Roman"/>
          <w:szCs w:val="24"/>
          <w:lang w:eastAsia="ja-JP"/>
        </w:rPr>
        <w:t xml:space="preserve"> information or communicate feelings to the decision-maker.</w:t>
      </w:r>
      <w:r w:rsidR="006E622A" w:rsidRPr="00545A48">
        <w:rPr>
          <w:rFonts w:ascii="Times New Roman" w:eastAsia="Cambria" w:hAnsi="Times New Roman"/>
          <w:szCs w:val="24"/>
          <w:vertAlign w:val="superscript"/>
          <w:lang w:eastAsia="ja-JP"/>
        </w:rPr>
        <w:footnoteReference w:id="792"/>
      </w:r>
      <w:r w:rsidR="006E622A" w:rsidRPr="00545A48">
        <w:rPr>
          <w:rFonts w:ascii="Times New Roman" w:eastAsia="Cambria" w:hAnsi="Times New Roman"/>
          <w:szCs w:val="24"/>
          <w:lang w:eastAsia="ja-JP"/>
        </w:rPr>
        <w:t xml:space="preserve"> </w:t>
      </w:r>
      <w:r w:rsidR="006266E8" w:rsidRPr="00545A48">
        <w:rPr>
          <w:rFonts w:ascii="Times New Roman" w:eastAsia="Cambria" w:hAnsi="Times New Roman"/>
          <w:szCs w:val="24"/>
          <w:lang w:eastAsia="ja-JP"/>
        </w:rPr>
        <w:t xml:space="preserve"> The obligation on the decision</w:t>
      </w:r>
      <w:r w:rsidR="0071092E" w:rsidRPr="00545A48">
        <w:rPr>
          <w:rFonts w:ascii="Times New Roman" w:eastAsia="Cambria" w:hAnsi="Times New Roman"/>
          <w:szCs w:val="24"/>
          <w:lang w:eastAsia="ja-JP"/>
        </w:rPr>
        <w:t>-</w:t>
      </w:r>
      <w:r w:rsidR="006E622A" w:rsidRPr="00545A48">
        <w:rPr>
          <w:rFonts w:ascii="Times New Roman" w:eastAsia="Cambria" w:hAnsi="Times New Roman"/>
          <w:szCs w:val="24"/>
          <w:lang w:eastAsia="ja-JP"/>
        </w:rPr>
        <w:t xml:space="preserve">maker may be to </w:t>
      </w:r>
      <w:r w:rsidR="003E42EB">
        <w:rPr>
          <w:rFonts w:ascii="Times New Roman" w:eastAsia="Cambria" w:hAnsi="Times New Roman"/>
          <w:szCs w:val="24"/>
          <w:lang w:eastAsia="ja-JP"/>
        </w:rPr>
        <w:t>allow victims</w:t>
      </w:r>
      <w:r w:rsidR="006E622A" w:rsidRPr="00545A48">
        <w:rPr>
          <w:rFonts w:ascii="Times New Roman" w:eastAsia="Cambria" w:hAnsi="Times New Roman"/>
          <w:szCs w:val="24"/>
          <w:lang w:eastAsia="ja-JP"/>
        </w:rPr>
        <w:t xml:space="preserve"> to emote.</w:t>
      </w:r>
      <w:r w:rsidR="0071092E" w:rsidRPr="00545A48">
        <w:rPr>
          <w:rFonts w:ascii="Times New Roman" w:eastAsia="Cambria" w:hAnsi="Times New Roman"/>
          <w:szCs w:val="24"/>
          <w:lang w:eastAsia="ja-JP"/>
        </w:rPr>
        <w:t xml:space="preserve"> </w:t>
      </w:r>
      <w:r w:rsidR="003E42EB">
        <w:rPr>
          <w:rFonts w:ascii="Times New Roman" w:eastAsia="Cambria" w:hAnsi="Times New Roman"/>
          <w:szCs w:val="24"/>
          <w:lang w:eastAsia="ja-JP"/>
        </w:rPr>
        <w:t>Victims don't need</w:t>
      </w:r>
      <w:r w:rsidR="006E622A" w:rsidRPr="00545A48">
        <w:rPr>
          <w:rFonts w:ascii="Times New Roman" w:eastAsia="Cambria" w:hAnsi="Times New Roman"/>
          <w:szCs w:val="24"/>
          <w:lang w:eastAsia="ja-JP"/>
        </w:rPr>
        <w:t xml:space="preserve"> to undertake this </w:t>
      </w:r>
      <w:r w:rsidR="006266E8" w:rsidRPr="00545A48">
        <w:rPr>
          <w:rFonts w:ascii="Times New Roman" w:eastAsia="Cambria" w:hAnsi="Times New Roman"/>
          <w:szCs w:val="24"/>
          <w:lang w:eastAsia="ja-JP"/>
        </w:rPr>
        <w:t xml:space="preserve">function </w:t>
      </w:r>
      <w:r w:rsidR="006E622A" w:rsidRPr="00545A48">
        <w:rPr>
          <w:rFonts w:ascii="Times New Roman" w:eastAsia="Cambria" w:hAnsi="Times New Roman"/>
          <w:szCs w:val="24"/>
          <w:lang w:eastAsia="ja-JP"/>
        </w:rPr>
        <w:t>as it is voluntary.</w:t>
      </w:r>
      <w:r w:rsidR="0071092E"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The victim</w:t>
      </w:r>
      <w:r w:rsidR="003E42EB">
        <w:rPr>
          <w:rFonts w:ascii="Times New Roman" w:eastAsia="Cambria" w:hAnsi="Times New Roman"/>
          <w:szCs w:val="24"/>
          <w:lang w:eastAsia="ja-JP"/>
        </w:rPr>
        <w:t>s</w:t>
      </w:r>
      <w:r w:rsidR="006E622A" w:rsidRPr="00545A48">
        <w:rPr>
          <w:rFonts w:ascii="Times New Roman" w:eastAsia="Cambria" w:hAnsi="Times New Roman"/>
          <w:szCs w:val="24"/>
          <w:lang w:eastAsia="ja-JP"/>
        </w:rPr>
        <w:t xml:space="preserve"> may or may not accept the invitation.</w:t>
      </w:r>
      <w:r w:rsidR="0071092E"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 xml:space="preserve">The impact of expression on the trial is </w:t>
      </w:r>
      <w:r w:rsidR="0071092E" w:rsidRPr="00545A48">
        <w:rPr>
          <w:rFonts w:ascii="Times New Roman" w:eastAsia="Cambria" w:hAnsi="Times New Roman"/>
          <w:szCs w:val="24"/>
          <w:lang w:eastAsia="ja-JP"/>
        </w:rPr>
        <w:t>shal</w:t>
      </w:r>
      <w:r w:rsidR="006E622A" w:rsidRPr="00545A48">
        <w:rPr>
          <w:rFonts w:ascii="Times New Roman" w:eastAsia="Cambria" w:hAnsi="Times New Roman"/>
          <w:szCs w:val="24"/>
          <w:lang w:eastAsia="ja-JP"/>
        </w:rPr>
        <w:t>low. It has been described as ‘</w:t>
      </w:r>
      <w:r w:rsidR="006E622A" w:rsidRPr="00545A48">
        <w:rPr>
          <w:rFonts w:ascii="Times New Roman" w:eastAsia="Cambria" w:hAnsi="Times New Roman"/>
          <w:i/>
          <w:szCs w:val="24"/>
          <w:lang w:eastAsia="ja-JP"/>
        </w:rPr>
        <w:t>the weakest of all participatory forms’</w:t>
      </w:r>
      <w:r w:rsidR="006E622A" w:rsidRPr="00545A48">
        <w:rPr>
          <w:rFonts w:ascii="Times New Roman" w:eastAsia="Cambria" w:hAnsi="Times New Roman"/>
          <w:szCs w:val="24"/>
          <w:lang w:eastAsia="ja-JP"/>
        </w:rPr>
        <w:t>.</w:t>
      </w:r>
      <w:r w:rsidR="006E622A" w:rsidRPr="00545A48">
        <w:rPr>
          <w:rFonts w:ascii="Times New Roman" w:eastAsia="Cambria" w:hAnsi="Times New Roman"/>
          <w:szCs w:val="24"/>
          <w:vertAlign w:val="superscript"/>
          <w:lang w:eastAsia="ja-JP"/>
        </w:rPr>
        <w:footnoteReference w:id="793"/>
      </w:r>
      <w:r w:rsidR="006E622A" w:rsidRPr="00545A48">
        <w:rPr>
          <w:rFonts w:ascii="Times New Roman" w:eastAsia="Cambria" w:hAnsi="Times New Roman"/>
          <w:szCs w:val="24"/>
          <w:lang w:eastAsia="ja-JP"/>
        </w:rPr>
        <w:t xml:space="preserve"> This subcategory is very symbolic, as it encourages tokenism.</w:t>
      </w:r>
      <w:r w:rsidR="003E42EB">
        <w:rPr>
          <w:rStyle w:val="FootnoteReference"/>
          <w:rFonts w:ascii="Times New Roman" w:eastAsia="Cambria" w:hAnsi="Times New Roman"/>
          <w:szCs w:val="24"/>
          <w:lang w:eastAsia="ja-JP"/>
        </w:rPr>
        <w:footnoteReference w:id="794"/>
      </w:r>
      <w:r w:rsidR="00DA0F01" w:rsidRPr="00545A48">
        <w:rPr>
          <w:rFonts w:ascii="Times New Roman" w:eastAsia="Cambria" w:hAnsi="Times New Roman"/>
          <w:szCs w:val="24"/>
          <w:lang w:eastAsia="ja-JP"/>
        </w:rPr>
        <w:t xml:space="preserve"> Their level of influence is considered to be at the lowest when compared to other subcategories of non-dispositive participation. </w:t>
      </w:r>
      <w:r w:rsidR="000F58A3" w:rsidRPr="00545A48">
        <w:rPr>
          <w:rFonts w:ascii="Times New Roman" w:eastAsia="Cambria" w:hAnsi="Times New Roman"/>
          <w:szCs w:val="24"/>
          <w:lang w:eastAsia="ja-JP"/>
        </w:rPr>
        <w:t xml:space="preserve">According to </w:t>
      </w:r>
      <w:r w:rsidR="006266E8" w:rsidRPr="00545A48">
        <w:rPr>
          <w:rFonts w:ascii="Times New Roman" w:eastAsia="Cambria" w:hAnsi="Times New Roman"/>
          <w:szCs w:val="24"/>
          <w:lang w:eastAsia="ja-JP"/>
        </w:rPr>
        <w:t>Edwards</w:t>
      </w:r>
      <w:r w:rsidR="000F58A3" w:rsidRPr="00545A48">
        <w:rPr>
          <w:rFonts w:ascii="Times New Roman" w:eastAsia="Cambria" w:hAnsi="Times New Roman"/>
          <w:szCs w:val="24"/>
          <w:lang w:eastAsia="ja-JP"/>
        </w:rPr>
        <w:t>, V</w:t>
      </w:r>
      <w:r w:rsidR="001D017F">
        <w:rPr>
          <w:rFonts w:ascii="Times New Roman" w:eastAsia="Cambria" w:hAnsi="Times New Roman"/>
          <w:szCs w:val="24"/>
          <w:lang w:eastAsia="ja-JP"/>
        </w:rPr>
        <w:t>ictim Impact Statement(VIS)</w:t>
      </w:r>
      <w:r w:rsidR="000F58A3" w:rsidRPr="00545A48">
        <w:rPr>
          <w:rFonts w:ascii="Times New Roman" w:eastAsia="Cambria" w:hAnsi="Times New Roman"/>
          <w:szCs w:val="24"/>
          <w:lang w:eastAsia="ja-JP"/>
        </w:rPr>
        <w:t xml:space="preserve"> is similar to</w:t>
      </w:r>
      <w:r w:rsidR="006266E8" w:rsidRPr="00545A48">
        <w:rPr>
          <w:rFonts w:ascii="Times New Roman" w:eastAsia="Cambria" w:hAnsi="Times New Roman"/>
          <w:szCs w:val="24"/>
          <w:lang w:eastAsia="ja-JP"/>
        </w:rPr>
        <w:t xml:space="preserve"> </w:t>
      </w:r>
      <w:r w:rsidR="000F58A3" w:rsidRPr="00545A48">
        <w:rPr>
          <w:rFonts w:ascii="Times New Roman" w:eastAsia="Cambria" w:hAnsi="Times New Roman"/>
          <w:szCs w:val="24"/>
          <w:lang w:eastAsia="ja-JP"/>
        </w:rPr>
        <w:t>expression.</w:t>
      </w:r>
    </w:p>
    <w:p w14:paraId="7F9BCA92" w14:textId="77777777" w:rsidR="00C518DC" w:rsidRPr="00545A48" w:rsidRDefault="00C518DC" w:rsidP="00545A48">
      <w:pPr>
        <w:spacing w:after="0" w:line="480" w:lineRule="auto"/>
        <w:jc w:val="both"/>
        <w:rPr>
          <w:rFonts w:ascii="Times New Roman" w:eastAsia="Cambria" w:hAnsi="Times New Roman"/>
          <w:szCs w:val="24"/>
          <w:lang w:eastAsia="ja-JP"/>
        </w:rPr>
      </w:pPr>
    </w:p>
    <w:p w14:paraId="16B7402D" w14:textId="0974E10B" w:rsidR="0041224C" w:rsidRDefault="0071092E" w:rsidP="00545A48">
      <w:pPr>
        <w:spacing w:after="0" w:line="480" w:lineRule="auto"/>
        <w:jc w:val="both"/>
        <w:rPr>
          <w:rFonts w:ascii="Times New Roman" w:eastAsia="Cambria" w:hAnsi="Times New Roman"/>
          <w:szCs w:val="24"/>
          <w:lang w:eastAsia="ja-JP"/>
        </w:rPr>
      </w:pPr>
      <w:r w:rsidRPr="00545A48">
        <w:rPr>
          <w:rFonts w:ascii="Times New Roman" w:eastAsia="Cambria" w:hAnsi="Times New Roman"/>
          <w:szCs w:val="24"/>
          <w:lang w:eastAsia="ja-JP"/>
        </w:rPr>
        <w:t>The e</w:t>
      </w:r>
      <w:r w:rsidR="00773AC7" w:rsidRPr="00545A48">
        <w:rPr>
          <w:rFonts w:ascii="Times New Roman" w:eastAsia="Cambria" w:hAnsi="Times New Roman"/>
          <w:szCs w:val="24"/>
          <w:lang w:eastAsia="ja-JP"/>
        </w:rPr>
        <w:t>xpression could als</w:t>
      </w:r>
      <w:r w:rsidR="00E95833" w:rsidRPr="00545A48">
        <w:rPr>
          <w:rFonts w:ascii="Times New Roman" w:eastAsia="Cambria" w:hAnsi="Times New Roman"/>
          <w:szCs w:val="24"/>
          <w:lang w:eastAsia="ja-JP"/>
        </w:rPr>
        <w:t xml:space="preserve">o come in </w:t>
      </w:r>
      <w:r w:rsidRPr="00545A48">
        <w:rPr>
          <w:rFonts w:ascii="Times New Roman" w:eastAsia="Cambria" w:hAnsi="Times New Roman"/>
          <w:szCs w:val="24"/>
          <w:lang w:eastAsia="ja-JP"/>
        </w:rPr>
        <w:t xml:space="preserve">the </w:t>
      </w:r>
      <w:r w:rsidR="00E95833" w:rsidRPr="00545A48">
        <w:rPr>
          <w:rFonts w:ascii="Times New Roman" w:eastAsia="Cambria" w:hAnsi="Times New Roman"/>
          <w:szCs w:val="24"/>
          <w:lang w:eastAsia="ja-JP"/>
        </w:rPr>
        <w:t xml:space="preserve">form of story-telling at a </w:t>
      </w:r>
      <w:r w:rsidRPr="00545A48">
        <w:rPr>
          <w:rFonts w:ascii="Times New Roman" w:eastAsia="Cambria" w:hAnsi="Times New Roman"/>
          <w:szCs w:val="24"/>
          <w:lang w:eastAsia="ja-JP"/>
        </w:rPr>
        <w:t>particular</w:t>
      </w:r>
      <w:r w:rsidR="00E95833" w:rsidRPr="00545A48">
        <w:rPr>
          <w:rFonts w:ascii="Times New Roman" w:eastAsia="Cambria" w:hAnsi="Times New Roman"/>
          <w:szCs w:val="24"/>
          <w:lang w:eastAsia="ja-JP"/>
        </w:rPr>
        <w:t xml:space="preserve"> stage of the proceedings.</w:t>
      </w:r>
      <w:r w:rsidRPr="00545A48">
        <w:rPr>
          <w:rFonts w:ascii="Times New Roman" w:eastAsia="Cambria" w:hAnsi="Times New Roman"/>
          <w:szCs w:val="24"/>
          <w:lang w:eastAsia="ja-JP"/>
        </w:rPr>
        <w:t xml:space="preserve"> </w:t>
      </w:r>
      <w:r w:rsidR="00BB00EA" w:rsidRPr="00545A48">
        <w:rPr>
          <w:rFonts w:ascii="Times New Roman" w:eastAsia="Cambria" w:hAnsi="Times New Roman"/>
          <w:szCs w:val="24"/>
          <w:lang w:eastAsia="ja-JP"/>
        </w:rPr>
        <w:t>Story-telling is not a common process at the ICC</w:t>
      </w:r>
      <w:r w:rsidR="00D36390">
        <w:rPr>
          <w:rFonts w:ascii="Times New Roman" w:eastAsia="Cambria" w:hAnsi="Times New Roman"/>
          <w:szCs w:val="24"/>
          <w:lang w:eastAsia="ja-JP"/>
        </w:rPr>
        <w:t>,</w:t>
      </w:r>
      <w:r w:rsidR="00954E0C">
        <w:rPr>
          <w:rFonts w:ascii="Times New Roman" w:eastAsia="Cambria" w:hAnsi="Times New Roman"/>
          <w:szCs w:val="24"/>
          <w:lang w:eastAsia="ja-JP"/>
        </w:rPr>
        <w:t xml:space="preserve"> but the narratives may contribute towards truth-finding.</w:t>
      </w:r>
      <w:r w:rsidRPr="00545A48">
        <w:rPr>
          <w:rFonts w:ascii="Times New Roman" w:eastAsia="Cambria" w:hAnsi="Times New Roman"/>
          <w:szCs w:val="24"/>
          <w:lang w:eastAsia="ja-JP"/>
        </w:rPr>
        <w:t xml:space="preserve"> </w:t>
      </w:r>
      <w:r w:rsidR="00C518DC" w:rsidRPr="00545A48">
        <w:rPr>
          <w:rFonts w:ascii="Times New Roman" w:eastAsia="Cambria" w:hAnsi="Times New Roman"/>
          <w:szCs w:val="24"/>
          <w:lang w:eastAsia="ja-JP"/>
        </w:rPr>
        <w:t xml:space="preserve">An instance can be seen </w:t>
      </w:r>
      <w:r w:rsidR="00AA0DCE" w:rsidRPr="00545A48">
        <w:rPr>
          <w:rFonts w:ascii="Times New Roman" w:eastAsia="Cambria" w:hAnsi="Times New Roman"/>
          <w:szCs w:val="24"/>
          <w:lang w:eastAsia="ja-JP"/>
        </w:rPr>
        <w:t>in the Lubanga case, The Chamber</w:t>
      </w:r>
      <w:r w:rsidRPr="00545A48">
        <w:rPr>
          <w:rFonts w:ascii="Times New Roman" w:eastAsia="Cambria" w:hAnsi="Times New Roman"/>
          <w:szCs w:val="24"/>
          <w:lang w:eastAsia="ja-JP"/>
        </w:rPr>
        <w:t>,</w:t>
      </w:r>
      <w:r w:rsidR="00AA0DCE" w:rsidRPr="00545A48">
        <w:rPr>
          <w:rFonts w:ascii="Times New Roman" w:eastAsia="Cambria" w:hAnsi="Times New Roman"/>
          <w:szCs w:val="24"/>
          <w:lang w:eastAsia="ja-JP"/>
        </w:rPr>
        <w:t xml:space="preserve"> in response to the request of the LRVs, </w:t>
      </w:r>
      <w:r w:rsidR="00AA0DCE" w:rsidRPr="0041224C">
        <w:rPr>
          <w:rFonts w:ascii="Times New Roman" w:eastAsia="Cambria" w:hAnsi="Times New Roman"/>
          <w:szCs w:val="24"/>
          <w:lang w:eastAsia="ja-JP"/>
        </w:rPr>
        <w:t>authorised three victims to give evidence.</w:t>
      </w:r>
      <w:r w:rsidR="00AA0DCE" w:rsidRPr="0041224C">
        <w:rPr>
          <w:rFonts w:ascii="Times New Roman" w:eastAsia="Cambria" w:hAnsi="Times New Roman"/>
          <w:szCs w:val="24"/>
          <w:vertAlign w:val="superscript"/>
          <w:lang w:eastAsia="ja-JP"/>
        </w:rPr>
        <w:footnoteReference w:id="795"/>
      </w:r>
      <w:r w:rsidR="00AA0DCE" w:rsidRPr="0041224C">
        <w:rPr>
          <w:rFonts w:ascii="Times New Roman" w:eastAsia="Cambria" w:hAnsi="Times New Roman"/>
          <w:szCs w:val="24"/>
          <w:lang w:eastAsia="ja-JP"/>
        </w:rPr>
        <w:t xml:space="preserve"> </w:t>
      </w:r>
      <w:r w:rsidR="003E42EB">
        <w:rPr>
          <w:rFonts w:ascii="Times New Roman" w:eastAsia="Cambria" w:hAnsi="Times New Roman"/>
          <w:szCs w:val="24"/>
          <w:lang w:eastAsia="ja-JP"/>
        </w:rPr>
        <w:t>I</w:t>
      </w:r>
      <w:r w:rsidR="00AA0DCE" w:rsidRPr="0041224C">
        <w:rPr>
          <w:rFonts w:ascii="Times New Roman" w:eastAsia="Cambria" w:hAnsi="Times New Roman"/>
          <w:szCs w:val="24"/>
          <w:lang w:eastAsia="ja-JP"/>
        </w:rPr>
        <w:t xml:space="preserve">t noted that the story of each witness(chid soldier) is peculiar because </w:t>
      </w:r>
      <w:r w:rsidR="001D017F">
        <w:rPr>
          <w:rFonts w:ascii="Times New Roman" w:eastAsia="Cambria" w:hAnsi="Times New Roman"/>
          <w:szCs w:val="24"/>
          <w:lang w:eastAsia="ja-JP"/>
        </w:rPr>
        <w:t>“</w:t>
      </w:r>
      <w:r w:rsidR="00AA0DCE" w:rsidRPr="0041224C">
        <w:rPr>
          <w:rFonts w:ascii="Times New Roman" w:eastAsia="Cambria" w:hAnsi="Times New Roman"/>
          <w:szCs w:val="24"/>
          <w:lang w:eastAsia="ja-JP"/>
        </w:rPr>
        <w:t xml:space="preserve">none of their personal histories </w:t>
      </w:r>
      <w:r>
        <w:rPr>
          <w:rFonts w:ascii="Times New Roman" w:eastAsia="Cambria" w:hAnsi="Times New Roman"/>
          <w:szCs w:val="24"/>
          <w:lang w:eastAsia="ja-JP"/>
        </w:rPr>
        <w:t>is</w:t>
      </w:r>
      <w:r w:rsidR="00AA0DCE" w:rsidRPr="0041224C">
        <w:rPr>
          <w:rFonts w:ascii="Times New Roman" w:eastAsia="Cambria" w:hAnsi="Times New Roman"/>
          <w:szCs w:val="24"/>
          <w:lang w:eastAsia="ja-JP"/>
        </w:rPr>
        <w:t xml:space="preserve"> the same</w:t>
      </w:r>
      <w:r w:rsidR="001D017F">
        <w:rPr>
          <w:rFonts w:ascii="Times New Roman" w:eastAsia="Cambria" w:hAnsi="Times New Roman"/>
          <w:szCs w:val="24"/>
          <w:lang w:eastAsia="ja-JP"/>
        </w:rPr>
        <w:t>.”</w:t>
      </w:r>
      <w:r w:rsidR="001D017F">
        <w:rPr>
          <w:rStyle w:val="FootnoteReference"/>
          <w:rFonts w:ascii="Times New Roman" w:eastAsia="Cambria" w:hAnsi="Times New Roman"/>
          <w:szCs w:val="24"/>
          <w:lang w:eastAsia="ja-JP"/>
        </w:rPr>
        <w:footnoteReference w:id="796"/>
      </w:r>
      <w:r w:rsidR="00AA0DCE" w:rsidRPr="0041224C">
        <w:rPr>
          <w:rFonts w:ascii="Times New Roman" w:eastAsia="Cambria" w:hAnsi="Times New Roman"/>
          <w:szCs w:val="24"/>
          <w:lang w:eastAsia="ja-JP"/>
        </w:rPr>
        <w:t>Also</w:t>
      </w:r>
      <w:r>
        <w:rPr>
          <w:rFonts w:ascii="Times New Roman" w:eastAsia="Cambria" w:hAnsi="Times New Roman"/>
          <w:szCs w:val="24"/>
          <w:lang w:eastAsia="ja-JP"/>
        </w:rPr>
        <w:t>,</w:t>
      </w:r>
      <w:r w:rsidR="00AA0DCE" w:rsidRPr="0041224C">
        <w:rPr>
          <w:rFonts w:ascii="Times New Roman" w:eastAsia="Cambria" w:hAnsi="Times New Roman"/>
          <w:szCs w:val="24"/>
          <w:lang w:eastAsia="ja-JP"/>
        </w:rPr>
        <w:t xml:space="preserve"> the Chamber </w:t>
      </w:r>
      <w:r w:rsidR="00D36390">
        <w:rPr>
          <w:rFonts w:ascii="Times New Roman" w:eastAsia="Cambria" w:hAnsi="Times New Roman"/>
          <w:szCs w:val="24"/>
          <w:lang w:eastAsia="ja-JP"/>
        </w:rPr>
        <w:t xml:space="preserve">stressed </w:t>
      </w:r>
      <w:r w:rsidR="00AA0DCE" w:rsidRPr="0041224C">
        <w:rPr>
          <w:rFonts w:ascii="Times New Roman" w:eastAsia="Cambria" w:hAnsi="Times New Roman"/>
          <w:szCs w:val="24"/>
          <w:lang w:eastAsia="ja-JP"/>
        </w:rPr>
        <w:t xml:space="preserve">the account of the witnesses </w:t>
      </w:r>
      <w:r w:rsidR="00D36390">
        <w:rPr>
          <w:rFonts w:ascii="Times New Roman" w:eastAsia="Cambria" w:hAnsi="Times New Roman"/>
          <w:szCs w:val="24"/>
          <w:lang w:eastAsia="ja-JP"/>
        </w:rPr>
        <w:t>should complement</w:t>
      </w:r>
      <w:r w:rsidR="00AA0DCE" w:rsidRPr="0041224C">
        <w:rPr>
          <w:rFonts w:ascii="Times New Roman" w:eastAsia="Cambria" w:hAnsi="Times New Roman"/>
          <w:szCs w:val="24"/>
          <w:lang w:eastAsia="ja-JP"/>
        </w:rPr>
        <w:t xml:space="preserve"> the Prosecutor.</w:t>
      </w:r>
      <w:r w:rsidR="00AA0DCE" w:rsidRPr="0041224C">
        <w:rPr>
          <w:rFonts w:ascii="Times New Roman" w:eastAsia="Cambria" w:hAnsi="Times New Roman"/>
          <w:szCs w:val="24"/>
          <w:vertAlign w:val="superscript"/>
          <w:lang w:eastAsia="ja-JP"/>
        </w:rPr>
        <w:footnoteReference w:id="797"/>
      </w:r>
      <w:r w:rsidR="00AA0DCE" w:rsidRPr="0041224C">
        <w:rPr>
          <w:rFonts w:ascii="Times New Roman" w:eastAsia="Cambria" w:hAnsi="Times New Roman"/>
          <w:szCs w:val="24"/>
          <w:lang w:eastAsia="ja-JP"/>
        </w:rPr>
        <w:t xml:space="preserve"> It further distinguished between “giving of evidence” and “expressing their views and concerns.” The victims are treated </w:t>
      </w:r>
      <w:r w:rsidR="00AA0DCE" w:rsidRPr="0041224C">
        <w:rPr>
          <w:rFonts w:ascii="Times New Roman" w:eastAsia="Cambria" w:hAnsi="Times New Roman"/>
          <w:szCs w:val="24"/>
          <w:lang w:eastAsia="ja-JP"/>
        </w:rPr>
        <w:lastRenderedPageBreak/>
        <w:t>as witnesses.</w:t>
      </w:r>
      <w:r>
        <w:rPr>
          <w:rFonts w:ascii="Times New Roman" w:eastAsia="Cambria" w:hAnsi="Times New Roman"/>
          <w:szCs w:val="24"/>
          <w:lang w:eastAsia="ja-JP"/>
        </w:rPr>
        <w:t xml:space="preserve"> </w:t>
      </w:r>
      <w:r w:rsidR="00AA0DCE" w:rsidRPr="0041224C">
        <w:rPr>
          <w:rFonts w:ascii="Times New Roman" w:eastAsia="Cambria" w:hAnsi="Times New Roman"/>
          <w:szCs w:val="24"/>
          <w:lang w:eastAsia="ja-JP"/>
        </w:rPr>
        <w:t>The LRVs, Prosecution and the Defen</w:t>
      </w:r>
      <w:r w:rsidR="002F3B26">
        <w:rPr>
          <w:rFonts w:ascii="Times New Roman" w:eastAsia="Cambria" w:hAnsi="Times New Roman"/>
          <w:szCs w:val="24"/>
          <w:lang w:eastAsia="ja-JP"/>
        </w:rPr>
        <w:t>c</w:t>
      </w:r>
      <w:r w:rsidR="00AA0DCE" w:rsidRPr="0041224C">
        <w:rPr>
          <w:rFonts w:ascii="Times New Roman" w:eastAsia="Cambria" w:hAnsi="Times New Roman"/>
          <w:szCs w:val="24"/>
          <w:lang w:eastAsia="ja-JP"/>
        </w:rPr>
        <w:t>e would ask them questions.</w:t>
      </w:r>
      <w:r>
        <w:rPr>
          <w:rFonts w:ascii="Times New Roman" w:eastAsia="Cambria" w:hAnsi="Times New Roman"/>
          <w:szCs w:val="24"/>
          <w:lang w:eastAsia="ja-JP"/>
        </w:rPr>
        <w:t xml:space="preserve"> </w:t>
      </w:r>
      <w:r w:rsidR="00AA0DCE" w:rsidRPr="0041224C">
        <w:rPr>
          <w:rFonts w:ascii="Times New Roman" w:eastAsia="Cambria" w:hAnsi="Times New Roman"/>
          <w:szCs w:val="24"/>
          <w:lang w:eastAsia="ja-JP"/>
        </w:rPr>
        <w:t>It was more of questioning than narratives.</w:t>
      </w:r>
      <w:r>
        <w:rPr>
          <w:rFonts w:ascii="Times New Roman" w:eastAsia="Cambria" w:hAnsi="Times New Roman"/>
          <w:szCs w:val="24"/>
          <w:lang w:eastAsia="ja-JP"/>
        </w:rPr>
        <w:t xml:space="preserve"> </w:t>
      </w:r>
      <w:r w:rsidR="0041224C" w:rsidRPr="0041224C">
        <w:rPr>
          <w:rFonts w:ascii="Times New Roman" w:eastAsia="Cambria" w:hAnsi="Times New Roman"/>
          <w:szCs w:val="24"/>
          <w:lang w:eastAsia="ja-JP"/>
        </w:rPr>
        <w:t>The witnesses consisted of two former child soldiers and a schoolteacher. The victim(a/0270/06, V02-0001), a schoolteacher narrated instances of murder, sexual violence and sexual slavery.</w:t>
      </w:r>
      <w:r w:rsidR="0041224C" w:rsidRPr="0041224C">
        <w:rPr>
          <w:rFonts w:ascii="Times New Roman" w:eastAsia="Cambria" w:hAnsi="Times New Roman"/>
          <w:szCs w:val="24"/>
          <w:vertAlign w:val="superscript"/>
          <w:lang w:eastAsia="ja-JP"/>
        </w:rPr>
        <w:footnoteReference w:id="798"/>
      </w:r>
      <w:r w:rsidR="0041224C" w:rsidRPr="0041224C">
        <w:rPr>
          <w:rFonts w:ascii="Times New Roman" w:eastAsia="Cambria" w:hAnsi="Times New Roman"/>
          <w:szCs w:val="24"/>
          <w:lang w:eastAsia="ja-JP"/>
        </w:rPr>
        <w:t xml:space="preserve"> He stated that he witnessed the UPC soldiers enlisting four pupils on 5 February 2003.</w:t>
      </w:r>
      <w:r w:rsidR="0041224C" w:rsidRPr="0041224C">
        <w:rPr>
          <w:rFonts w:ascii="Times New Roman" w:eastAsia="Cambria" w:hAnsi="Times New Roman"/>
          <w:szCs w:val="24"/>
          <w:vertAlign w:val="superscript"/>
          <w:lang w:eastAsia="ja-JP"/>
        </w:rPr>
        <w:footnoteReference w:id="799"/>
      </w:r>
      <w:r w:rsidR="0041224C" w:rsidRPr="0041224C">
        <w:rPr>
          <w:rFonts w:ascii="Times New Roman" w:eastAsia="Cambria" w:hAnsi="Times New Roman"/>
          <w:szCs w:val="24"/>
          <w:lang w:eastAsia="ja-JP"/>
        </w:rPr>
        <w:t>His testimony also revealed he was the guardian of a.0229/06(V02-0003) and a/0225/06(V02-0002).</w:t>
      </w:r>
      <w:r w:rsidR="0041224C" w:rsidRPr="0041224C">
        <w:rPr>
          <w:rFonts w:ascii="Times New Roman" w:eastAsia="Cambria" w:hAnsi="Times New Roman"/>
          <w:szCs w:val="24"/>
          <w:vertAlign w:val="superscript"/>
          <w:lang w:eastAsia="ja-JP"/>
        </w:rPr>
        <w:footnoteReference w:id="800"/>
      </w:r>
      <w:r w:rsidR="0041224C" w:rsidRPr="0041224C">
        <w:rPr>
          <w:rFonts w:ascii="Times New Roman" w:eastAsia="Cambria" w:hAnsi="Times New Roman"/>
          <w:szCs w:val="24"/>
          <w:lang w:eastAsia="ja-JP"/>
        </w:rPr>
        <w:t xml:space="preserve"> Lubanga was the President of the UPC.</w:t>
      </w:r>
      <w:r>
        <w:rPr>
          <w:rFonts w:ascii="Times New Roman" w:eastAsia="Cambria" w:hAnsi="Times New Roman"/>
          <w:szCs w:val="24"/>
          <w:lang w:eastAsia="ja-JP"/>
        </w:rPr>
        <w:t xml:space="preserve"> </w:t>
      </w:r>
      <w:r w:rsidR="0041224C" w:rsidRPr="0041224C">
        <w:rPr>
          <w:rFonts w:ascii="Times New Roman" w:eastAsia="Cambria" w:hAnsi="Times New Roman"/>
          <w:szCs w:val="24"/>
          <w:lang w:eastAsia="ja-JP"/>
        </w:rPr>
        <w:t xml:space="preserve">He gave </w:t>
      </w:r>
      <w:r>
        <w:rPr>
          <w:rFonts w:ascii="Times New Roman" w:eastAsia="Cambria" w:hAnsi="Times New Roman"/>
          <w:szCs w:val="24"/>
          <w:lang w:eastAsia="ja-JP"/>
        </w:rPr>
        <w:t xml:space="preserve">an </w:t>
      </w:r>
      <w:r w:rsidR="0041224C" w:rsidRPr="0041224C">
        <w:rPr>
          <w:rFonts w:ascii="Times New Roman" w:eastAsia="Cambria" w:hAnsi="Times New Roman"/>
          <w:szCs w:val="24"/>
          <w:lang w:eastAsia="ja-JP"/>
        </w:rPr>
        <w:t>account of the horrible experience the child soldiers in his presence and how he struggled to protect the children, but he failed to and ended up suffering harm.</w:t>
      </w:r>
    </w:p>
    <w:p w14:paraId="3AD78445" w14:textId="77777777" w:rsidR="003831F5" w:rsidRPr="0041224C" w:rsidRDefault="003831F5" w:rsidP="00545A48">
      <w:pPr>
        <w:spacing w:after="0" w:line="480" w:lineRule="auto"/>
        <w:jc w:val="both"/>
        <w:rPr>
          <w:rFonts w:ascii="Times New Roman" w:eastAsia="Cambria" w:hAnsi="Times New Roman"/>
          <w:szCs w:val="24"/>
          <w:lang w:eastAsia="ja-JP"/>
        </w:rPr>
      </w:pPr>
    </w:p>
    <w:p w14:paraId="33CD8134" w14:textId="01EE16A8" w:rsidR="0041224C" w:rsidRDefault="00A379A4"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The two former child soldiers narrated </w:t>
      </w:r>
      <w:r w:rsidR="0041224C" w:rsidRPr="0041224C">
        <w:rPr>
          <w:rFonts w:ascii="Times New Roman" w:eastAsia="Cambria" w:hAnsi="Times New Roman"/>
          <w:szCs w:val="24"/>
          <w:lang w:eastAsia="ja-JP"/>
        </w:rPr>
        <w:t>their ordeal</w:t>
      </w:r>
      <w:r w:rsidR="00D36390">
        <w:rPr>
          <w:rFonts w:ascii="Times New Roman" w:eastAsia="Cambria" w:hAnsi="Times New Roman"/>
          <w:szCs w:val="24"/>
          <w:lang w:eastAsia="ja-JP"/>
        </w:rPr>
        <w:t xml:space="preserve"> and encounter with the militia. T</w:t>
      </w:r>
      <w:r w:rsidR="0041224C" w:rsidRPr="0041224C">
        <w:rPr>
          <w:rFonts w:ascii="Times New Roman" w:eastAsia="Cambria" w:hAnsi="Times New Roman"/>
          <w:szCs w:val="24"/>
          <w:lang w:eastAsia="ja-JP"/>
        </w:rPr>
        <w:t>he harm they suffered, the state of the camp, the torture and the sexual violence encount</w:t>
      </w:r>
      <w:r w:rsidR="0071092E">
        <w:rPr>
          <w:rFonts w:ascii="Times New Roman" w:eastAsia="Cambria" w:hAnsi="Times New Roman"/>
          <w:szCs w:val="24"/>
          <w:lang w:eastAsia="ja-JP"/>
        </w:rPr>
        <w:t>er</w:t>
      </w:r>
      <w:r w:rsidR="0041224C" w:rsidRPr="0041224C">
        <w:rPr>
          <w:rFonts w:ascii="Times New Roman" w:eastAsia="Cambria" w:hAnsi="Times New Roman"/>
          <w:szCs w:val="24"/>
          <w:lang w:eastAsia="ja-JP"/>
        </w:rPr>
        <w:t>ed by underaged girl soldiers(13-14 years old)</w:t>
      </w:r>
      <w:r w:rsidR="0041224C" w:rsidRPr="0041224C">
        <w:rPr>
          <w:rFonts w:ascii="Times New Roman" w:eastAsia="Cambria" w:hAnsi="Times New Roman"/>
          <w:szCs w:val="24"/>
          <w:vertAlign w:val="superscript"/>
          <w:lang w:eastAsia="ja-JP"/>
        </w:rPr>
        <w:footnoteReference w:id="801"/>
      </w:r>
      <w:r w:rsidR="0041224C" w:rsidRPr="0041224C">
        <w:rPr>
          <w:rFonts w:ascii="Times New Roman" w:eastAsia="Cambria" w:hAnsi="Times New Roman"/>
          <w:szCs w:val="24"/>
          <w:lang w:eastAsia="ja-JP"/>
        </w:rPr>
        <w:t>The second victim, a former child soldier(a/0229/06,</w:t>
      </w:r>
      <w:r w:rsidR="0071092E">
        <w:rPr>
          <w:rFonts w:ascii="Times New Roman" w:eastAsia="Cambria" w:hAnsi="Times New Roman"/>
          <w:szCs w:val="24"/>
          <w:lang w:eastAsia="ja-JP"/>
        </w:rPr>
        <w:t xml:space="preserve"> </w:t>
      </w:r>
      <w:r w:rsidR="0041224C" w:rsidRPr="0041224C">
        <w:rPr>
          <w:rFonts w:ascii="Times New Roman" w:eastAsia="Cambria" w:hAnsi="Times New Roman"/>
          <w:szCs w:val="24"/>
          <w:lang w:eastAsia="ja-JP"/>
        </w:rPr>
        <w:t>VO2-0003)  averred that the accused was the president of the militia group(UPC).</w:t>
      </w:r>
      <w:r w:rsidR="00D36390">
        <w:rPr>
          <w:rFonts w:ascii="Times New Roman" w:eastAsia="Cambria" w:hAnsi="Times New Roman"/>
          <w:szCs w:val="24"/>
          <w:lang w:eastAsia="ja-JP"/>
        </w:rPr>
        <w:t xml:space="preserve"> Besides</w:t>
      </w:r>
      <w:r w:rsidR="0041224C" w:rsidRPr="0041224C">
        <w:rPr>
          <w:rFonts w:ascii="Times New Roman" w:eastAsia="Cambria" w:hAnsi="Times New Roman"/>
          <w:szCs w:val="24"/>
          <w:lang w:eastAsia="ja-JP"/>
        </w:rPr>
        <w:t>, he attested to his abduction</w:t>
      </w:r>
      <w:r w:rsidR="0041224C" w:rsidRPr="0041224C">
        <w:rPr>
          <w:rFonts w:ascii="Times New Roman" w:eastAsia="Cambria" w:hAnsi="Times New Roman"/>
          <w:szCs w:val="24"/>
          <w:vertAlign w:val="superscript"/>
          <w:lang w:eastAsia="ja-JP"/>
        </w:rPr>
        <w:footnoteReference w:id="802"/>
      </w:r>
      <w:r w:rsidR="0041224C">
        <w:rPr>
          <w:rFonts w:ascii="Times New Roman" w:eastAsia="Cambria" w:hAnsi="Times New Roman"/>
          <w:szCs w:val="24"/>
          <w:lang w:eastAsia="ja-JP"/>
        </w:rPr>
        <w:t xml:space="preserve">  as well </w:t>
      </w:r>
      <w:r w:rsidR="0041224C" w:rsidRPr="0041224C">
        <w:rPr>
          <w:rFonts w:ascii="Times New Roman" w:eastAsia="Cambria" w:hAnsi="Times New Roman"/>
          <w:szCs w:val="24"/>
          <w:lang w:eastAsia="ja-JP"/>
        </w:rPr>
        <w:t>as occu</w:t>
      </w:r>
      <w:r w:rsidR="0071092E">
        <w:rPr>
          <w:rFonts w:ascii="Times New Roman" w:eastAsia="Cambria" w:hAnsi="Times New Roman"/>
          <w:szCs w:val="24"/>
          <w:lang w:eastAsia="ja-JP"/>
        </w:rPr>
        <w:t>r</w:t>
      </w:r>
      <w:r w:rsidR="0041224C" w:rsidRPr="0041224C">
        <w:rPr>
          <w:rFonts w:ascii="Times New Roman" w:eastAsia="Cambria" w:hAnsi="Times New Roman"/>
          <w:szCs w:val="24"/>
          <w:lang w:eastAsia="ja-JP"/>
        </w:rPr>
        <w:t>rences of SGBV</w:t>
      </w:r>
      <w:r w:rsidR="00D36390">
        <w:rPr>
          <w:rFonts w:ascii="Times New Roman" w:eastAsia="Cambria" w:hAnsi="Times New Roman"/>
          <w:szCs w:val="24"/>
          <w:lang w:eastAsia="ja-JP"/>
        </w:rPr>
        <w:t xml:space="preserve"> of girls between ages </w:t>
      </w:r>
      <w:r w:rsidR="0041224C" w:rsidRPr="0041224C">
        <w:rPr>
          <w:rFonts w:ascii="Times New Roman" w:eastAsia="Cambria" w:hAnsi="Times New Roman"/>
          <w:szCs w:val="24"/>
          <w:lang w:eastAsia="ja-JP"/>
        </w:rPr>
        <w:t>13 and 14.</w:t>
      </w:r>
      <w:r w:rsidR="0041224C" w:rsidRPr="0041224C">
        <w:rPr>
          <w:rFonts w:ascii="Times New Roman" w:eastAsia="Cambria" w:hAnsi="Times New Roman"/>
          <w:szCs w:val="24"/>
          <w:vertAlign w:val="superscript"/>
          <w:lang w:eastAsia="ja-JP"/>
        </w:rPr>
        <w:footnoteReference w:id="803"/>
      </w:r>
      <w:r w:rsidR="0041224C" w:rsidRPr="0041224C">
        <w:rPr>
          <w:rFonts w:ascii="Times New Roman" w:eastAsia="Cambria" w:hAnsi="Times New Roman"/>
          <w:szCs w:val="24"/>
          <w:lang w:eastAsia="ja-JP"/>
        </w:rPr>
        <w:t xml:space="preserve"> He asserted t</w:t>
      </w:r>
      <w:r w:rsidR="00340D66">
        <w:rPr>
          <w:rFonts w:ascii="Times New Roman" w:eastAsia="Cambria" w:hAnsi="Times New Roman"/>
          <w:szCs w:val="24"/>
          <w:lang w:eastAsia="ja-JP"/>
        </w:rPr>
        <w:t>hat the commander tortured him, the poor condition of living in the militia camp, and</w:t>
      </w:r>
      <w:r w:rsidR="0041224C" w:rsidRPr="0041224C">
        <w:rPr>
          <w:rFonts w:ascii="Times New Roman" w:eastAsia="Cambria" w:hAnsi="Times New Roman"/>
          <w:szCs w:val="24"/>
          <w:lang w:eastAsia="ja-JP"/>
        </w:rPr>
        <w:t xml:space="preserve"> his active participation in hostilities.</w:t>
      </w:r>
      <w:r w:rsidR="0041224C" w:rsidRPr="0041224C">
        <w:rPr>
          <w:rFonts w:ascii="Times New Roman" w:eastAsia="Cambria" w:hAnsi="Times New Roman"/>
          <w:szCs w:val="24"/>
          <w:vertAlign w:val="superscript"/>
          <w:lang w:eastAsia="ja-JP"/>
        </w:rPr>
        <w:footnoteReference w:id="804"/>
      </w:r>
    </w:p>
    <w:p w14:paraId="6DE289D2" w14:textId="77777777" w:rsidR="0041224C" w:rsidRDefault="0041224C" w:rsidP="00545A48">
      <w:pPr>
        <w:spacing w:after="0" w:line="480" w:lineRule="auto"/>
        <w:jc w:val="both"/>
        <w:rPr>
          <w:rFonts w:ascii="Times New Roman" w:eastAsia="Cambria" w:hAnsi="Times New Roman"/>
          <w:szCs w:val="24"/>
          <w:lang w:eastAsia="ja-JP"/>
        </w:rPr>
      </w:pPr>
    </w:p>
    <w:p w14:paraId="26CE26A4" w14:textId="27EA7FD0" w:rsidR="00223843" w:rsidRDefault="00DE4022" w:rsidP="00545A48">
      <w:pPr>
        <w:spacing w:after="0" w:line="480" w:lineRule="auto"/>
        <w:jc w:val="both"/>
        <w:rPr>
          <w:rFonts w:ascii="Times New Roman" w:eastAsia="Cambria" w:hAnsi="Times New Roman"/>
          <w:szCs w:val="24"/>
          <w:lang w:eastAsia="ja-JP"/>
        </w:rPr>
      </w:pPr>
      <w:r w:rsidRPr="00223843">
        <w:rPr>
          <w:rFonts w:ascii="Times New Roman" w:eastAsia="Cambria" w:hAnsi="Times New Roman"/>
          <w:szCs w:val="24"/>
          <w:lang w:eastAsia="ja-JP"/>
        </w:rPr>
        <w:t>Although, the victims gave testimoni</w:t>
      </w:r>
      <w:r w:rsidR="00134A1B">
        <w:rPr>
          <w:rFonts w:ascii="Times New Roman" w:eastAsia="Cambria" w:hAnsi="Times New Roman"/>
          <w:szCs w:val="24"/>
          <w:lang w:eastAsia="ja-JP"/>
        </w:rPr>
        <w:t>es as independent witnesses.</w:t>
      </w:r>
      <w:r w:rsidR="0071092E">
        <w:rPr>
          <w:rFonts w:ascii="Times New Roman" w:eastAsia="Cambria" w:hAnsi="Times New Roman"/>
          <w:szCs w:val="24"/>
          <w:lang w:eastAsia="ja-JP"/>
        </w:rPr>
        <w:t xml:space="preserve"> </w:t>
      </w:r>
      <w:r w:rsidR="00134A1B">
        <w:rPr>
          <w:rFonts w:ascii="Times New Roman" w:eastAsia="Cambria" w:hAnsi="Times New Roman"/>
          <w:szCs w:val="24"/>
          <w:lang w:eastAsia="ja-JP"/>
        </w:rPr>
        <w:t>Noneth</w:t>
      </w:r>
      <w:r w:rsidR="0071092E">
        <w:rPr>
          <w:rFonts w:ascii="Times New Roman" w:eastAsia="Cambria" w:hAnsi="Times New Roman"/>
          <w:szCs w:val="24"/>
          <w:lang w:eastAsia="ja-JP"/>
        </w:rPr>
        <w:t>e</w:t>
      </w:r>
      <w:r w:rsidR="00134A1B">
        <w:rPr>
          <w:rFonts w:ascii="Times New Roman" w:eastAsia="Cambria" w:hAnsi="Times New Roman"/>
          <w:szCs w:val="24"/>
          <w:lang w:eastAsia="ja-JP"/>
        </w:rPr>
        <w:t xml:space="preserve">less, </w:t>
      </w:r>
      <w:r w:rsidRPr="00223843">
        <w:rPr>
          <w:rFonts w:ascii="Times New Roman" w:eastAsia="Cambria" w:hAnsi="Times New Roman"/>
          <w:szCs w:val="24"/>
          <w:lang w:eastAsia="ja-JP"/>
        </w:rPr>
        <w:t>their testimonies reveal narratives of their experiences during the hostilities.</w:t>
      </w:r>
      <w:r w:rsidR="0071092E">
        <w:rPr>
          <w:rFonts w:ascii="Times New Roman" w:eastAsia="Cambria" w:hAnsi="Times New Roman"/>
          <w:szCs w:val="24"/>
          <w:lang w:eastAsia="ja-JP"/>
        </w:rPr>
        <w:t xml:space="preserve"> </w:t>
      </w:r>
      <w:r w:rsidRPr="00223843">
        <w:rPr>
          <w:rFonts w:ascii="Times New Roman" w:eastAsia="Cambria" w:hAnsi="Times New Roman"/>
          <w:szCs w:val="24"/>
          <w:lang w:eastAsia="ja-JP"/>
        </w:rPr>
        <w:t>While they narrated their ordeal,</w:t>
      </w:r>
      <w:r w:rsidR="0071092E">
        <w:rPr>
          <w:rFonts w:ascii="Times New Roman" w:eastAsia="Cambria" w:hAnsi="Times New Roman"/>
          <w:szCs w:val="24"/>
          <w:lang w:eastAsia="ja-JP"/>
        </w:rPr>
        <w:t xml:space="preserve"> </w:t>
      </w:r>
      <w:r w:rsidR="00223843" w:rsidRPr="00223843">
        <w:rPr>
          <w:rFonts w:ascii="Times New Roman" w:eastAsia="Cambria" w:hAnsi="Times New Roman"/>
          <w:szCs w:val="24"/>
          <w:lang w:eastAsia="ja-JP"/>
        </w:rPr>
        <w:t>it demonstrated expression.</w:t>
      </w:r>
      <w:r w:rsidR="0071092E">
        <w:rPr>
          <w:rFonts w:ascii="Times New Roman" w:eastAsia="Cambria" w:hAnsi="Times New Roman"/>
          <w:szCs w:val="24"/>
          <w:lang w:eastAsia="ja-JP"/>
        </w:rPr>
        <w:t xml:space="preserve"> </w:t>
      </w:r>
      <w:r w:rsidR="009E0D66">
        <w:rPr>
          <w:rFonts w:ascii="Times New Roman" w:eastAsia="Cambria" w:hAnsi="Times New Roman"/>
          <w:szCs w:val="24"/>
          <w:lang w:eastAsia="ja-JP"/>
        </w:rPr>
        <w:t>The Chamber rejected s</w:t>
      </w:r>
      <w:r w:rsidR="00223843" w:rsidRPr="00223843">
        <w:rPr>
          <w:rFonts w:ascii="Times New Roman" w:eastAsia="Cambria" w:hAnsi="Times New Roman"/>
          <w:szCs w:val="24"/>
          <w:lang w:eastAsia="ja-JP"/>
        </w:rPr>
        <w:t>ome of these testimonies on the grounds of falsification of identities and testimonies.</w:t>
      </w:r>
      <w:r w:rsidR="0071092E">
        <w:rPr>
          <w:rFonts w:ascii="Times New Roman" w:eastAsia="Cambria" w:hAnsi="Times New Roman"/>
          <w:szCs w:val="24"/>
          <w:lang w:eastAsia="ja-JP"/>
        </w:rPr>
        <w:t xml:space="preserve"> </w:t>
      </w:r>
      <w:r w:rsidR="00223843" w:rsidRPr="00223843">
        <w:rPr>
          <w:rFonts w:ascii="Times New Roman" w:eastAsia="Cambria" w:hAnsi="Times New Roman"/>
          <w:szCs w:val="24"/>
          <w:lang w:eastAsia="ja-JP"/>
        </w:rPr>
        <w:t>The defence’s cross</w:t>
      </w:r>
      <w:r w:rsidR="0071092E">
        <w:rPr>
          <w:rFonts w:ascii="Times New Roman" w:eastAsia="Cambria" w:hAnsi="Times New Roman"/>
          <w:szCs w:val="24"/>
          <w:lang w:eastAsia="ja-JP"/>
        </w:rPr>
        <w:t>-</w:t>
      </w:r>
      <w:r w:rsidR="00223843" w:rsidRPr="00223843">
        <w:rPr>
          <w:rFonts w:ascii="Times New Roman" w:eastAsia="Cambria" w:hAnsi="Times New Roman"/>
          <w:szCs w:val="24"/>
          <w:lang w:eastAsia="ja-JP"/>
        </w:rPr>
        <w:t>examination of the former child soldiers revealed that the former-child sol</w:t>
      </w:r>
      <w:r w:rsidR="0071092E">
        <w:rPr>
          <w:rFonts w:ascii="Times New Roman" w:eastAsia="Cambria" w:hAnsi="Times New Roman"/>
          <w:szCs w:val="24"/>
          <w:lang w:eastAsia="ja-JP"/>
        </w:rPr>
        <w:t>d</w:t>
      </w:r>
      <w:r w:rsidR="00223843" w:rsidRPr="00223843">
        <w:rPr>
          <w:rFonts w:ascii="Times New Roman" w:eastAsia="Cambria" w:hAnsi="Times New Roman"/>
          <w:szCs w:val="24"/>
          <w:lang w:eastAsia="ja-JP"/>
        </w:rPr>
        <w:t>iers ha</w:t>
      </w:r>
      <w:r w:rsidR="0071092E">
        <w:rPr>
          <w:rFonts w:ascii="Times New Roman" w:eastAsia="Cambria" w:hAnsi="Times New Roman"/>
          <w:szCs w:val="24"/>
          <w:lang w:eastAsia="ja-JP"/>
        </w:rPr>
        <w:t>d</w:t>
      </w:r>
      <w:r w:rsidR="00223843" w:rsidRPr="00223843">
        <w:rPr>
          <w:rFonts w:ascii="Times New Roman" w:eastAsia="Cambria" w:hAnsi="Times New Roman"/>
          <w:szCs w:val="24"/>
          <w:lang w:eastAsia="ja-JP"/>
        </w:rPr>
        <w:t xml:space="preserve"> falsified their identities and one of the child soldiers had tendered false information.</w:t>
      </w:r>
      <w:r w:rsidR="00223843" w:rsidRPr="00223843">
        <w:rPr>
          <w:rFonts w:ascii="Times New Roman" w:eastAsia="Cambria" w:hAnsi="Times New Roman"/>
          <w:szCs w:val="24"/>
          <w:vertAlign w:val="superscript"/>
          <w:lang w:eastAsia="ja-JP"/>
        </w:rPr>
        <w:footnoteReference w:id="805"/>
      </w:r>
    </w:p>
    <w:p w14:paraId="4DAD240A" w14:textId="77777777" w:rsidR="00223843" w:rsidRDefault="00223843" w:rsidP="00545A48">
      <w:pPr>
        <w:spacing w:after="0" w:line="480" w:lineRule="auto"/>
        <w:jc w:val="both"/>
        <w:rPr>
          <w:rFonts w:ascii="Times New Roman" w:eastAsia="Cambria" w:hAnsi="Times New Roman"/>
          <w:szCs w:val="24"/>
          <w:lang w:eastAsia="ja-JP"/>
        </w:rPr>
      </w:pPr>
    </w:p>
    <w:p w14:paraId="674921A2" w14:textId="262AB03D" w:rsidR="00A04A48" w:rsidRDefault="002C22AD"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It appears the court is very restrictive </w:t>
      </w:r>
      <w:r w:rsidR="005B53F4">
        <w:rPr>
          <w:rFonts w:ascii="Times New Roman" w:eastAsia="Cambria" w:hAnsi="Times New Roman"/>
          <w:szCs w:val="24"/>
          <w:lang w:eastAsia="ja-JP"/>
        </w:rPr>
        <w:t>with expression via story-telling.</w:t>
      </w:r>
      <w:r w:rsidR="0071092E">
        <w:rPr>
          <w:rFonts w:ascii="Times New Roman" w:eastAsia="Cambria" w:hAnsi="Times New Roman"/>
          <w:szCs w:val="24"/>
          <w:lang w:eastAsia="ja-JP"/>
        </w:rPr>
        <w:t xml:space="preserve"> </w:t>
      </w:r>
      <w:r w:rsidR="005B53F4">
        <w:rPr>
          <w:rFonts w:ascii="Times New Roman" w:eastAsia="Cambria" w:hAnsi="Times New Roman"/>
          <w:szCs w:val="24"/>
          <w:lang w:eastAsia="ja-JP"/>
        </w:rPr>
        <w:t xml:space="preserve">Story-telling </w:t>
      </w:r>
      <w:r w:rsidR="00AA4398">
        <w:rPr>
          <w:rFonts w:ascii="Times New Roman" w:eastAsia="Cambria" w:hAnsi="Times New Roman"/>
          <w:szCs w:val="24"/>
          <w:lang w:eastAsia="ja-JP"/>
        </w:rPr>
        <w:t>may invoke emotions.</w:t>
      </w:r>
      <w:r w:rsidR="00A04A48">
        <w:rPr>
          <w:rFonts w:ascii="Times New Roman" w:eastAsia="Cambria" w:hAnsi="Times New Roman"/>
          <w:szCs w:val="24"/>
          <w:lang w:eastAsia="ja-JP"/>
        </w:rPr>
        <w:t xml:space="preserve"> </w:t>
      </w:r>
      <w:r w:rsidR="00900FDC">
        <w:rPr>
          <w:rFonts w:ascii="Times New Roman" w:eastAsia="Cambria" w:hAnsi="Times New Roman"/>
          <w:szCs w:val="24"/>
          <w:lang w:eastAsia="ja-JP"/>
        </w:rPr>
        <w:t>The structure of the court is not conditioned to manage emotions which comes due to narratives.</w:t>
      </w:r>
      <w:r w:rsidR="0071092E">
        <w:rPr>
          <w:rFonts w:ascii="Times New Roman" w:eastAsia="Cambria" w:hAnsi="Times New Roman"/>
          <w:szCs w:val="24"/>
          <w:lang w:eastAsia="ja-JP"/>
        </w:rPr>
        <w:t xml:space="preserve"> </w:t>
      </w:r>
      <w:r w:rsidR="00AA4398">
        <w:rPr>
          <w:rFonts w:ascii="Times New Roman" w:eastAsia="Cambria" w:hAnsi="Times New Roman"/>
          <w:szCs w:val="24"/>
          <w:lang w:eastAsia="ja-JP"/>
        </w:rPr>
        <w:t xml:space="preserve">Narratives are </w:t>
      </w:r>
      <w:r w:rsidR="00A379A4">
        <w:rPr>
          <w:rFonts w:ascii="Times New Roman" w:eastAsia="Cambria" w:hAnsi="Times New Roman"/>
          <w:szCs w:val="24"/>
          <w:lang w:eastAsia="ja-JP"/>
        </w:rPr>
        <w:t>essential</w:t>
      </w:r>
      <w:r w:rsidR="00134A1B">
        <w:rPr>
          <w:rFonts w:ascii="Times New Roman" w:eastAsia="Cambria" w:hAnsi="Times New Roman"/>
          <w:szCs w:val="24"/>
          <w:lang w:eastAsia="ja-JP"/>
        </w:rPr>
        <w:t xml:space="preserve"> for the ascertainment</w:t>
      </w:r>
      <w:r w:rsidR="00AA4398">
        <w:rPr>
          <w:rFonts w:ascii="Times New Roman" w:eastAsia="Cambria" w:hAnsi="Times New Roman"/>
          <w:szCs w:val="24"/>
          <w:lang w:eastAsia="ja-JP"/>
        </w:rPr>
        <w:t xml:space="preserve"> of truth and record keeping.</w:t>
      </w:r>
      <w:r w:rsidR="0071092E">
        <w:rPr>
          <w:rFonts w:ascii="Times New Roman" w:eastAsia="Cambria" w:hAnsi="Times New Roman"/>
          <w:szCs w:val="24"/>
          <w:lang w:eastAsia="ja-JP"/>
        </w:rPr>
        <w:t xml:space="preserve"> </w:t>
      </w:r>
      <w:r w:rsidR="00AA4398">
        <w:rPr>
          <w:rFonts w:ascii="Times New Roman" w:eastAsia="Cambria" w:hAnsi="Times New Roman"/>
          <w:szCs w:val="24"/>
          <w:lang w:eastAsia="ja-JP"/>
        </w:rPr>
        <w:t>Perhaps, a better</w:t>
      </w:r>
      <w:r w:rsidR="0071092E">
        <w:rPr>
          <w:rFonts w:ascii="Times New Roman" w:eastAsia="Cambria" w:hAnsi="Times New Roman"/>
          <w:szCs w:val="24"/>
          <w:lang w:eastAsia="ja-JP"/>
        </w:rPr>
        <w:t>-</w:t>
      </w:r>
      <w:r w:rsidR="00AA4398">
        <w:rPr>
          <w:rFonts w:ascii="Times New Roman" w:eastAsia="Cambria" w:hAnsi="Times New Roman"/>
          <w:szCs w:val="24"/>
          <w:lang w:eastAsia="ja-JP"/>
        </w:rPr>
        <w:t>suited forum for this is truth commission</w:t>
      </w:r>
      <w:r w:rsidR="00BF5817">
        <w:rPr>
          <w:rFonts w:ascii="Times New Roman" w:eastAsia="Cambria" w:hAnsi="Times New Roman"/>
          <w:szCs w:val="24"/>
          <w:lang w:eastAsia="ja-JP"/>
        </w:rPr>
        <w:t>.</w:t>
      </w:r>
      <w:r w:rsidR="00BF5817">
        <w:rPr>
          <w:rStyle w:val="FootnoteReference"/>
          <w:rFonts w:ascii="Times New Roman" w:eastAsia="Cambria" w:hAnsi="Times New Roman"/>
          <w:szCs w:val="24"/>
          <w:lang w:eastAsia="ja-JP"/>
        </w:rPr>
        <w:footnoteReference w:id="806"/>
      </w:r>
      <w:r w:rsidR="00BF5817">
        <w:rPr>
          <w:rFonts w:ascii="Times New Roman" w:eastAsia="Cambria" w:hAnsi="Times New Roman"/>
          <w:szCs w:val="24"/>
          <w:lang w:eastAsia="ja-JP"/>
        </w:rPr>
        <w:t xml:space="preserve"> </w:t>
      </w:r>
      <w:r w:rsidR="00A04A48">
        <w:rPr>
          <w:rFonts w:ascii="Times New Roman" w:eastAsia="Cambria" w:hAnsi="Times New Roman"/>
          <w:szCs w:val="24"/>
          <w:lang w:eastAsia="ja-JP"/>
        </w:rPr>
        <w:t>Truth Commissio</w:t>
      </w:r>
      <w:r w:rsidR="009E0D66">
        <w:rPr>
          <w:rFonts w:ascii="Times New Roman" w:eastAsia="Cambria" w:hAnsi="Times New Roman"/>
          <w:szCs w:val="24"/>
          <w:lang w:eastAsia="ja-JP"/>
        </w:rPr>
        <w:t>n</w:t>
      </w:r>
      <w:r w:rsidR="00A04A48">
        <w:rPr>
          <w:rFonts w:ascii="Times New Roman" w:eastAsia="Cambria" w:hAnsi="Times New Roman"/>
          <w:szCs w:val="24"/>
          <w:lang w:eastAsia="ja-JP"/>
        </w:rPr>
        <w:t xml:space="preserve"> promotes truth, healing, forgiveness and therapeutic benefits.</w:t>
      </w:r>
      <w:r w:rsidR="00A04A48">
        <w:rPr>
          <w:rStyle w:val="FootnoteReference"/>
          <w:rFonts w:ascii="Times New Roman" w:eastAsia="Cambria" w:hAnsi="Times New Roman"/>
          <w:szCs w:val="24"/>
          <w:lang w:eastAsia="ja-JP"/>
        </w:rPr>
        <w:footnoteReference w:id="807"/>
      </w:r>
      <w:r w:rsidR="005D4BE4">
        <w:rPr>
          <w:rFonts w:ascii="Times New Roman" w:eastAsia="Cambria" w:hAnsi="Times New Roman"/>
          <w:szCs w:val="24"/>
          <w:lang w:eastAsia="ja-JP"/>
        </w:rPr>
        <w:t>With TCs, there a possibility of reflective engagement and reparative elements between narratives and trauma.</w:t>
      </w:r>
      <w:r w:rsidR="005D4BE4">
        <w:rPr>
          <w:rStyle w:val="FootnoteReference"/>
          <w:rFonts w:ascii="Times New Roman" w:eastAsia="Cambria" w:hAnsi="Times New Roman"/>
          <w:szCs w:val="24"/>
          <w:lang w:eastAsia="ja-JP"/>
        </w:rPr>
        <w:footnoteReference w:id="808"/>
      </w:r>
      <w:r w:rsidR="00AA096D" w:rsidRPr="00AA096D">
        <w:rPr>
          <w:rFonts w:ascii="Times New Roman" w:eastAsia="Cambria" w:hAnsi="Times New Roman"/>
          <w:szCs w:val="24"/>
          <w:lang w:eastAsia="ja-JP"/>
        </w:rPr>
        <w:t xml:space="preserve"> </w:t>
      </w:r>
      <w:r w:rsidR="009067CA">
        <w:rPr>
          <w:rFonts w:ascii="Times New Roman" w:eastAsia="Cambria" w:hAnsi="Times New Roman"/>
          <w:szCs w:val="24"/>
          <w:lang w:eastAsia="ja-JP"/>
        </w:rPr>
        <w:t xml:space="preserve">Public testimony in the presence of the perpetrators and the community </w:t>
      </w:r>
      <w:r w:rsidR="009067CA">
        <w:rPr>
          <w:rFonts w:ascii="Times New Roman" w:eastAsia="Cambria" w:hAnsi="Times New Roman"/>
          <w:szCs w:val="24"/>
          <w:lang w:eastAsia="ja-JP"/>
        </w:rPr>
        <w:lastRenderedPageBreak/>
        <w:t>is restorative.</w:t>
      </w:r>
      <w:r w:rsidR="00F33858">
        <w:rPr>
          <w:rStyle w:val="FootnoteReference"/>
          <w:rFonts w:ascii="Times New Roman" w:eastAsia="Cambria" w:hAnsi="Times New Roman"/>
          <w:szCs w:val="24"/>
          <w:lang w:eastAsia="ja-JP"/>
        </w:rPr>
        <w:footnoteReference w:id="809"/>
      </w:r>
      <w:r w:rsidR="00F33858">
        <w:rPr>
          <w:rFonts w:ascii="Times New Roman" w:eastAsia="Cambria" w:hAnsi="Times New Roman"/>
          <w:szCs w:val="24"/>
          <w:lang w:eastAsia="ja-JP"/>
        </w:rPr>
        <w:t xml:space="preserve"> </w:t>
      </w:r>
      <w:r w:rsidR="009E0D66">
        <w:rPr>
          <w:rFonts w:ascii="Times New Roman" w:eastAsia="Cambria" w:hAnsi="Times New Roman"/>
          <w:szCs w:val="24"/>
          <w:lang w:eastAsia="ja-JP"/>
        </w:rPr>
        <w:t xml:space="preserve">Cohen believes the </w:t>
      </w:r>
      <w:r w:rsidR="00F33858">
        <w:rPr>
          <w:rFonts w:ascii="Times New Roman" w:eastAsia="Cambria" w:hAnsi="Times New Roman"/>
          <w:szCs w:val="24"/>
          <w:lang w:eastAsia="ja-JP"/>
        </w:rPr>
        <w:t xml:space="preserve"> TC encourages “the symbolic recognition of what is already known </w:t>
      </w:r>
      <w:r w:rsidR="005B52FC">
        <w:rPr>
          <w:rFonts w:ascii="Times New Roman" w:eastAsia="Cambria" w:hAnsi="Times New Roman"/>
          <w:szCs w:val="24"/>
          <w:lang w:eastAsia="ja-JP"/>
        </w:rPr>
        <w:t xml:space="preserve">but </w:t>
      </w:r>
      <w:r w:rsidR="00F33858">
        <w:rPr>
          <w:rFonts w:ascii="Times New Roman" w:eastAsia="Cambria" w:hAnsi="Times New Roman"/>
          <w:szCs w:val="24"/>
          <w:lang w:eastAsia="ja-JP"/>
        </w:rPr>
        <w:t>was officially denied.”</w:t>
      </w:r>
      <w:r w:rsidR="00F33858">
        <w:rPr>
          <w:rStyle w:val="FootnoteReference"/>
          <w:rFonts w:ascii="Times New Roman" w:eastAsia="Cambria" w:hAnsi="Times New Roman"/>
          <w:szCs w:val="24"/>
          <w:lang w:eastAsia="ja-JP"/>
        </w:rPr>
        <w:footnoteReference w:id="810"/>
      </w:r>
      <w:r w:rsidR="009067CA">
        <w:rPr>
          <w:rFonts w:ascii="Times New Roman" w:eastAsia="Cambria" w:hAnsi="Times New Roman"/>
          <w:szCs w:val="24"/>
          <w:lang w:eastAsia="ja-JP"/>
        </w:rPr>
        <w:t xml:space="preserve">On the other hand, </w:t>
      </w:r>
      <w:r w:rsidR="00F33858">
        <w:rPr>
          <w:rFonts w:ascii="Times New Roman" w:eastAsia="Cambria" w:hAnsi="Times New Roman"/>
          <w:szCs w:val="24"/>
          <w:lang w:eastAsia="ja-JP"/>
        </w:rPr>
        <w:t xml:space="preserve">in criminal prosecutions, </w:t>
      </w:r>
      <w:r w:rsidR="009067CA">
        <w:rPr>
          <w:rFonts w:ascii="Times New Roman" w:eastAsia="Cambria" w:hAnsi="Times New Roman"/>
          <w:szCs w:val="24"/>
          <w:lang w:eastAsia="ja-JP"/>
        </w:rPr>
        <w:t>perpetrators are usually reluctant to acknowledge the</w:t>
      </w:r>
      <w:r w:rsidR="00F33858">
        <w:rPr>
          <w:rFonts w:ascii="Times New Roman" w:eastAsia="Cambria" w:hAnsi="Times New Roman"/>
          <w:szCs w:val="24"/>
          <w:lang w:eastAsia="ja-JP"/>
        </w:rPr>
        <w:t>ir</w:t>
      </w:r>
      <w:r w:rsidR="009067CA">
        <w:rPr>
          <w:rFonts w:ascii="Times New Roman" w:eastAsia="Cambria" w:hAnsi="Times New Roman"/>
          <w:szCs w:val="24"/>
          <w:lang w:eastAsia="ja-JP"/>
        </w:rPr>
        <w:t xml:space="preserve"> crimes and admit guilt</w:t>
      </w:r>
      <w:r w:rsidR="005B52FC">
        <w:rPr>
          <w:rFonts w:ascii="Times New Roman" w:eastAsia="Cambria" w:hAnsi="Times New Roman"/>
          <w:szCs w:val="24"/>
          <w:lang w:eastAsia="ja-JP"/>
        </w:rPr>
        <w:t>,</w:t>
      </w:r>
      <w:r w:rsidR="009067CA">
        <w:rPr>
          <w:rStyle w:val="FootnoteReference"/>
          <w:rFonts w:ascii="Times New Roman" w:eastAsia="Cambria" w:hAnsi="Times New Roman"/>
          <w:szCs w:val="24"/>
          <w:lang w:eastAsia="ja-JP"/>
        </w:rPr>
        <w:footnoteReference w:id="811"/>
      </w:r>
      <w:r w:rsidR="009067CA">
        <w:rPr>
          <w:rFonts w:ascii="Times New Roman" w:eastAsia="Cambria" w:hAnsi="Times New Roman"/>
          <w:szCs w:val="24"/>
          <w:lang w:eastAsia="ja-JP"/>
        </w:rPr>
        <w:t xml:space="preserve"> </w:t>
      </w:r>
      <w:r w:rsidR="005B52FC">
        <w:rPr>
          <w:rFonts w:ascii="Times New Roman" w:eastAsia="Cambria" w:hAnsi="Times New Roman"/>
          <w:szCs w:val="24"/>
          <w:lang w:eastAsia="ja-JP"/>
        </w:rPr>
        <w:t>which precludes healing and reconciliation. Thus,</w:t>
      </w:r>
      <w:r w:rsidR="00340D66">
        <w:rPr>
          <w:rFonts w:ascii="Times New Roman" w:eastAsia="Cambria" w:hAnsi="Times New Roman"/>
          <w:szCs w:val="24"/>
          <w:lang w:eastAsia="ja-JP"/>
        </w:rPr>
        <w:t xml:space="preserve"> </w:t>
      </w:r>
      <w:r w:rsidR="005B52FC">
        <w:rPr>
          <w:rFonts w:ascii="Times New Roman" w:eastAsia="Cambria" w:hAnsi="Times New Roman"/>
          <w:szCs w:val="24"/>
          <w:lang w:eastAsia="ja-JP"/>
        </w:rPr>
        <w:t>t</w:t>
      </w:r>
      <w:r w:rsidR="00A04A48">
        <w:rPr>
          <w:rFonts w:ascii="Times New Roman" w:eastAsia="Cambria" w:hAnsi="Times New Roman"/>
          <w:szCs w:val="24"/>
          <w:lang w:eastAsia="ja-JP"/>
        </w:rPr>
        <w:t xml:space="preserve">he </w:t>
      </w:r>
      <w:r w:rsidR="00340D66">
        <w:rPr>
          <w:rFonts w:ascii="Times New Roman" w:eastAsia="Cambria" w:hAnsi="Times New Roman"/>
          <w:szCs w:val="24"/>
          <w:lang w:eastAsia="ja-JP"/>
        </w:rPr>
        <w:t>ICC's normative content</w:t>
      </w:r>
      <w:r w:rsidR="00A04A48">
        <w:rPr>
          <w:rFonts w:ascii="Times New Roman" w:eastAsia="Cambria" w:hAnsi="Times New Roman"/>
          <w:szCs w:val="24"/>
          <w:lang w:eastAsia="ja-JP"/>
        </w:rPr>
        <w:t xml:space="preserve"> is not well equipped in accommodating these needs</w:t>
      </w:r>
      <w:r w:rsidR="00AA096D">
        <w:rPr>
          <w:rFonts w:ascii="Times New Roman" w:eastAsia="Cambria" w:hAnsi="Times New Roman"/>
          <w:szCs w:val="24"/>
          <w:lang w:eastAsia="ja-JP"/>
        </w:rPr>
        <w:t xml:space="preserve"> because it is bu</w:t>
      </w:r>
      <w:r w:rsidR="009E0D66">
        <w:rPr>
          <w:rFonts w:ascii="Times New Roman" w:eastAsia="Cambria" w:hAnsi="Times New Roman"/>
          <w:szCs w:val="24"/>
          <w:lang w:eastAsia="ja-JP"/>
        </w:rPr>
        <w:t>i</w:t>
      </w:r>
      <w:r w:rsidR="00AA096D">
        <w:rPr>
          <w:rFonts w:ascii="Times New Roman" w:eastAsia="Cambria" w:hAnsi="Times New Roman"/>
          <w:szCs w:val="24"/>
          <w:lang w:eastAsia="ja-JP"/>
        </w:rPr>
        <w:t>lt on punishment rather than reconciliation.</w:t>
      </w:r>
    </w:p>
    <w:p w14:paraId="330B945B" w14:textId="77777777" w:rsidR="00A04A48" w:rsidRDefault="00A04A48" w:rsidP="00545A48">
      <w:pPr>
        <w:spacing w:after="0" w:line="480" w:lineRule="auto"/>
        <w:jc w:val="both"/>
        <w:rPr>
          <w:rFonts w:ascii="Times New Roman" w:eastAsia="Cambria" w:hAnsi="Times New Roman"/>
          <w:szCs w:val="24"/>
          <w:lang w:eastAsia="ja-JP"/>
        </w:rPr>
      </w:pPr>
    </w:p>
    <w:p w14:paraId="064C71E5" w14:textId="013AE74A" w:rsidR="00223843" w:rsidRDefault="00BF5817"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Victims should express themselves within this context as </w:t>
      </w:r>
      <w:r w:rsidR="00174387">
        <w:rPr>
          <w:rFonts w:ascii="Times New Roman" w:eastAsia="Cambria" w:hAnsi="Times New Roman"/>
          <w:szCs w:val="24"/>
          <w:lang w:eastAsia="ja-JP"/>
        </w:rPr>
        <w:t>ri</w:t>
      </w:r>
      <w:r w:rsidR="00134A1B">
        <w:rPr>
          <w:rFonts w:ascii="Times New Roman" w:eastAsia="Cambria" w:hAnsi="Times New Roman"/>
          <w:szCs w:val="24"/>
          <w:lang w:eastAsia="ja-JP"/>
        </w:rPr>
        <w:t>ght holders</w:t>
      </w:r>
      <w:r w:rsidR="0071092E">
        <w:rPr>
          <w:rFonts w:ascii="Times New Roman" w:eastAsia="Cambria" w:hAnsi="Times New Roman"/>
          <w:szCs w:val="24"/>
          <w:lang w:eastAsia="ja-JP"/>
        </w:rPr>
        <w:t xml:space="preserve"> </w:t>
      </w:r>
      <w:r w:rsidR="00134A1B">
        <w:rPr>
          <w:rFonts w:ascii="Times New Roman" w:eastAsia="Cambria" w:hAnsi="Times New Roman"/>
          <w:szCs w:val="24"/>
          <w:lang w:eastAsia="ja-JP"/>
        </w:rPr>
        <w:t>rather than informants</w:t>
      </w:r>
      <w:r w:rsidR="00174387">
        <w:rPr>
          <w:rFonts w:ascii="Times New Roman" w:eastAsia="Cambria" w:hAnsi="Times New Roman"/>
          <w:szCs w:val="24"/>
          <w:lang w:eastAsia="ja-JP"/>
        </w:rPr>
        <w:t xml:space="preserve"> or witnesses.</w:t>
      </w:r>
      <w:r w:rsidR="0071092E">
        <w:rPr>
          <w:rFonts w:ascii="Times New Roman" w:eastAsia="Cambria" w:hAnsi="Times New Roman"/>
          <w:szCs w:val="24"/>
          <w:lang w:eastAsia="ja-JP"/>
        </w:rPr>
        <w:t xml:space="preserve"> </w:t>
      </w:r>
      <w:r w:rsidR="00174387">
        <w:rPr>
          <w:rFonts w:ascii="Times New Roman" w:eastAsia="Cambria" w:hAnsi="Times New Roman"/>
          <w:szCs w:val="24"/>
          <w:lang w:eastAsia="ja-JP"/>
        </w:rPr>
        <w:t>In turn, their stories should contribute to the historical context(record keeping) of what happened</w:t>
      </w:r>
      <w:r w:rsidR="00A379A4">
        <w:rPr>
          <w:rFonts w:ascii="Times New Roman" w:eastAsia="Cambria" w:hAnsi="Times New Roman"/>
          <w:szCs w:val="24"/>
          <w:lang w:eastAsia="ja-JP"/>
        </w:rPr>
        <w:t>.</w:t>
      </w:r>
      <w:r w:rsidR="009E0D66">
        <w:rPr>
          <w:rFonts w:ascii="Times New Roman" w:eastAsia="Cambria" w:hAnsi="Times New Roman"/>
          <w:szCs w:val="24"/>
          <w:lang w:eastAsia="ja-JP"/>
        </w:rPr>
        <w:t xml:space="preserve"> </w:t>
      </w:r>
      <w:r w:rsidR="00340D66">
        <w:rPr>
          <w:rFonts w:ascii="Times New Roman" w:eastAsia="Cambria" w:hAnsi="Times New Roman"/>
          <w:szCs w:val="24"/>
          <w:lang w:eastAsia="ja-JP"/>
        </w:rPr>
        <w:t>As a form of expression, storytelling</w:t>
      </w:r>
      <w:r w:rsidR="00DC367D">
        <w:rPr>
          <w:rFonts w:ascii="Times New Roman" w:eastAsia="Cambria" w:hAnsi="Times New Roman"/>
          <w:szCs w:val="24"/>
          <w:lang w:eastAsia="ja-JP"/>
        </w:rPr>
        <w:t xml:space="preserve"> promotes victims’ “healing and rehabilit</w:t>
      </w:r>
      <w:r w:rsidR="00B71726">
        <w:rPr>
          <w:rFonts w:ascii="Times New Roman" w:eastAsia="Cambria" w:hAnsi="Times New Roman"/>
          <w:szCs w:val="24"/>
          <w:lang w:eastAsia="ja-JP"/>
        </w:rPr>
        <w:t>at</w:t>
      </w:r>
      <w:r w:rsidR="00DC367D">
        <w:rPr>
          <w:rFonts w:ascii="Times New Roman" w:eastAsia="Cambria" w:hAnsi="Times New Roman"/>
          <w:szCs w:val="24"/>
          <w:lang w:eastAsia="ja-JP"/>
        </w:rPr>
        <w:t>ion”</w:t>
      </w:r>
      <w:r w:rsidR="0071092E">
        <w:rPr>
          <w:rFonts w:ascii="Times New Roman" w:eastAsia="Cambria" w:hAnsi="Times New Roman"/>
          <w:szCs w:val="24"/>
          <w:lang w:eastAsia="ja-JP"/>
        </w:rPr>
        <w:t xml:space="preserve"> </w:t>
      </w:r>
      <w:r w:rsidR="00A379A4">
        <w:rPr>
          <w:rFonts w:ascii="Times New Roman" w:eastAsia="Cambria" w:hAnsi="Times New Roman"/>
          <w:szCs w:val="24"/>
          <w:lang w:eastAsia="ja-JP"/>
        </w:rPr>
        <w:t>to provide</w:t>
      </w:r>
      <w:r w:rsidR="00DC367D">
        <w:rPr>
          <w:rFonts w:ascii="Times New Roman" w:eastAsia="Cambria" w:hAnsi="Times New Roman"/>
          <w:szCs w:val="24"/>
          <w:lang w:eastAsia="ja-JP"/>
        </w:rPr>
        <w:t xml:space="preserve"> them with closure.</w:t>
      </w:r>
      <w:r w:rsidR="00DC367D">
        <w:rPr>
          <w:rStyle w:val="FootnoteReference"/>
          <w:rFonts w:ascii="Times New Roman" w:eastAsia="Cambria" w:hAnsi="Times New Roman"/>
          <w:szCs w:val="24"/>
          <w:lang w:eastAsia="ja-JP"/>
        </w:rPr>
        <w:footnoteReference w:id="812"/>
      </w:r>
      <w:r w:rsidR="00B71726">
        <w:rPr>
          <w:rFonts w:ascii="Times New Roman" w:eastAsia="Cambria" w:hAnsi="Times New Roman"/>
          <w:szCs w:val="24"/>
          <w:lang w:eastAsia="ja-JP"/>
        </w:rPr>
        <w:t>In the same vein, victims’ story-telling is likely to contribute to fact-finding and truth-telling in the tr</w:t>
      </w:r>
      <w:r w:rsidR="0071092E">
        <w:rPr>
          <w:rFonts w:ascii="Times New Roman" w:eastAsia="Cambria" w:hAnsi="Times New Roman"/>
          <w:szCs w:val="24"/>
          <w:lang w:eastAsia="ja-JP"/>
        </w:rPr>
        <w:t>ia</w:t>
      </w:r>
      <w:r w:rsidR="00B71726">
        <w:rPr>
          <w:rFonts w:ascii="Times New Roman" w:eastAsia="Cambria" w:hAnsi="Times New Roman"/>
          <w:szCs w:val="24"/>
          <w:lang w:eastAsia="ja-JP"/>
        </w:rPr>
        <w:t>l process.</w:t>
      </w:r>
      <w:r w:rsidR="0071092E">
        <w:rPr>
          <w:rFonts w:ascii="Times New Roman" w:eastAsia="Cambria" w:hAnsi="Times New Roman"/>
          <w:szCs w:val="24"/>
          <w:lang w:eastAsia="ja-JP"/>
        </w:rPr>
        <w:t xml:space="preserve"> </w:t>
      </w:r>
      <w:r w:rsidR="00B71726">
        <w:rPr>
          <w:rFonts w:ascii="Times New Roman" w:eastAsia="Cambria" w:hAnsi="Times New Roman"/>
          <w:szCs w:val="24"/>
          <w:lang w:eastAsia="ja-JP"/>
        </w:rPr>
        <w:t>Th</w:t>
      </w:r>
      <w:r w:rsidR="00A379A4">
        <w:rPr>
          <w:rFonts w:ascii="Times New Roman" w:eastAsia="Cambria" w:hAnsi="Times New Roman"/>
          <w:szCs w:val="24"/>
          <w:lang w:eastAsia="ja-JP"/>
        </w:rPr>
        <w:t>e truth-finding</w:t>
      </w:r>
      <w:r w:rsidR="00B805FD">
        <w:rPr>
          <w:rFonts w:ascii="Times New Roman" w:eastAsia="Cambria" w:hAnsi="Times New Roman"/>
          <w:szCs w:val="24"/>
          <w:lang w:eastAsia="ja-JP"/>
        </w:rPr>
        <w:t xml:space="preserve"> may</w:t>
      </w:r>
      <w:r w:rsidR="00A04A48">
        <w:rPr>
          <w:rFonts w:ascii="Times New Roman" w:eastAsia="Cambria" w:hAnsi="Times New Roman"/>
          <w:szCs w:val="24"/>
          <w:lang w:eastAsia="ja-JP"/>
        </w:rPr>
        <w:t xml:space="preserve"> </w:t>
      </w:r>
      <w:r w:rsidR="00B71726">
        <w:rPr>
          <w:rFonts w:ascii="Times New Roman" w:eastAsia="Cambria" w:hAnsi="Times New Roman"/>
          <w:szCs w:val="24"/>
          <w:lang w:eastAsia="ja-JP"/>
        </w:rPr>
        <w:t>promote healing after trauma.</w:t>
      </w:r>
      <w:r w:rsidR="00B71726">
        <w:rPr>
          <w:rStyle w:val="FootnoteReference"/>
          <w:rFonts w:ascii="Times New Roman" w:eastAsia="Cambria" w:hAnsi="Times New Roman"/>
          <w:szCs w:val="24"/>
          <w:lang w:eastAsia="ja-JP"/>
        </w:rPr>
        <w:footnoteReference w:id="813"/>
      </w:r>
      <w:r w:rsidR="001627E8">
        <w:rPr>
          <w:rFonts w:ascii="Times New Roman" w:eastAsia="Cambria" w:hAnsi="Times New Roman"/>
          <w:szCs w:val="24"/>
          <w:lang w:eastAsia="ja-JP"/>
        </w:rPr>
        <w:t>However, there is a limitation to healing or rehabilitation because of the structure of criminal trials.</w:t>
      </w:r>
    </w:p>
    <w:p w14:paraId="5D512AB9" w14:textId="77777777" w:rsidR="00361EE5" w:rsidRPr="00223843" w:rsidRDefault="00361EE5" w:rsidP="00545A48">
      <w:pPr>
        <w:spacing w:after="0" w:line="480" w:lineRule="auto"/>
        <w:jc w:val="both"/>
        <w:rPr>
          <w:rFonts w:ascii="Times New Roman" w:eastAsia="Cambria" w:hAnsi="Times New Roman"/>
          <w:szCs w:val="24"/>
          <w:lang w:eastAsia="ja-JP"/>
        </w:rPr>
      </w:pPr>
    </w:p>
    <w:p w14:paraId="292A3D6E" w14:textId="39222E45" w:rsidR="00DA0F01" w:rsidRPr="009531ED" w:rsidRDefault="00361EE5" w:rsidP="00545A48">
      <w:pPr>
        <w:spacing w:after="0" w:line="480" w:lineRule="auto"/>
        <w:jc w:val="both"/>
        <w:rPr>
          <w:rFonts w:ascii="Times New Roman" w:hAnsi="Times New Roman"/>
          <w:szCs w:val="24"/>
        </w:rPr>
      </w:pPr>
      <w:r>
        <w:rPr>
          <w:rFonts w:ascii="Times New Roman" w:eastAsia="Cambria" w:hAnsi="Times New Roman"/>
          <w:szCs w:val="24"/>
          <w:lang w:eastAsia="ja-JP"/>
        </w:rPr>
        <w:lastRenderedPageBreak/>
        <w:t>As mentioned earlier,</w:t>
      </w:r>
      <w:r w:rsidR="00174387">
        <w:rPr>
          <w:rFonts w:ascii="Times New Roman" w:eastAsia="Cambria" w:hAnsi="Times New Roman"/>
          <w:szCs w:val="24"/>
          <w:lang w:eastAsia="ja-JP"/>
        </w:rPr>
        <w:t xml:space="preserve"> </w:t>
      </w:r>
      <w:r w:rsidR="0071092E">
        <w:rPr>
          <w:rFonts w:ascii="Times New Roman" w:eastAsia="Cambria" w:hAnsi="Times New Roman"/>
          <w:szCs w:val="24"/>
          <w:lang w:eastAsia="ja-JP"/>
        </w:rPr>
        <w:t>VIS exemplifies a medium</w:t>
      </w:r>
      <w:r w:rsidR="00DA0F01" w:rsidRPr="00B809AC">
        <w:rPr>
          <w:rFonts w:ascii="Times New Roman" w:eastAsia="Cambria" w:hAnsi="Times New Roman"/>
          <w:szCs w:val="24"/>
          <w:lang w:eastAsia="ja-JP"/>
        </w:rPr>
        <w:t xml:space="preserve"> of expression for victims.</w:t>
      </w:r>
      <w:r w:rsidR="0071092E">
        <w:rPr>
          <w:rFonts w:ascii="Times New Roman" w:eastAsia="Cambria" w:hAnsi="Times New Roman"/>
          <w:szCs w:val="24"/>
          <w:lang w:eastAsia="ja-JP"/>
        </w:rPr>
        <w:t xml:space="preserve"> </w:t>
      </w:r>
      <w:r>
        <w:rPr>
          <w:rFonts w:ascii="Times New Roman" w:eastAsia="Cambria" w:hAnsi="Times New Roman"/>
          <w:szCs w:val="24"/>
          <w:lang w:eastAsia="ja-JP"/>
        </w:rPr>
        <w:t>It</w:t>
      </w:r>
      <w:r w:rsidR="00DA0F01" w:rsidRPr="00B809AC">
        <w:rPr>
          <w:rFonts w:ascii="Times New Roman" w:eastAsia="Cambria" w:hAnsi="Times New Roman"/>
          <w:szCs w:val="24"/>
          <w:lang w:eastAsia="ja-JP"/>
        </w:rPr>
        <w:t xml:space="preserve"> is applicable in</w:t>
      </w:r>
      <w:r>
        <w:rPr>
          <w:rFonts w:ascii="Times New Roman" w:eastAsia="Cambria" w:hAnsi="Times New Roman"/>
          <w:szCs w:val="24"/>
          <w:lang w:eastAsia="ja-JP"/>
        </w:rPr>
        <w:t xml:space="preserve"> some</w:t>
      </w:r>
      <w:r w:rsidR="00DA0F01" w:rsidRPr="00B809AC">
        <w:rPr>
          <w:rFonts w:ascii="Times New Roman" w:eastAsia="Cambria" w:hAnsi="Times New Roman"/>
          <w:szCs w:val="24"/>
          <w:lang w:eastAsia="ja-JP"/>
        </w:rPr>
        <w:t xml:space="preserve"> domestic criminal justice system.</w:t>
      </w:r>
      <w:r w:rsidR="0071092E">
        <w:rPr>
          <w:rFonts w:ascii="Times New Roman" w:eastAsia="Cambria" w:hAnsi="Times New Roman"/>
          <w:szCs w:val="24"/>
          <w:lang w:eastAsia="ja-JP"/>
        </w:rPr>
        <w:t xml:space="preserve"> </w:t>
      </w:r>
      <w:r w:rsidR="00DA0F01" w:rsidRPr="00B809AC">
        <w:rPr>
          <w:rFonts w:ascii="Times New Roman" w:eastAsia="Cambria" w:hAnsi="Times New Roman"/>
          <w:szCs w:val="24"/>
          <w:lang w:eastAsia="ja-JP"/>
        </w:rPr>
        <w:t>Victims are allowed to emote in writing or orally.</w:t>
      </w:r>
      <w:r w:rsidR="0071092E">
        <w:rPr>
          <w:rFonts w:ascii="Times New Roman" w:eastAsia="Cambria" w:hAnsi="Times New Roman"/>
          <w:szCs w:val="24"/>
          <w:lang w:eastAsia="ja-JP"/>
        </w:rPr>
        <w:t xml:space="preserve"> </w:t>
      </w:r>
      <w:r w:rsidR="00DA0F01" w:rsidRPr="00B809AC">
        <w:rPr>
          <w:rFonts w:ascii="Times New Roman" w:eastAsia="Cambria" w:hAnsi="Times New Roman"/>
          <w:szCs w:val="24"/>
          <w:lang w:eastAsia="ja-JP"/>
        </w:rPr>
        <w:t>However, arguably, VIS is mainly symbolic</w:t>
      </w:r>
      <w:r w:rsidR="0071092E">
        <w:rPr>
          <w:rFonts w:ascii="Times New Roman" w:eastAsia="Cambria" w:hAnsi="Times New Roman"/>
          <w:szCs w:val="24"/>
          <w:lang w:eastAsia="ja-JP"/>
        </w:rPr>
        <w:t>,</w:t>
      </w:r>
      <w:r w:rsidR="00DA0F01" w:rsidRPr="00B809AC">
        <w:rPr>
          <w:rFonts w:ascii="Times New Roman" w:eastAsia="Cambria" w:hAnsi="Times New Roman"/>
          <w:szCs w:val="24"/>
          <w:lang w:eastAsia="ja-JP"/>
        </w:rPr>
        <w:t xml:space="preserve"> but it could give victims a degree of satisfaction.</w:t>
      </w:r>
      <w:r w:rsidR="002F3B26">
        <w:rPr>
          <w:rFonts w:ascii="Times New Roman" w:eastAsia="Cambria" w:hAnsi="Times New Roman"/>
          <w:szCs w:val="24"/>
          <w:lang w:eastAsia="ja-JP"/>
        </w:rPr>
        <w:t xml:space="preserve"> </w:t>
      </w:r>
      <w:r w:rsidR="00DA0F01" w:rsidRPr="00B809AC">
        <w:rPr>
          <w:rFonts w:ascii="Times New Roman" w:hAnsi="Times New Roman"/>
          <w:szCs w:val="24"/>
        </w:rPr>
        <w:t>VIS allows victims an opportunity to inform the Court how the</w:t>
      </w:r>
      <w:r w:rsidR="009E0D66">
        <w:rPr>
          <w:rFonts w:ascii="Times New Roman" w:hAnsi="Times New Roman"/>
          <w:szCs w:val="24"/>
        </w:rPr>
        <w:t>ir victimisation impacted them</w:t>
      </w:r>
      <w:r w:rsidR="00DA0F01" w:rsidRPr="00B809AC">
        <w:rPr>
          <w:rFonts w:ascii="Times New Roman" w:hAnsi="Times New Roman"/>
          <w:szCs w:val="24"/>
        </w:rPr>
        <w:t>.</w:t>
      </w:r>
      <w:r w:rsidR="00DA0F01" w:rsidRPr="00B809AC">
        <w:rPr>
          <w:rStyle w:val="FootnoteReference"/>
          <w:rFonts w:ascii="Times New Roman" w:hAnsi="Times New Roman"/>
          <w:szCs w:val="24"/>
        </w:rPr>
        <w:footnoteReference w:id="814"/>
      </w:r>
      <w:r w:rsidR="00DA0F01" w:rsidRPr="00B809AC">
        <w:rPr>
          <w:rFonts w:ascii="Times New Roman" w:hAnsi="Times New Roman"/>
          <w:szCs w:val="24"/>
        </w:rPr>
        <w:t xml:space="preserve"> The VIS is presented to the Court after </w:t>
      </w:r>
      <w:r w:rsidR="00340D66">
        <w:rPr>
          <w:rFonts w:ascii="Times New Roman" w:hAnsi="Times New Roman"/>
          <w:szCs w:val="24"/>
        </w:rPr>
        <w:t>determining</w:t>
      </w:r>
      <w:r w:rsidR="00DA0F01" w:rsidRPr="00B809AC">
        <w:rPr>
          <w:rFonts w:ascii="Times New Roman" w:hAnsi="Times New Roman"/>
          <w:szCs w:val="24"/>
        </w:rPr>
        <w:t xml:space="preserve"> the guilt of the accused but before sentencing.</w:t>
      </w:r>
      <w:r w:rsidR="00340D66">
        <w:rPr>
          <w:rFonts w:ascii="Times New Roman" w:hAnsi="Times New Roman"/>
          <w:szCs w:val="24"/>
        </w:rPr>
        <w:t xml:space="preserve"> </w:t>
      </w:r>
      <w:r w:rsidR="009E0D66">
        <w:rPr>
          <w:rFonts w:ascii="Times New Roman" w:hAnsi="Times New Roman"/>
          <w:szCs w:val="24"/>
        </w:rPr>
        <w:t>The researcher shall examine VIS in chapter 4.</w:t>
      </w:r>
    </w:p>
    <w:p w14:paraId="5E1A59CB" w14:textId="77777777" w:rsidR="001B6D0F" w:rsidRPr="009531ED" w:rsidRDefault="001B6D0F" w:rsidP="00545A48">
      <w:pPr>
        <w:spacing w:before="240" w:line="480" w:lineRule="auto"/>
        <w:jc w:val="both"/>
        <w:rPr>
          <w:rFonts w:ascii="Times New Roman" w:hAnsi="Times New Roman"/>
          <w:szCs w:val="24"/>
        </w:rPr>
      </w:pPr>
      <w:r w:rsidRPr="009531ED">
        <w:rPr>
          <w:rFonts w:ascii="Times New Roman" w:hAnsi="Times New Roman"/>
          <w:szCs w:val="24"/>
        </w:rPr>
        <w:t>Thu</w:t>
      </w:r>
      <w:r w:rsidR="00B946F5" w:rsidRPr="009531ED">
        <w:rPr>
          <w:rFonts w:ascii="Times New Roman" w:hAnsi="Times New Roman"/>
          <w:szCs w:val="24"/>
        </w:rPr>
        <w:t>s far, this section has explained</w:t>
      </w:r>
      <w:r w:rsidRPr="009531ED">
        <w:rPr>
          <w:rFonts w:ascii="Times New Roman" w:hAnsi="Times New Roman"/>
          <w:szCs w:val="24"/>
        </w:rPr>
        <w:t xml:space="preserve"> expression </w:t>
      </w:r>
      <w:r w:rsidR="00D86150" w:rsidRPr="009531ED">
        <w:rPr>
          <w:rFonts w:ascii="Times New Roman" w:hAnsi="Times New Roman"/>
          <w:szCs w:val="24"/>
        </w:rPr>
        <w:t xml:space="preserve">as </w:t>
      </w:r>
      <w:r w:rsidR="0071092E" w:rsidRPr="009531ED">
        <w:rPr>
          <w:rFonts w:ascii="Times New Roman" w:hAnsi="Times New Roman"/>
          <w:szCs w:val="24"/>
        </w:rPr>
        <w:t xml:space="preserve">a </w:t>
      </w:r>
      <w:r w:rsidR="00D86150" w:rsidRPr="009531ED">
        <w:rPr>
          <w:rFonts w:ascii="Times New Roman" w:hAnsi="Times New Roman"/>
          <w:szCs w:val="24"/>
        </w:rPr>
        <w:t xml:space="preserve">function of non-dispositive </w:t>
      </w:r>
      <w:r w:rsidR="0074681A" w:rsidRPr="009531ED">
        <w:rPr>
          <w:rFonts w:ascii="Times New Roman" w:hAnsi="Times New Roman"/>
          <w:szCs w:val="24"/>
        </w:rPr>
        <w:t>category of participation.</w:t>
      </w:r>
      <w:r w:rsidR="00484EED" w:rsidRPr="009531ED">
        <w:rPr>
          <w:rFonts w:ascii="Times New Roman" w:hAnsi="Times New Roman"/>
          <w:szCs w:val="24"/>
        </w:rPr>
        <w:t xml:space="preserve"> </w:t>
      </w:r>
      <w:r w:rsidR="0074681A" w:rsidRPr="009531ED">
        <w:rPr>
          <w:rFonts w:ascii="Times New Roman" w:hAnsi="Times New Roman"/>
          <w:szCs w:val="24"/>
        </w:rPr>
        <w:t>The section that follows moves on to consider the findings and discussion.</w:t>
      </w:r>
    </w:p>
    <w:p w14:paraId="33F3AB98" w14:textId="77777777" w:rsidR="001B6D0F" w:rsidRPr="001B6D0F" w:rsidRDefault="001B6D0F" w:rsidP="00545A48">
      <w:pPr>
        <w:spacing w:before="240" w:line="480" w:lineRule="auto"/>
        <w:jc w:val="both"/>
        <w:rPr>
          <w:rFonts w:ascii="Times New Roman" w:hAnsi="Times New Roman"/>
          <w:szCs w:val="24"/>
        </w:rPr>
      </w:pPr>
    </w:p>
    <w:p w14:paraId="09018E90" w14:textId="41AD2C66" w:rsidR="006E622A" w:rsidRPr="009531ED" w:rsidRDefault="009531ED" w:rsidP="00A44B61">
      <w:pPr>
        <w:pStyle w:val="Heading2"/>
      </w:pPr>
      <w:bookmarkStart w:id="43" w:name="_Toc60235820"/>
      <w:r>
        <w:t>3.6 Discussing findings</w:t>
      </w:r>
      <w:bookmarkEnd w:id="43"/>
    </w:p>
    <w:p w14:paraId="6733FF66" w14:textId="6B43A945" w:rsidR="009531ED" w:rsidRDefault="006E622A" w:rsidP="00545A48">
      <w:pPr>
        <w:spacing w:after="0" w:line="480" w:lineRule="auto"/>
        <w:jc w:val="both"/>
        <w:rPr>
          <w:rFonts w:ascii="Times New Roman" w:eastAsia="Cambria" w:hAnsi="Times New Roman"/>
          <w:szCs w:val="24"/>
          <w:lang w:eastAsia="ja-JP"/>
        </w:rPr>
      </w:pPr>
      <w:r w:rsidRPr="0074681A">
        <w:rPr>
          <w:rFonts w:ascii="Times New Roman" w:eastAsia="Cambria" w:hAnsi="Times New Roman"/>
          <w:szCs w:val="24"/>
          <w:lang w:eastAsia="ja-JP"/>
        </w:rPr>
        <w:t xml:space="preserve">This chapter set out to assess </w:t>
      </w:r>
      <w:r w:rsidR="000A0D87">
        <w:rPr>
          <w:rFonts w:ascii="Times New Roman" w:eastAsia="Cambria" w:hAnsi="Times New Roman"/>
          <w:szCs w:val="24"/>
          <w:lang w:eastAsia="ja-JP"/>
        </w:rPr>
        <w:t xml:space="preserve">whether the ICC provided sufficient scope </w:t>
      </w:r>
      <w:r w:rsidR="00340D66">
        <w:rPr>
          <w:rFonts w:ascii="Times New Roman" w:eastAsia="Cambria" w:hAnsi="Times New Roman"/>
          <w:szCs w:val="24"/>
          <w:lang w:eastAsia="ja-JP"/>
        </w:rPr>
        <w:t>to consider</w:t>
      </w:r>
      <w:r w:rsidR="000A0D87">
        <w:rPr>
          <w:rFonts w:ascii="Times New Roman" w:eastAsia="Cambria" w:hAnsi="Times New Roman"/>
          <w:szCs w:val="24"/>
          <w:lang w:eastAsia="ja-JP"/>
        </w:rPr>
        <w:t xml:space="preserve"> victims’ rights and interests during the trial process.</w:t>
      </w:r>
      <w:r w:rsidR="003B3A4D" w:rsidRPr="0074681A">
        <w:rPr>
          <w:rFonts w:ascii="Times New Roman" w:eastAsia="Cambria" w:hAnsi="Times New Roman"/>
          <w:szCs w:val="24"/>
          <w:lang w:eastAsia="ja-JP"/>
        </w:rPr>
        <w:t xml:space="preserve"> </w:t>
      </w:r>
      <w:r w:rsidR="003C009F">
        <w:rPr>
          <w:rFonts w:ascii="Times New Roman" w:eastAsia="Cambria" w:hAnsi="Times New Roman"/>
          <w:szCs w:val="24"/>
          <w:lang w:eastAsia="ja-JP"/>
        </w:rPr>
        <w:t xml:space="preserve">It is argued that procedural fairness fosters victims’ rights and interests in criminal trials. </w:t>
      </w:r>
      <w:r w:rsidR="008E399A">
        <w:rPr>
          <w:rFonts w:ascii="Times New Roman" w:eastAsia="Cambria" w:hAnsi="Times New Roman"/>
          <w:szCs w:val="24"/>
          <w:lang w:eastAsia="ja-JP"/>
        </w:rPr>
        <w:t>Rawls holds the view that the system must be fair to reinforce fairness during proceedings.</w:t>
      </w:r>
      <w:r w:rsidR="00CA2A9D">
        <w:rPr>
          <w:rFonts w:ascii="Times New Roman" w:eastAsia="Cambria" w:hAnsi="Times New Roman"/>
          <w:szCs w:val="24"/>
          <w:lang w:eastAsia="ja-JP"/>
        </w:rPr>
        <w:t xml:space="preserve"> </w:t>
      </w:r>
      <w:r w:rsidR="008E399A">
        <w:rPr>
          <w:rFonts w:ascii="Times New Roman" w:eastAsia="Cambria" w:hAnsi="Times New Roman"/>
          <w:szCs w:val="24"/>
          <w:lang w:eastAsia="ja-JP"/>
        </w:rPr>
        <w:t>He likens the system as an initial situation.</w:t>
      </w:r>
      <w:r w:rsidR="008E399A">
        <w:rPr>
          <w:rStyle w:val="FootnoteReference"/>
          <w:rFonts w:ascii="Times New Roman" w:eastAsia="Cambria" w:hAnsi="Times New Roman"/>
          <w:szCs w:val="24"/>
          <w:lang w:eastAsia="ja-JP"/>
        </w:rPr>
        <w:footnoteReference w:id="815"/>
      </w:r>
      <w:r w:rsidR="008E399A">
        <w:rPr>
          <w:rFonts w:ascii="Times New Roman" w:eastAsia="Cambria" w:hAnsi="Times New Roman"/>
          <w:szCs w:val="24"/>
          <w:lang w:eastAsia="ja-JP"/>
        </w:rPr>
        <w:t xml:space="preserve"> In </w:t>
      </w:r>
      <w:r w:rsidR="00CA2A9D">
        <w:rPr>
          <w:rFonts w:ascii="Times New Roman" w:eastAsia="Cambria" w:hAnsi="Times New Roman"/>
          <w:szCs w:val="24"/>
          <w:lang w:eastAsia="ja-JP"/>
        </w:rPr>
        <w:t xml:space="preserve">a </w:t>
      </w:r>
      <w:r w:rsidR="008E399A">
        <w:rPr>
          <w:rFonts w:ascii="Times New Roman" w:eastAsia="Cambria" w:hAnsi="Times New Roman"/>
          <w:szCs w:val="24"/>
          <w:lang w:eastAsia="ja-JP"/>
        </w:rPr>
        <w:t xml:space="preserve">similar vein, </w:t>
      </w:r>
      <w:r w:rsidR="00344F11">
        <w:rPr>
          <w:rFonts w:ascii="Times New Roman" w:eastAsia="Cambria" w:hAnsi="Times New Roman"/>
          <w:szCs w:val="24"/>
          <w:lang w:eastAsia="ja-JP"/>
        </w:rPr>
        <w:t>prio</w:t>
      </w:r>
      <w:r w:rsidR="00011A24">
        <w:rPr>
          <w:rFonts w:ascii="Times New Roman" w:eastAsia="Cambria" w:hAnsi="Times New Roman"/>
          <w:szCs w:val="24"/>
          <w:lang w:eastAsia="ja-JP"/>
        </w:rPr>
        <w:t xml:space="preserve">r studies of </w:t>
      </w:r>
      <w:r w:rsidR="008E399A">
        <w:rPr>
          <w:rFonts w:ascii="Times New Roman" w:eastAsia="Cambria" w:hAnsi="Times New Roman"/>
          <w:szCs w:val="24"/>
          <w:lang w:eastAsia="ja-JP"/>
        </w:rPr>
        <w:t xml:space="preserve">Tyler, Thibaut and Walker </w:t>
      </w:r>
      <w:r w:rsidR="008E399A">
        <w:rPr>
          <w:rFonts w:ascii="Times New Roman" w:eastAsia="Cambria" w:hAnsi="Times New Roman"/>
          <w:szCs w:val="24"/>
          <w:lang w:eastAsia="ja-JP"/>
        </w:rPr>
        <w:lastRenderedPageBreak/>
        <w:t>believe procedural fairness enhances victims’ experiences during trial proceedings.</w:t>
      </w:r>
      <w:r w:rsidR="008E399A">
        <w:rPr>
          <w:rStyle w:val="FootnoteReference"/>
          <w:rFonts w:ascii="Times New Roman" w:eastAsia="Cambria" w:hAnsi="Times New Roman"/>
          <w:szCs w:val="24"/>
          <w:lang w:eastAsia="ja-JP"/>
        </w:rPr>
        <w:footnoteReference w:id="816"/>
      </w:r>
      <w:r w:rsidR="008E399A">
        <w:rPr>
          <w:rFonts w:ascii="Times New Roman" w:eastAsia="Cambria" w:hAnsi="Times New Roman"/>
          <w:szCs w:val="24"/>
          <w:lang w:eastAsia="ja-JP"/>
        </w:rPr>
        <w:t xml:space="preserve"> </w:t>
      </w:r>
      <w:r w:rsidR="00011A24">
        <w:rPr>
          <w:rFonts w:ascii="Times New Roman" w:eastAsia="Cambria" w:hAnsi="Times New Roman"/>
          <w:szCs w:val="24"/>
          <w:lang w:eastAsia="ja-JP"/>
        </w:rPr>
        <w:t>These studies have noted the importance of procedural fairness during trial proceedings.</w:t>
      </w:r>
      <w:r w:rsidR="00CA2A9D">
        <w:rPr>
          <w:rFonts w:ascii="Times New Roman" w:eastAsia="Cambria" w:hAnsi="Times New Roman"/>
          <w:szCs w:val="24"/>
          <w:lang w:eastAsia="ja-JP"/>
        </w:rPr>
        <w:t xml:space="preserve"> </w:t>
      </w:r>
      <w:r w:rsidR="00943356">
        <w:rPr>
          <w:rFonts w:ascii="Times New Roman" w:eastAsia="Cambria" w:hAnsi="Times New Roman"/>
          <w:szCs w:val="24"/>
          <w:lang w:eastAsia="ja-JP"/>
        </w:rPr>
        <w:t>It follows that victims tend to prefer how they are treated during the proceedings to the outcome of such proceedings.</w:t>
      </w:r>
      <w:r w:rsidR="0071092E">
        <w:rPr>
          <w:rFonts w:ascii="Times New Roman" w:eastAsia="Cambria" w:hAnsi="Times New Roman"/>
          <w:szCs w:val="24"/>
          <w:lang w:eastAsia="ja-JP"/>
        </w:rPr>
        <w:t xml:space="preserve"> </w:t>
      </w:r>
      <w:r w:rsidR="003C009F">
        <w:rPr>
          <w:rFonts w:ascii="Times New Roman" w:eastAsia="Cambria" w:hAnsi="Times New Roman"/>
          <w:szCs w:val="24"/>
          <w:lang w:eastAsia="ja-JP"/>
        </w:rPr>
        <w:t>Procedural fairness cannot be entirely separated from victim participation in the proceedings.</w:t>
      </w:r>
    </w:p>
    <w:p w14:paraId="4F3EA035" w14:textId="77777777" w:rsidR="009531ED" w:rsidRDefault="009531ED" w:rsidP="00545A48">
      <w:pPr>
        <w:spacing w:after="0" w:line="480" w:lineRule="auto"/>
        <w:jc w:val="both"/>
        <w:rPr>
          <w:rFonts w:ascii="Times New Roman" w:eastAsia="Cambria" w:hAnsi="Times New Roman"/>
          <w:szCs w:val="24"/>
          <w:lang w:eastAsia="ja-JP"/>
        </w:rPr>
      </w:pPr>
    </w:p>
    <w:p w14:paraId="583C5177" w14:textId="2C3556AE" w:rsidR="009531ED" w:rsidRDefault="00943356"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Similarly, </w:t>
      </w:r>
      <w:r w:rsidR="00CA2A9D">
        <w:rPr>
          <w:rFonts w:ascii="Times New Roman" w:eastAsia="Cambria" w:hAnsi="Times New Roman"/>
          <w:szCs w:val="24"/>
          <w:lang w:eastAsia="ja-JP"/>
        </w:rPr>
        <w:t xml:space="preserve">the </w:t>
      </w:r>
      <w:r>
        <w:rPr>
          <w:rFonts w:ascii="Times New Roman" w:eastAsia="Cambria" w:hAnsi="Times New Roman"/>
          <w:szCs w:val="24"/>
          <w:lang w:eastAsia="ja-JP"/>
        </w:rPr>
        <w:t xml:space="preserve">fairness of the trial process is </w:t>
      </w:r>
      <w:r w:rsidR="00564180">
        <w:rPr>
          <w:rFonts w:ascii="Times New Roman" w:eastAsia="Cambria" w:hAnsi="Times New Roman"/>
          <w:szCs w:val="24"/>
          <w:lang w:eastAsia="ja-JP"/>
        </w:rPr>
        <w:t>essential</w:t>
      </w:r>
      <w:r w:rsidR="00011A24">
        <w:rPr>
          <w:rFonts w:ascii="Times New Roman" w:eastAsia="Cambria" w:hAnsi="Times New Roman"/>
          <w:szCs w:val="24"/>
          <w:lang w:eastAsia="ja-JP"/>
        </w:rPr>
        <w:t xml:space="preserve"> for both victims and accused.</w:t>
      </w:r>
      <w:r w:rsidR="00CA2A9D">
        <w:rPr>
          <w:rFonts w:ascii="Times New Roman" w:eastAsia="Cambria" w:hAnsi="Times New Roman"/>
          <w:szCs w:val="24"/>
          <w:lang w:eastAsia="ja-JP"/>
        </w:rPr>
        <w:t xml:space="preserve"> </w:t>
      </w:r>
      <w:r w:rsidR="00011A24">
        <w:rPr>
          <w:rFonts w:ascii="Times New Roman" w:eastAsia="Cambria" w:hAnsi="Times New Roman"/>
          <w:szCs w:val="24"/>
          <w:lang w:eastAsia="ja-JP"/>
        </w:rPr>
        <w:t>But this chapter</w:t>
      </w:r>
      <w:r w:rsidR="00564180">
        <w:rPr>
          <w:rFonts w:ascii="Times New Roman" w:eastAsia="Cambria" w:hAnsi="Times New Roman"/>
          <w:szCs w:val="24"/>
          <w:lang w:eastAsia="ja-JP"/>
        </w:rPr>
        <w:t xml:space="preserve"> is</w:t>
      </w:r>
      <w:r w:rsidR="00011A24">
        <w:rPr>
          <w:rFonts w:ascii="Times New Roman" w:eastAsia="Cambria" w:hAnsi="Times New Roman"/>
          <w:szCs w:val="24"/>
          <w:lang w:eastAsia="ja-JP"/>
        </w:rPr>
        <w:t xml:space="preserve"> focused on victims’ rights and interests during </w:t>
      </w:r>
      <w:r w:rsidR="00CA2A9D">
        <w:rPr>
          <w:rFonts w:ascii="Times New Roman" w:eastAsia="Cambria" w:hAnsi="Times New Roman"/>
          <w:szCs w:val="24"/>
          <w:lang w:eastAsia="ja-JP"/>
        </w:rPr>
        <w:t xml:space="preserve">the </w:t>
      </w:r>
      <w:r w:rsidR="00011A24">
        <w:rPr>
          <w:rFonts w:ascii="Times New Roman" w:eastAsia="Cambria" w:hAnsi="Times New Roman"/>
          <w:szCs w:val="24"/>
          <w:lang w:eastAsia="ja-JP"/>
        </w:rPr>
        <w:t>trial process.</w:t>
      </w:r>
      <w:r w:rsidR="00CA2A9D">
        <w:rPr>
          <w:rFonts w:ascii="Times New Roman" w:eastAsia="Cambria" w:hAnsi="Times New Roman"/>
          <w:szCs w:val="24"/>
          <w:lang w:eastAsia="ja-JP"/>
        </w:rPr>
        <w:t xml:space="preserve"> </w:t>
      </w:r>
      <w:r w:rsidR="00011A24">
        <w:rPr>
          <w:rFonts w:ascii="Times New Roman" w:eastAsia="Cambria" w:hAnsi="Times New Roman"/>
          <w:szCs w:val="24"/>
          <w:lang w:eastAsia="ja-JP"/>
        </w:rPr>
        <w:t xml:space="preserve">It is noted </w:t>
      </w:r>
      <w:r w:rsidR="00011A24" w:rsidRPr="00545A48">
        <w:rPr>
          <w:rFonts w:ascii="Times New Roman" w:eastAsia="Cambria" w:hAnsi="Times New Roman"/>
          <w:szCs w:val="24"/>
          <w:lang w:eastAsia="ja-JP"/>
        </w:rPr>
        <w:t xml:space="preserve">that respect and voice </w:t>
      </w:r>
      <w:r w:rsidR="00344F11" w:rsidRPr="00545A48">
        <w:rPr>
          <w:rFonts w:ascii="Times New Roman" w:eastAsia="Cambria" w:hAnsi="Times New Roman"/>
          <w:szCs w:val="24"/>
          <w:lang w:eastAsia="ja-JP"/>
        </w:rPr>
        <w:t xml:space="preserve">are </w:t>
      </w:r>
      <w:r w:rsidR="00340D66">
        <w:rPr>
          <w:rFonts w:ascii="Times New Roman" w:eastAsia="Cambria" w:hAnsi="Times New Roman"/>
          <w:szCs w:val="24"/>
          <w:lang w:eastAsia="ja-JP"/>
        </w:rPr>
        <w:t>essential</w:t>
      </w:r>
      <w:r w:rsidR="00344F11" w:rsidRPr="00545A48">
        <w:rPr>
          <w:rFonts w:ascii="Times New Roman" w:eastAsia="Cambria" w:hAnsi="Times New Roman"/>
          <w:szCs w:val="24"/>
          <w:lang w:eastAsia="ja-JP"/>
        </w:rPr>
        <w:t xml:space="preserve"> criteria for victims’ experiences during the trial.</w:t>
      </w:r>
      <w:r w:rsidR="00CA2A9D" w:rsidRPr="00545A48">
        <w:rPr>
          <w:rStyle w:val="FootnoteReference"/>
          <w:rFonts w:ascii="Times New Roman" w:eastAsia="Cambria" w:hAnsi="Times New Roman"/>
          <w:szCs w:val="24"/>
          <w:lang w:eastAsia="ja-JP"/>
        </w:rPr>
        <w:footnoteReference w:id="817"/>
      </w:r>
      <w:r w:rsidR="00CA2A9D" w:rsidRPr="00545A48">
        <w:rPr>
          <w:rFonts w:ascii="Times New Roman" w:eastAsia="Cambria" w:hAnsi="Times New Roman"/>
          <w:szCs w:val="24"/>
          <w:lang w:eastAsia="ja-JP"/>
        </w:rPr>
        <w:t xml:space="preserve"> </w:t>
      </w:r>
      <w:r w:rsidR="00344F11" w:rsidRPr="00545A48">
        <w:rPr>
          <w:rFonts w:ascii="Times New Roman" w:eastAsia="Cambria" w:hAnsi="Times New Roman"/>
          <w:szCs w:val="24"/>
          <w:lang w:eastAsia="ja-JP"/>
        </w:rPr>
        <w:t xml:space="preserve">Both </w:t>
      </w:r>
      <w:r w:rsidR="00564180" w:rsidRPr="00545A48">
        <w:rPr>
          <w:rFonts w:ascii="Times New Roman" w:eastAsia="Cambria" w:hAnsi="Times New Roman"/>
          <w:szCs w:val="24"/>
          <w:lang w:eastAsia="ja-JP"/>
        </w:rPr>
        <w:t>requirements</w:t>
      </w:r>
      <w:r w:rsidR="00344F11" w:rsidRPr="00545A48">
        <w:rPr>
          <w:rFonts w:ascii="Times New Roman" w:eastAsia="Cambria" w:hAnsi="Times New Roman"/>
          <w:szCs w:val="24"/>
          <w:lang w:eastAsia="ja-JP"/>
        </w:rPr>
        <w:t xml:space="preserve"> may give victims a sense of belonging</w:t>
      </w:r>
      <w:r w:rsidR="009531ED">
        <w:rPr>
          <w:rFonts w:ascii="Times New Roman" w:eastAsia="Cambria" w:hAnsi="Times New Roman"/>
          <w:szCs w:val="24"/>
          <w:lang w:eastAsia="ja-JP"/>
        </w:rPr>
        <w:t>.</w:t>
      </w:r>
    </w:p>
    <w:p w14:paraId="432F1B00" w14:textId="77777777" w:rsidR="009531ED" w:rsidRDefault="009531ED" w:rsidP="00545A48">
      <w:pPr>
        <w:spacing w:after="0" w:line="480" w:lineRule="auto"/>
        <w:jc w:val="both"/>
        <w:rPr>
          <w:rFonts w:ascii="Times New Roman" w:eastAsia="Cambria" w:hAnsi="Times New Roman"/>
          <w:szCs w:val="24"/>
          <w:lang w:eastAsia="ja-JP"/>
        </w:rPr>
      </w:pPr>
    </w:p>
    <w:p w14:paraId="278B63F5" w14:textId="1DF2277F" w:rsidR="00B674B3" w:rsidRPr="00545A48" w:rsidRDefault="009531ED"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 </w:t>
      </w:r>
      <w:r w:rsidR="00636EE2">
        <w:rPr>
          <w:rFonts w:ascii="Times New Roman" w:eastAsia="Cambria" w:hAnsi="Times New Roman"/>
          <w:szCs w:val="24"/>
          <w:lang w:eastAsia="ja-JP"/>
        </w:rPr>
        <w:t>V</w:t>
      </w:r>
      <w:r>
        <w:rPr>
          <w:rFonts w:ascii="Times New Roman" w:eastAsia="Cambria" w:hAnsi="Times New Roman"/>
          <w:szCs w:val="24"/>
          <w:lang w:eastAsia="ja-JP"/>
        </w:rPr>
        <w:t>ictims’ procedural rights increase their visibility during the proceedings. Victims</w:t>
      </w:r>
      <w:r w:rsidR="00340D66">
        <w:rPr>
          <w:rFonts w:ascii="Times New Roman" w:eastAsia="Cambria" w:hAnsi="Times New Roman"/>
          <w:szCs w:val="24"/>
          <w:lang w:eastAsia="ja-JP"/>
        </w:rPr>
        <w:t>' visibility is not a determinant of their influence in the proceedings, but rather their participation ensures that their interests might be considered provided they are not prejudicial to the victims' right</w:t>
      </w:r>
      <w:r>
        <w:rPr>
          <w:rFonts w:ascii="Times New Roman" w:eastAsia="Cambria" w:hAnsi="Times New Roman"/>
          <w:szCs w:val="24"/>
          <w:lang w:eastAsia="ja-JP"/>
        </w:rPr>
        <w:t>s.</w:t>
      </w:r>
      <w:r>
        <w:rPr>
          <w:rStyle w:val="FootnoteReference"/>
          <w:rFonts w:ascii="Times New Roman" w:eastAsia="Cambria" w:hAnsi="Times New Roman"/>
          <w:szCs w:val="24"/>
          <w:lang w:eastAsia="ja-JP"/>
        </w:rPr>
        <w:footnoteReference w:id="818"/>
      </w:r>
      <w:r>
        <w:rPr>
          <w:rFonts w:ascii="Times New Roman" w:eastAsia="Cambria" w:hAnsi="Times New Roman"/>
          <w:szCs w:val="24"/>
          <w:lang w:eastAsia="ja-JP"/>
        </w:rPr>
        <w:t xml:space="preserve"> </w:t>
      </w:r>
      <w:r w:rsidR="00C721C1" w:rsidRPr="00545A48">
        <w:rPr>
          <w:rFonts w:ascii="Times New Roman" w:eastAsia="Cambria" w:hAnsi="Times New Roman"/>
          <w:szCs w:val="24"/>
          <w:lang w:eastAsia="ja-JP"/>
        </w:rPr>
        <w:t>Victims’ voice co</w:t>
      </w:r>
      <w:r w:rsidR="00B674B3" w:rsidRPr="00545A48">
        <w:rPr>
          <w:rFonts w:ascii="Times New Roman" w:eastAsia="Cambria" w:hAnsi="Times New Roman"/>
          <w:szCs w:val="24"/>
          <w:lang w:eastAsia="ja-JP"/>
        </w:rPr>
        <w:t xml:space="preserve">uld be heard through their LRVs(opening statements, closing statements, observations and submissions). Victims could also voice out through VIS  or storytelling. However, from the transcripts, there </w:t>
      </w:r>
      <w:r w:rsidR="00B674B3" w:rsidRPr="00545A48">
        <w:rPr>
          <w:rFonts w:ascii="Times New Roman" w:eastAsia="Cambria" w:hAnsi="Times New Roman"/>
          <w:szCs w:val="24"/>
          <w:lang w:eastAsia="ja-JP"/>
        </w:rPr>
        <w:lastRenderedPageBreak/>
        <w:t xml:space="preserve">is some evidence to suggest that LRVs are the </w:t>
      </w:r>
      <w:r w:rsidR="00C721C1" w:rsidRPr="00545A48">
        <w:rPr>
          <w:rFonts w:ascii="Times New Roman" w:eastAsia="Cambria" w:hAnsi="Times New Roman"/>
          <w:szCs w:val="24"/>
          <w:lang w:eastAsia="ja-JP"/>
        </w:rPr>
        <w:t>primary</w:t>
      </w:r>
      <w:r w:rsidR="00B674B3" w:rsidRPr="00545A48">
        <w:rPr>
          <w:rFonts w:ascii="Times New Roman" w:eastAsia="Cambria" w:hAnsi="Times New Roman"/>
          <w:szCs w:val="24"/>
          <w:lang w:eastAsia="ja-JP"/>
        </w:rPr>
        <w:t xml:space="preserve"> voice of victims. The OPCV intervenes at times</w:t>
      </w:r>
      <w:r w:rsidR="00636EE2">
        <w:rPr>
          <w:rFonts w:ascii="Times New Roman" w:eastAsia="Cambria" w:hAnsi="Times New Roman"/>
          <w:szCs w:val="24"/>
          <w:lang w:eastAsia="ja-JP"/>
        </w:rPr>
        <w:t>.</w:t>
      </w:r>
      <w:r w:rsidR="00B674B3" w:rsidRPr="00545A48">
        <w:rPr>
          <w:rStyle w:val="FootnoteReference"/>
          <w:rFonts w:ascii="Times New Roman" w:eastAsia="Cambria" w:hAnsi="Times New Roman"/>
          <w:szCs w:val="24"/>
          <w:lang w:eastAsia="ja-JP"/>
        </w:rPr>
        <w:footnoteReference w:id="819"/>
      </w:r>
      <w:r w:rsidR="00B674B3" w:rsidRPr="00545A48">
        <w:rPr>
          <w:rFonts w:ascii="Times New Roman" w:eastAsia="Cambria" w:hAnsi="Times New Roman"/>
          <w:szCs w:val="24"/>
          <w:lang w:eastAsia="ja-JP"/>
        </w:rPr>
        <w:t xml:space="preserve"> The LRVs are the direct representatives of victims. Victim representation may determine the realisation of rights and interests. </w:t>
      </w:r>
    </w:p>
    <w:p w14:paraId="29867B42" w14:textId="77777777" w:rsidR="00B674B3" w:rsidRPr="00545A48" w:rsidRDefault="00B674B3" w:rsidP="00545A48">
      <w:pPr>
        <w:spacing w:after="0" w:line="480" w:lineRule="auto"/>
        <w:jc w:val="both"/>
        <w:rPr>
          <w:rFonts w:ascii="Times New Roman" w:eastAsia="Cambria" w:hAnsi="Times New Roman"/>
          <w:szCs w:val="24"/>
          <w:lang w:eastAsia="ja-JP"/>
        </w:rPr>
      </w:pPr>
    </w:p>
    <w:p w14:paraId="273350DF" w14:textId="2DEBA5B4" w:rsidR="003C009F" w:rsidRPr="00545A48" w:rsidRDefault="003C009F" w:rsidP="00545A48">
      <w:pPr>
        <w:spacing w:after="0" w:line="480" w:lineRule="auto"/>
        <w:jc w:val="both"/>
        <w:rPr>
          <w:rFonts w:ascii="Times New Roman" w:eastAsia="Cambria" w:hAnsi="Times New Roman"/>
          <w:szCs w:val="24"/>
          <w:lang w:eastAsia="ja-JP"/>
        </w:rPr>
      </w:pPr>
      <w:r w:rsidRPr="00545A48">
        <w:rPr>
          <w:rFonts w:ascii="Times New Roman" w:eastAsia="Cambria" w:hAnsi="Times New Roman"/>
          <w:szCs w:val="24"/>
          <w:lang w:eastAsia="ja-JP"/>
        </w:rPr>
        <w:t>A good example is found in the words of the prosecution; “affection of personal interests is the “cornerstone” upon which victim participation may be premised.”.</w:t>
      </w:r>
      <w:r w:rsidRPr="00545A48">
        <w:rPr>
          <w:rStyle w:val="FootnoteReference"/>
          <w:rFonts w:ascii="Times New Roman" w:eastAsia="Cambria" w:hAnsi="Times New Roman"/>
          <w:szCs w:val="24"/>
          <w:lang w:eastAsia="ja-JP"/>
        </w:rPr>
        <w:footnoteReference w:id="820"/>
      </w:r>
      <w:r w:rsidRPr="00545A48">
        <w:rPr>
          <w:rFonts w:ascii="Times New Roman" w:eastAsia="Cambria" w:hAnsi="Times New Roman"/>
          <w:szCs w:val="24"/>
          <w:lang w:eastAsia="ja-JP"/>
        </w:rPr>
        <w:t xml:space="preserve"> Therefore, procedural Status of a victim is not the only factor </w:t>
      </w:r>
      <w:r w:rsidR="00340D66">
        <w:rPr>
          <w:rFonts w:ascii="Times New Roman" w:eastAsia="Cambria" w:hAnsi="Times New Roman"/>
          <w:szCs w:val="24"/>
          <w:lang w:eastAsia="ja-JP"/>
        </w:rPr>
        <w:t>of involvement</w:t>
      </w:r>
      <w:r w:rsidRPr="00545A48">
        <w:rPr>
          <w:rFonts w:ascii="Times New Roman" w:eastAsia="Cambria" w:hAnsi="Times New Roman"/>
          <w:szCs w:val="24"/>
          <w:lang w:eastAsia="ja-JP"/>
        </w:rPr>
        <w:t xml:space="preserve">; </w:t>
      </w:r>
      <w:r w:rsidR="00340D66">
        <w:rPr>
          <w:rFonts w:ascii="Times New Roman" w:eastAsia="Cambria" w:hAnsi="Times New Roman"/>
          <w:szCs w:val="24"/>
          <w:lang w:eastAsia="ja-JP"/>
        </w:rPr>
        <w:t>victims' personal interests are</w:t>
      </w:r>
      <w:r w:rsidRPr="00545A48">
        <w:rPr>
          <w:rFonts w:ascii="Times New Roman" w:eastAsia="Cambria" w:hAnsi="Times New Roman"/>
          <w:szCs w:val="24"/>
          <w:lang w:eastAsia="ja-JP"/>
        </w:rPr>
        <w:t xml:space="preserve"> also </w:t>
      </w:r>
      <w:r w:rsidR="00340D66">
        <w:rPr>
          <w:rFonts w:ascii="Times New Roman" w:eastAsia="Cambria" w:hAnsi="Times New Roman"/>
          <w:szCs w:val="24"/>
          <w:lang w:eastAsia="ja-JP"/>
        </w:rPr>
        <w:t>essential</w:t>
      </w:r>
      <w:r w:rsidRPr="00545A48">
        <w:rPr>
          <w:rFonts w:ascii="Times New Roman" w:eastAsia="Cambria" w:hAnsi="Times New Roman"/>
          <w:szCs w:val="24"/>
          <w:lang w:eastAsia="ja-JP"/>
        </w:rPr>
        <w:t xml:space="preserve"> for victim participation in the trial process.</w:t>
      </w:r>
      <w:r w:rsidR="00AB7554">
        <w:rPr>
          <w:rFonts w:ascii="Times New Roman" w:eastAsia="Cambria" w:hAnsi="Times New Roman"/>
          <w:szCs w:val="24"/>
          <w:lang w:eastAsia="ja-JP"/>
        </w:rPr>
        <w:t xml:space="preserve"> </w:t>
      </w:r>
      <w:r w:rsidR="00615008" w:rsidRPr="00545A48">
        <w:rPr>
          <w:rFonts w:ascii="Times New Roman" w:eastAsia="Cambria" w:hAnsi="Times New Roman"/>
          <w:szCs w:val="24"/>
          <w:lang w:eastAsia="ja-JP"/>
        </w:rPr>
        <w:t>While some victims have general personal interests,</w:t>
      </w:r>
      <w:r w:rsidR="00C721C1" w:rsidRPr="00545A48">
        <w:rPr>
          <w:rFonts w:ascii="Times New Roman" w:eastAsia="Cambria" w:hAnsi="Times New Roman"/>
          <w:szCs w:val="24"/>
          <w:lang w:eastAsia="ja-JP"/>
        </w:rPr>
        <w:t xml:space="preserve"> </w:t>
      </w:r>
      <w:r w:rsidR="00615008" w:rsidRPr="00545A48">
        <w:rPr>
          <w:rFonts w:ascii="Times New Roman" w:eastAsia="Cambria" w:hAnsi="Times New Roman"/>
          <w:szCs w:val="24"/>
          <w:lang w:eastAsia="ja-JP"/>
        </w:rPr>
        <w:t>some victims have individual personal interests.</w:t>
      </w:r>
      <w:r w:rsidR="00C721C1" w:rsidRPr="00545A48">
        <w:rPr>
          <w:rFonts w:ascii="Times New Roman" w:eastAsia="Cambria" w:hAnsi="Times New Roman"/>
          <w:szCs w:val="24"/>
          <w:lang w:eastAsia="ja-JP"/>
        </w:rPr>
        <w:t xml:space="preserve"> This distinction distinguishes between general interests applicable to all victims within a collective context and personal interests specific to some victims.</w:t>
      </w:r>
    </w:p>
    <w:p w14:paraId="76B22FD5" w14:textId="77777777" w:rsidR="008376A1" w:rsidRPr="00545A48" w:rsidRDefault="008376A1" w:rsidP="00545A48">
      <w:pPr>
        <w:spacing w:after="0" w:line="480" w:lineRule="auto"/>
        <w:jc w:val="both"/>
        <w:rPr>
          <w:rFonts w:ascii="Times New Roman" w:eastAsia="Cambria" w:hAnsi="Times New Roman"/>
          <w:szCs w:val="24"/>
          <w:lang w:eastAsia="ja-JP"/>
        </w:rPr>
      </w:pPr>
    </w:p>
    <w:p w14:paraId="2CE200C1" w14:textId="3C2F2FFE" w:rsidR="00C721C1" w:rsidRPr="00545A48" w:rsidRDefault="00DC0144" w:rsidP="00545A48">
      <w:pPr>
        <w:spacing w:after="0" w:line="480" w:lineRule="auto"/>
        <w:jc w:val="both"/>
        <w:rPr>
          <w:rFonts w:ascii="Times New Roman" w:eastAsia="Cambria" w:hAnsi="Times New Roman"/>
          <w:szCs w:val="24"/>
          <w:lang w:eastAsia="ja-JP"/>
        </w:rPr>
      </w:pPr>
      <w:r w:rsidRPr="00545A48">
        <w:rPr>
          <w:rFonts w:ascii="Times New Roman" w:eastAsia="Cambria" w:hAnsi="Times New Roman"/>
          <w:szCs w:val="24"/>
          <w:lang w:eastAsia="ja-JP"/>
        </w:rPr>
        <w:t xml:space="preserve">Ambos suggests that </w:t>
      </w:r>
      <w:r w:rsidR="005322E7" w:rsidRPr="00545A48">
        <w:rPr>
          <w:rFonts w:ascii="Times New Roman" w:eastAsia="Cambria" w:hAnsi="Times New Roman"/>
          <w:szCs w:val="24"/>
          <w:lang w:eastAsia="ja-JP"/>
        </w:rPr>
        <w:t xml:space="preserve">the ICC system of procedure is </w:t>
      </w:r>
      <w:r w:rsidR="00A27046" w:rsidRPr="00545A48">
        <w:rPr>
          <w:rFonts w:ascii="Times New Roman" w:eastAsia="Cambria" w:hAnsi="Times New Roman"/>
          <w:szCs w:val="24"/>
          <w:lang w:eastAsia="ja-JP"/>
        </w:rPr>
        <w:t xml:space="preserve">a mixture of </w:t>
      </w:r>
      <w:r w:rsidR="009B2E47" w:rsidRPr="00545A48">
        <w:rPr>
          <w:rFonts w:ascii="Times New Roman" w:eastAsia="Cambria" w:hAnsi="Times New Roman"/>
          <w:szCs w:val="24"/>
          <w:lang w:eastAsia="ja-JP"/>
        </w:rPr>
        <w:t xml:space="preserve">an </w:t>
      </w:r>
      <w:r w:rsidR="00A27046" w:rsidRPr="00545A48">
        <w:rPr>
          <w:rFonts w:ascii="Times New Roman" w:eastAsia="Cambria" w:hAnsi="Times New Roman"/>
          <w:szCs w:val="24"/>
          <w:lang w:eastAsia="ja-JP"/>
        </w:rPr>
        <w:t xml:space="preserve">adversarial and inquisitorial </w:t>
      </w:r>
      <w:r w:rsidR="00340D66">
        <w:rPr>
          <w:rFonts w:ascii="Times New Roman" w:eastAsia="Cambria" w:hAnsi="Times New Roman"/>
          <w:szCs w:val="24"/>
          <w:lang w:eastAsia="ja-JP"/>
        </w:rPr>
        <w:t>procedure system</w:t>
      </w:r>
      <w:r w:rsidR="005322E7" w:rsidRPr="00545A48">
        <w:rPr>
          <w:rFonts w:ascii="Times New Roman" w:eastAsia="Cambria" w:hAnsi="Times New Roman"/>
          <w:szCs w:val="24"/>
          <w:lang w:eastAsia="ja-JP"/>
        </w:rPr>
        <w:t>.</w:t>
      </w:r>
      <w:r w:rsidR="005322E7" w:rsidRPr="00545A48">
        <w:rPr>
          <w:rStyle w:val="FootnoteReference"/>
          <w:rFonts w:ascii="Times New Roman" w:eastAsia="Cambria" w:hAnsi="Times New Roman"/>
          <w:szCs w:val="24"/>
          <w:lang w:eastAsia="ja-JP"/>
        </w:rPr>
        <w:footnoteReference w:id="821"/>
      </w:r>
      <w:r w:rsidR="0038307B" w:rsidRPr="00545A48">
        <w:rPr>
          <w:rFonts w:ascii="Times New Roman" w:eastAsia="Cambria" w:hAnsi="Times New Roman"/>
          <w:szCs w:val="24"/>
          <w:lang w:eastAsia="ja-JP"/>
        </w:rPr>
        <w:t xml:space="preserve">While he posits that </w:t>
      </w:r>
      <w:r w:rsidR="0085171F" w:rsidRPr="00545A48">
        <w:rPr>
          <w:rFonts w:ascii="Times New Roman" w:eastAsia="Cambria" w:hAnsi="Times New Roman"/>
          <w:szCs w:val="24"/>
          <w:lang w:eastAsia="ja-JP"/>
        </w:rPr>
        <w:t xml:space="preserve">the </w:t>
      </w:r>
      <w:r w:rsidR="0038307B" w:rsidRPr="00545A48">
        <w:rPr>
          <w:rFonts w:ascii="Times New Roman" w:eastAsia="Cambria" w:hAnsi="Times New Roman"/>
          <w:szCs w:val="24"/>
          <w:lang w:eastAsia="ja-JP"/>
        </w:rPr>
        <w:t>bif</w:t>
      </w:r>
      <w:r w:rsidR="00340D66">
        <w:rPr>
          <w:rFonts w:ascii="Times New Roman" w:eastAsia="Cambria" w:hAnsi="Times New Roman"/>
          <w:szCs w:val="24"/>
          <w:lang w:eastAsia="ja-JP"/>
        </w:rPr>
        <w:t>u</w:t>
      </w:r>
      <w:r w:rsidR="0038307B" w:rsidRPr="00545A48">
        <w:rPr>
          <w:rFonts w:ascii="Times New Roman" w:eastAsia="Cambria" w:hAnsi="Times New Roman"/>
          <w:szCs w:val="24"/>
          <w:lang w:eastAsia="ja-JP"/>
        </w:rPr>
        <w:t xml:space="preserve">rcation </w:t>
      </w:r>
      <w:r w:rsidR="0085171F" w:rsidRPr="00545A48">
        <w:rPr>
          <w:rFonts w:ascii="Times New Roman" w:eastAsia="Cambria" w:hAnsi="Times New Roman"/>
          <w:szCs w:val="24"/>
          <w:lang w:eastAsia="ja-JP"/>
        </w:rPr>
        <w:t>of rules</w:t>
      </w:r>
      <w:r w:rsidR="0038307B" w:rsidRPr="00545A48">
        <w:rPr>
          <w:rFonts w:ascii="Times New Roman" w:eastAsia="Cambria" w:hAnsi="Times New Roman"/>
          <w:szCs w:val="24"/>
          <w:lang w:eastAsia="ja-JP"/>
        </w:rPr>
        <w:t xml:space="preserve"> into common and civil law</w:t>
      </w:r>
      <w:r w:rsidR="0085171F" w:rsidRPr="00545A48">
        <w:rPr>
          <w:rFonts w:ascii="Times New Roman" w:eastAsia="Cambria" w:hAnsi="Times New Roman"/>
          <w:szCs w:val="24"/>
          <w:lang w:eastAsia="ja-JP"/>
        </w:rPr>
        <w:t xml:space="preserve"> procedure</w:t>
      </w:r>
      <w:r w:rsidR="0038307B" w:rsidRPr="00545A48">
        <w:rPr>
          <w:rFonts w:ascii="Times New Roman" w:eastAsia="Cambria" w:hAnsi="Times New Roman"/>
          <w:szCs w:val="24"/>
          <w:lang w:eastAsia="ja-JP"/>
        </w:rPr>
        <w:t xml:space="preserve"> is less significa</w:t>
      </w:r>
      <w:r w:rsidR="007D0F7F">
        <w:rPr>
          <w:rFonts w:ascii="Times New Roman" w:eastAsia="Cambria" w:hAnsi="Times New Roman"/>
          <w:szCs w:val="24"/>
          <w:lang w:eastAsia="ja-JP"/>
        </w:rPr>
        <w:t>nt</w:t>
      </w:r>
      <w:r w:rsidR="00340D66">
        <w:rPr>
          <w:rFonts w:ascii="Times New Roman" w:eastAsia="Cambria" w:hAnsi="Times New Roman"/>
          <w:szCs w:val="24"/>
          <w:lang w:eastAsia="ja-JP"/>
        </w:rPr>
        <w:t>, he argues that what matters is if these rules facilitate the courts' effectiveness</w:t>
      </w:r>
      <w:r w:rsidR="00C7510D" w:rsidRPr="00545A48">
        <w:rPr>
          <w:rFonts w:ascii="Times New Roman" w:eastAsia="Cambria" w:hAnsi="Times New Roman"/>
          <w:szCs w:val="24"/>
          <w:lang w:eastAsia="ja-JP"/>
        </w:rPr>
        <w:t>.</w:t>
      </w:r>
      <w:r w:rsidR="00C7510D" w:rsidRPr="00545A48">
        <w:rPr>
          <w:rStyle w:val="FootnoteReference"/>
          <w:rFonts w:ascii="Times New Roman" w:eastAsia="Cambria" w:hAnsi="Times New Roman"/>
          <w:szCs w:val="24"/>
          <w:lang w:eastAsia="ja-JP"/>
        </w:rPr>
        <w:footnoteReference w:id="822"/>
      </w:r>
      <w:r w:rsidR="0038307B" w:rsidRPr="00545A48">
        <w:rPr>
          <w:rFonts w:ascii="Times New Roman" w:eastAsia="Cambria" w:hAnsi="Times New Roman"/>
          <w:szCs w:val="24"/>
          <w:lang w:eastAsia="ja-JP"/>
        </w:rPr>
        <w:t xml:space="preserve"> </w:t>
      </w:r>
      <w:r w:rsidR="00D75F8E" w:rsidRPr="00545A48">
        <w:rPr>
          <w:rFonts w:ascii="Times New Roman" w:eastAsia="Cambria" w:hAnsi="Times New Roman"/>
          <w:szCs w:val="24"/>
          <w:lang w:eastAsia="ja-JP"/>
        </w:rPr>
        <w:t>Do these rules co</w:t>
      </w:r>
      <w:r w:rsidR="00515E9E" w:rsidRPr="00545A48">
        <w:rPr>
          <w:rFonts w:ascii="Times New Roman" w:eastAsia="Cambria" w:hAnsi="Times New Roman"/>
          <w:szCs w:val="24"/>
          <w:lang w:eastAsia="ja-JP"/>
        </w:rPr>
        <w:t>nf</w:t>
      </w:r>
      <w:r w:rsidR="009B2E47" w:rsidRPr="00545A48">
        <w:rPr>
          <w:rFonts w:ascii="Times New Roman" w:eastAsia="Cambria" w:hAnsi="Times New Roman"/>
          <w:szCs w:val="24"/>
          <w:lang w:eastAsia="ja-JP"/>
        </w:rPr>
        <w:t>o</w:t>
      </w:r>
      <w:r w:rsidR="00515E9E" w:rsidRPr="00545A48">
        <w:rPr>
          <w:rFonts w:ascii="Times New Roman" w:eastAsia="Cambria" w:hAnsi="Times New Roman"/>
          <w:szCs w:val="24"/>
          <w:lang w:eastAsia="ja-JP"/>
        </w:rPr>
        <w:t xml:space="preserve">rm </w:t>
      </w:r>
      <w:r w:rsidR="009B2E47" w:rsidRPr="00545A48">
        <w:rPr>
          <w:rFonts w:ascii="Times New Roman" w:eastAsia="Cambria" w:hAnsi="Times New Roman"/>
          <w:szCs w:val="24"/>
          <w:lang w:eastAsia="ja-JP"/>
        </w:rPr>
        <w:t>to</w:t>
      </w:r>
      <w:r w:rsidR="00515E9E" w:rsidRPr="00545A48">
        <w:rPr>
          <w:rFonts w:ascii="Times New Roman" w:eastAsia="Cambria" w:hAnsi="Times New Roman"/>
          <w:szCs w:val="24"/>
          <w:lang w:eastAsia="ja-JP"/>
        </w:rPr>
        <w:t xml:space="preserve"> fundamental </w:t>
      </w:r>
      <w:r w:rsidR="00515E9E" w:rsidRPr="00545A48">
        <w:rPr>
          <w:rFonts w:ascii="Times New Roman" w:eastAsia="Cambria" w:hAnsi="Times New Roman"/>
          <w:szCs w:val="24"/>
          <w:lang w:eastAsia="ja-JP"/>
        </w:rPr>
        <w:lastRenderedPageBreak/>
        <w:t>fair tria</w:t>
      </w:r>
      <w:r w:rsidR="00D75F8E" w:rsidRPr="00545A48">
        <w:rPr>
          <w:rFonts w:ascii="Times New Roman" w:eastAsia="Cambria" w:hAnsi="Times New Roman"/>
          <w:szCs w:val="24"/>
          <w:lang w:eastAsia="ja-JP"/>
        </w:rPr>
        <w:t xml:space="preserve">l standards? </w:t>
      </w:r>
      <w:r w:rsidR="00CA2A9D" w:rsidRPr="00545A48">
        <w:rPr>
          <w:rFonts w:ascii="Times New Roman" w:eastAsia="Cambria" w:hAnsi="Times New Roman"/>
          <w:szCs w:val="24"/>
          <w:lang w:eastAsia="ja-JP"/>
        </w:rPr>
        <w:t xml:space="preserve">As mentioned in the literature review, the criminal procedure in place is a </w:t>
      </w:r>
      <w:r w:rsidR="00C721C1" w:rsidRPr="00545A48">
        <w:rPr>
          <w:rFonts w:ascii="Times New Roman" w:eastAsia="Cambria" w:hAnsi="Times New Roman"/>
          <w:szCs w:val="24"/>
          <w:lang w:eastAsia="ja-JP"/>
        </w:rPr>
        <w:t>significant</w:t>
      </w:r>
      <w:r w:rsidR="00CA2A9D" w:rsidRPr="00545A48">
        <w:rPr>
          <w:rFonts w:ascii="Times New Roman" w:eastAsia="Cambria" w:hAnsi="Times New Roman"/>
          <w:szCs w:val="24"/>
          <w:lang w:eastAsia="ja-JP"/>
        </w:rPr>
        <w:t xml:space="preserve"> determinant of how victims are treated during the proceedings.</w:t>
      </w:r>
      <w:r w:rsidR="00CA2A9D" w:rsidRPr="00545A48">
        <w:rPr>
          <w:rStyle w:val="FootnoteReference"/>
          <w:rFonts w:ascii="Times New Roman" w:eastAsia="Cambria" w:hAnsi="Times New Roman"/>
          <w:szCs w:val="24"/>
          <w:lang w:eastAsia="ja-JP"/>
        </w:rPr>
        <w:footnoteReference w:id="823"/>
      </w:r>
      <w:r w:rsidR="00C721C1" w:rsidRPr="00545A48">
        <w:rPr>
          <w:rFonts w:ascii="Times New Roman" w:eastAsia="Cambria" w:hAnsi="Times New Roman"/>
          <w:szCs w:val="24"/>
          <w:lang w:eastAsia="ja-JP"/>
        </w:rPr>
        <w:t>The system of procedure</w:t>
      </w:r>
      <w:r w:rsidR="00CA2A9D" w:rsidRPr="00545A48">
        <w:rPr>
          <w:rFonts w:ascii="Times New Roman" w:eastAsia="Cambria" w:hAnsi="Times New Roman"/>
          <w:szCs w:val="24"/>
          <w:lang w:eastAsia="ja-JP"/>
        </w:rPr>
        <w:t xml:space="preserve"> dictates the role of victims and the extent of their participation in trials.</w:t>
      </w:r>
      <w:r w:rsidR="00C721C1" w:rsidRPr="00545A48">
        <w:rPr>
          <w:rFonts w:ascii="Times New Roman" w:eastAsia="Cambria" w:hAnsi="Times New Roman"/>
          <w:szCs w:val="24"/>
          <w:lang w:eastAsia="ja-JP"/>
        </w:rPr>
        <w:t xml:space="preserve"> </w:t>
      </w:r>
      <w:r w:rsidR="00D75F8E" w:rsidRPr="00545A48">
        <w:rPr>
          <w:rFonts w:ascii="Times New Roman" w:eastAsia="Cambria" w:hAnsi="Times New Roman"/>
          <w:szCs w:val="24"/>
          <w:lang w:eastAsia="ja-JP"/>
        </w:rPr>
        <w:t>With this in mind, it is thought that the system of procedure in place inevitably affects the realisation of victims’ rights and interests</w:t>
      </w:r>
      <w:r w:rsidR="009B2E47" w:rsidRPr="00545A48">
        <w:rPr>
          <w:rFonts w:ascii="Times New Roman" w:eastAsia="Cambria" w:hAnsi="Times New Roman"/>
          <w:szCs w:val="24"/>
          <w:lang w:eastAsia="ja-JP"/>
        </w:rPr>
        <w:t>.</w:t>
      </w:r>
      <w:r w:rsidR="00C721C1" w:rsidRPr="00545A48">
        <w:rPr>
          <w:rFonts w:ascii="Times New Roman" w:eastAsia="Cambria" w:hAnsi="Times New Roman"/>
          <w:szCs w:val="24"/>
          <w:lang w:eastAsia="ja-JP"/>
        </w:rPr>
        <w:t xml:space="preserve"> </w:t>
      </w:r>
      <w:r w:rsidR="00615008" w:rsidRPr="00545A48">
        <w:rPr>
          <w:rFonts w:ascii="Times New Roman" w:eastAsia="Cambria" w:hAnsi="Times New Roman"/>
          <w:szCs w:val="24"/>
          <w:lang w:eastAsia="ja-JP"/>
        </w:rPr>
        <w:t xml:space="preserve">From the trial proceedings, arguably, the trial process </w:t>
      </w:r>
      <w:r w:rsidR="007A6924" w:rsidRPr="00545A48">
        <w:rPr>
          <w:rFonts w:ascii="Times New Roman" w:eastAsia="Cambria" w:hAnsi="Times New Roman"/>
          <w:szCs w:val="24"/>
          <w:lang w:eastAsia="ja-JP"/>
        </w:rPr>
        <w:t>is mainly adversarial than inquisitorial.</w:t>
      </w:r>
      <w:r w:rsidR="00C721C1" w:rsidRPr="00545A48">
        <w:rPr>
          <w:rFonts w:ascii="Times New Roman" w:eastAsia="Cambria" w:hAnsi="Times New Roman"/>
          <w:szCs w:val="24"/>
          <w:lang w:eastAsia="ja-JP"/>
        </w:rPr>
        <w:t xml:space="preserve"> </w:t>
      </w:r>
      <w:r w:rsidR="007A6924" w:rsidRPr="00545A48">
        <w:rPr>
          <w:rFonts w:ascii="Times New Roman" w:eastAsia="Cambria" w:hAnsi="Times New Roman"/>
          <w:szCs w:val="24"/>
          <w:lang w:eastAsia="ja-JP"/>
        </w:rPr>
        <w:t xml:space="preserve">Therefore, </w:t>
      </w:r>
      <w:r w:rsidR="008E145A" w:rsidRPr="00545A48">
        <w:rPr>
          <w:rFonts w:ascii="Times New Roman" w:eastAsia="Cambria" w:hAnsi="Times New Roman"/>
          <w:szCs w:val="24"/>
          <w:lang w:eastAsia="ja-JP"/>
        </w:rPr>
        <w:t>there are limita</w:t>
      </w:r>
      <w:r w:rsidR="00C721C1" w:rsidRPr="00545A48">
        <w:rPr>
          <w:rFonts w:ascii="Times New Roman" w:eastAsia="Cambria" w:hAnsi="Times New Roman"/>
          <w:szCs w:val="24"/>
          <w:lang w:eastAsia="ja-JP"/>
        </w:rPr>
        <w:t>t</w:t>
      </w:r>
      <w:r w:rsidR="008E145A" w:rsidRPr="00545A48">
        <w:rPr>
          <w:rFonts w:ascii="Times New Roman" w:eastAsia="Cambria" w:hAnsi="Times New Roman"/>
          <w:szCs w:val="24"/>
          <w:lang w:eastAsia="ja-JP"/>
        </w:rPr>
        <w:t>ions to the extent of application of victims’ rights and interests.</w:t>
      </w:r>
      <w:r w:rsidR="00C721C1" w:rsidRPr="00545A48">
        <w:rPr>
          <w:rFonts w:ascii="Times New Roman" w:eastAsia="Cambria" w:hAnsi="Times New Roman"/>
          <w:szCs w:val="24"/>
          <w:lang w:eastAsia="ja-JP"/>
        </w:rPr>
        <w:t xml:space="preserve"> </w:t>
      </w:r>
      <w:r w:rsidR="006C2293">
        <w:rPr>
          <w:rFonts w:ascii="Times New Roman" w:eastAsia="Cambria" w:hAnsi="Times New Roman"/>
          <w:szCs w:val="24"/>
          <w:lang w:eastAsia="ja-JP"/>
        </w:rPr>
        <w:t xml:space="preserve">Suppose the </w:t>
      </w:r>
      <w:r w:rsidR="00340D66">
        <w:rPr>
          <w:rFonts w:ascii="Times New Roman" w:eastAsia="Cambria" w:hAnsi="Times New Roman"/>
          <w:szCs w:val="24"/>
          <w:lang w:eastAsia="ja-JP"/>
        </w:rPr>
        <w:t>procedural system</w:t>
      </w:r>
      <w:r w:rsidR="006C2293">
        <w:rPr>
          <w:rFonts w:ascii="Times New Roman" w:eastAsia="Cambria" w:hAnsi="Times New Roman"/>
          <w:szCs w:val="24"/>
          <w:lang w:eastAsia="ja-JP"/>
        </w:rPr>
        <w:t xml:space="preserve"> is mostly adversarial, while victims may be given a range of extensive rights. </w:t>
      </w:r>
      <w:r w:rsidR="00A7096F" w:rsidRPr="00545A48">
        <w:rPr>
          <w:rFonts w:ascii="Times New Roman" w:eastAsia="Cambria" w:hAnsi="Times New Roman"/>
          <w:szCs w:val="24"/>
          <w:lang w:eastAsia="ja-JP"/>
        </w:rPr>
        <w:t>The prosecutor ha</w:t>
      </w:r>
      <w:r w:rsidR="00C721C1" w:rsidRPr="00545A48">
        <w:rPr>
          <w:rFonts w:ascii="Times New Roman" w:eastAsia="Cambria" w:hAnsi="Times New Roman"/>
          <w:szCs w:val="24"/>
          <w:lang w:eastAsia="ja-JP"/>
        </w:rPr>
        <w:t>s</w:t>
      </w:r>
      <w:r w:rsidR="00A7096F" w:rsidRPr="00545A48">
        <w:rPr>
          <w:rFonts w:ascii="Times New Roman" w:eastAsia="Cambria" w:hAnsi="Times New Roman"/>
          <w:szCs w:val="24"/>
          <w:lang w:eastAsia="ja-JP"/>
        </w:rPr>
        <w:t xml:space="preserve"> utilised this argument to oppose </w:t>
      </w:r>
      <w:r w:rsidR="00340D66">
        <w:rPr>
          <w:rFonts w:ascii="Times New Roman" w:eastAsia="Cambria" w:hAnsi="Times New Roman"/>
          <w:szCs w:val="24"/>
          <w:lang w:eastAsia="ja-JP"/>
        </w:rPr>
        <w:t>victims' participation,</w:t>
      </w:r>
      <w:r w:rsidR="00A7096F" w:rsidRPr="00545A48">
        <w:rPr>
          <w:rFonts w:ascii="Times New Roman" w:eastAsia="Cambria" w:hAnsi="Times New Roman"/>
          <w:szCs w:val="24"/>
          <w:lang w:eastAsia="ja-JP"/>
        </w:rPr>
        <w:t xml:space="preserve"> vis-à-vis </w:t>
      </w:r>
      <w:r w:rsidR="00C721C1" w:rsidRPr="00545A48">
        <w:rPr>
          <w:rFonts w:ascii="Times New Roman" w:eastAsia="Cambria" w:hAnsi="Times New Roman"/>
          <w:szCs w:val="24"/>
          <w:lang w:eastAsia="ja-JP"/>
        </w:rPr>
        <w:t xml:space="preserve">the </w:t>
      </w:r>
      <w:r w:rsidR="00A7096F" w:rsidRPr="00545A48">
        <w:rPr>
          <w:rFonts w:ascii="Times New Roman" w:eastAsia="Cambria" w:hAnsi="Times New Roman"/>
          <w:szCs w:val="24"/>
          <w:lang w:eastAsia="ja-JP"/>
        </w:rPr>
        <w:t>presentation of evidence for the determination of truth.</w:t>
      </w:r>
      <w:r w:rsidR="00C721C1" w:rsidRPr="00545A48">
        <w:rPr>
          <w:rFonts w:ascii="Times New Roman" w:eastAsia="Cambria" w:hAnsi="Times New Roman"/>
          <w:szCs w:val="24"/>
          <w:lang w:eastAsia="ja-JP"/>
        </w:rPr>
        <w:t xml:space="preserve"> </w:t>
      </w:r>
      <w:r w:rsidR="004717C9" w:rsidRPr="00545A48">
        <w:rPr>
          <w:rFonts w:ascii="Times New Roman" w:eastAsia="Cambria" w:hAnsi="Times New Roman"/>
          <w:szCs w:val="24"/>
          <w:lang w:eastAsia="ja-JP"/>
        </w:rPr>
        <w:t xml:space="preserve">He argued that </w:t>
      </w:r>
      <w:r w:rsidR="00C721C1" w:rsidRPr="00545A48">
        <w:rPr>
          <w:rFonts w:ascii="Times New Roman" w:eastAsia="Cambria" w:hAnsi="Times New Roman"/>
          <w:szCs w:val="24"/>
          <w:lang w:eastAsia="ja-JP"/>
        </w:rPr>
        <w:t xml:space="preserve">the </w:t>
      </w:r>
      <w:r w:rsidR="004717C9" w:rsidRPr="00545A48">
        <w:rPr>
          <w:rFonts w:ascii="Times New Roman" w:eastAsia="Cambria" w:hAnsi="Times New Roman"/>
          <w:szCs w:val="24"/>
          <w:lang w:eastAsia="ja-JP"/>
        </w:rPr>
        <w:t>presentation of evidence is an exclusive function of the parties</w:t>
      </w:r>
      <w:r w:rsidR="00C721C1" w:rsidRPr="00545A48">
        <w:rPr>
          <w:rFonts w:ascii="Times New Roman" w:eastAsia="Cambria" w:hAnsi="Times New Roman"/>
          <w:szCs w:val="24"/>
          <w:lang w:eastAsia="ja-JP"/>
        </w:rPr>
        <w:t>;</w:t>
      </w:r>
      <w:r w:rsidR="004717C9" w:rsidRPr="00545A48">
        <w:rPr>
          <w:rFonts w:ascii="Times New Roman" w:eastAsia="Cambria" w:hAnsi="Times New Roman"/>
          <w:szCs w:val="24"/>
          <w:lang w:eastAsia="ja-JP"/>
        </w:rPr>
        <w:t xml:space="preserve"> as such, it is ultra</w:t>
      </w:r>
      <w:r w:rsidR="00C721C1" w:rsidRPr="00545A48">
        <w:rPr>
          <w:rFonts w:ascii="Times New Roman" w:eastAsia="Cambria" w:hAnsi="Times New Roman"/>
          <w:szCs w:val="24"/>
          <w:lang w:eastAsia="ja-JP"/>
        </w:rPr>
        <w:t xml:space="preserve"> </w:t>
      </w:r>
      <w:r w:rsidR="004717C9" w:rsidRPr="00545A48">
        <w:rPr>
          <w:rFonts w:ascii="Times New Roman" w:eastAsia="Cambria" w:hAnsi="Times New Roman"/>
          <w:szCs w:val="24"/>
          <w:lang w:eastAsia="ja-JP"/>
        </w:rPr>
        <w:t xml:space="preserve">vires the </w:t>
      </w:r>
      <w:r w:rsidR="00340D66">
        <w:rPr>
          <w:rFonts w:ascii="Times New Roman" w:eastAsia="Cambria" w:hAnsi="Times New Roman"/>
          <w:szCs w:val="24"/>
          <w:lang w:eastAsia="ja-JP"/>
        </w:rPr>
        <w:t>victims' role</w:t>
      </w:r>
      <w:r w:rsidR="003B437E" w:rsidRPr="00545A48">
        <w:rPr>
          <w:rFonts w:ascii="Times New Roman" w:eastAsia="Cambria" w:hAnsi="Times New Roman"/>
          <w:szCs w:val="24"/>
          <w:lang w:eastAsia="ja-JP"/>
        </w:rPr>
        <w:t xml:space="preserve"> </w:t>
      </w:r>
      <w:r w:rsidR="00340D66">
        <w:rPr>
          <w:rFonts w:ascii="Times New Roman" w:eastAsia="Cambria" w:hAnsi="Times New Roman"/>
          <w:szCs w:val="24"/>
          <w:lang w:eastAsia="ja-JP"/>
        </w:rPr>
        <w:t>in presenting</w:t>
      </w:r>
      <w:r w:rsidR="003B437E" w:rsidRPr="00545A48">
        <w:rPr>
          <w:rFonts w:ascii="Times New Roman" w:eastAsia="Cambria" w:hAnsi="Times New Roman"/>
          <w:szCs w:val="24"/>
          <w:lang w:eastAsia="ja-JP"/>
        </w:rPr>
        <w:t xml:space="preserve"> evidence during trials.</w:t>
      </w:r>
      <w:r w:rsidR="00C721C1" w:rsidRPr="00545A48">
        <w:rPr>
          <w:rFonts w:ascii="Times New Roman" w:eastAsia="Cambria" w:hAnsi="Times New Roman"/>
          <w:szCs w:val="24"/>
          <w:lang w:eastAsia="ja-JP"/>
        </w:rPr>
        <w:t xml:space="preserve"> </w:t>
      </w:r>
      <w:r w:rsidR="003B437E" w:rsidRPr="00545A48">
        <w:rPr>
          <w:rFonts w:ascii="Times New Roman" w:eastAsia="Cambria" w:hAnsi="Times New Roman"/>
          <w:szCs w:val="24"/>
          <w:lang w:eastAsia="ja-JP"/>
        </w:rPr>
        <w:t>This argument find</w:t>
      </w:r>
      <w:r w:rsidR="00C721C1" w:rsidRPr="00545A48">
        <w:rPr>
          <w:rFonts w:ascii="Times New Roman" w:eastAsia="Cambria" w:hAnsi="Times New Roman"/>
          <w:szCs w:val="24"/>
          <w:lang w:eastAsia="ja-JP"/>
        </w:rPr>
        <w:t>s</w:t>
      </w:r>
      <w:r w:rsidR="003B437E" w:rsidRPr="00545A48">
        <w:rPr>
          <w:rFonts w:ascii="Times New Roman" w:eastAsia="Cambria" w:hAnsi="Times New Roman"/>
          <w:szCs w:val="24"/>
          <w:lang w:eastAsia="ja-JP"/>
        </w:rPr>
        <w:t xml:space="preserve"> </w:t>
      </w:r>
      <w:r w:rsidR="00C721C1" w:rsidRPr="00545A48">
        <w:rPr>
          <w:rFonts w:ascii="Times New Roman" w:eastAsia="Cambria" w:hAnsi="Times New Roman"/>
          <w:szCs w:val="24"/>
          <w:lang w:eastAsia="ja-JP"/>
        </w:rPr>
        <w:t xml:space="preserve">a </w:t>
      </w:r>
      <w:r w:rsidR="003B437E" w:rsidRPr="00545A48">
        <w:rPr>
          <w:rFonts w:ascii="Times New Roman" w:eastAsia="Cambria" w:hAnsi="Times New Roman"/>
          <w:szCs w:val="24"/>
          <w:lang w:eastAsia="ja-JP"/>
        </w:rPr>
        <w:t>basis in common law jurisdictions or adversarial settings.</w:t>
      </w:r>
    </w:p>
    <w:p w14:paraId="7543C80C" w14:textId="77777777" w:rsidR="00C721C1" w:rsidRPr="00545A48" w:rsidRDefault="00C721C1" w:rsidP="00545A48">
      <w:pPr>
        <w:spacing w:after="0" w:line="480" w:lineRule="auto"/>
        <w:jc w:val="both"/>
        <w:rPr>
          <w:rFonts w:ascii="Times New Roman" w:eastAsia="Cambria" w:hAnsi="Times New Roman"/>
          <w:szCs w:val="24"/>
          <w:lang w:eastAsia="ja-JP"/>
        </w:rPr>
      </w:pPr>
    </w:p>
    <w:p w14:paraId="709750FE" w14:textId="32251D8E" w:rsidR="00D435A4" w:rsidRPr="00545A48" w:rsidRDefault="003B437E" w:rsidP="00D435A4">
      <w:pPr>
        <w:spacing w:after="0" w:line="480" w:lineRule="auto"/>
        <w:jc w:val="both"/>
        <w:rPr>
          <w:rFonts w:ascii="Times New Roman" w:eastAsia="Cambria" w:hAnsi="Times New Roman"/>
          <w:szCs w:val="24"/>
          <w:lang w:eastAsia="ja-JP"/>
        </w:rPr>
      </w:pPr>
      <w:r w:rsidRPr="00545A48">
        <w:rPr>
          <w:rFonts w:ascii="Times New Roman" w:eastAsia="Cambria" w:hAnsi="Times New Roman"/>
          <w:szCs w:val="24"/>
          <w:lang w:eastAsia="ja-JP"/>
        </w:rPr>
        <w:t xml:space="preserve">Nonetheless, the Chambers’ decision to allow victims to present evidence and testify for the determination of truth demonstrates the </w:t>
      </w:r>
      <w:r w:rsidR="00340D66">
        <w:rPr>
          <w:rFonts w:ascii="Times New Roman" w:eastAsia="Cambria" w:hAnsi="Times New Roman"/>
          <w:szCs w:val="24"/>
          <w:lang w:eastAsia="ja-JP"/>
        </w:rPr>
        <w:t>Chamber's role</w:t>
      </w:r>
      <w:r w:rsidRPr="00545A48">
        <w:rPr>
          <w:rFonts w:ascii="Times New Roman" w:eastAsia="Cambria" w:hAnsi="Times New Roman"/>
          <w:szCs w:val="24"/>
          <w:lang w:eastAsia="ja-JP"/>
        </w:rPr>
        <w:t xml:space="preserve"> in fact-finding and truth-finding,</w:t>
      </w:r>
      <w:r w:rsidR="00C721C1" w:rsidRPr="00545A48">
        <w:rPr>
          <w:rFonts w:ascii="Times New Roman" w:eastAsia="Cambria" w:hAnsi="Times New Roman"/>
          <w:szCs w:val="24"/>
          <w:lang w:eastAsia="ja-JP"/>
        </w:rPr>
        <w:t xml:space="preserve"> </w:t>
      </w:r>
      <w:r w:rsidR="00191873" w:rsidRPr="00545A48">
        <w:rPr>
          <w:rFonts w:ascii="Times New Roman" w:eastAsia="Cambria" w:hAnsi="Times New Roman"/>
          <w:szCs w:val="24"/>
          <w:lang w:eastAsia="ja-JP"/>
        </w:rPr>
        <w:t xml:space="preserve">a feature of </w:t>
      </w:r>
      <w:r w:rsidR="00C721C1" w:rsidRPr="00545A48">
        <w:rPr>
          <w:rFonts w:ascii="Times New Roman" w:eastAsia="Cambria" w:hAnsi="Times New Roman"/>
          <w:szCs w:val="24"/>
          <w:lang w:eastAsia="ja-JP"/>
        </w:rPr>
        <w:t xml:space="preserve">the </w:t>
      </w:r>
      <w:r w:rsidR="00191873" w:rsidRPr="00545A48">
        <w:rPr>
          <w:rFonts w:ascii="Times New Roman" w:eastAsia="Cambria" w:hAnsi="Times New Roman"/>
          <w:szCs w:val="24"/>
          <w:lang w:eastAsia="ja-JP"/>
        </w:rPr>
        <w:t>inquisitorial system of procedure.</w:t>
      </w:r>
      <w:r w:rsidR="00C721C1" w:rsidRPr="00545A48">
        <w:rPr>
          <w:rFonts w:ascii="Times New Roman" w:eastAsia="Cambria" w:hAnsi="Times New Roman"/>
          <w:szCs w:val="24"/>
          <w:lang w:eastAsia="ja-JP"/>
        </w:rPr>
        <w:t xml:space="preserve"> </w:t>
      </w:r>
      <w:r w:rsidR="00636EE2">
        <w:rPr>
          <w:rFonts w:ascii="Times New Roman" w:eastAsia="Cambria" w:hAnsi="Times New Roman"/>
          <w:szCs w:val="24"/>
          <w:lang w:eastAsia="ja-JP"/>
        </w:rPr>
        <w:t>T</w:t>
      </w:r>
      <w:r w:rsidR="0059159A" w:rsidRPr="00545A48">
        <w:rPr>
          <w:rFonts w:ascii="Times New Roman" w:eastAsia="Cambria" w:hAnsi="Times New Roman"/>
          <w:szCs w:val="24"/>
          <w:lang w:eastAsia="ja-JP"/>
        </w:rPr>
        <w:t>he court is willing to extend the role or rights of victims in order to facilitate the functioning of the court.</w:t>
      </w:r>
      <w:r w:rsidR="00C721C1" w:rsidRPr="00545A48">
        <w:rPr>
          <w:rFonts w:ascii="Times New Roman" w:eastAsia="Cambria" w:hAnsi="Times New Roman"/>
          <w:szCs w:val="24"/>
          <w:lang w:eastAsia="ja-JP"/>
        </w:rPr>
        <w:t xml:space="preserve"> </w:t>
      </w:r>
      <w:r w:rsidR="00933D0B" w:rsidRPr="00545A48">
        <w:rPr>
          <w:rFonts w:ascii="Times New Roman" w:eastAsia="Cambria" w:hAnsi="Times New Roman"/>
          <w:szCs w:val="24"/>
          <w:lang w:eastAsia="ja-JP"/>
        </w:rPr>
        <w:t xml:space="preserve">It is argued </w:t>
      </w:r>
      <w:r w:rsidR="00933D0B" w:rsidRPr="00545A48">
        <w:rPr>
          <w:rFonts w:ascii="Times New Roman" w:eastAsia="Cambria" w:hAnsi="Times New Roman"/>
          <w:szCs w:val="24"/>
          <w:lang w:eastAsia="ja-JP"/>
        </w:rPr>
        <w:lastRenderedPageBreak/>
        <w:t>that this is beneficial for victims because victims are also interested in truth as they also have the right to trut</w:t>
      </w:r>
      <w:r w:rsidR="00636EE2">
        <w:rPr>
          <w:rFonts w:ascii="Times New Roman" w:eastAsia="Cambria" w:hAnsi="Times New Roman"/>
          <w:szCs w:val="24"/>
          <w:lang w:eastAsia="ja-JP"/>
        </w:rPr>
        <w:t>h.</w:t>
      </w:r>
      <w:r w:rsidR="00D435A4">
        <w:rPr>
          <w:rFonts w:ascii="Times New Roman" w:eastAsia="Cambria" w:hAnsi="Times New Roman"/>
          <w:szCs w:val="24"/>
          <w:lang w:eastAsia="ja-JP"/>
        </w:rPr>
        <w:t xml:space="preserve"> Nevertheless,  tension still exists, especially concerning the recognition and application of victim participatory rights and interests and other participants. This tension is seen in </w:t>
      </w:r>
      <w:r w:rsidR="007D0F7F">
        <w:rPr>
          <w:rFonts w:ascii="Times New Roman" w:eastAsia="Cambria" w:hAnsi="Times New Roman"/>
          <w:szCs w:val="24"/>
          <w:lang w:eastAsia="ja-JP"/>
        </w:rPr>
        <w:t>the parties' reaction</w:t>
      </w:r>
      <w:r w:rsidR="00D435A4">
        <w:rPr>
          <w:rFonts w:ascii="Times New Roman" w:eastAsia="Cambria" w:hAnsi="Times New Roman"/>
          <w:szCs w:val="24"/>
          <w:lang w:eastAsia="ja-JP"/>
        </w:rPr>
        <w:t>s to the chamber’s ruling on victims</w:t>
      </w:r>
      <w:r w:rsidR="00340D66">
        <w:rPr>
          <w:rFonts w:ascii="Times New Roman" w:eastAsia="Cambria" w:hAnsi="Times New Roman"/>
          <w:szCs w:val="24"/>
          <w:lang w:eastAsia="ja-JP"/>
        </w:rPr>
        <w:t>' right to present evidence in determining</w:t>
      </w:r>
      <w:r w:rsidR="00D435A4">
        <w:rPr>
          <w:rFonts w:ascii="Times New Roman" w:eastAsia="Cambria" w:hAnsi="Times New Roman"/>
          <w:szCs w:val="24"/>
          <w:lang w:eastAsia="ja-JP"/>
        </w:rPr>
        <w:t xml:space="preserve"> the truth. Clearly, the ICC has improved the respect for rights of victims compared to the previous courts. There still exists tension as to the rights of victims and others.</w:t>
      </w:r>
    </w:p>
    <w:p w14:paraId="04768A70" w14:textId="77777777" w:rsidR="00D435A4" w:rsidRDefault="00D435A4" w:rsidP="00545A48">
      <w:pPr>
        <w:spacing w:after="0" w:line="480" w:lineRule="auto"/>
        <w:jc w:val="both"/>
        <w:rPr>
          <w:rFonts w:ascii="Times New Roman" w:eastAsia="Cambria" w:hAnsi="Times New Roman"/>
          <w:szCs w:val="24"/>
          <w:lang w:eastAsia="ja-JP"/>
        </w:rPr>
      </w:pPr>
    </w:p>
    <w:p w14:paraId="07A13ECA" w14:textId="6D9484AF" w:rsidR="006E622A" w:rsidRPr="00545A48" w:rsidRDefault="00340D66"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Some of the victims are anonymous; their roles during the trial are</w:t>
      </w:r>
      <w:r w:rsidR="006E622A" w:rsidRPr="00545A48">
        <w:rPr>
          <w:rFonts w:ascii="Times New Roman" w:eastAsia="Cambria" w:hAnsi="Times New Roman"/>
          <w:szCs w:val="24"/>
          <w:lang w:eastAsia="ja-JP"/>
        </w:rPr>
        <w:t xml:space="preserve"> restricted to protect the accused.</w:t>
      </w:r>
      <w:r w:rsidR="003B3A4D" w:rsidRPr="00545A48">
        <w:rPr>
          <w:rFonts w:ascii="Times New Roman" w:eastAsia="Cambria" w:hAnsi="Times New Roman"/>
          <w:szCs w:val="24"/>
          <w:lang w:eastAsia="ja-JP"/>
        </w:rPr>
        <w:t xml:space="preserve"> </w:t>
      </w:r>
      <w:r w:rsidR="00C721C1" w:rsidRPr="00545A48">
        <w:rPr>
          <w:rFonts w:ascii="Times New Roman" w:eastAsia="Cambria" w:hAnsi="Times New Roman"/>
          <w:szCs w:val="24"/>
          <w:lang w:eastAsia="ja-JP"/>
        </w:rPr>
        <w:t>I</w:t>
      </w:r>
      <w:r w:rsidR="00663FD1" w:rsidRPr="00545A48">
        <w:rPr>
          <w:rFonts w:ascii="Times New Roman" w:eastAsia="Cambria" w:hAnsi="Times New Roman"/>
          <w:szCs w:val="24"/>
          <w:lang w:eastAsia="ja-JP"/>
        </w:rPr>
        <w:t>t is observed that restrictions are placed on the application of procedural rights for victims.</w:t>
      </w:r>
      <w:r w:rsidR="00A33F00" w:rsidRPr="00545A48">
        <w:rPr>
          <w:rStyle w:val="FootnoteReference"/>
          <w:rFonts w:ascii="Times New Roman" w:eastAsia="Cambria" w:hAnsi="Times New Roman"/>
          <w:szCs w:val="24"/>
          <w:lang w:eastAsia="ja-JP"/>
        </w:rPr>
        <w:footnoteReference w:id="824"/>
      </w:r>
      <w:r w:rsidR="00663FD1" w:rsidRPr="00545A48">
        <w:rPr>
          <w:rFonts w:ascii="Times New Roman" w:eastAsia="Cambria" w:hAnsi="Times New Roman"/>
          <w:szCs w:val="24"/>
          <w:lang w:eastAsia="ja-JP"/>
        </w:rPr>
        <w:t xml:space="preserve"> The Chambers have been cautious in granting extensive procedural rights to victims and have noted that procedural rights are not automatic for victims. Victims must show that the proceedings affect their personal interests.</w:t>
      </w:r>
      <w:r w:rsidR="00663FD1" w:rsidRPr="00545A48">
        <w:rPr>
          <w:rFonts w:ascii="Times New Roman" w:eastAsia="Cambria" w:hAnsi="Times New Roman"/>
          <w:vertAlign w:val="superscript"/>
          <w:lang w:eastAsia="ja-JP"/>
        </w:rPr>
        <w:footnoteReference w:id="825"/>
      </w:r>
      <w:r w:rsidR="00636EE2">
        <w:rPr>
          <w:rFonts w:ascii="Times New Roman" w:eastAsia="Cambria" w:hAnsi="Times New Roman"/>
          <w:szCs w:val="24"/>
          <w:lang w:eastAsia="ja-JP"/>
        </w:rPr>
        <w:t>T</w:t>
      </w:r>
      <w:r w:rsidR="00663FD1" w:rsidRPr="00545A48">
        <w:rPr>
          <w:rFonts w:ascii="Times New Roman" w:eastAsia="Cambria" w:hAnsi="Times New Roman"/>
          <w:szCs w:val="24"/>
          <w:lang w:eastAsia="ja-JP"/>
        </w:rPr>
        <w:t>he Chamber granted some victims extensive procedural rights</w:t>
      </w:r>
      <w:r w:rsidR="00636EE2">
        <w:rPr>
          <w:rFonts w:ascii="Times New Roman" w:eastAsia="Cambria" w:hAnsi="Times New Roman"/>
          <w:szCs w:val="24"/>
          <w:lang w:eastAsia="ja-JP"/>
        </w:rPr>
        <w:t>. I</w:t>
      </w:r>
      <w:r w:rsidR="00663FD1" w:rsidRPr="00545A48">
        <w:rPr>
          <w:rFonts w:ascii="Times New Roman" w:eastAsia="Cambria" w:hAnsi="Times New Roman"/>
          <w:szCs w:val="24"/>
          <w:lang w:eastAsia="ja-JP"/>
        </w:rPr>
        <w:t>t is noted that anonymous victims were granted limited procedural rights to protect the accused right to a fair trial</w:t>
      </w:r>
      <w:r w:rsidR="00663FD1" w:rsidRPr="00545A48">
        <w:rPr>
          <w:rFonts w:ascii="Times New Roman" w:eastAsia="Cambria" w:hAnsi="Times New Roman"/>
          <w:vertAlign w:val="superscript"/>
          <w:lang w:eastAsia="ja-JP"/>
        </w:rPr>
        <w:footnoteReference w:id="826"/>
      </w:r>
      <w:r w:rsidR="00663FD1" w:rsidRPr="00545A48">
        <w:rPr>
          <w:rFonts w:ascii="Times New Roman" w:eastAsia="Cambria" w:hAnsi="Times New Roman"/>
          <w:szCs w:val="24"/>
          <w:lang w:eastAsia="ja-JP"/>
        </w:rPr>
        <w:t xml:space="preserve"> because anonymous accusations could prejudice the </w:t>
      </w:r>
      <w:r>
        <w:rPr>
          <w:rFonts w:ascii="Times New Roman" w:eastAsia="Cambria" w:hAnsi="Times New Roman"/>
          <w:szCs w:val="24"/>
          <w:lang w:eastAsia="ja-JP"/>
        </w:rPr>
        <w:t>defendant's righ</w:t>
      </w:r>
      <w:r w:rsidR="00663FD1" w:rsidRPr="00545A48">
        <w:rPr>
          <w:rFonts w:ascii="Times New Roman" w:eastAsia="Cambria" w:hAnsi="Times New Roman"/>
          <w:szCs w:val="24"/>
          <w:lang w:eastAsia="ja-JP"/>
        </w:rPr>
        <w:t>t. However, whe</w:t>
      </w:r>
      <w:r w:rsidR="00B8198E" w:rsidRPr="00545A48">
        <w:rPr>
          <w:rFonts w:ascii="Times New Roman" w:eastAsia="Cambria" w:hAnsi="Times New Roman"/>
          <w:szCs w:val="24"/>
          <w:lang w:eastAsia="ja-JP"/>
        </w:rPr>
        <w:t xml:space="preserve">re </w:t>
      </w:r>
      <w:r w:rsidR="00B8198E" w:rsidRPr="00545A48">
        <w:rPr>
          <w:rFonts w:ascii="Times New Roman" w:eastAsia="Cambria" w:hAnsi="Times New Roman"/>
          <w:szCs w:val="24"/>
          <w:lang w:eastAsia="ja-JP"/>
        </w:rPr>
        <w:lastRenderedPageBreak/>
        <w:t xml:space="preserve">the </w:t>
      </w:r>
      <w:r>
        <w:rPr>
          <w:rFonts w:ascii="Times New Roman" w:eastAsia="Cambria" w:hAnsi="Times New Roman"/>
          <w:szCs w:val="24"/>
          <w:lang w:eastAsia="ja-JP"/>
        </w:rPr>
        <w:t>victim's identity</w:t>
      </w:r>
      <w:r w:rsidR="00663FD1" w:rsidRPr="00545A48">
        <w:rPr>
          <w:rFonts w:ascii="Times New Roman" w:eastAsia="Cambria" w:hAnsi="Times New Roman"/>
          <w:szCs w:val="24"/>
          <w:lang w:eastAsia="ja-JP"/>
        </w:rPr>
        <w:t xml:space="preserve"> is known, the court is willing to grant more procedural rights.</w:t>
      </w:r>
      <w:r w:rsidR="008376A1" w:rsidRPr="00545A48">
        <w:rPr>
          <w:rFonts w:ascii="Times New Roman" w:eastAsia="Cambria" w:hAnsi="Times New Roman"/>
          <w:szCs w:val="24"/>
          <w:lang w:eastAsia="ja-JP"/>
        </w:rPr>
        <w:t xml:space="preserve"> </w:t>
      </w:r>
      <w:r w:rsidR="00987579" w:rsidRPr="00545A48">
        <w:rPr>
          <w:rFonts w:ascii="Times New Roman" w:eastAsia="Cambria" w:hAnsi="Times New Roman"/>
          <w:szCs w:val="24"/>
          <w:lang w:eastAsia="ja-JP"/>
        </w:rPr>
        <w:t xml:space="preserve">Which </w:t>
      </w:r>
      <w:r w:rsidR="006E622A" w:rsidRPr="00545A48">
        <w:rPr>
          <w:rFonts w:ascii="Times New Roman" w:eastAsia="Cambria" w:hAnsi="Times New Roman"/>
          <w:szCs w:val="24"/>
          <w:lang w:eastAsia="ja-JP"/>
        </w:rPr>
        <w:t>connotes that anonymous victims and non</w:t>
      </w:r>
      <w:r w:rsidR="00987579" w:rsidRPr="00545A48">
        <w:rPr>
          <w:rFonts w:ascii="Times New Roman" w:eastAsia="Cambria" w:hAnsi="Times New Roman"/>
          <w:szCs w:val="24"/>
          <w:lang w:eastAsia="ja-JP"/>
        </w:rPr>
        <w:t>-</w:t>
      </w:r>
      <w:r w:rsidR="006E622A" w:rsidRPr="00545A48">
        <w:rPr>
          <w:rFonts w:ascii="Times New Roman" w:eastAsia="Cambria" w:hAnsi="Times New Roman"/>
          <w:szCs w:val="24"/>
          <w:lang w:eastAsia="ja-JP"/>
        </w:rPr>
        <w:t>anonymous victims are not entitled to the same role or rights.</w:t>
      </w:r>
      <w:r w:rsidR="003B3A4D"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This measure is to guide against anonymous accusations.</w:t>
      </w:r>
      <w:r w:rsidR="003C2FAD" w:rsidRPr="00545A48">
        <w:rPr>
          <w:rStyle w:val="FootnoteReference"/>
          <w:rFonts w:ascii="Times New Roman" w:eastAsia="Cambria" w:hAnsi="Times New Roman"/>
          <w:szCs w:val="24"/>
          <w:lang w:eastAsia="ja-JP"/>
        </w:rPr>
        <w:footnoteReference w:id="827"/>
      </w:r>
      <w:r w:rsidR="003B3A4D" w:rsidRPr="00545A48">
        <w:rPr>
          <w:rFonts w:ascii="Times New Roman" w:eastAsia="Cambria" w:hAnsi="Times New Roman"/>
          <w:szCs w:val="24"/>
          <w:lang w:eastAsia="ja-JP"/>
        </w:rPr>
        <w:t xml:space="preserve"> </w:t>
      </w:r>
      <w:r>
        <w:rPr>
          <w:rFonts w:ascii="Times New Roman" w:eastAsia="Cambria" w:hAnsi="Times New Roman"/>
          <w:szCs w:val="24"/>
          <w:lang w:eastAsia="ja-JP"/>
        </w:rPr>
        <w:t>Victims' interests in a protective measure are</w:t>
      </w:r>
      <w:r w:rsidR="006E622A" w:rsidRPr="00545A48">
        <w:rPr>
          <w:rFonts w:ascii="Times New Roman" w:eastAsia="Cambria" w:hAnsi="Times New Roman"/>
          <w:szCs w:val="24"/>
          <w:lang w:eastAsia="ja-JP"/>
        </w:rPr>
        <w:t xml:space="preserve"> guaranteed </w:t>
      </w:r>
      <w:r w:rsidR="00636EE2">
        <w:rPr>
          <w:rFonts w:ascii="Times New Roman" w:eastAsia="Cambria" w:hAnsi="Times New Roman"/>
          <w:szCs w:val="24"/>
          <w:lang w:eastAsia="ja-JP"/>
        </w:rPr>
        <w:t xml:space="preserve">by </w:t>
      </w:r>
      <w:r w:rsidR="007D0F7F">
        <w:rPr>
          <w:rFonts w:ascii="Times New Roman" w:eastAsia="Cambria" w:hAnsi="Times New Roman"/>
          <w:szCs w:val="24"/>
          <w:lang w:eastAsia="ja-JP"/>
        </w:rPr>
        <w:t>compromising</w:t>
      </w:r>
      <w:r w:rsidR="00D435A4">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the accused</w:t>
      </w:r>
      <w:r w:rsidR="00D435A4">
        <w:rPr>
          <w:rFonts w:ascii="Times New Roman" w:eastAsia="Cambria" w:hAnsi="Times New Roman"/>
          <w:szCs w:val="24"/>
          <w:lang w:eastAsia="ja-JP"/>
        </w:rPr>
        <w:t xml:space="preserve"> right.</w:t>
      </w:r>
      <w:r w:rsidR="006E622A" w:rsidRPr="00545A48">
        <w:rPr>
          <w:rFonts w:ascii="Times New Roman" w:eastAsia="Cambria" w:hAnsi="Times New Roman"/>
          <w:szCs w:val="24"/>
          <w:lang w:eastAsia="ja-JP"/>
        </w:rPr>
        <w:t xml:space="preserve"> to </w:t>
      </w:r>
      <w:r w:rsidR="00987579" w:rsidRPr="00545A48">
        <w:rPr>
          <w:rFonts w:ascii="Times New Roman" w:eastAsia="Cambria" w:hAnsi="Times New Roman"/>
          <w:szCs w:val="24"/>
          <w:lang w:eastAsia="ja-JP"/>
        </w:rPr>
        <w:t xml:space="preserve">a </w:t>
      </w:r>
      <w:r w:rsidR="006E622A" w:rsidRPr="00545A48">
        <w:rPr>
          <w:rFonts w:ascii="Times New Roman" w:eastAsia="Cambria" w:hAnsi="Times New Roman"/>
          <w:szCs w:val="24"/>
          <w:lang w:eastAsia="ja-JP"/>
        </w:rPr>
        <w:t>fair trial</w:t>
      </w:r>
      <w:r w:rsidR="003C2FAD" w:rsidRPr="00545A48">
        <w:rPr>
          <w:rFonts w:ascii="Times New Roman" w:eastAsia="Cambria" w:hAnsi="Times New Roman"/>
          <w:szCs w:val="24"/>
          <w:lang w:eastAsia="ja-JP"/>
        </w:rPr>
        <w:t>.</w:t>
      </w:r>
      <w:r w:rsidR="00844F82" w:rsidRPr="00545A48">
        <w:rPr>
          <w:rFonts w:ascii="Times New Roman" w:eastAsia="Cambria" w:hAnsi="Times New Roman"/>
          <w:szCs w:val="24"/>
          <w:lang w:eastAsia="ja-JP"/>
        </w:rPr>
        <w:t xml:space="preserve"> </w:t>
      </w:r>
      <w:r w:rsidR="009F3C61" w:rsidRPr="00545A48">
        <w:rPr>
          <w:rFonts w:ascii="Times New Roman" w:eastAsia="Cambria" w:hAnsi="Times New Roman"/>
          <w:szCs w:val="24"/>
          <w:lang w:eastAsia="ja-JP"/>
        </w:rPr>
        <w:t>Therefore, victims’ anonymity if factored in may restrict the a</w:t>
      </w:r>
      <w:r w:rsidR="00844F82" w:rsidRPr="00545A48">
        <w:rPr>
          <w:rFonts w:ascii="Times New Roman" w:eastAsia="Cambria" w:hAnsi="Times New Roman"/>
          <w:szCs w:val="24"/>
          <w:lang w:eastAsia="ja-JP"/>
        </w:rPr>
        <w:t>vailability of procedural rights to</w:t>
      </w:r>
      <w:r w:rsidR="009F3C61" w:rsidRPr="00545A48">
        <w:rPr>
          <w:rFonts w:ascii="Times New Roman" w:eastAsia="Cambria" w:hAnsi="Times New Roman"/>
          <w:szCs w:val="24"/>
          <w:lang w:eastAsia="ja-JP"/>
        </w:rPr>
        <w:t xml:space="preserve"> victims</w:t>
      </w:r>
      <w:r w:rsidR="00844F82" w:rsidRPr="00545A48">
        <w:rPr>
          <w:rFonts w:ascii="Times New Roman" w:eastAsia="Cambria" w:hAnsi="Times New Roman"/>
          <w:szCs w:val="24"/>
          <w:lang w:eastAsia="ja-JP"/>
        </w:rPr>
        <w:t>. Consequently, this affects their roles and, could potentially affect their</w:t>
      </w:r>
      <w:r w:rsidR="009F3C61" w:rsidRPr="00545A48">
        <w:rPr>
          <w:rFonts w:ascii="Times New Roman" w:eastAsia="Cambria" w:hAnsi="Times New Roman"/>
          <w:szCs w:val="24"/>
          <w:lang w:eastAsia="ja-JP"/>
        </w:rPr>
        <w:t xml:space="preserve"> interests</w:t>
      </w:r>
      <w:r w:rsidR="00844F82" w:rsidRPr="00545A48">
        <w:rPr>
          <w:rFonts w:ascii="Times New Roman" w:eastAsia="Cambria" w:hAnsi="Times New Roman"/>
          <w:szCs w:val="24"/>
          <w:lang w:eastAsia="ja-JP"/>
        </w:rPr>
        <w:t>.</w:t>
      </w:r>
      <w:r w:rsidR="009F3C61" w:rsidRPr="00545A48">
        <w:rPr>
          <w:rFonts w:ascii="Times New Roman" w:eastAsia="Cambria" w:hAnsi="Times New Roman"/>
          <w:szCs w:val="24"/>
          <w:lang w:eastAsia="ja-JP"/>
        </w:rPr>
        <w:t xml:space="preserve"> </w:t>
      </w:r>
    </w:p>
    <w:p w14:paraId="4FF2792A" w14:textId="77777777" w:rsidR="00484EED" w:rsidRPr="00545A48" w:rsidRDefault="00484EED" w:rsidP="00545A48">
      <w:pPr>
        <w:spacing w:after="0" w:line="480" w:lineRule="auto"/>
        <w:jc w:val="both"/>
        <w:rPr>
          <w:rFonts w:ascii="Times New Roman" w:eastAsia="Cambria" w:hAnsi="Times New Roman"/>
          <w:szCs w:val="24"/>
          <w:lang w:eastAsia="ja-JP"/>
        </w:rPr>
      </w:pPr>
    </w:p>
    <w:p w14:paraId="241F196D" w14:textId="0960A997" w:rsidR="006E622A" w:rsidRPr="00545A48" w:rsidRDefault="00340D66"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Victims' acces</w:t>
      </w:r>
      <w:r w:rsidR="006E622A" w:rsidRPr="00545A48">
        <w:rPr>
          <w:rFonts w:ascii="Times New Roman" w:eastAsia="Cambria" w:hAnsi="Times New Roman"/>
          <w:szCs w:val="24"/>
          <w:lang w:eastAsia="ja-JP"/>
        </w:rPr>
        <w:t>s to some rights exclusive to the parties</w:t>
      </w:r>
      <w:r w:rsidR="00636EE2">
        <w:rPr>
          <w:rFonts w:ascii="Times New Roman" w:eastAsia="Cambria" w:hAnsi="Times New Roman"/>
          <w:szCs w:val="24"/>
          <w:lang w:eastAsia="ja-JP"/>
        </w:rPr>
        <w:t xml:space="preserve"> indicates the fluidity of victims’ procedural rights.</w:t>
      </w:r>
      <w:r w:rsidR="008376A1" w:rsidRPr="00545A48">
        <w:rPr>
          <w:rFonts w:ascii="Times New Roman" w:eastAsia="Cambria" w:hAnsi="Times New Roman"/>
          <w:szCs w:val="24"/>
          <w:lang w:eastAsia="ja-JP"/>
        </w:rPr>
        <w:t xml:space="preserve"> An analysis of both Lubanga and Katanga</w:t>
      </w:r>
      <w:r w:rsidR="00182E91" w:rsidRPr="00545A48">
        <w:rPr>
          <w:rFonts w:ascii="Times New Roman" w:eastAsia="Cambria" w:hAnsi="Times New Roman"/>
          <w:szCs w:val="24"/>
          <w:lang w:eastAsia="ja-JP"/>
        </w:rPr>
        <w:t xml:space="preserve"> cases in </w:t>
      </w:r>
      <w:r w:rsidR="008376A1" w:rsidRPr="00545A48">
        <w:rPr>
          <w:rFonts w:ascii="Times New Roman" w:eastAsia="Cambria" w:hAnsi="Times New Roman"/>
          <w:szCs w:val="24"/>
          <w:lang w:eastAsia="ja-JP"/>
        </w:rPr>
        <w:t>the trial process</w:t>
      </w:r>
      <w:r w:rsidR="006E622A" w:rsidRPr="00545A48">
        <w:rPr>
          <w:rFonts w:ascii="Times New Roman" w:eastAsia="Cambria" w:hAnsi="Times New Roman"/>
          <w:szCs w:val="24"/>
          <w:lang w:eastAsia="ja-JP"/>
        </w:rPr>
        <w:t xml:space="preserve"> reveal</w:t>
      </w:r>
      <w:r w:rsidR="008376A1" w:rsidRPr="00545A48">
        <w:rPr>
          <w:rFonts w:ascii="Times New Roman" w:eastAsia="Cambria" w:hAnsi="Times New Roman"/>
          <w:szCs w:val="24"/>
          <w:lang w:eastAsia="ja-JP"/>
        </w:rPr>
        <w:t>s</w:t>
      </w:r>
      <w:r w:rsidR="006E622A" w:rsidRPr="00545A48">
        <w:rPr>
          <w:rFonts w:ascii="Times New Roman" w:eastAsia="Cambria" w:hAnsi="Times New Roman"/>
          <w:szCs w:val="24"/>
          <w:lang w:eastAsia="ja-JP"/>
        </w:rPr>
        <w:t xml:space="preserve"> that</w:t>
      </w:r>
      <w:r w:rsidR="008376A1" w:rsidRPr="00545A48">
        <w:rPr>
          <w:rFonts w:ascii="Times New Roman" w:eastAsia="Cambria" w:hAnsi="Times New Roman"/>
          <w:szCs w:val="24"/>
          <w:lang w:eastAsia="ja-JP"/>
        </w:rPr>
        <w:t xml:space="preserve"> the ambience tilts towards a</w:t>
      </w:r>
      <w:r w:rsidR="006E622A" w:rsidRPr="00545A48">
        <w:rPr>
          <w:rFonts w:ascii="Times New Roman" w:eastAsia="Cambria" w:hAnsi="Times New Roman"/>
          <w:szCs w:val="24"/>
          <w:lang w:eastAsia="ja-JP"/>
        </w:rPr>
        <w:t xml:space="preserve"> largely ad</w:t>
      </w:r>
      <w:r w:rsidR="008376A1" w:rsidRPr="00545A48">
        <w:rPr>
          <w:rFonts w:ascii="Times New Roman" w:eastAsia="Cambria" w:hAnsi="Times New Roman"/>
          <w:szCs w:val="24"/>
          <w:lang w:eastAsia="ja-JP"/>
        </w:rPr>
        <w:t xml:space="preserve">versarial procedure which </w:t>
      </w:r>
      <w:r w:rsidR="006E622A" w:rsidRPr="00545A48">
        <w:rPr>
          <w:rFonts w:ascii="Times New Roman" w:eastAsia="Cambria" w:hAnsi="Times New Roman"/>
          <w:szCs w:val="24"/>
          <w:lang w:eastAsia="ja-JP"/>
        </w:rPr>
        <w:t xml:space="preserve">connotes a bifurcation of roles between parties with </w:t>
      </w:r>
      <w:r w:rsidR="00182E91" w:rsidRPr="00545A48">
        <w:rPr>
          <w:rFonts w:ascii="Times New Roman" w:eastAsia="Cambria" w:hAnsi="Times New Roman"/>
          <w:szCs w:val="24"/>
          <w:lang w:eastAsia="ja-JP"/>
        </w:rPr>
        <w:t xml:space="preserve">each party persuading the </w:t>
      </w:r>
      <w:r w:rsidR="006E622A" w:rsidRPr="00545A48">
        <w:rPr>
          <w:rFonts w:ascii="Times New Roman" w:eastAsia="Cambria" w:hAnsi="Times New Roman"/>
          <w:szCs w:val="24"/>
          <w:lang w:eastAsia="ja-JP"/>
        </w:rPr>
        <w:t>judge</w:t>
      </w:r>
      <w:r w:rsidR="00182E91" w:rsidRPr="00545A48">
        <w:rPr>
          <w:rFonts w:ascii="Times New Roman" w:eastAsia="Cambria" w:hAnsi="Times New Roman"/>
          <w:szCs w:val="24"/>
          <w:lang w:eastAsia="ja-JP"/>
        </w:rPr>
        <w:t>s</w:t>
      </w:r>
      <w:r w:rsidR="006E622A" w:rsidRPr="00545A48">
        <w:rPr>
          <w:rFonts w:ascii="Times New Roman" w:eastAsia="Cambria" w:hAnsi="Times New Roman"/>
          <w:szCs w:val="24"/>
          <w:lang w:eastAsia="ja-JP"/>
        </w:rPr>
        <w:t xml:space="preserve"> through </w:t>
      </w:r>
      <w:r w:rsidR="008376A1" w:rsidRPr="00545A48">
        <w:rPr>
          <w:rFonts w:ascii="Times New Roman" w:eastAsia="Cambria" w:hAnsi="Times New Roman"/>
          <w:szCs w:val="24"/>
          <w:lang w:eastAsia="ja-JP"/>
        </w:rPr>
        <w:t xml:space="preserve">the </w:t>
      </w:r>
      <w:r w:rsidR="006E622A" w:rsidRPr="00545A48">
        <w:rPr>
          <w:rFonts w:ascii="Times New Roman" w:eastAsia="Cambria" w:hAnsi="Times New Roman"/>
          <w:szCs w:val="24"/>
          <w:lang w:eastAsia="ja-JP"/>
        </w:rPr>
        <w:t>presentation of evidence and use of witnesses.</w:t>
      </w:r>
      <w:r w:rsidR="00182E91"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A reasonable implication of this is breaking the monopoly of power concerning the p</w:t>
      </w:r>
      <w:r>
        <w:rPr>
          <w:rFonts w:ascii="Times New Roman" w:eastAsia="Cambria" w:hAnsi="Times New Roman"/>
          <w:szCs w:val="24"/>
          <w:lang w:eastAsia="ja-JP"/>
        </w:rPr>
        <w:t>arties' presentation of evidence</w:t>
      </w:r>
      <w:r w:rsidR="006E622A" w:rsidRPr="00545A48">
        <w:rPr>
          <w:rFonts w:ascii="Times New Roman" w:eastAsia="Cambria" w:hAnsi="Times New Roman"/>
          <w:szCs w:val="24"/>
          <w:lang w:eastAsia="ja-JP"/>
        </w:rPr>
        <w:t>.</w:t>
      </w:r>
      <w:r w:rsidR="008376A1"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 xml:space="preserve">It is worthy </w:t>
      </w:r>
      <w:r w:rsidR="007D0F7F">
        <w:rPr>
          <w:rFonts w:ascii="Times New Roman" w:eastAsia="Cambria" w:hAnsi="Times New Roman"/>
          <w:szCs w:val="24"/>
          <w:lang w:eastAsia="ja-JP"/>
        </w:rPr>
        <w:t>of mentioning that victims are not obligated</w:t>
      </w:r>
      <w:r>
        <w:rPr>
          <w:rFonts w:ascii="Times New Roman" w:eastAsia="Cambria" w:hAnsi="Times New Roman"/>
          <w:szCs w:val="24"/>
          <w:lang w:eastAsia="ja-JP"/>
        </w:rPr>
        <w:t xml:space="preserve"> to make disclosure obligations like the parties in exercising these right</w:t>
      </w:r>
      <w:r w:rsidR="006E622A" w:rsidRPr="00545A48">
        <w:rPr>
          <w:rFonts w:ascii="Times New Roman" w:eastAsia="Cambria" w:hAnsi="Times New Roman"/>
          <w:szCs w:val="24"/>
          <w:lang w:eastAsia="ja-JP"/>
        </w:rPr>
        <w:t>s.</w:t>
      </w:r>
      <w:r w:rsidR="006E622A" w:rsidRPr="00545A48">
        <w:rPr>
          <w:rFonts w:ascii="Times New Roman" w:eastAsia="Cambria" w:hAnsi="Times New Roman"/>
          <w:szCs w:val="24"/>
          <w:vertAlign w:val="superscript"/>
          <w:lang w:eastAsia="ja-JP"/>
        </w:rPr>
        <w:footnoteReference w:id="828"/>
      </w:r>
      <w:r w:rsidR="006E622A" w:rsidRPr="00545A48">
        <w:rPr>
          <w:rFonts w:ascii="Times New Roman" w:eastAsia="Cambria" w:hAnsi="Times New Roman"/>
          <w:szCs w:val="24"/>
          <w:lang w:eastAsia="ja-JP"/>
        </w:rPr>
        <w:t xml:space="preserve"> Victims can testify as of right without being witnesses of the Prosecutor.</w:t>
      </w:r>
      <w:r w:rsidR="008376A1"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 xml:space="preserve">The AC </w:t>
      </w:r>
      <w:r w:rsidR="00234DF4" w:rsidRPr="00545A48">
        <w:rPr>
          <w:rFonts w:ascii="Times New Roman" w:eastAsia="Cambria" w:hAnsi="Times New Roman"/>
          <w:szCs w:val="24"/>
          <w:lang w:eastAsia="ja-JP"/>
        </w:rPr>
        <w:t xml:space="preserve">confirmed the TC’s decision on </w:t>
      </w:r>
      <w:r w:rsidR="006E622A" w:rsidRPr="00545A48">
        <w:rPr>
          <w:rFonts w:ascii="Times New Roman" w:eastAsia="Cambria" w:hAnsi="Times New Roman"/>
          <w:szCs w:val="24"/>
          <w:lang w:eastAsia="ja-JP"/>
        </w:rPr>
        <w:t>victims</w:t>
      </w:r>
      <w:r w:rsidR="00234DF4" w:rsidRPr="00545A48">
        <w:rPr>
          <w:rFonts w:ascii="Times New Roman" w:eastAsia="Cambria" w:hAnsi="Times New Roman"/>
          <w:szCs w:val="24"/>
          <w:lang w:eastAsia="ja-JP"/>
        </w:rPr>
        <w:t>’ rights</w:t>
      </w:r>
      <w:r w:rsidR="006E622A" w:rsidRPr="00545A48">
        <w:rPr>
          <w:rFonts w:ascii="Times New Roman" w:eastAsia="Cambria" w:hAnsi="Times New Roman"/>
          <w:szCs w:val="24"/>
          <w:lang w:eastAsia="ja-JP"/>
        </w:rPr>
        <w:t xml:space="preserve"> to lead evidence.</w:t>
      </w:r>
      <w:r w:rsidR="008376A1" w:rsidRPr="00545A48">
        <w:rPr>
          <w:rFonts w:ascii="Times New Roman" w:eastAsia="Cambria" w:hAnsi="Times New Roman"/>
          <w:szCs w:val="24"/>
          <w:lang w:eastAsia="ja-JP"/>
        </w:rPr>
        <w:t xml:space="preserve"> </w:t>
      </w:r>
      <w:r w:rsidR="006E622A" w:rsidRPr="00545A48">
        <w:rPr>
          <w:rFonts w:ascii="Times New Roman" w:eastAsia="Cambria" w:hAnsi="Times New Roman"/>
          <w:szCs w:val="24"/>
          <w:lang w:eastAsia="ja-JP"/>
        </w:rPr>
        <w:t>Although</w:t>
      </w:r>
      <w:r>
        <w:rPr>
          <w:rFonts w:ascii="Times New Roman" w:eastAsia="Cambria" w:hAnsi="Times New Roman"/>
          <w:szCs w:val="24"/>
          <w:lang w:eastAsia="ja-JP"/>
        </w:rPr>
        <w:t xml:space="preserve"> it acknowledged that the right to lead evidence pertaining to the accused's guilt or innocence lies primarily with the parties</w:t>
      </w:r>
      <w:r w:rsidR="006E622A" w:rsidRPr="00545A48">
        <w:rPr>
          <w:rFonts w:ascii="Times New Roman" w:eastAsia="Cambria" w:hAnsi="Times New Roman"/>
          <w:szCs w:val="24"/>
          <w:lang w:eastAsia="ja-JP"/>
        </w:rPr>
        <w:t>, these provis</w:t>
      </w:r>
      <w:r w:rsidR="00234DF4" w:rsidRPr="00545A48">
        <w:rPr>
          <w:rFonts w:ascii="Times New Roman" w:eastAsia="Cambria" w:hAnsi="Times New Roman"/>
          <w:szCs w:val="24"/>
          <w:lang w:eastAsia="ja-JP"/>
        </w:rPr>
        <w:t xml:space="preserve">ions do not </w:t>
      </w:r>
      <w:r w:rsidR="00234DF4" w:rsidRPr="00545A48">
        <w:rPr>
          <w:rFonts w:ascii="Times New Roman" w:eastAsia="Cambria" w:hAnsi="Times New Roman"/>
          <w:szCs w:val="24"/>
          <w:lang w:eastAsia="ja-JP"/>
        </w:rPr>
        <w:lastRenderedPageBreak/>
        <w:t>preclude</w:t>
      </w:r>
      <w:r w:rsidR="006E622A" w:rsidRPr="00545A48">
        <w:rPr>
          <w:rFonts w:ascii="Times New Roman" w:eastAsia="Cambria" w:hAnsi="Times New Roman"/>
          <w:szCs w:val="24"/>
          <w:lang w:eastAsia="ja-JP"/>
        </w:rPr>
        <w:t xml:space="preserve"> the victims </w:t>
      </w:r>
      <w:r w:rsidR="008376A1" w:rsidRPr="00545A48">
        <w:rPr>
          <w:rFonts w:ascii="Times New Roman" w:eastAsia="Cambria" w:hAnsi="Times New Roman"/>
          <w:szCs w:val="24"/>
          <w:lang w:eastAsia="ja-JP"/>
        </w:rPr>
        <w:t>from leading</w:t>
      </w:r>
      <w:r w:rsidR="006E622A" w:rsidRPr="00545A48">
        <w:rPr>
          <w:rFonts w:ascii="Times New Roman" w:eastAsia="Cambria" w:hAnsi="Times New Roman"/>
          <w:szCs w:val="24"/>
          <w:lang w:eastAsia="ja-JP"/>
        </w:rPr>
        <w:t xml:space="preserve"> evidence.</w:t>
      </w:r>
      <w:r w:rsidR="006E622A" w:rsidRPr="00545A48">
        <w:rPr>
          <w:rFonts w:ascii="Times New Roman" w:eastAsia="Cambria" w:hAnsi="Times New Roman"/>
          <w:szCs w:val="24"/>
          <w:vertAlign w:val="superscript"/>
          <w:lang w:eastAsia="ja-JP"/>
        </w:rPr>
        <w:footnoteReference w:id="829"/>
      </w:r>
      <w:r w:rsidR="006E622A" w:rsidRPr="00545A48">
        <w:rPr>
          <w:rFonts w:ascii="Times New Roman" w:eastAsia="Cambria" w:hAnsi="Times New Roman"/>
          <w:szCs w:val="24"/>
          <w:lang w:eastAsia="ja-JP"/>
        </w:rPr>
        <w:t>However, the AC noted that victims are required to submit a ‘disc</w:t>
      </w:r>
      <w:r w:rsidR="00234DF4" w:rsidRPr="00545A48">
        <w:rPr>
          <w:rFonts w:ascii="Times New Roman" w:eastAsia="Cambria" w:hAnsi="Times New Roman"/>
          <w:szCs w:val="24"/>
          <w:lang w:eastAsia="ja-JP"/>
        </w:rPr>
        <w:t>rete application’ in order to</w:t>
      </w:r>
      <w:r w:rsidR="006E622A" w:rsidRPr="00545A48">
        <w:rPr>
          <w:rFonts w:ascii="Times New Roman" w:eastAsia="Cambria" w:hAnsi="Times New Roman"/>
          <w:szCs w:val="24"/>
          <w:lang w:eastAsia="ja-JP"/>
        </w:rPr>
        <w:t xml:space="preserve"> be eligible to lead evidence.</w:t>
      </w:r>
      <w:r w:rsidR="006E622A" w:rsidRPr="00545A48">
        <w:rPr>
          <w:rFonts w:ascii="Times New Roman" w:eastAsia="Cambria" w:hAnsi="Times New Roman"/>
          <w:szCs w:val="24"/>
          <w:vertAlign w:val="superscript"/>
          <w:lang w:eastAsia="ja-JP"/>
        </w:rPr>
        <w:footnoteReference w:id="830"/>
      </w:r>
      <w:r w:rsidR="006E622A" w:rsidRPr="00545A48">
        <w:rPr>
          <w:rFonts w:ascii="Times New Roman" w:eastAsia="Cambria" w:hAnsi="Times New Roman"/>
          <w:szCs w:val="24"/>
          <w:lang w:eastAsia="ja-JP"/>
        </w:rPr>
        <w:t xml:space="preserve"> </w:t>
      </w:r>
    </w:p>
    <w:p w14:paraId="2FB71FFE" w14:textId="77777777" w:rsidR="00C8324C" w:rsidRPr="00545A48" w:rsidRDefault="00C8324C" w:rsidP="00545A48">
      <w:pPr>
        <w:spacing w:after="0" w:line="480" w:lineRule="auto"/>
        <w:jc w:val="both"/>
        <w:rPr>
          <w:rFonts w:ascii="Times New Roman" w:eastAsia="Cambria" w:hAnsi="Times New Roman"/>
          <w:szCs w:val="24"/>
          <w:lang w:eastAsia="ja-JP"/>
        </w:rPr>
      </w:pPr>
    </w:p>
    <w:p w14:paraId="1F53234D" w14:textId="739D0865" w:rsidR="00C8324C" w:rsidRDefault="00D435A4" w:rsidP="00545A4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I</w:t>
      </w:r>
      <w:r w:rsidRPr="00545A48">
        <w:rPr>
          <w:rFonts w:ascii="Times New Roman" w:eastAsia="Cambria" w:hAnsi="Times New Roman"/>
          <w:szCs w:val="24"/>
          <w:lang w:eastAsia="ja-JP"/>
        </w:rPr>
        <w:t>t appears victims are seldom permitted to make personal appearances at the ICC</w:t>
      </w:r>
      <w:r>
        <w:rPr>
          <w:rFonts w:ascii="Times New Roman" w:eastAsia="Cambria" w:hAnsi="Times New Roman"/>
          <w:szCs w:val="24"/>
          <w:lang w:eastAsia="ja-JP"/>
        </w:rPr>
        <w:t>.</w:t>
      </w:r>
      <w:r w:rsidRPr="00545A48">
        <w:rPr>
          <w:rFonts w:ascii="Times New Roman" w:eastAsia="Cambria" w:hAnsi="Times New Roman"/>
          <w:szCs w:val="24"/>
          <w:lang w:eastAsia="ja-JP"/>
        </w:rPr>
        <w:t xml:space="preserve"> </w:t>
      </w:r>
      <w:r>
        <w:rPr>
          <w:rFonts w:ascii="Times New Roman" w:eastAsia="Cambria" w:hAnsi="Times New Roman"/>
          <w:szCs w:val="24"/>
          <w:lang w:eastAsia="ja-JP"/>
        </w:rPr>
        <w:t xml:space="preserve">The </w:t>
      </w:r>
      <w:r w:rsidR="00995AD2" w:rsidRPr="00545A48">
        <w:rPr>
          <w:rFonts w:ascii="Times New Roman" w:eastAsia="Cambria" w:hAnsi="Times New Roman"/>
          <w:szCs w:val="24"/>
          <w:lang w:eastAsia="ja-JP"/>
        </w:rPr>
        <w:t>personal appearance of victims at trial</w:t>
      </w:r>
      <w:r>
        <w:rPr>
          <w:rFonts w:ascii="Times New Roman" w:eastAsia="Cambria" w:hAnsi="Times New Roman"/>
          <w:szCs w:val="24"/>
          <w:lang w:eastAsia="ja-JP"/>
        </w:rPr>
        <w:t xml:space="preserve"> is not guaranteed because </w:t>
      </w:r>
      <w:r w:rsidR="00340D66">
        <w:rPr>
          <w:rFonts w:ascii="Times New Roman" w:eastAsia="Cambria" w:hAnsi="Times New Roman"/>
          <w:szCs w:val="24"/>
          <w:lang w:eastAsia="ja-JP"/>
        </w:rPr>
        <w:t>of the ICC's normative content and mandate</w:t>
      </w:r>
      <w:r>
        <w:rPr>
          <w:rFonts w:ascii="Times New Roman" w:eastAsia="Cambria" w:hAnsi="Times New Roman"/>
          <w:szCs w:val="24"/>
          <w:lang w:eastAsia="ja-JP"/>
        </w:rPr>
        <w:t xml:space="preserve">. </w:t>
      </w:r>
      <w:r w:rsidR="00995AD2" w:rsidRPr="00545A48">
        <w:rPr>
          <w:rFonts w:ascii="Times New Roman" w:eastAsia="Cambria" w:hAnsi="Times New Roman"/>
          <w:szCs w:val="24"/>
          <w:lang w:eastAsia="ja-JP"/>
        </w:rPr>
        <w:t>The Court pointed out the implications of victims making personal appearances at trial.</w:t>
      </w:r>
      <w:r w:rsidR="00995AD2" w:rsidRPr="00545A48">
        <w:rPr>
          <w:rStyle w:val="FootnoteReference"/>
          <w:rFonts w:ascii="Times New Roman" w:eastAsia="Cambria" w:hAnsi="Times New Roman"/>
          <w:szCs w:val="24"/>
          <w:lang w:eastAsia="ja-JP"/>
        </w:rPr>
        <w:footnoteReference w:id="831"/>
      </w:r>
      <w:r w:rsidR="00D55500" w:rsidRPr="00545A48">
        <w:rPr>
          <w:rFonts w:ascii="Times New Roman" w:eastAsia="Cambria" w:hAnsi="Times New Roman"/>
          <w:szCs w:val="24"/>
          <w:lang w:eastAsia="ja-JP"/>
        </w:rPr>
        <w:t>Expression within this context is best</w:t>
      </w:r>
      <w:r w:rsidR="00D638F7" w:rsidRPr="00545A48">
        <w:rPr>
          <w:rFonts w:ascii="Times New Roman" w:eastAsia="Cambria" w:hAnsi="Times New Roman"/>
          <w:szCs w:val="24"/>
          <w:lang w:eastAsia="ja-JP"/>
        </w:rPr>
        <w:t>-</w:t>
      </w:r>
      <w:r w:rsidR="00D55500" w:rsidRPr="00545A48">
        <w:rPr>
          <w:rFonts w:ascii="Times New Roman" w:eastAsia="Cambria" w:hAnsi="Times New Roman"/>
          <w:szCs w:val="24"/>
          <w:lang w:eastAsia="ja-JP"/>
        </w:rPr>
        <w:t>suited truth commission.</w:t>
      </w:r>
      <w:r w:rsidR="00D638F7" w:rsidRPr="00545A48">
        <w:rPr>
          <w:rFonts w:ascii="Times New Roman" w:eastAsia="Cambria" w:hAnsi="Times New Roman"/>
          <w:szCs w:val="24"/>
          <w:lang w:eastAsia="ja-JP"/>
        </w:rPr>
        <w:t xml:space="preserve"> </w:t>
      </w:r>
      <w:r>
        <w:rPr>
          <w:rFonts w:ascii="Times New Roman" w:eastAsia="Cambria" w:hAnsi="Times New Roman"/>
          <w:szCs w:val="24"/>
          <w:lang w:eastAsia="ja-JP"/>
        </w:rPr>
        <w:t>Their LRVs mostly represent victim</w:t>
      </w:r>
      <w:r w:rsidR="00D638F7" w:rsidRPr="00545A48">
        <w:rPr>
          <w:rFonts w:ascii="Times New Roman" w:eastAsia="Cambria" w:hAnsi="Times New Roman"/>
          <w:szCs w:val="24"/>
          <w:lang w:eastAsia="ja-JP"/>
        </w:rPr>
        <w:t>s.</w:t>
      </w:r>
      <w:r>
        <w:rPr>
          <w:rFonts w:ascii="Times New Roman" w:eastAsia="Cambria" w:hAnsi="Times New Roman"/>
          <w:szCs w:val="24"/>
          <w:lang w:eastAsia="ja-JP"/>
        </w:rPr>
        <w:t xml:space="preserve"> </w:t>
      </w:r>
      <w:r w:rsidR="00D638F7" w:rsidRPr="00545A48">
        <w:rPr>
          <w:rFonts w:ascii="Times New Roman" w:eastAsia="Cambria" w:hAnsi="Times New Roman"/>
          <w:szCs w:val="24"/>
          <w:lang w:eastAsia="ja-JP"/>
        </w:rPr>
        <w:t>Therefore, this medium</w:t>
      </w:r>
      <w:r w:rsidR="00D55500" w:rsidRPr="00545A48">
        <w:rPr>
          <w:rFonts w:ascii="Times New Roman" w:eastAsia="Cambria" w:hAnsi="Times New Roman"/>
          <w:szCs w:val="24"/>
          <w:lang w:eastAsia="ja-JP"/>
        </w:rPr>
        <w:t xml:space="preserve"> does not give them the platform to express themselves directly.</w:t>
      </w:r>
      <w:r w:rsidR="00D638F7" w:rsidRPr="00545A48">
        <w:rPr>
          <w:rFonts w:ascii="Times New Roman" w:eastAsia="Cambria" w:hAnsi="Times New Roman"/>
          <w:szCs w:val="24"/>
          <w:lang w:eastAsia="ja-JP"/>
        </w:rPr>
        <w:t xml:space="preserve"> </w:t>
      </w:r>
      <w:r w:rsidR="00D55500" w:rsidRPr="00545A48">
        <w:rPr>
          <w:rFonts w:ascii="Times New Roman" w:eastAsia="Cambria" w:hAnsi="Times New Roman"/>
          <w:szCs w:val="24"/>
          <w:lang w:eastAsia="ja-JP"/>
        </w:rPr>
        <w:t>They could only be allowed personal appearances on</w:t>
      </w:r>
      <w:r>
        <w:rPr>
          <w:rFonts w:ascii="Times New Roman" w:eastAsia="Cambria" w:hAnsi="Times New Roman"/>
          <w:szCs w:val="24"/>
          <w:lang w:eastAsia="ja-JP"/>
        </w:rPr>
        <w:t xml:space="preserve"> rare occasions.</w:t>
      </w:r>
    </w:p>
    <w:p w14:paraId="040B738D" w14:textId="0595291E" w:rsidR="00AB7554" w:rsidRPr="00AB7554" w:rsidRDefault="00340D66" w:rsidP="001B6656">
      <w:pPr>
        <w:spacing w:after="0" w:line="480" w:lineRule="auto"/>
        <w:jc w:val="both"/>
        <w:rPr>
          <w:rFonts w:ascii="Times New Roman" w:eastAsia="Cambria" w:hAnsi="Times New Roman"/>
          <w:iCs/>
          <w:szCs w:val="24"/>
          <w:lang w:eastAsia="ja-JP"/>
        </w:rPr>
      </w:pPr>
      <w:r>
        <w:rPr>
          <w:rFonts w:ascii="Times New Roman" w:eastAsia="Cambria" w:hAnsi="Times New Roman"/>
          <w:iCs/>
          <w:szCs w:val="24"/>
          <w:lang w:eastAsia="ja-JP"/>
        </w:rPr>
        <w:t>The chapter also</w:t>
      </w:r>
      <w:r w:rsidR="00AB7554">
        <w:rPr>
          <w:rFonts w:ascii="Times New Roman" w:eastAsia="Cambria" w:hAnsi="Times New Roman"/>
          <w:iCs/>
          <w:szCs w:val="24"/>
          <w:lang w:eastAsia="ja-JP"/>
        </w:rPr>
        <w:t xml:space="preserve"> reveals that </w:t>
      </w:r>
      <w:r w:rsidR="007D0F7F">
        <w:rPr>
          <w:rFonts w:ascii="Times New Roman" w:eastAsia="Cambria" w:hAnsi="Times New Roman"/>
          <w:iCs/>
          <w:szCs w:val="24"/>
          <w:lang w:eastAsia="ja-JP"/>
        </w:rPr>
        <w:t>victims' rights and interest</w:t>
      </w:r>
      <w:r w:rsidR="00AB7554">
        <w:rPr>
          <w:rFonts w:ascii="Times New Roman" w:eastAsia="Cambria" w:hAnsi="Times New Roman"/>
          <w:iCs/>
          <w:szCs w:val="24"/>
          <w:lang w:eastAsia="ja-JP"/>
        </w:rPr>
        <w:t xml:space="preserve">s change according to the stage of the proceedings. While it appears victims were interested in recognition during the investigation stage, during the trial process, victims interests revolve around truth, accountability, reparations and justice. </w:t>
      </w:r>
    </w:p>
    <w:p w14:paraId="4EB6B058" w14:textId="77777777" w:rsidR="00F91EF2" w:rsidRDefault="00F91EF2" w:rsidP="001B6656">
      <w:pPr>
        <w:spacing w:after="0" w:line="480" w:lineRule="auto"/>
        <w:jc w:val="both"/>
        <w:rPr>
          <w:rFonts w:ascii="Times New Roman" w:eastAsia="Cambria" w:hAnsi="Times New Roman"/>
          <w:szCs w:val="24"/>
          <w:lang w:eastAsia="ja-JP"/>
        </w:rPr>
      </w:pPr>
    </w:p>
    <w:p w14:paraId="30349909" w14:textId="751F596D" w:rsidR="00851070" w:rsidRPr="0074681A" w:rsidRDefault="000060B1" w:rsidP="001B6656">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Having discussed the findings, t</w:t>
      </w:r>
      <w:r w:rsidR="00851070" w:rsidRPr="0074681A">
        <w:rPr>
          <w:rFonts w:ascii="Times New Roman" w:eastAsia="Cambria" w:hAnsi="Times New Roman"/>
          <w:szCs w:val="24"/>
          <w:lang w:eastAsia="ja-JP"/>
        </w:rPr>
        <w:t>he next section gives a summary of this chapter.</w:t>
      </w:r>
      <w:r w:rsidR="00D638F7">
        <w:rPr>
          <w:rFonts w:ascii="Times New Roman" w:eastAsia="Cambria" w:hAnsi="Times New Roman"/>
          <w:szCs w:val="24"/>
          <w:lang w:eastAsia="ja-JP"/>
        </w:rPr>
        <w:t xml:space="preserve"> </w:t>
      </w:r>
    </w:p>
    <w:p w14:paraId="6CDFC81B" w14:textId="5916C886" w:rsidR="00394C1C" w:rsidRPr="00D55500" w:rsidRDefault="00B066B7" w:rsidP="00364EC8">
      <w:pPr>
        <w:pStyle w:val="Heading2"/>
      </w:pPr>
      <w:bookmarkStart w:id="44" w:name="_Toc60235821"/>
      <w:r>
        <w:lastRenderedPageBreak/>
        <w:t>3.</w:t>
      </w:r>
      <w:r w:rsidR="00CA05F5">
        <w:t>7</w:t>
      </w:r>
      <w:r w:rsidR="00A53C40" w:rsidRPr="00D55500">
        <w:t>. Conclusion</w:t>
      </w:r>
      <w:bookmarkEnd w:id="44"/>
    </w:p>
    <w:p w14:paraId="600CABD8" w14:textId="519802A6" w:rsidR="008631A0" w:rsidRDefault="00851070" w:rsidP="001B6656">
      <w:pPr>
        <w:spacing w:line="480" w:lineRule="auto"/>
        <w:jc w:val="both"/>
        <w:rPr>
          <w:rFonts w:ascii="Times New Roman" w:eastAsia="Cambria" w:hAnsi="Times New Roman"/>
          <w:szCs w:val="24"/>
          <w:lang w:eastAsia="ja-JP"/>
        </w:rPr>
      </w:pPr>
      <w:r w:rsidRPr="0074681A">
        <w:rPr>
          <w:rFonts w:ascii="Times New Roman" w:eastAsia="Cambria" w:hAnsi="Times New Roman"/>
          <w:szCs w:val="24"/>
          <w:lang w:eastAsia="ja-JP"/>
        </w:rPr>
        <w:t>The investigation into</w:t>
      </w:r>
      <w:r w:rsidR="00AB7554">
        <w:rPr>
          <w:rFonts w:ascii="Times New Roman" w:eastAsia="Cambria" w:hAnsi="Times New Roman"/>
          <w:szCs w:val="24"/>
          <w:lang w:eastAsia="ja-JP"/>
        </w:rPr>
        <w:t xml:space="preserve"> </w:t>
      </w:r>
      <w:r w:rsidR="00340D66">
        <w:rPr>
          <w:rFonts w:ascii="Times New Roman" w:eastAsia="Cambria" w:hAnsi="Times New Roman"/>
          <w:szCs w:val="24"/>
          <w:lang w:eastAsia="ja-JP"/>
        </w:rPr>
        <w:t>the ICC proceedings' victim participation and trial process show</w:t>
      </w:r>
      <w:r w:rsidR="00F91EF2">
        <w:rPr>
          <w:rFonts w:ascii="Times New Roman" w:eastAsia="Cambria" w:hAnsi="Times New Roman"/>
          <w:szCs w:val="24"/>
          <w:lang w:eastAsia="ja-JP"/>
        </w:rPr>
        <w:t>s</w:t>
      </w:r>
      <w:r w:rsidR="008631A0" w:rsidRPr="0074681A">
        <w:rPr>
          <w:rFonts w:ascii="Times New Roman" w:eastAsia="Cambria" w:hAnsi="Times New Roman"/>
          <w:szCs w:val="24"/>
          <w:lang w:eastAsia="ja-JP"/>
        </w:rPr>
        <w:t xml:space="preserve"> the </w:t>
      </w:r>
      <w:r w:rsidR="004C7CAD">
        <w:rPr>
          <w:rFonts w:ascii="Times New Roman" w:eastAsia="Cambria" w:hAnsi="Times New Roman"/>
          <w:szCs w:val="24"/>
          <w:lang w:eastAsia="ja-JP"/>
        </w:rPr>
        <w:t xml:space="preserve">extent of </w:t>
      </w:r>
      <w:r w:rsidR="008631A0" w:rsidRPr="0074681A">
        <w:rPr>
          <w:rFonts w:ascii="Times New Roman" w:eastAsia="Cambria" w:hAnsi="Times New Roman"/>
          <w:szCs w:val="24"/>
          <w:lang w:eastAsia="ja-JP"/>
        </w:rPr>
        <w:t>applica</w:t>
      </w:r>
      <w:r w:rsidR="004C7CAD">
        <w:rPr>
          <w:rFonts w:ascii="Times New Roman" w:eastAsia="Cambria" w:hAnsi="Times New Roman"/>
          <w:szCs w:val="24"/>
          <w:lang w:eastAsia="ja-JP"/>
        </w:rPr>
        <w:t xml:space="preserve">bility </w:t>
      </w:r>
      <w:r w:rsidR="008631A0" w:rsidRPr="0074681A">
        <w:rPr>
          <w:rFonts w:ascii="Times New Roman" w:eastAsia="Cambria" w:hAnsi="Times New Roman"/>
          <w:szCs w:val="24"/>
          <w:lang w:eastAsia="ja-JP"/>
        </w:rPr>
        <w:t>of victims’ procedural rights.</w:t>
      </w:r>
      <w:r w:rsidR="00D638F7">
        <w:rPr>
          <w:rFonts w:ascii="Times New Roman" w:eastAsia="Cambria" w:hAnsi="Times New Roman"/>
          <w:szCs w:val="24"/>
          <w:lang w:eastAsia="ja-JP"/>
        </w:rPr>
        <w:t xml:space="preserve"> </w:t>
      </w:r>
      <w:r w:rsidR="00F014D9">
        <w:rPr>
          <w:rFonts w:ascii="Times New Roman" w:eastAsia="Cambria" w:hAnsi="Times New Roman"/>
          <w:szCs w:val="24"/>
          <w:lang w:eastAsia="ja-JP"/>
        </w:rPr>
        <w:t xml:space="preserve">Procedural </w:t>
      </w:r>
      <w:r w:rsidR="008631A0" w:rsidRPr="0074681A">
        <w:rPr>
          <w:rFonts w:ascii="Times New Roman" w:eastAsia="Cambria" w:hAnsi="Times New Roman"/>
          <w:szCs w:val="24"/>
          <w:lang w:eastAsia="ja-JP"/>
        </w:rPr>
        <w:t>rights enhance victims’ ability to pursue their interests.</w:t>
      </w:r>
      <w:r w:rsidR="00D638F7">
        <w:rPr>
          <w:rFonts w:ascii="Times New Roman" w:eastAsia="Cambria" w:hAnsi="Times New Roman"/>
          <w:szCs w:val="24"/>
          <w:lang w:eastAsia="ja-JP"/>
        </w:rPr>
        <w:t xml:space="preserve"> </w:t>
      </w:r>
      <w:r w:rsidR="008631A0" w:rsidRPr="0074681A">
        <w:rPr>
          <w:rFonts w:ascii="Times New Roman" w:eastAsia="Cambria" w:hAnsi="Times New Roman"/>
          <w:szCs w:val="24"/>
          <w:lang w:eastAsia="ja-JP"/>
        </w:rPr>
        <w:t xml:space="preserve">The exercise of these rights </w:t>
      </w:r>
      <w:r w:rsidR="00D638F7">
        <w:rPr>
          <w:rFonts w:ascii="Times New Roman" w:eastAsia="Cambria" w:hAnsi="Times New Roman"/>
          <w:szCs w:val="24"/>
          <w:lang w:eastAsia="ja-JP"/>
        </w:rPr>
        <w:t>is</w:t>
      </w:r>
      <w:r w:rsidR="008631A0" w:rsidRPr="0074681A">
        <w:rPr>
          <w:rFonts w:ascii="Times New Roman" w:eastAsia="Cambria" w:hAnsi="Times New Roman"/>
          <w:szCs w:val="24"/>
          <w:lang w:eastAsia="ja-JP"/>
        </w:rPr>
        <w:t xml:space="preserve"> not absolute.</w:t>
      </w:r>
      <w:r w:rsidR="00987616" w:rsidRPr="0074681A">
        <w:rPr>
          <w:rStyle w:val="FootnoteReference"/>
          <w:rFonts w:ascii="Times New Roman" w:eastAsia="Cambria" w:hAnsi="Times New Roman"/>
          <w:szCs w:val="24"/>
          <w:lang w:eastAsia="ja-JP"/>
        </w:rPr>
        <w:footnoteReference w:id="832"/>
      </w:r>
      <w:r w:rsidR="00681FEF">
        <w:rPr>
          <w:rFonts w:ascii="Times New Roman" w:eastAsia="Cambria" w:hAnsi="Times New Roman"/>
          <w:szCs w:val="24"/>
          <w:lang w:eastAsia="ja-JP"/>
        </w:rPr>
        <w:t>It</w:t>
      </w:r>
      <w:r w:rsidR="008631A0" w:rsidRPr="0074681A">
        <w:rPr>
          <w:rFonts w:ascii="Times New Roman" w:eastAsia="Cambria" w:hAnsi="Times New Roman"/>
          <w:szCs w:val="24"/>
          <w:lang w:eastAsia="ja-JP"/>
        </w:rPr>
        <w:t xml:space="preserve"> assists in making their experience during the proceedings fair and favourable.</w:t>
      </w:r>
      <w:r w:rsidR="00D638F7">
        <w:rPr>
          <w:rFonts w:ascii="Times New Roman" w:eastAsia="Cambria" w:hAnsi="Times New Roman"/>
          <w:szCs w:val="24"/>
          <w:lang w:eastAsia="ja-JP"/>
        </w:rPr>
        <w:t xml:space="preserve"> </w:t>
      </w:r>
      <w:r w:rsidR="008631A0" w:rsidRPr="0074681A">
        <w:rPr>
          <w:rFonts w:ascii="Times New Roman" w:eastAsia="Cambria" w:hAnsi="Times New Roman"/>
          <w:szCs w:val="24"/>
          <w:lang w:eastAsia="ja-JP"/>
        </w:rPr>
        <w:t xml:space="preserve">It is not </w:t>
      </w:r>
      <w:r w:rsidR="006B3E69">
        <w:rPr>
          <w:rFonts w:ascii="Times New Roman" w:eastAsia="Cambria" w:hAnsi="Times New Roman"/>
          <w:szCs w:val="24"/>
          <w:lang w:eastAsia="ja-JP"/>
        </w:rPr>
        <w:t>sure</w:t>
      </w:r>
      <w:r w:rsidR="008631A0" w:rsidRPr="0074681A">
        <w:rPr>
          <w:rFonts w:ascii="Times New Roman" w:eastAsia="Cambria" w:hAnsi="Times New Roman"/>
          <w:szCs w:val="24"/>
          <w:lang w:eastAsia="ja-JP"/>
        </w:rPr>
        <w:t xml:space="preserve"> if these rights foster a favourable outcome/decision. Nevertheless, </w:t>
      </w:r>
      <w:r w:rsidR="00D638F7">
        <w:rPr>
          <w:rFonts w:ascii="Times New Roman" w:eastAsia="Cambria" w:hAnsi="Times New Roman"/>
          <w:szCs w:val="24"/>
          <w:lang w:eastAsia="ja-JP"/>
        </w:rPr>
        <w:t xml:space="preserve">the </w:t>
      </w:r>
      <w:r w:rsidR="008631A0" w:rsidRPr="0074681A">
        <w:rPr>
          <w:rFonts w:ascii="Times New Roman" w:eastAsia="Cambria" w:hAnsi="Times New Roman"/>
          <w:szCs w:val="24"/>
          <w:lang w:eastAsia="ja-JP"/>
        </w:rPr>
        <w:t xml:space="preserve">failure of the court to </w:t>
      </w:r>
      <w:r w:rsidR="00F014D9">
        <w:rPr>
          <w:rFonts w:ascii="Times New Roman" w:eastAsia="Cambria" w:hAnsi="Times New Roman"/>
          <w:szCs w:val="24"/>
          <w:lang w:eastAsia="ja-JP"/>
        </w:rPr>
        <w:t>consider these rights</w:t>
      </w:r>
      <w:r w:rsidR="008631A0" w:rsidRPr="0074681A">
        <w:rPr>
          <w:rFonts w:ascii="Times New Roman" w:eastAsia="Cambria" w:hAnsi="Times New Roman"/>
          <w:szCs w:val="24"/>
          <w:lang w:eastAsia="ja-JP"/>
        </w:rPr>
        <w:t xml:space="preserve"> may incur procedural injustice for victims.</w:t>
      </w:r>
    </w:p>
    <w:p w14:paraId="2BCCC26F" w14:textId="17CEA33A" w:rsidR="00047353" w:rsidRPr="0074681A" w:rsidRDefault="00047353" w:rsidP="001B6656">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Due to logistics and administrative reasons,</w:t>
      </w:r>
      <w:r w:rsidR="00F014D9">
        <w:rPr>
          <w:rFonts w:ascii="Times New Roman" w:eastAsia="Cambria" w:hAnsi="Times New Roman"/>
          <w:szCs w:val="24"/>
          <w:lang w:eastAsia="ja-JP"/>
        </w:rPr>
        <w:t xml:space="preserve"> it is noted that</w:t>
      </w:r>
      <w:r>
        <w:rPr>
          <w:rFonts w:ascii="Times New Roman" w:eastAsia="Cambria" w:hAnsi="Times New Roman"/>
          <w:szCs w:val="24"/>
          <w:lang w:eastAsia="ja-JP"/>
        </w:rPr>
        <w:t xml:space="preserve"> victims cannot participate directly at the ICC. </w:t>
      </w:r>
      <w:r w:rsidR="005C3318">
        <w:rPr>
          <w:rFonts w:ascii="Times New Roman" w:eastAsia="Cambria" w:hAnsi="Times New Roman"/>
          <w:szCs w:val="24"/>
          <w:lang w:eastAsia="ja-JP"/>
        </w:rPr>
        <w:t xml:space="preserve">Hence, the need for </w:t>
      </w:r>
      <w:proofErr w:type="spellStart"/>
      <w:r w:rsidR="005C3318">
        <w:rPr>
          <w:rFonts w:ascii="Times New Roman" w:eastAsia="Cambria" w:hAnsi="Times New Roman"/>
          <w:szCs w:val="24"/>
          <w:lang w:eastAsia="ja-JP"/>
        </w:rPr>
        <w:t>LRVs.The</w:t>
      </w:r>
      <w:proofErr w:type="spellEnd"/>
      <w:r w:rsidR="005C3318">
        <w:rPr>
          <w:rFonts w:ascii="Times New Roman" w:eastAsia="Cambria" w:hAnsi="Times New Roman"/>
          <w:szCs w:val="24"/>
          <w:lang w:eastAsia="ja-JP"/>
        </w:rPr>
        <w:t xml:space="preserve"> role of LRVs includes acting as </w:t>
      </w:r>
      <w:r>
        <w:rPr>
          <w:rFonts w:ascii="Times New Roman" w:eastAsia="Cambria" w:hAnsi="Times New Roman"/>
          <w:szCs w:val="24"/>
          <w:lang w:eastAsia="ja-JP"/>
        </w:rPr>
        <w:t>a channel of information</w:t>
      </w:r>
      <w:r w:rsidR="005C3318">
        <w:rPr>
          <w:rFonts w:ascii="Times New Roman" w:eastAsia="Cambria" w:hAnsi="Times New Roman"/>
          <w:szCs w:val="24"/>
          <w:lang w:eastAsia="ja-JP"/>
        </w:rPr>
        <w:t xml:space="preserve"> to victims</w:t>
      </w:r>
      <w:r w:rsidR="00F014D9">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833"/>
      </w:r>
      <w:r>
        <w:rPr>
          <w:rFonts w:ascii="Times New Roman" w:eastAsia="Cambria" w:hAnsi="Times New Roman"/>
          <w:szCs w:val="24"/>
          <w:lang w:eastAsia="ja-JP"/>
        </w:rPr>
        <w:t xml:space="preserve">  the dissemination of information to the victims,</w:t>
      </w:r>
      <w:r w:rsidR="00763A0B">
        <w:rPr>
          <w:rFonts w:ascii="Times New Roman" w:eastAsia="Cambria" w:hAnsi="Times New Roman"/>
          <w:szCs w:val="24"/>
          <w:lang w:eastAsia="ja-JP"/>
        </w:rPr>
        <w:t xml:space="preserve"> </w:t>
      </w:r>
      <w:r w:rsidR="005C3318">
        <w:rPr>
          <w:rFonts w:ascii="Times New Roman" w:eastAsia="Cambria" w:hAnsi="Times New Roman"/>
          <w:szCs w:val="24"/>
          <w:lang w:eastAsia="ja-JP"/>
        </w:rPr>
        <w:t xml:space="preserve">which increases the quality of interaction between victims and </w:t>
      </w:r>
      <w:proofErr w:type="spellStart"/>
      <w:r w:rsidR="005C3318">
        <w:rPr>
          <w:rFonts w:ascii="Times New Roman" w:eastAsia="Cambria" w:hAnsi="Times New Roman"/>
          <w:szCs w:val="24"/>
          <w:lang w:eastAsia="ja-JP"/>
        </w:rPr>
        <w:t>LRVs.Speculations</w:t>
      </w:r>
      <w:proofErr w:type="spellEnd"/>
      <w:r w:rsidR="005C3318">
        <w:rPr>
          <w:rFonts w:ascii="Times New Roman" w:eastAsia="Cambria" w:hAnsi="Times New Roman"/>
          <w:szCs w:val="24"/>
          <w:lang w:eastAsia="ja-JP"/>
        </w:rPr>
        <w:t xml:space="preserve"> still abound as to if LRVs genuinely represent </w:t>
      </w:r>
      <w:r w:rsidR="00340D66">
        <w:rPr>
          <w:rFonts w:ascii="Times New Roman" w:eastAsia="Cambria" w:hAnsi="Times New Roman"/>
          <w:szCs w:val="24"/>
          <w:lang w:eastAsia="ja-JP"/>
        </w:rPr>
        <w:t>victims' voice</w:t>
      </w:r>
      <w:r w:rsidR="007A5C56">
        <w:rPr>
          <w:rFonts w:ascii="Times New Roman" w:eastAsia="Cambria" w:hAnsi="Times New Roman"/>
          <w:szCs w:val="24"/>
          <w:lang w:eastAsia="ja-JP"/>
        </w:rPr>
        <w:t>, w</w:t>
      </w:r>
      <w:r w:rsidR="005C3318">
        <w:rPr>
          <w:rFonts w:ascii="Times New Roman" w:eastAsia="Cambria" w:hAnsi="Times New Roman"/>
          <w:szCs w:val="24"/>
          <w:lang w:eastAsia="ja-JP"/>
        </w:rPr>
        <w:t xml:space="preserve">hich questions the effectiveness of </w:t>
      </w:r>
      <w:r w:rsidR="007D0F7F">
        <w:rPr>
          <w:rFonts w:ascii="Times New Roman" w:eastAsia="Cambria" w:hAnsi="Times New Roman"/>
          <w:szCs w:val="24"/>
          <w:lang w:eastAsia="ja-JP"/>
        </w:rPr>
        <w:t>LRVs for channelling victims'</w:t>
      </w:r>
      <w:r w:rsidR="005C3318">
        <w:rPr>
          <w:rFonts w:ascii="Times New Roman" w:eastAsia="Cambria" w:hAnsi="Times New Roman"/>
          <w:szCs w:val="24"/>
          <w:lang w:eastAsia="ja-JP"/>
        </w:rPr>
        <w:t xml:space="preserve"> interests.</w:t>
      </w:r>
    </w:p>
    <w:p w14:paraId="0FD15B3F" w14:textId="4EED3164" w:rsidR="005F78F7" w:rsidRDefault="008631A0" w:rsidP="005F78F7">
      <w:pPr>
        <w:spacing w:after="0" w:line="480" w:lineRule="auto"/>
        <w:jc w:val="both"/>
        <w:rPr>
          <w:rFonts w:ascii="Times New Roman" w:eastAsia="Cambria" w:hAnsi="Times New Roman"/>
          <w:iCs/>
          <w:szCs w:val="24"/>
          <w:lang w:eastAsia="ja-JP"/>
        </w:rPr>
      </w:pPr>
      <w:r w:rsidRPr="0074681A">
        <w:rPr>
          <w:rFonts w:ascii="Times New Roman" w:eastAsia="Cambria" w:hAnsi="Times New Roman"/>
          <w:szCs w:val="24"/>
          <w:lang w:eastAsia="ja-JP"/>
        </w:rPr>
        <w:t xml:space="preserve">The most </w:t>
      </w:r>
      <w:r w:rsidR="00D638F7">
        <w:rPr>
          <w:rFonts w:ascii="Times New Roman" w:eastAsia="Cambria" w:hAnsi="Times New Roman"/>
          <w:szCs w:val="24"/>
          <w:lang w:eastAsia="ja-JP"/>
        </w:rPr>
        <w:t>apparent</w:t>
      </w:r>
      <w:r w:rsidRPr="0074681A">
        <w:rPr>
          <w:rFonts w:ascii="Times New Roman" w:eastAsia="Cambria" w:hAnsi="Times New Roman"/>
          <w:szCs w:val="24"/>
          <w:lang w:eastAsia="ja-JP"/>
        </w:rPr>
        <w:t xml:space="preserve"> finding depicts the application of </w:t>
      </w:r>
      <w:r w:rsidR="00301F1A">
        <w:rPr>
          <w:rFonts w:ascii="Times New Roman" w:eastAsia="Cambria" w:hAnsi="Times New Roman"/>
          <w:szCs w:val="24"/>
          <w:lang w:eastAsia="ja-JP"/>
        </w:rPr>
        <w:t>victims’</w:t>
      </w:r>
      <w:r w:rsidRPr="0074681A">
        <w:rPr>
          <w:rFonts w:ascii="Times New Roman" w:eastAsia="Cambria" w:hAnsi="Times New Roman"/>
          <w:szCs w:val="24"/>
          <w:lang w:eastAsia="ja-JP"/>
        </w:rPr>
        <w:t xml:space="preserve"> rights tends to lead to compet</w:t>
      </w:r>
      <w:r w:rsidR="001661CD" w:rsidRPr="0074681A">
        <w:rPr>
          <w:rFonts w:ascii="Times New Roman" w:eastAsia="Cambria" w:hAnsi="Times New Roman"/>
          <w:szCs w:val="24"/>
          <w:lang w:eastAsia="ja-JP"/>
        </w:rPr>
        <w:t>ing roles against the Prosecutor</w:t>
      </w:r>
      <w:r w:rsidRPr="0074681A">
        <w:rPr>
          <w:rFonts w:ascii="Times New Roman" w:eastAsia="Cambria" w:hAnsi="Times New Roman"/>
          <w:szCs w:val="24"/>
          <w:lang w:eastAsia="ja-JP"/>
        </w:rPr>
        <w:t xml:space="preserve"> or at times, the Defence. </w:t>
      </w:r>
      <w:r w:rsidR="001661CD" w:rsidRPr="0074681A">
        <w:rPr>
          <w:rFonts w:ascii="Times New Roman" w:eastAsia="Cambria" w:hAnsi="Times New Roman"/>
          <w:szCs w:val="24"/>
          <w:lang w:eastAsia="ja-JP"/>
        </w:rPr>
        <w:t>A notable example is the Chamber’s power to request evidence in the determination of truth.</w:t>
      </w:r>
      <w:r w:rsidR="00D638F7">
        <w:rPr>
          <w:rFonts w:ascii="Times New Roman" w:eastAsia="Cambria" w:hAnsi="Times New Roman"/>
          <w:szCs w:val="24"/>
          <w:lang w:eastAsia="ja-JP"/>
        </w:rPr>
        <w:t xml:space="preserve"> </w:t>
      </w:r>
      <w:r w:rsidR="001661CD" w:rsidRPr="0074681A">
        <w:rPr>
          <w:rFonts w:ascii="Times New Roman" w:eastAsia="Cambria" w:hAnsi="Times New Roman"/>
          <w:szCs w:val="24"/>
          <w:lang w:eastAsia="ja-JP"/>
        </w:rPr>
        <w:t>I</w:t>
      </w:r>
      <w:r w:rsidR="00340D66">
        <w:rPr>
          <w:rFonts w:ascii="Times New Roman" w:eastAsia="Cambria" w:hAnsi="Times New Roman"/>
          <w:szCs w:val="24"/>
          <w:lang w:eastAsia="ja-JP"/>
        </w:rPr>
        <w:t>n a mainly adversarial setting, it is a known fact that</w:t>
      </w:r>
      <w:r w:rsidR="001661CD" w:rsidRPr="0074681A">
        <w:rPr>
          <w:rFonts w:ascii="Times New Roman" w:eastAsia="Cambria" w:hAnsi="Times New Roman"/>
          <w:szCs w:val="24"/>
          <w:lang w:eastAsia="ja-JP"/>
        </w:rPr>
        <w:t xml:space="preserve"> it is within the </w:t>
      </w:r>
      <w:r w:rsidR="007D0F7F">
        <w:rPr>
          <w:rFonts w:ascii="Times New Roman" w:eastAsia="Cambria" w:hAnsi="Times New Roman"/>
          <w:szCs w:val="24"/>
          <w:lang w:eastAsia="ja-JP"/>
        </w:rPr>
        <w:t>parties' exclusive purview</w:t>
      </w:r>
      <w:r w:rsidR="001661CD" w:rsidRPr="0074681A">
        <w:rPr>
          <w:rFonts w:ascii="Times New Roman" w:eastAsia="Cambria" w:hAnsi="Times New Roman"/>
          <w:szCs w:val="24"/>
          <w:lang w:eastAsia="ja-JP"/>
        </w:rPr>
        <w:t xml:space="preserve"> to present evidence and question witnesses.</w:t>
      </w:r>
      <w:r w:rsidR="00D638F7">
        <w:rPr>
          <w:rFonts w:ascii="Times New Roman" w:eastAsia="Cambria" w:hAnsi="Times New Roman"/>
          <w:szCs w:val="24"/>
          <w:lang w:eastAsia="ja-JP"/>
        </w:rPr>
        <w:t xml:space="preserve"> </w:t>
      </w:r>
      <w:r w:rsidR="00D208C1" w:rsidRPr="0074681A">
        <w:rPr>
          <w:rFonts w:ascii="Times New Roman" w:eastAsia="Cambria" w:hAnsi="Times New Roman"/>
          <w:szCs w:val="24"/>
          <w:lang w:eastAsia="ja-JP"/>
        </w:rPr>
        <w:t xml:space="preserve">While the ICC criminal procedural is </w:t>
      </w:r>
      <w:r w:rsidR="00D208C1" w:rsidRPr="0074681A">
        <w:rPr>
          <w:rFonts w:ascii="Times New Roman" w:eastAsia="Cambria" w:hAnsi="Times New Roman"/>
          <w:szCs w:val="24"/>
          <w:lang w:eastAsia="ja-JP"/>
        </w:rPr>
        <w:lastRenderedPageBreak/>
        <w:t>mixed/hybrid,</w:t>
      </w:r>
      <w:r w:rsidR="00D208C1" w:rsidRPr="0074681A">
        <w:rPr>
          <w:rStyle w:val="FootnoteReference"/>
          <w:rFonts w:ascii="Times New Roman" w:eastAsia="Cambria" w:hAnsi="Times New Roman"/>
          <w:szCs w:val="24"/>
          <w:lang w:eastAsia="ja-JP"/>
        </w:rPr>
        <w:footnoteReference w:id="834"/>
      </w:r>
      <w:r w:rsidR="001661CD" w:rsidRPr="0074681A">
        <w:rPr>
          <w:rFonts w:ascii="Times New Roman" w:eastAsia="Cambria" w:hAnsi="Times New Roman"/>
          <w:szCs w:val="24"/>
          <w:lang w:eastAsia="ja-JP"/>
        </w:rPr>
        <w:t xml:space="preserve"> Victims as a third party</w:t>
      </w:r>
      <w:r w:rsidR="00AF7865" w:rsidRPr="0074681A">
        <w:rPr>
          <w:rFonts w:ascii="Times New Roman" w:eastAsia="Cambria" w:hAnsi="Times New Roman"/>
          <w:szCs w:val="24"/>
          <w:lang w:eastAsia="ja-JP"/>
        </w:rPr>
        <w:t xml:space="preserve"> does not have the right to adduce evidence.</w:t>
      </w:r>
      <w:r w:rsidR="00987616" w:rsidRPr="0074681A">
        <w:rPr>
          <w:rStyle w:val="FootnoteReference"/>
          <w:rFonts w:ascii="Times New Roman" w:eastAsia="Cambria" w:hAnsi="Times New Roman"/>
          <w:szCs w:val="24"/>
          <w:lang w:eastAsia="ja-JP"/>
        </w:rPr>
        <w:footnoteReference w:id="835"/>
      </w:r>
      <w:r w:rsidR="00987616" w:rsidRPr="0074681A">
        <w:rPr>
          <w:rFonts w:ascii="Times New Roman" w:eastAsia="Cambria" w:hAnsi="Times New Roman"/>
          <w:szCs w:val="24"/>
          <w:lang w:eastAsia="ja-JP"/>
        </w:rPr>
        <w:t>Despite that</w:t>
      </w:r>
      <w:r w:rsidR="00D638F7">
        <w:rPr>
          <w:rFonts w:ascii="Times New Roman" w:eastAsia="Cambria" w:hAnsi="Times New Roman"/>
          <w:szCs w:val="24"/>
          <w:lang w:eastAsia="ja-JP"/>
        </w:rPr>
        <w:t>,</w:t>
      </w:r>
      <w:r w:rsidR="00987616" w:rsidRPr="0074681A">
        <w:rPr>
          <w:rFonts w:ascii="Times New Roman" w:eastAsia="Cambria" w:hAnsi="Times New Roman"/>
          <w:szCs w:val="24"/>
          <w:lang w:eastAsia="ja-JP"/>
        </w:rPr>
        <w:t xml:space="preserve"> this function offsets the equality of arms</w:t>
      </w:r>
      <w:r w:rsidR="00D638F7">
        <w:rPr>
          <w:rFonts w:ascii="Times New Roman" w:eastAsia="Cambria" w:hAnsi="Times New Roman"/>
          <w:szCs w:val="24"/>
          <w:lang w:eastAsia="ja-JP"/>
        </w:rPr>
        <w:t>.</w:t>
      </w:r>
      <w:r w:rsidR="00987616" w:rsidRPr="0074681A">
        <w:rPr>
          <w:rFonts w:ascii="Times New Roman" w:eastAsia="Cambria" w:hAnsi="Times New Roman"/>
          <w:szCs w:val="24"/>
          <w:lang w:eastAsia="ja-JP"/>
        </w:rPr>
        <w:t xml:space="preserve"> It also changes the role of victims at the criminal proceedings.</w:t>
      </w:r>
      <w:r w:rsidR="00D208C1" w:rsidRPr="0074681A">
        <w:rPr>
          <w:rFonts w:ascii="Times New Roman" w:eastAsia="Cambria" w:hAnsi="Times New Roman"/>
          <w:szCs w:val="24"/>
          <w:lang w:eastAsia="ja-JP"/>
        </w:rPr>
        <w:t xml:space="preserve"> </w:t>
      </w:r>
      <w:r w:rsidR="00D638F7">
        <w:rPr>
          <w:rFonts w:ascii="Times New Roman" w:eastAsia="Cambria" w:hAnsi="Times New Roman"/>
          <w:szCs w:val="24"/>
          <w:lang w:eastAsia="ja-JP"/>
        </w:rPr>
        <w:t>Therefore, g</w:t>
      </w:r>
      <w:r w:rsidR="00D208C1" w:rsidRPr="0074681A">
        <w:rPr>
          <w:rFonts w:ascii="Times New Roman" w:eastAsia="Cambria" w:hAnsi="Times New Roman"/>
          <w:szCs w:val="24"/>
          <w:lang w:eastAsia="ja-JP"/>
        </w:rPr>
        <w:t>iving victims an edge over being a third party.</w:t>
      </w:r>
      <w:r w:rsidR="00D638F7">
        <w:rPr>
          <w:rFonts w:ascii="Times New Roman" w:eastAsia="Cambria" w:hAnsi="Times New Roman"/>
          <w:szCs w:val="24"/>
          <w:lang w:eastAsia="ja-JP"/>
        </w:rPr>
        <w:t xml:space="preserve"> </w:t>
      </w:r>
      <w:r w:rsidR="00D208C1" w:rsidRPr="0074681A">
        <w:rPr>
          <w:rFonts w:ascii="Times New Roman" w:eastAsia="Cambria" w:hAnsi="Times New Roman"/>
          <w:szCs w:val="24"/>
          <w:lang w:eastAsia="ja-JP"/>
        </w:rPr>
        <w:t xml:space="preserve">The </w:t>
      </w:r>
      <w:r w:rsidR="00340D66">
        <w:rPr>
          <w:rFonts w:ascii="Times New Roman" w:eastAsia="Cambria" w:hAnsi="Times New Roman"/>
          <w:szCs w:val="24"/>
          <w:lang w:eastAsia="ja-JP"/>
        </w:rPr>
        <w:t>Chambers' power to call victims to adduce evidence or question witnesses confirms Ambos’ proposition,</w:t>
      </w:r>
      <w:r w:rsidR="00D208C1" w:rsidRPr="0074681A">
        <w:rPr>
          <w:rFonts w:ascii="Times New Roman" w:eastAsia="Cambria" w:hAnsi="Times New Roman"/>
          <w:szCs w:val="24"/>
          <w:lang w:eastAsia="ja-JP"/>
        </w:rPr>
        <w:t xml:space="preserve"> which states it is less significant if a rule is ‘adversarial’ or ‘inquisitorial’, but opines that what matters is if the rule facilitates the tribunals in accomplishing their tasks</w:t>
      </w:r>
      <w:r w:rsidR="00305BF0" w:rsidRPr="0074681A">
        <w:rPr>
          <w:rFonts w:ascii="Times New Roman" w:eastAsia="Cambria" w:hAnsi="Times New Roman"/>
          <w:szCs w:val="24"/>
          <w:lang w:eastAsia="ja-JP"/>
        </w:rPr>
        <w:t>.</w:t>
      </w:r>
      <w:r w:rsidR="005F78F7">
        <w:rPr>
          <w:rStyle w:val="FootnoteReference"/>
          <w:rFonts w:ascii="Times New Roman" w:eastAsia="Cambria" w:hAnsi="Times New Roman"/>
          <w:szCs w:val="24"/>
          <w:lang w:eastAsia="ja-JP"/>
        </w:rPr>
        <w:footnoteReference w:id="836"/>
      </w:r>
      <w:r w:rsidR="00D638F7">
        <w:rPr>
          <w:rFonts w:ascii="Times New Roman" w:eastAsia="Cambria" w:hAnsi="Times New Roman"/>
          <w:szCs w:val="24"/>
          <w:lang w:eastAsia="ja-JP"/>
        </w:rPr>
        <w:t xml:space="preserve"> </w:t>
      </w:r>
      <w:r w:rsidR="005F78F7">
        <w:rPr>
          <w:rFonts w:ascii="Times New Roman" w:eastAsia="Cambria" w:hAnsi="Times New Roman"/>
          <w:iCs/>
          <w:szCs w:val="24"/>
          <w:lang w:eastAsia="ja-JP"/>
        </w:rPr>
        <w:t>The Chamber’s ruling that victims can present evidence and question witnesses for the determination of truth demonstrate the fluidity and characterisation of victims</w:t>
      </w:r>
      <w:r w:rsidR="00340D66">
        <w:rPr>
          <w:rFonts w:ascii="Times New Roman" w:eastAsia="Cambria" w:hAnsi="Times New Roman"/>
          <w:iCs/>
          <w:szCs w:val="24"/>
          <w:lang w:eastAsia="ja-JP"/>
        </w:rPr>
        <w:t>' role and</w:t>
      </w:r>
      <w:r w:rsidR="005F78F7">
        <w:rPr>
          <w:rFonts w:ascii="Times New Roman" w:eastAsia="Cambria" w:hAnsi="Times New Roman"/>
          <w:iCs/>
          <w:szCs w:val="24"/>
          <w:lang w:eastAsia="ja-JP"/>
        </w:rPr>
        <w:t xml:space="preserve"> the trajectory of victims</w:t>
      </w:r>
      <w:r w:rsidR="007D0F7F">
        <w:rPr>
          <w:rFonts w:ascii="Times New Roman" w:eastAsia="Cambria" w:hAnsi="Times New Roman"/>
          <w:iCs/>
          <w:szCs w:val="24"/>
          <w:lang w:eastAsia="ja-JP"/>
        </w:rPr>
        <w:t>' right to truth and the ICC's objective</w:t>
      </w:r>
      <w:r w:rsidR="005F78F7">
        <w:rPr>
          <w:rFonts w:ascii="Times New Roman" w:eastAsia="Cambria" w:hAnsi="Times New Roman"/>
          <w:iCs/>
          <w:szCs w:val="24"/>
          <w:lang w:eastAsia="ja-JP"/>
        </w:rPr>
        <w:t xml:space="preserve"> in truth-finding.</w:t>
      </w:r>
    </w:p>
    <w:p w14:paraId="741DDA34" w14:textId="3848EEA2" w:rsidR="005F78F7" w:rsidRDefault="005F78F7" w:rsidP="005F78F7">
      <w:pPr>
        <w:spacing w:after="0" w:line="480" w:lineRule="auto"/>
        <w:jc w:val="both"/>
        <w:rPr>
          <w:rFonts w:ascii="Times New Roman" w:eastAsia="Cambria" w:hAnsi="Times New Roman"/>
          <w:iCs/>
          <w:szCs w:val="24"/>
          <w:lang w:eastAsia="ja-JP"/>
        </w:rPr>
      </w:pPr>
    </w:p>
    <w:p w14:paraId="60F78C80" w14:textId="104B75A8" w:rsidR="005F78F7" w:rsidRPr="00AB7554" w:rsidRDefault="005F78F7" w:rsidP="005F78F7">
      <w:pPr>
        <w:spacing w:after="0" w:line="480" w:lineRule="auto"/>
        <w:jc w:val="both"/>
        <w:rPr>
          <w:rFonts w:ascii="Times New Roman" w:eastAsia="Cambria" w:hAnsi="Times New Roman"/>
          <w:iCs/>
          <w:szCs w:val="24"/>
          <w:lang w:eastAsia="ja-JP"/>
        </w:rPr>
      </w:pPr>
      <w:r>
        <w:rPr>
          <w:rFonts w:ascii="Times New Roman" w:eastAsia="Cambria" w:hAnsi="Times New Roman"/>
          <w:iCs/>
          <w:szCs w:val="24"/>
          <w:lang w:eastAsia="ja-JP"/>
        </w:rPr>
        <w:t xml:space="preserve">Some of the judges are cautious not to allow </w:t>
      </w:r>
      <w:proofErr w:type="spellStart"/>
      <w:r>
        <w:rPr>
          <w:rFonts w:ascii="Times New Roman" w:eastAsia="Cambria" w:hAnsi="Times New Roman"/>
          <w:iCs/>
          <w:szCs w:val="24"/>
          <w:lang w:eastAsia="ja-JP"/>
        </w:rPr>
        <w:t>victims</w:t>
      </w:r>
      <w:proofErr w:type="spellEnd"/>
      <w:r>
        <w:rPr>
          <w:rFonts w:ascii="Times New Roman" w:eastAsia="Cambria" w:hAnsi="Times New Roman"/>
          <w:iCs/>
          <w:szCs w:val="24"/>
          <w:lang w:eastAsia="ja-JP"/>
        </w:rPr>
        <w:t xml:space="preserve"> rights and interests override the </w:t>
      </w:r>
      <w:r w:rsidR="00340D66">
        <w:rPr>
          <w:rFonts w:ascii="Times New Roman" w:eastAsia="Cambria" w:hAnsi="Times New Roman"/>
          <w:iCs/>
          <w:szCs w:val="24"/>
          <w:lang w:eastAsia="ja-JP"/>
        </w:rPr>
        <w:t>court's mandate</w:t>
      </w:r>
      <w:r>
        <w:rPr>
          <w:rFonts w:ascii="Times New Roman" w:eastAsia="Cambria" w:hAnsi="Times New Roman"/>
          <w:iCs/>
          <w:szCs w:val="24"/>
          <w:lang w:eastAsia="ja-JP"/>
        </w:rPr>
        <w:t xml:space="preserve">. They drew boundaries on the </w:t>
      </w:r>
      <w:r w:rsidR="00340D66">
        <w:rPr>
          <w:rFonts w:ascii="Times New Roman" w:eastAsia="Cambria" w:hAnsi="Times New Roman"/>
          <w:iCs/>
          <w:szCs w:val="24"/>
          <w:lang w:eastAsia="ja-JP"/>
        </w:rPr>
        <w:t>court's underlying functions</w:t>
      </w:r>
      <w:r>
        <w:rPr>
          <w:rFonts w:ascii="Times New Roman" w:eastAsia="Cambria" w:hAnsi="Times New Roman"/>
          <w:iCs/>
          <w:szCs w:val="24"/>
          <w:lang w:eastAsia="ja-JP"/>
        </w:rPr>
        <w:t xml:space="preserve"> and the role of TRCs in story-telling as a therapeutic function. </w:t>
      </w:r>
    </w:p>
    <w:p w14:paraId="172F0527" w14:textId="77777777" w:rsidR="005F78F7" w:rsidRDefault="005F78F7" w:rsidP="001B6656">
      <w:pPr>
        <w:spacing w:line="480" w:lineRule="auto"/>
        <w:jc w:val="both"/>
        <w:rPr>
          <w:rFonts w:ascii="Times New Roman" w:eastAsia="Cambria" w:hAnsi="Times New Roman"/>
          <w:szCs w:val="24"/>
          <w:lang w:eastAsia="ja-JP"/>
        </w:rPr>
      </w:pPr>
    </w:p>
    <w:p w14:paraId="67B61216" w14:textId="2476829A" w:rsidR="00D92908" w:rsidRPr="0074681A" w:rsidRDefault="00D92908" w:rsidP="001B6656">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It is recommended that </w:t>
      </w:r>
      <w:r w:rsidR="00301F1A">
        <w:rPr>
          <w:rFonts w:ascii="Times New Roman" w:eastAsia="Cambria" w:hAnsi="Times New Roman"/>
          <w:szCs w:val="24"/>
          <w:lang w:eastAsia="ja-JP"/>
        </w:rPr>
        <w:t xml:space="preserve">the </w:t>
      </w:r>
      <w:r w:rsidR="00340D66">
        <w:rPr>
          <w:rFonts w:ascii="Times New Roman" w:eastAsia="Cambria" w:hAnsi="Times New Roman"/>
          <w:szCs w:val="24"/>
          <w:lang w:eastAsia="ja-JP"/>
        </w:rPr>
        <w:t>staff's composition</w:t>
      </w:r>
      <w:r>
        <w:rPr>
          <w:rFonts w:ascii="Times New Roman" w:eastAsia="Cambria" w:hAnsi="Times New Roman"/>
          <w:szCs w:val="24"/>
          <w:lang w:eastAsia="ja-JP"/>
        </w:rPr>
        <w:t>,</w:t>
      </w:r>
      <w:r w:rsidR="00301F1A">
        <w:rPr>
          <w:rFonts w:ascii="Times New Roman" w:eastAsia="Cambria" w:hAnsi="Times New Roman"/>
          <w:szCs w:val="24"/>
          <w:lang w:eastAsia="ja-JP"/>
        </w:rPr>
        <w:t xml:space="preserve"> specifically</w:t>
      </w:r>
      <w:r>
        <w:rPr>
          <w:rFonts w:ascii="Times New Roman" w:eastAsia="Cambria" w:hAnsi="Times New Roman"/>
          <w:szCs w:val="24"/>
          <w:lang w:eastAsia="ja-JP"/>
        </w:rPr>
        <w:t xml:space="preserve"> the LRVs</w:t>
      </w:r>
      <w:r w:rsidR="00301F1A">
        <w:rPr>
          <w:rFonts w:ascii="Times New Roman" w:eastAsia="Cambria" w:hAnsi="Times New Roman"/>
          <w:szCs w:val="24"/>
          <w:lang w:eastAsia="ja-JP"/>
        </w:rPr>
        <w:t>,</w:t>
      </w:r>
      <w:r>
        <w:rPr>
          <w:rFonts w:ascii="Times New Roman" w:eastAsia="Cambria" w:hAnsi="Times New Roman"/>
          <w:szCs w:val="24"/>
          <w:lang w:eastAsia="ja-JP"/>
        </w:rPr>
        <w:t xml:space="preserve"> should reflect the interested victims</w:t>
      </w:r>
      <w:r w:rsidR="00301F1A">
        <w:rPr>
          <w:rFonts w:ascii="Times New Roman" w:eastAsia="Cambria" w:hAnsi="Times New Roman"/>
          <w:szCs w:val="24"/>
          <w:lang w:eastAsia="ja-JP"/>
        </w:rPr>
        <w:t>'</w:t>
      </w:r>
      <w:r>
        <w:rPr>
          <w:rFonts w:ascii="Times New Roman" w:eastAsia="Cambria" w:hAnsi="Times New Roman"/>
          <w:szCs w:val="24"/>
          <w:lang w:eastAsia="ja-JP"/>
        </w:rPr>
        <w:t xml:space="preserve"> background and countries.</w:t>
      </w:r>
      <w:r w:rsidR="006B3E69">
        <w:rPr>
          <w:rFonts w:ascii="Times New Roman" w:eastAsia="Cambria" w:hAnsi="Times New Roman"/>
          <w:szCs w:val="24"/>
          <w:lang w:eastAsia="ja-JP"/>
        </w:rPr>
        <w:t xml:space="preserve"> Generally, there seems to be a gap between the court and victims </w:t>
      </w:r>
      <w:r w:rsidR="00340D66">
        <w:rPr>
          <w:rFonts w:ascii="Times New Roman" w:eastAsia="Cambria" w:hAnsi="Times New Roman"/>
          <w:szCs w:val="24"/>
          <w:lang w:eastAsia="ja-JP"/>
        </w:rPr>
        <w:t>due to</w:t>
      </w:r>
      <w:r w:rsidR="006B3E69">
        <w:rPr>
          <w:rFonts w:ascii="Times New Roman" w:eastAsia="Cambria" w:hAnsi="Times New Roman"/>
          <w:szCs w:val="24"/>
          <w:lang w:eastAsia="ja-JP"/>
        </w:rPr>
        <w:t xml:space="preserve"> cultural, physical and institutional differences.</w:t>
      </w:r>
      <w:r w:rsidR="006B3E69">
        <w:rPr>
          <w:rStyle w:val="FootnoteReference"/>
          <w:rFonts w:ascii="Times New Roman" w:eastAsia="Cambria" w:hAnsi="Times New Roman"/>
          <w:szCs w:val="24"/>
          <w:lang w:eastAsia="ja-JP"/>
        </w:rPr>
        <w:footnoteReference w:id="837"/>
      </w:r>
      <w:r w:rsidR="006B3E69">
        <w:rPr>
          <w:rFonts w:ascii="Times New Roman" w:eastAsia="Cambria" w:hAnsi="Times New Roman"/>
          <w:szCs w:val="24"/>
          <w:lang w:eastAsia="ja-JP"/>
        </w:rPr>
        <w:t xml:space="preserve"> </w:t>
      </w:r>
      <w:r w:rsidR="006B3E69">
        <w:rPr>
          <w:rFonts w:ascii="Times New Roman" w:eastAsia="Cambria" w:hAnsi="Times New Roman"/>
          <w:szCs w:val="24"/>
          <w:lang w:eastAsia="ja-JP"/>
        </w:rPr>
        <w:lastRenderedPageBreak/>
        <w:t>Nevertheless, th</w:t>
      </w:r>
      <w:r w:rsidR="00BB5E13">
        <w:rPr>
          <w:rFonts w:ascii="Times New Roman" w:eastAsia="Cambria" w:hAnsi="Times New Roman"/>
          <w:szCs w:val="24"/>
          <w:lang w:eastAsia="ja-JP"/>
        </w:rPr>
        <w:t>is</w:t>
      </w:r>
      <w:r w:rsidR="006B3E69">
        <w:rPr>
          <w:rFonts w:ascii="Times New Roman" w:eastAsia="Cambria" w:hAnsi="Times New Roman"/>
          <w:szCs w:val="24"/>
          <w:lang w:eastAsia="ja-JP"/>
        </w:rPr>
        <w:t xml:space="preserve"> disparity is upon the court’s neutrality and impartiality. Unfortunately, the distance has led to </w:t>
      </w:r>
      <w:r>
        <w:rPr>
          <w:rFonts w:ascii="Times New Roman" w:eastAsia="Cambria" w:hAnsi="Times New Roman"/>
          <w:szCs w:val="24"/>
          <w:lang w:eastAsia="ja-JP"/>
        </w:rPr>
        <w:t>a disconnect between victims and the LRVs. -famil</w:t>
      </w:r>
      <w:r w:rsidR="00301F1A">
        <w:rPr>
          <w:rFonts w:ascii="Times New Roman" w:eastAsia="Cambria" w:hAnsi="Times New Roman"/>
          <w:szCs w:val="24"/>
          <w:lang w:eastAsia="ja-JP"/>
        </w:rPr>
        <w:t>i</w:t>
      </w:r>
      <w:r>
        <w:rPr>
          <w:rFonts w:ascii="Times New Roman" w:eastAsia="Cambria" w:hAnsi="Times New Roman"/>
          <w:szCs w:val="24"/>
          <w:lang w:eastAsia="ja-JP"/>
        </w:rPr>
        <w:t>arisation between victims and their LRVs could also increase victims satisfaction.</w:t>
      </w:r>
      <w:r w:rsidR="00301F1A">
        <w:rPr>
          <w:rFonts w:ascii="Times New Roman" w:eastAsia="Cambria" w:hAnsi="Times New Roman"/>
          <w:szCs w:val="24"/>
          <w:lang w:eastAsia="ja-JP"/>
        </w:rPr>
        <w:t xml:space="preserve"> An enhanced victim engagement by the ICC would ensure enforcement of victims’ rights and interests.</w:t>
      </w:r>
    </w:p>
    <w:p w14:paraId="1A96C557" w14:textId="63169694" w:rsidR="000060B1" w:rsidRPr="0074681A" w:rsidRDefault="00394C1C" w:rsidP="001B6656">
      <w:pPr>
        <w:spacing w:after="0" w:line="480" w:lineRule="auto"/>
        <w:jc w:val="both"/>
        <w:rPr>
          <w:rFonts w:ascii="Times New Roman" w:eastAsia="Cambria" w:hAnsi="Times New Roman"/>
          <w:szCs w:val="24"/>
          <w:lang w:eastAsia="ja-JP"/>
        </w:rPr>
      </w:pPr>
      <w:r w:rsidRPr="0074681A">
        <w:rPr>
          <w:rFonts w:ascii="Times New Roman" w:eastAsia="Cambria" w:hAnsi="Times New Roman"/>
          <w:szCs w:val="24"/>
          <w:lang w:eastAsia="ja-JP"/>
        </w:rPr>
        <w:t xml:space="preserve">In the chapter that follows, </w:t>
      </w:r>
      <w:r w:rsidR="00F042BE">
        <w:rPr>
          <w:rFonts w:ascii="Times New Roman" w:eastAsia="Cambria" w:hAnsi="Times New Roman"/>
          <w:szCs w:val="24"/>
          <w:lang w:eastAsia="ja-JP"/>
        </w:rPr>
        <w:t>the researcher</w:t>
      </w:r>
      <w:r w:rsidRPr="0074681A">
        <w:rPr>
          <w:rFonts w:ascii="Times New Roman" w:eastAsia="Cambria" w:hAnsi="Times New Roman"/>
          <w:szCs w:val="24"/>
          <w:lang w:eastAsia="ja-JP"/>
        </w:rPr>
        <w:t xml:space="preserve"> present victim participation in sentencing.</w:t>
      </w:r>
      <w:r w:rsidR="000060B1" w:rsidRPr="000060B1">
        <w:rPr>
          <w:rFonts w:ascii="Times New Roman" w:eastAsia="Cambria" w:hAnsi="Times New Roman"/>
          <w:szCs w:val="24"/>
          <w:lang w:eastAsia="ja-JP"/>
        </w:rPr>
        <w:t xml:space="preserve"> </w:t>
      </w:r>
    </w:p>
    <w:p w14:paraId="251D6756" w14:textId="77777777" w:rsidR="00394C1C" w:rsidRPr="0074681A" w:rsidRDefault="00394C1C" w:rsidP="0074681A">
      <w:pPr>
        <w:spacing w:after="0" w:line="480" w:lineRule="auto"/>
        <w:jc w:val="both"/>
        <w:rPr>
          <w:rFonts w:ascii="Times New Roman" w:eastAsia="Cambria" w:hAnsi="Times New Roman"/>
          <w:szCs w:val="24"/>
          <w:lang w:eastAsia="ja-JP"/>
        </w:rPr>
      </w:pPr>
    </w:p>
    <w:p w14:paraId="741201B7" w14:textId="77777777" w:rsidR="004D5736" w:rsidRPr="00A41538" w:rsidRDefault="004D5736" w:rsidP="004D5736">
      <w:pPr>
        <w:rPr>
          <w:szCs w:val="24"/>
        </w:rPr>
      </w:pPr>
    </w:p>
    <w:p w14:paraId="71D8C183" w14:textId="77777777" w:rsidR="004D5736" w:rsidRPr="00A41538" w:rsidRDefault="004D5736" w:rsidP="004D5736">
      <w:pPr>
        <w:rPr>
          <w:szCs w:val="24"/>
        </w:rPr>
      </w:pPr>
    </w:p>
    <w:p w14:paraId="2384BE7F" w14:textId="77777777" w:rsidR="004D5736" w:rsidRPr="00A41538" w:rsidRDefault="004D5736" w:rsidP="004D5736">
      <w:pPr>
        <w:rPr>
          <w:szCs w:val="24"/>
        </w:rPr>
      </w:pPr>
    </w:p>
    <w:p w14:paraId="368CC403" w14:textId="77777777" w:rsidR="00ED0FBF" w:rsidRDefault="004D5736">
      <w:pPr>
        <w:spacing w:after="0" w:line="240" w:lineRule="auto"/>
        <w:sectPr w:rsidR="00ED0FBF" w:rsidSect="00260E21">
          <w:footnotePr>
            <w:pos w:val="beneathText"/>
            <w:numRestart w:val="eachSect"/>
          </w:footnotePr>
          <w:pgSz w:w="11906" w:h="16838"/>
          <w:pgMar w:top="1440" w:right="1797" w:bottom="1440" w:left="1797" w:header="709" w:footer="709" w:gutter="0"/>
          <w:cols w:space="708"/>
          <w:docGrid w:linePitch="360"/>
        </w:sectPr>
      </w:pPr>
      <w:r>
        <w:br w:type="page"/>
      </w:r>
    </w:p>
    <w:p w14:paraId="6339B6A5" w14:textId="77777777" w:rsidR="004D5736" w:rsidRPr="00A41538" w:rsidRDefault="004D5736" w:rsidP="00364EC8">
      <w:pPr>
        <w:pStyle w:val="Heading1"/>
      </w:pPr>
      <w:bookmarkStart w:id="45" w:name="_Toc60235822"/>
      <w:r>
        <w:lastRenderedPageBreak/>
        <w:t xml:space="preserve">Chapter </w:t>
      </w:r>
      <w:r w:rsidR="00B81B75">
        <w:t>4</w:t>
      </w:r>
      <w:bookmarkEnd w:id="45"/>
    </w:p>
    <w:p w14:paraId="3820B228" w14:textId="77777777" w:rsidR="004D5736" w:rsidRPr="00A41538" w:rsidRDefault="004D5736" w:rsidP="00364EC8">
      <w:pPr>
        <w:pStyle w:val="Heading2"/>
      </w:pPr>
      <w:bookmarkStart w:id="46" w:name="_Toc20497434"/>
      <w:bookmarkStart w:id="47" w:name="_Toc21896837"/>
      <w:r w:rsidRPr="00A41538">
        <w:rPr>
          <w:rStyle w:val="Heading1Char"/>
          <w:rFonts w:eastAsiaTheme="minorHAnsi"/>
        </w:rPr>
        <w:t xml:space="preserve"> </w:t>
      </w:r>
      <w:bookmarkStart w:id="48" w:name="_Toc21896838"/>
      <w:bookmarkStart w:id="49" w:name="_Toc60235823"/>
      <w:bookmarkEnd w:id="46"/>
      <w:bookmarkEnd w:id="47"/>
      <w:r w:rsidR="007C720C">
        <w:t>4.0</w:t>
      </w:r>
      <w:r w:rsidRPr="00A41538">
        <w:t>Introduction</w:t>
      </w:r>
      <w:bookmarkEnd w:id="48"/>
      <w:bookmarkEnd w:id="49"/>
    </w:p>
    <w:p w14:paraId="595F76AE" w14:textId="77777777" w:rsidR="004D5736" w:rsidRPr="00A41538" w:rsidRDefault="004D5736" w:rsidP="004D5736">
      <w:pPr>
        <w:jc w:val="both"/>
        <w:rPr>
          <w:b/>
          <w:szCs w:val="24"/>
        </w:rPr>
      </w:pPr>
    </w:p>
    <w:p w14:paraId="3E58DC5C" w14:textId="77777777" w:rsidR="004D5736" w:rsidRPr="00F94AD2" w:rsidRDefault="004D5736" w:rsidP="004D5736">
      <w:pPr>
        <w:rPr>
          <w:rFonts w:ascii="Times New Roman" w:hAnsi="Times New Roman"/>
          <w:szCs w:val="24"/>
        </w:rPr>
      </w:pPr>
      <w:r w:rsidRPr="00F94AD2">
        <w:rPr>
          <w:rFonts w:ascii="Times New Roman" w:hAnsi="Times New Roman"/>
          <w:szCs w:val="24"/>
        </w:rPr>
        <w:t xml:space="preserve">In Roy Lee’s words, </w:t>
      </w:r>
    </w:p>
    <w:p w14:paraId="720A8584" w14:textId="5729FDF9" w:rsidR="004D5736" w:rsidRPr="001C253B" w:rsidRDefault="004D5736" w:rsidP="001B6656">
      <w:pPr>
        <w:pStyle w:val="NoSpacing"/>
        <w:spacing w:line="360" w:lineRule="auto"/>
        <w:jc w:val="center"/>
        <w:rPr>
          <w:rFonts w:ascii="Times New Roman" w:hAnsi="Times New Roman"/>
          <w:szCs w:val="24"/>
        </w:rPr>
      </w:pPr>
      <w:r w:rsidRPr="00A41538">
        <w:rPr>
          <w:szCs w:val="24"/>
        </w:rPr>
        <w:t xml:space="preserve">“ </w:t>
      </w:r>
      <w:r w:rsidRPr="001C253B">
        <w:rPr>
          <w:rFonts w:ascii="Times New Roman" w:hAnsi="Times New Roman"/>
          <w:szCs w:val="24"/>
        </w:rPr>
        <w:t xml:space="preserve">….This new Court has been </w:t>
      </w:r>
      <w:r w:rsidR="001C253B">
        <w:rPr>
          <w:rFonts w:ascii="Times New Roman" w:hAnsi="Times New Roman"/>
          <w:szCs w:val="24"/>
        </w:rPr>
        <w:t>transformed …</w:t>
      </w:r>
      <w:r w:rsidRPr="001C253B">
        <w:rPr>
          <w:rFonts w:ascii="Times New Roman" w:hAnsi="Times New Roman"/>
          <w:szCs w:val="24"/>
        </w:rPr>
        <w:t xml:space="preserve">to an international court administering restorative justice.[…]and </w:t>
      </w:r>
      <w:r w:rsidRPr="001C253B">
        <w:rPr>
          <w:rFonts w:ascii="Times New Roman" w:hAnsi="Times New Roman"/>
          <w:szCs w:val="24"/>
          <w:u w:val="single"/>
        </w:rPr>
        <w:t>victims will also be able to take part in proceedings  with rights to privacy, representation  and security</w:t>
      </w:r>
      <w:r w:rsidRPr="001C253B">
        <w:rPr>
          <w:rFonts w:ascii="Times New Roman" w:hAnsi="Times New Roman"/>
          <w:szCs w:val="24"/>
        </w:rPr>
        <w:t>……..”</w:t>
      </w:r>
      <w:r w:rsidRPr="001C253B">
        <w:rPr>
          <w:rStyle w:val="FootnoteReference"/>
          <w:rFonts w:ascii="Times New Roman" w:hAnsi="Times New Roman"/>
          <w:szCs w:val="24"/>
        </w:rPr>
        <w:footnoteReference w:id="838"/>
      </w:r>
    </w:p>
    <w:p w14:paraId="18B11FD4" w14:textId="77777777" w:rsidR="004D5736" w:rsidRPr="001C253B" w:rsidRDefault="004D5736" w:rsidP="004D5736">
      <w:pPr>
        <w:jc w:val="both"/>
        <w:rPr>
          <w:rFonts w:ascii="Times New Roman" w:hAnsi="Times New Roman"/>
          <w:szCs w:val="24"/>
        </w:rPr>
      </w:pPr>
    </w:p>
    <w:p w14:paraId="5E1EB9B1" w14:textId="23EF1400" w:rsidR="004D5736" w:rsidRPr="001C253B" w:rsidRDefault="004D5736" w:rsidP="001B6656">
      <w:pPr>
        <w:spacing w:line="480" w:lineRule="auto"/>
        <w:jc w:val="both"/>
        <w:rPr>
          <w:rFonts w:ascii="Times New Roman" w:hAnsi="Times New Roman"/>
          <w:szCs w:val="24"/>
        </w:rPr>
      </w:pPr>
      <w:r w:rsidRPr="001C253B">
        <w:rPr>
          <w:rFonts w:ascii="Times New Roman" w:hAnsi="Times New Roman"/>
          <w:szCs w:val="24"/>
        </w:rPr>
        <w:t xml:space="preserve">Central to the traditional criminal justice system is retributive justice. With the </w:t>
      </w:r>
      <w:r w:rsidR="005B3B9E">
        <w:rPr>
          <w:rFonts w:ascii="Times New Roman" w:hAnsi="Times New Roman"/>
          <w:szCs w:val="24"/>
        </w:rPr>
        <w:t>ICC establishment</w:t>
      </w:r>
      <w:r w:rsidRPr="001C253B">
        <w:rPr>
          <w:rFonts w:ascii="Times New Roman" w:hAnsi="Times New Roman"/>
          <w:szCs w:val="24"/>
        </w:rPr>
        <w:t xml:space="preserve">, some commentators suggest </w:t>
      </w:r>
      <w:r w:rsidR="00F042BE">
        <w:rPr>
          <w:rFonts w:ascii="Times New Roman" w:hAnsi="Times New Roman"/>
          <w:szCs w:val="24"/>
        </w:rPr>
        <w:t>a shift from a purely retributive justice approach to incorporating</w:t>
      </w:r>
      <w:r w:rsidRPr="001C253B">
        <w:rPr>
          <w:rFonts w:ascii="Times New Roman" w:hAnsi="Times New Roman"/>
          <w:szCs w:val="24"/>
        </w:rPr>
        <w:t xml:space="preserve"> restorative elements and victim-oriented agenda for the ICC.</w:t>
      </w:r>
      <w:r w:rsidR="00894AF6">
        <w:rPr>
          <w:rStyle w:val="FootnoteReference"/>
          <w:rFonts w:ascii="Times New Roman" w:hAnsi="Times New Roman"/>
          <w:szCs w:val="24"/>
        </w:rPr>
        <w:footnoteReference w:id="839"/>
      </w:r>
      <w:r w:rsidRPr="001C253B">
        <w:rPr>
          <w:rFonts w:ascii="Times New Roman" w:hAnsi="Times New Roman"/>
          <w:szCs w:val="24"/>
        </w:rPr>
        <w:t xml:space="preserve"> This restorative element is reflected during criminal proceedings, </w:t>
      </w:r>
      <w:r w:rsidR="00894AF6">
        <w:rPr>
          <w:rFonts w:ascii="Times New Roman" w:hAnsi="Times New Roman"/>
          <w:szCs w:val="24"/>
        </w:rPr>
        <w:t>primari</w:t>
      </w:r>
      <w:r w:rsidRPr="001C253B">
        <w:rPr>
          <w:rFonts w:ascii="Times New Roman" w:hAnsi="Times New Roman"/>
          <w:szCs w:val="24"/>
        </w:rPr>
        <w:t>ly via victim-participation and victim trust fund programme.</w:t>
      </w:r>
      <w:r w:rsidR="00A5194C" w:rsidRPr="001C253B">
        <w:rPr>
          <w:rStyle w:val="FootnoteReference"/>
          <w:rFonts w:ascii="Times New Roman" w:hAnsi="Times New Roman"/>
          <w:szCs w:val="24"/>
        </w:rPr>
        <w:footnoteReference w:id="840"/>
      </w:r>
      <w:r w:rsidRPr="001C253B">
        <w:rPr>
          <w:rFonts w:ascii="Times New Roman" w:hAnsi="Times New Roman"/>
          <w:szCs w:val="24"/>
        </w:rPr>
        <w:t xml:space="preserve"> </w:t>
      </w:r>
      <w:r w:rsidR="000326F1">
        <w:rPr>
          <w:rFonts w:ascii="Times New Roman" w:hAnsi="Times New Roman"/>
          <w:szCs w:val="24"/>
        </w:rPr>
        <w:t>T</w:t>
      </w:r>
      <w:r w:rsidRPr="001C253B">
        <w:rPr>
          <w:rFonts w:ascii="Times New Roman" w:hAnsi="Times New Roman"/>
          <w:szCs w:val="24"/>
        </w:rPr>
        <w:t xml:space="preserve">he impact of victims </w:t>
      </w:r>
      <w:r w:rsidR="00F94AD2">
        <w:rPr>
          <w:rFonts w:ascii="Times New Roman" w:hAnsi="Times New Roman"/>
          <w:szCs w:val="24"/>
        </w:rPr>
        <w:t>o</w:t>
      </w:r>
      <w:r w:rsidRPr="001C253B">
        <w:rPr>
          <w:rFonts w:ascii="Times New Roman" w:hAnsi="Times New Roman"/>
          <w:szCs w:val="24"/>
        </w:rPr>
        <w:t xml:space="preserve">n </w:t>
      </w:r>
      <w:r w:rsidR="00894AF6">
        <w:rPr>
          <w:rFonts w:ascii="Times New Roman" w:hAnsi="Times New Roman"/>
          <w:szCs w:val="24"/>
        </w:rPr>
        <w:t xml:space="preserve">the </w:t>
      </w:r>
      <w:r w:rsidRPr="001C253B">
        <w:rPr>
          <w:rFonts w:ascii="Times New Roman" w:hAnsi="Times New Roman"/>
          <w:szCs w:val="24"/>
        </w:rPr>
        <w:t xml:space="preserve">sentencing outcome and the extent to which </w:t>
      </w:r>
      <w:r w:rsidR="00894AF6">
        <w:rPr>
          <w:rFonts w:ascii="Times New Roman" w:hAnsi="Times New Roman"/>
          <w:szCs w:val="24"/>
        </w:rPr>
        <w:t xml:space="preserve">their interests </w:t>
      </w:r>
      <w:r w:rsidR="000326F1">
        <w:rPr>
          <w:rFonts w:ascii="Times New Roman" w:hAnsi="Times New Roman"/>
          <w:szCs w:val="24"/>
        </w:rPr>
        <w:t xml:space="preserve">is considered </w:t>
      </w:r>
      <w:r w:rsidRPr="001C253B">
        <w:rPr>
          <w:rFonts w:ascii="Times New Roman" w:hAnsi="Times New Roman"/>
          <w:szCs w:val="24"/>
        </w:rPr>
        <w:t>at the</w:t>
      </w:r>
      <w:r w:rsidR="00894AF6">
        <w:rPr>
          <w:rFonts w:ascii="Times New Roman" w:hAnsi="Times New Roman"/>
          <w:szCs w:val="24"/>
        </w:rPr>
        <w:t xml:space="preserve"> sentencing stage</w:t>
      </w:r>
      <w:r w:rsidR="000326F1">
        <w:rPr>
          <w:rFonts w:ascii="Times New Roman" w:hAnsi="Times New Roman"/>
          <w:szCs w:val="24"/>
        </w:rPr>
        <w:t xml:space="preserve"> remains unclear.</w:t>
      </w:r>
      <w:r w:rsidR="00F042BE">
        <w:rPr>
          <w:rFonts w:ascii="Times New Roman" w:hAnsi="Times New Roman"/>
          <w:szCs w:val="24"/>
        </w:rPr>
        <w:t xml:space="preserve"> </w:t>
      </w:r>
      <w:r w:rsidRPr="001C253B">
        <w:rPr>
          <w:rFonts w:ascii="Times New Roman" w:hAnsi="Times New Roman"/>
          <w:szCs w:val="24"/>
        </w:rPr>
        <w:t>However, this chapter does not intend to go into an extensive discussion of restorative justice theory</w:t>
      </w:r>
      <w:r w:rsidR="00F042BE">
        <w:rPr>
          <w:rFonts w:ascii="Times New Roman" w:hAnsi="Times New Roman"/>
          <w:szCs w:val="24"/>
        </w:rPr>
        <w:t>. R</w:t>
      </w:r>
      <w:r w:rsidRPr="001C253B">
        <w:rPr>
          <w:rFonts w:ascii="Times New Roman" w:hAnsi="Times New Roman"/>
          <w:szCs w:val="24"/>
        </w:rPr>
        <w:t>ather, the d</w:t>
      </w:r>
      <w:r w:rsidR="00894AF6">
        <w:rPr>
          <w:rFonts w:ascii="Times New Roman" w:hAnsi="Times New Roman"/>
          <w:szCs w:val="24"/>
        </w:rPr>
        <w:t>ebate</w:t>
      </w:r>
      <w:r w:rsidRPr="001C253B">
        <w:rPr>
          <w:rFonts w:ascii="Times New Roman" w:hAnsi="Times New Roman"/>
          <w:szCs w:val="24"/>
        </w:rPr>
        <w:t xml:space="preserve"> on restorative </w:t>
      </w:r>
      <w:r w:rsidRPr="001C253B">
        <w:rPr>
          <w:rFonts w:ascii="Times New Roman" w:hAnsi="Times New Roman"/>
          <w:szCs w:val="24"/>
        </w:rPr>
        <w:lastRenderedPageBreak/>
        <w:t>justice would be limited to how it can be used</w:t>
      </w:r>
      <w:r w:rsidR="000326F1">
        <w:rPr>
          <w:rFonts w:ascii="Times New Roman" w:hAnsi="Times New Roman"/>
          <w:szCs w:val="24"/>
        </w:rPr>
        <w:t xml:space="preserve"> to</w:t>
      </w:r>
      <w:r w:rsidRPr="001C253B">
        <w:rPr>
          <w:rFonts w:ascii="Times New Roman" w:hAnsi="Times New Roman"/>
          <w:szCs w:val="24"/>
        </w:rPr>
        <w:t xml:space="preserve"> assess the role victims’ interests play in sentencing.</w:t>
      </w:r>
    </w:p>
    <w:p w14:paraId="5BC6A58C" w14:textId="0ABC13AE"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It is noteworthy that the Rome Statute does not give comprehensive specifications on what principles are applicable at the sentencing stage. Judgment, particularly sentencing</w:t>
      </w:r>
      <w:r w:rsidR="00894AF6">
        <w:rPr>
          <w:rFonts w:ascii="Times New Roman" w:hAnsi="Times New Roman"/>
          <w:szCs w:val="24"/>
        </w:rPr>
        <w:t>,</w:t>
      </w:r>
      <w:r w:rsidRPr="004B74AE">
        <w:rPr>
          <w:rFonts w:ascii="Times New Roman" w:hAnsi="Times New Roman"/>
          <w:szCs w:val="24"/>
        </w:rPr>
        <w:t xml:space="preserve"> is an </w:t>
      </w:r>
      <w:r w:rsidR="000326F1">
        <w:rPr>
          <w:rFonts w:ascii="Times New Roman" w:hAnsi="Times New Roman"/>
          <w:szCs w:val="24"/>
        </w:rPr>
        <w:t>essential</w:t>
      </w:r>
      <w:r w:rsidRPr="004B74AE">
        <w:rPr>
          <w:rFonts w:ascii="Times New Roman" w:hAnsi="Times New Roman"/>
          <w:szCs w:val="24"/>
        </w:rPr>
        <w:t xml:space="preserve"> aspect of the criminal justice process,</w:t>
      </w:r>
      <w:r w:rsidR="00894AF6">
        <w:rPr>
          <w:rFonts w:ascii="Times New Roman" w:hAnsi="Times New Roman"/>
          <w:szCs w:val="24"/>
        </w:rPr>
        <w:t xml:space="preserve"> and</w:t>
      </w:r>
      <w:r w:rsidRPr="004B74AE">
        <w:rPr>
          <w:rFonts w:ascii="Times New Roman" w:hAnsi="Times New Roman"/>
          <w:szCs w:val="24"/>
        </w:rPr>
        <w:t xml:space="preserve"> it is the outcome of the criminal proceedings</w:t>
      </w:r>
      <w:r w:rsidR="00275C68" w:rsidRPr="004B74AE">
        <w:rPr>
          <w:rFonts w:ascii="Times New Roman" w:hAnsi="Times New Roman"/>
          <w:szCs w:val="24"/>
        </w:rPr>
        <w:t>.</w:t>
      </w:r>
    </w:p>
    <w:p w14:paraId="6EC9DB6D" w14:textId="3D9D3095" w:rsidR="004D5736" w:rsidRPr="004B74AE" w:rsidRDefault="00F042BE" w:rsidP="001B6656">
      <w:pPr>
        <w:spacing w:line="480" w:lineRule="auto"/>
        <w:jc w:val="both"/>
        <w:rPr>
          <w:rFonts w:ascii="Times New Roman" w:hAnsi="Times New Roman"/>
          <w:szCs w:val="24"/>
        </w:rPr>
      </w:pPr>
      <w:r>
        <w:rPr>
          <w:rFonts w:ascii="Times New Roman" w:hAnsi="Times New Roman"/>
          <w:szCs w:val="24"/>
        </w:rPr>
        <w:t>Researchers have not treated the victims' role in sentencing at the ICC in much detail in previous studies</w:t>
      </w:r>
      <w:r w:rsidR="004D5736" w:rsidRPr="004B74AE">
        <w:rPr>
          <w:rFonts w:ascii="Times New Roman" w:hAnsi="Times New Roman"/>
          <w:szCs w:val="24"/>
        </w:rPr>
        <w:t>. Therefore, this chapter seeks to examine the role that victims play during sentencing by analysing the case transcripts</w:t>
      </w:r>
      <w:r w:rsidR="00275C68" w:rsidRPr="004B74AE">
        <w:rPr>
          <w:rFonts w:ascii="Times New Roman" w:hAnsi="Times New Roman"/>
          <w:szCs w:val="24"/>
        </w:rPr>
        <w:t xml:space="preserve"> of the </w:t>
      </w:r>
      <w:r w:rsidR="00275C68" w:rsidRPr="00F94AD2">
        <w:rPr>
          <w:rFonts w:ascii="Times New Roman" w:hAnsi="Times New Roman"/>
          <w:i/>
          <w:iCs/>
          <w:szCs w:val="24"/>
        </w:rPr>
        <w:t>Prosecutor</w:t>
      </w:r>
      <w:r w:rsidR="00275C68" w:rsidRPr="004B74AE">
        <w:rPr>
          <w:rFonts w:ascii="Times New Roman" w:hAnsi="Times New Roman"/>
          <w:szCs w:val="24"/>
        </w:rPr>
        <w:t xml:space="preserve"> </w:t>
      </w:r>
      <w:proofErr w:type="spellStart"/>
      <w:r w:rsidR="00275C68" w:rsidRPr="004B74AE">
        <w:rPr>
          <w:rFonts w:ascii="Times New Roman" w:hAnsi="Times New Roman"/>
          <w:szCs w:val="24"/>
        </w:rPr>
        <w:t>v</w:t>
      </w:r>
      <w:r w:rsidR="00275C68" w:rsidRPr="00F94AD2">
        <w:rPr>
          <w:rFonts w:ascii="Times New Roman" w:hAnsi="Times New Roman"/>
          <w:i/>
          <w:iCs/>
          <w:szCs w:val="24"/>
        </w:rPr>
        <w:t>.Lubanga</w:t>
      </w:r>
      <w:proofErr w:type="spellEnd"/>
      <w:r w:rsidR="00275C68" w:rsidRPr="004B74AE">
        <w:rPr>
          <w:rFonts w:ascii="Times New Roman" w:hAnsi="Times New Roman"/>
          <w:szCs w:val="24"/>
        </w:rPr>
        <w:t xml:space="preserve"> and the </w:t>
      </w:r>
      <w:r w:rsidR="00275C68" w:rsidRPr="00F94AD2">
        <w:rPr>
          <w:rFonts w:ascii="Times New Roman" w:hAnsi="Times New Roman"/>
          <w:i/>
          <w:iCs/>
          <w:szCs w:val="24"/>
        </w:rPr>
        <w:t>Prosecutor</w:t>
      </w:r>
      <w:r w:rsidR="00275C68" w:rsidRPr="004B74AE">
        <w:rPr>
          <w:rFonts w:ascii="Times New Roman" w:hAnsi="Times New Roman"/>
          <w:szCs w:val="24"/>
        </w:rPr>
        <w:t xml:space="preserve"> </w:t>
      </w:r>
      <w:r w:rsidR="004D5736" w:rsidRPr="004B74AE">
        <w:rPr>
          <w:rFonts w:ascii="Times New Roman" w:hAnsi="Times New Roman"/>
          <w:szCs w:val="24"/>
        </w:rPr>
        <w:t>v.</w:t>
      </w:r>
      <w:r w:rsidR="00275C68" w:rsidRPr="004B74AE">
        <w:rPr>
          <w:rFonts w:ascii="Times New Roman" w:hAnsi="Times New Roman"/>
          <w:szCs w:val="24"/>
        </w:rPr>
        <w:t xml:space="preserve"> </w:t>
      </w:r>
      <w:r w:rsidR="004D5736" w:rsidRPr="00F94AD2">
        <w:rPr>
          <w:rFonts w:ascii="Times New Roman" w:hAnsi="Times New Roman"/>
          <w:i/>
          <w:iCs/>
          <w:szCs w:val="24"/>
        </w:rPr>
        <w:t>Katanga</w:t>
      </w:r>
      <w:r w:rsidR="004D5736" w:rsidRPr="004B74AE">
        <w:rPr>
          <w:rFonts w:ascii="Times New Roman" w:hAnsi="Times New Roman"/>
          <w:szCs w:val="24"/>
        </w:rPr>
        <w:t>.</w:t>
      </w:r>
      <w:r w:rsidR="00275C68" w:rsidRPr="004B74AE">
        <w:rPr>
          <w:rFonts w:ascii="Times New Roman" w:hAnsi="Times New Roman"/>
          <w:szCs w:val="24"/>
        </w:rPr>
        <w:t xml:space="preserve"> </w:t>
      </w:r>
      <w:r w:rsidR="000326F1">
        <w:rPr>
          <w:rFonts w:ascii="Times New Roman" w:hAnsi="Times New Roman"/>
          <w:szCs w:val="24"/>
        </w:rPr>
        <w:t>Also</w:t>
      </w:r>
      <w:r w:rsidR="004D5736" w:rsidRPr="004B74AE">
        <w:rPr>
          <w:rFonts w:ascii="Times New Roman" w:hAnsi="Times New Roman"/>
          <w:szCs w:val="24"/>
        </w:rPr>
        <w:t>, this chapter will critically discuss if victims influence</w:t>
      </w:r>
      <w:r w:rsidR="00894AF6">
        <w:rPr>
          <w:rFonts w:ascii="Times New Roman" w:hAnsi="Times New Roman"/>
          <w:szCs w:val="24"/>
        </w:rPr>
        <w:t>d</w:t>
      </w:r>
      <w:r w:rsidR="004D5736" w:rsidRPr="004B74AE">
        <w:rPr>
          <w:rFonts w:ascii="Times New Roman" w:hAnsi="Times New Roman"/>
          <w:szCs w:val="24"/>
        </w:rPr>
        <w:t xml:space="preserve"> sentencing decisions.</w:t>
      </w:r>
      <w:r w:rsidR="00894AF6">
        <w:rPr>
          <w:rFonts w:ascii="Times New Roman" w:hAnsi="Times New Roman"/>
          <w:szCs w:val="24"/>
        </w:rPr>
        <w:t xml:space="preserve"> </w:t>
      </w:r>
      <w:r w:rsidR="004330F5">
        <w:rPr>
          <w:rFonts w:ascii="Times New Roman" w:hAnsi="Times New Roman"/>
          <w:szCs w:val="24"/>
        </w:rPr>
        <w:t>I</w:t>
      </w:r>
      <w:r w:rsidR="004D5736" w:rsidRPr="004B74AE">
        <w:rPr>
          <w:rFonts w:ascii="Times New Roman" w:hAnsi="Times New Roman"/>
          <w:szCs w:val="24"/>
        </w:rPr>
        <w:t>t is found</w:t>
      </w:r>
      <w:r w:rsidR="00894AF6">
        <w:rPr>
          <w:rFonts w:ascii="Times New Roman" w:hAnsi="Times New Roman"/>
          <w:szCs w:val="24"/>
        </w:rPr>
        <w:t>,</w:t>
      </w:r>
      <w:r w:rsidR="004D5736" w:rsidRPr="004B74AE">
        <w:rPr>
          <w:rFonts w:ascii="Times New Roman" w:hAnsi="Times New Roman"/>
          <w:szCs w:val="24"/>
        </w:rPr>
        <w:t xml:space="preserve"> victims are permitted to participate during </w:t>
      </w:r>
      <w:r w:rsidR="004330F5">
        <w:rPr>
          <w:rFonts w:ascii="Times New Roman" w:hAnsi="Times New Roman"/>
          <w:szCs w:val="24"/>
        </w:rPr>
        <w:t xml:space="preserve">the </w:t>
      </w:r>
      <w:r w:rsidR="004D5736" w:rsidRPr="004B74AE">
        <w:rPr>
          <w:rFonts w:ascii="Times New Roman" w:hAnsi="Times New Roman"/>
          <w:szCs w:val="24"/>
        </w:rPr>
        <w:t xml:space="preserve">sentencing hearing, but this is very restrictive and regulated by the court. </w:t>
      </w:r>
    </w:p>
    <w:p w14:paraId="50F3D032" w14:textId="3E5D4540"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 xml:space="preserve"> </w:t>
      </w:r>
      <w:r w:rsidR="000326F1">
        <w:rPr>
          <w:rFonts w:ascii="Times New Roman" w:hAnsi="Times New Roman"/>
          <w:szCs w:val="24"/>
        </w:rPr>
        <w:t>A</w:t>
      </w:r>
      <w:r w:rsidRPr="004B74AE">
        <w:rPr>
          <w:rFonts w:ascii="Times New Roman" w:hAnsi="Times New Roman"/>
          <w:szCs w:val="24"/>
        </w:rPr>
        <w:t>rgu</w:t>
      </w:r>
      <w:r w:rsidR="000326F1">
        <w:rPr>
          <w:rFonts w:ascii="Times New Roman" w:hAnsi="Times New Roman"/>
          <w:szCs w:val="24"/>
        </w:rPr>
        <w:t>ably,</w:t>
      </w:r>
      <w:r w:rsidRPr="004B74AE">
        <w:rPr>
          <w:rFonts w:ascii="Times New Roman" w:hAnsi="Times New Roman"/>
          <w:szCs w:val="24"/>
        </w:rPr>
        <w:t xml:space="preserve"> </w:t>
      </w:r>
      <w:r w:rsidR="00F042BE">
        <w:rPr>
          <w:rFonts w:ascii="Times New Roman" w:hAnsi="Times New Roman"/>
          <w:szCs w:val="24"/>
        </w:rPr>
        <w:t>victims' influence</w:t>
      </w:r>
      <w:r w:rsidRPr="004B74AE">
        <w:rPr>
          <w:rFonts w:ascii="Times New Roman" w:hAnsi="Times New Roman"/>
          <w:szCs w:val="24"/>
        </w:rPr>
        <w:t xml:space="preserve"> on </w:t>
      </w:r>
      <w:r w:rsidR="004330F5">
        <w:rPr>
          <w:rFonts w:ascii="Times New Roman" w:hAnsi="Times New Roman"/>
          <w:szCs w:val="24"/>
        </w:rPr>
        <w:t xml:space="preserve">the </w:t>
      </w:r>
      <w:r w:rsidRPr="004B74AE">
        <w:rPr>
          <w:rFonts w:ascii="Times New Roman" w:hAnsi="Times New Roman"/>
          <w:szCs w:val="24"/>
        </w:rPr>
        <w:t xml:space="preserve">sentencing outcome can be enhanced by using some </w:t>
      </w:r>
      <w:r w:rsidR="005B3B9E">
        <w:rPr>
          <w:rFonts w:ascii="Times New Roman" w:hAnsi="Times New Roman"/>
          <w:szCs w:val="24"/>
        </w:rPr>
        <w:t>restorative justice and procedural rights elemen</w:t>
      </w:r>
      <w:r w:rsidRPr="004B74AE">
        <w:rPr>
          <w:rFonts w:ascii="Times New Roman" w:hAnsi="Times New Roman"/>
          <w:szCs w:val="24"/>
        </w:rPr>
        <w:t>ts.</w:t>
      </w:r>
      <w:r w:rsidR="004330F5">
        <w:rPr>
          <w:rFonts w:ascii="Times New Roman" w:hAnsi="Times New Roman"/>
          <w:szCs w:val="24"/>
        </w:rPr>
        <w:t xml:space="preserve"> </w:t>
      </w:r>
      <w:r w:rsidRPr="004B74AE">
        <w:rPr>
          <w:rFonts w:ascii="Times New Roman" w:hAnsi="Times New Roman"/>
          <w:szCs w:val="24"/>
        </w:rPr>
        <w:t>The underlying issues include whether the rationale for senten</w:t>
      </w:r>
      <w:r w:rsidR="004330F5">
        <w:rPr>
          <w:rFonts w:ascii="Times New Roman" w:hAnsi="Times New Roman"/>
          <w:szCs w:val="24"/>
        </w:rPr>
        <w:t>cing mirrors victims’ interests</w:t>
      </w:r>
      <w:r w:rsidRPr="004B74AE">
        <w:rPr>
          <w:rFonts w:ascii="Times New Roman" w:hAnsi="Times New Roman"/>
          <w:szCs w:val="24"/>
        </w:rPr>
        <w:t xml:space="preserve">. </w:t>
      </w:r>
    </w:p>
    <w:p w14:paraId="3486E1B6" w14:textId="0F67C9F7" w:rsidR="001D409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 xml:space="preserve">This chapter </w:t>
      </w:r>
      <w:r w:rsidR="00F042BE">
        <w:rPr>
          <w:rFonts w:ascii="Times New Roman" w:hAnsi="Times New Roman"/>
          <w:szCs w:val="24"/>
        </w:rPr>
        <w:t>discusses</w:t>
      </w:r>
      <w:r w:rsidRPr="004B74AE">
        <w:rPr>
          <w:rFonts w:ascii="Times New Roman" w:hAnsi="Times New Roman"/>
          <w:szCs w:val="24"/>
        </w:rPr>
        <w:t xml:space="preserve"> </w:t>
      </w:r>
      <w:r w:rsidR="005B3B9E">
        <w:rPr>
          <w:rFonts w:ascii="Times New Roman" w:hAnsi="Times New Roman"/>
          <w:szCs w:val="24"/>
        </w:rPr>
        <w:t>retributive justice's theoretical dimensions and its justifications</w:t>
      </w:r>
      <w:r w:rsidR="00F94AD2">
        <w:rPr>
          <w:rFonts w:ascii="Times New Roman" w:hAnsi="Times New Roman"/>
          <w:szCs w:val="24"/>
        </w:rPr>
        <w:t>:</w:t>
      </w:r>
      <w:r w:rsidR="005B3B9E">
        <w:rPr>
          <w:rFonts w:ascii="Times New Roman" w:hAnsi="Times New Roman"/>
          <w:szCs w:val="24"/>
        </w:rPr>
        <w:t xml:space="preserve"> deterrence, retribution,</w:t>
      </w:r>
      <w:r w:rsidRPr="004B74AE">
        <w:rPr>
          <w:rFonts w:ascii="Times New Roman" w:hAnsi="Times New Roman"/>
          <w:szCs w:val="24"/>
        </w:rPr>
        <w:t xml:space="preserve"> and rehabilitation.</w:t>
      </w:r>
      <w:r w:rsidR="004330F5">
        <w:rPr>
          <w:rFonts w:ascii="Times New Roman" w:hAnsi="Times New Roman"/>
          <w:szCs w:val="24"/>
        </w:rPr>
        <w:t xml:space="preserve"> </w:t>
      </w:r>
      <w:r w:rsidRPr="004B74AE">
        <w:rPr>
          <w:rFonts w:ascii="Times New Roman" w:hAnsi="Times New Roman"/>
          <w:szCs w:val="24"/>
        </w:rPr>
        <w:t>It will then go on to defining restorative justice, as well as the academic debate on it. It is imperative to analyse the theories of restorative and retributive justice because it is needed in distilling the elements that need to be taken into consideration during s</w:t>
      </w:r>
      <w:r w:rsidR="00BB2B37" w:rsidRPr="004B74AE">
        <w:rPr>
          <w:rFonts w:ascii="Times New Roman" w:hAnsi="Times New Roman"/>
          <w:szCs w:val="24"/>
        </w:rPr>
        <w:t xml:space="preserve">entencing. The following section gives a </w:t>
      </w:r>
      <w:r w:rsidRPr="004B74AE">
        <w:rPr>
          <w:rFonts w:ascii="Times New Roman" w:hAnsi="Times New Roman"/>
          <w:szCs w:val="24"/>
        </w:rPr>
        <w:t xml:space="preserve">brief overview of the relationship that exists between retributive </w:t>
      </w:r>
      <w:r w:rsidR="004330F5">
        <w:rPr>
          <w:rFonts w:ascii="Times New Roman" w:hAnsi="Times New Roman"/>
          <w:szCs w:val="24"/>
        </w:rPr>
        <w:t xml:space="preserve">justice and restorative </w:t>
      </w:r>
      <w:r w:rsidR="004330F5">
        <w:rPr>
          <w:rFonts w:ascii="Times New Roman" w:hAnsi="Times New Roman"/>
          <w:szCs w:val="24"/>
        </w:rPr>
        <w:lastRenderedPageBreak/>
        <w:t>justice</w:t>
      </w:r>
      <w:r w:rsidR="00782688">
        <w:rPr>
          <w:rFonts w:ascii="Times New Roman" w:hAnsi="Times New Roman"/>
          <w:szCs w:val="24"/>
        </w:rPr>
        <w:t>.</w:t>
      </w:r>
      <w:r w:rsidR="004330F5">
        <w:rPr>
          <w:rFonts w:ascii="Times New Roman" w:hAnsi="Times New Roman"/>
          <w:szCs w:val="24"/>
        </w:rPr>
        <w:t xml:space="preserve"> </w:t>
      </w:r>
      <w:r w:rsidR="001D4096" w:rsidRPr="004B74AE">
        <w:rPr>
          <w:rFonts w:ascii="Times New Roman" w:hAnsi="Times New Roman"/>
          <w:szCs w:val="24"/>
        </w:rPr>
        <w:t xml:space="preserve">It is </w:t>
      </w:r>
      <w:r w:rsidR="001D4096">
        <w:rPr>
          <w:rFonts w:ascii="Times New Roman" w:hAnsi="Times New Roman"/>
          <w:szCs w:val="24"/>
        </w:rPr>
        <w:t xml:space="preserve">also </w:t>
      </w:r>
      <w:r w:rsidR="001D4096" w:rsidRPr="004B74AE">
        <w:rPr>
          <w:rFonts w:ascii="Times New Roman" w:hAnsi="Times New Roman"/>
          <w:szCs w:val="24"/>
        </w:rPr>
        <w:t>necessary to discuss the retributive a</w:t>
      </w:r>
      <w:r w:rsidR="001D4096">
        <w:rPr>
          <w:rFonts w:ascii="Times New Roman" w:hAnsi="Times New Roman"/>
          <w:szCs w:val="24"/>
        </w:rPr>
        <w:t xml:space="preserve">nd restorative justice </w:t>
      </w:r>
      <w:r w:rsidR="001D4096" w:rsidRPr="004B74AE">
        <w:rPr>
          <w:rFonts w:ascii="Times New Roman" w:hAnsi="Times New Roman"/>
          <w:szCs w:val="24"/>
        </w:rPr>
        <w:t xml:space="preserve">to understand the two broad theories underlying sentencing at the ICC. </w:t>
      </w:r>
    </w:p>
    <w:p w14:paraId="358DCAE6" w14:textId="77777777" w:rsidR="004D5736" w:rsidRPr="004B74AE" w:rsidRDefault="00BB2B37" w:rsidP="001B6656">
      <w:pPr>
        <w:spacing w:line="480" w:lineRule="auto"/>
        <w:jc w:val="both"/>
        <w:rPr>
          <w:rFonts w:ascii="Times New Roman" w:hAnsi="Times New Roman"/>
          <w:szCs w:val="24"/>
        </w:rPr>
      </w:pPr>
      <w:r w:rsidRPr="004B74AE">
        <w:rPr>
          <w:rFonts w:ascii="Times New Roman" w:hAnsi="Times New Roman"/>
          <w:szCs w:val="24"/>
        </w:rPr>
        <w:t xml:space="preserve">The remaining part of the chapter </w:t>
      </w:r>
      <w:r w:rsidR="00024029">
        <w:rPr>
          <w:rFonts w:ascii="Times New Roman" w:hAnsi="Times New Roman"/>
          <w:szCs w:val="24"/>
        </w:rPr>
        <w:t xml:space="preserve">is structured into an analysis of the sentencing hearing and sentence decision in </w:t>
      </w:r>
      <w:r w:rsidR="00024029" w:rsidRPr="00F94AD2">
        <w:rPr>
          <w:rFonts w:ascii="Times New Roman" w:hAnsi="Times New Roman"/>
          <w:i/>
          <w:iCs/>
          <w:szCs w:val="24"/>
        </w:rPr>
        <w:t>Lubang</w:t>
      </w:r>
      <w:r w:rsidR="00024029" w:rsidRPr="00F94AD2">
        <w:rPr>
          <w:rFonts w:ascii="Times New Roman" w:hAnsi="Times New Roman"/>
          <w:b/>
          <w:bCs/>
          <w:szCs w:val="24"/>
        </w:rPr>
        <w:t>a</w:t>
      </w:r>
      <w:r w:rsidR="00024029">
        <w:rPr>
          <w:rFonts w:ascii="Times New Roman" w:hAnsi="Times New Roman"/>
          <w:szCs w:val="24"/>
        </w:rPr>
        <w:t xml:space="preserve"> and </w:t>
      </w:r>
      <w:r w:rsidR="00024029" w:rsidRPr="00F94AD2">
        <w:rPr>
          <w:rFonts w:ascii="Times New Roman" w:hAnsi="Times New Roman"/>
          <w:i/>
          <w:iCs/>
          <w:szCs w:val="24"/>
        </w:rPr>
        <w:t>Katanga</w:t>
      </w:r>
      <w:r w:rsidR="00024029">
        <w:rPr>
          <w:rFonts w:ascii="Times New Roman" w:hAnsi="Times New Roman"/>
          <w:szCs w:val="24"/>
        </w:rPr>
        <w:t xml:space="preserve"> cases. Afterwards, this chapter will examine the role and influence of victims in the sentence decision/review and discuss the findings. </w:t>
      </w:r>
      <w:r w:rsidR="001972A1" w:rsidRPr="004B74AE">
        <w:rPr>
          <w:rFonts w:ascii="Times New Roman" w:hAnsi="Times New Roman"/>
          <w:szCs w:val="24"/>
        </w:rPr>
        <w:t>The final part concludes the chapter by summarising the sections and findings.</w:t>
      </w:r>
    </w:p>
    <w:p w14:paraId="71D93A96" w14:textId="77777777" w:rsidR="004D5736" w:rsidRPr="004B74AE" w:rsidRDefault="007C720C" w:rsidP="000C4174">
      <w:pPr>
        <w:pStyle w:val="Heading2"/>
      </w:pPr>
      <w:bookmarkStart w:id="50" w:name="_Toc21896839"/>
      <w:bookmarkStart w:id="51" w:name="_Toc60235824"/>
      <w:r>
        <w:t>4.1.</w:t>
      </w:r>
      <w:r w:rsidR="004D5736" w:rsidRPr="004B74AE">
        <w:t xml:space="preserve"> Retributive J</w:t>
      </w:r>
      <w:bookmarkEnd w:id="50"/>
      <w:r w:rsidR="004D5736" w:rsidRPr="004B74AE">
        <w:t>ustice</w:t>
      </w:r>
      <w:bookmarkEnd w:id="51"/>
    </w:p>
    <w:p w14:paraId="62F6D828" w14:textId="77777777" w:rsidR="00F94AD2" w:rsidRDefault="004D5736" w:rsidP="001B6656">
      <w:pPr>
        <w:spacing w:line="480" w:lineRule="auto"/>
        <w:jc w:val="both"/>
        <w:rPr>
          <w:rFonts w:ascii="Times New Roman" w:hAnsi="Times New Roman"/>
          <w:color w:val="2E2E2E"/>
          <w:szCs w:val="24"/>
        </w:rPr>
      </w:pPr>
      <w:r w:rsidRPr="004B74AE">
        <w:rPr>
          <w:rFonts w:ascii="Times New Roman" w:hAnsi="Times New Roman"/>
          <w:szCs w:val="24"/>
        </w:rPr>
        <w:t>The international criminal justice system may be described as a s</w:t>
      </w:r>
      <w:r w:rsidR="00F042BE">
        <w:rPr>
          <w:rFonts w:ascii="Times New Roman" w:hAnsi="Times New Roman"/>
          <w:szCs w:val="24"/>
        </w:rPr>
        <w:t>ocial control system</w:t>
      </w:r>
      <w:r w:rsidRPr="004B74AE">
        <w:rPr>
          <w:rFonts w:ascii="Times New Roman" w:hAnsi="Times New Roman"/>
          <w:szCs w:val="24"/>
        </w:rPr>
        <w:t xml:space="preserve"> whose philosophy is based on retributive justice approach. According to a definition provided by Smith and Darley, “</w:t>
      </w:r>
      <w:r w:rsidRPr="001B6656">
        <w:rPr>
          <w:rFonts w:ascii="Times New Roman" w:hAnsi="Times New Roman"/>
          <w:szCs w:val="24"/>
        </w:rPr>
        <w:t xml:space="preserve">Retributive justice </w:t>
      </w:r>
      <w:r w:rsidRPr="001B6656">
        <w:rPr>
          <w:rFonts w:ascii="Times New Roman" w:hAnsi="Times New Roman"/>
          <w:color w:val="2E2E2E"/>
          <w:szCs w:val="24"/>
        </w:rPr>
        <w:t xml:space="preserve"> is a system by which offenders are punished in proportion to the moral magnitude of their intentionally committed harms.</w:t>
      </w:r>
      <w:r w:rsidRPr="004B74AE">
        <w:rPr>
          <w:rFonts w:ascii="Times New Roman" w:hAnsi="Times New Roman"/>
          <w:color w:val="2E2E2E"/>
          <w:szCs w:val="24"/>
        </w:rPr>
        <w:t>”</w:t>
      </w:r>
      <w:r w:rsidRPr="004B74AE">
        <w:rPr>
          <w:rStyle w:val="FootnoteReference"/>
          <w:rFonts w:ascii="Times New Roman" w:hAnsi="Times New Roman"/>
          <w:color w:val="2E2E2E"/>
          <w:szCs w:val="24"/>
        </w:rPr>
        <w:footnoteReference w:id="841"/>
      </w:r>
      <w:r w:rsidRPr="004B74AE">
        <w:rPr>
          <w:rFonts w:ascii="Times New Roman" w:hAnsi="Times New Roman"/>
          <w:color w:val="2E2E2E"/>
          <w:szCs w:val="24"/>
        </w:rPr>
        <w:t xml:space="preserve"> From this definition, it is apparent that retributive justice places punishment of the offender at the forefront. Th</w:t>
      </w:r>
      <w:r w:rsidR="00D3549D">
        <w:rPr>
          <w:rFonts w:ascii="Times New Roman" w:hAnsi="Times New Roman"/>
          <w:color w:val="2E2E2E"/>
          <w:szCs w:val="24"/>
        </w:rPr>
        <w:t>e</w:t>
      </w:r>
      <w:r w:rsidRPr="004B74AE">
        <w:rPr>
          <w:rFonts w:ascii="Times New Roman" w:hAnsi="Times New Roman"/>
          <w:color w:val="2E2E2E"/>
          <w:szCs w:val="24"/>
        </w:rPr>
        <w:t xml:space="preserve"> punishment is awarded according to the principle of proportionality, </w:t>
      </w:r>
      <w:r w:rsidR="00D3549D">
        <w:rPr>
          <w:rFonts w:ascii="Times New Roman" w:hAnsi="Times New Roman"/>
          <w:color w:val="2E2E2E"/>
          <w:szCs w:val="24"/>
        </w:rPr>
        <w:t xml:space="preserve">i.e. </w:t>
      </w:r>
      <w:r w:rsidRPr="004B74AE">
        <w:rPr>
          <w:rFonts w:ascii="Times New Roman" w:hAnsi="Times New Roman"/>
          <w:color w:val="2E2E2E"/>
          <w:szCs w:val="24"/>
        </w:rPr>
        <w:t xml:space="preserve">the offender is punished </w:t>
      </w:r>
      <w:r w:rsidR="00D3549D">
        <w:rPr>
          <w:rFonts w:ascii="Times New Roman" w:hAnsi="Times New Roman"/>
          <w:color w:val="2E2E2E"/>
          <w:szCs w:val="24"/>
        </w:rPr>
        <w:t>by</w:t>
      </w:r>
      <w:r w:rsidRPr="004B74AE">
        <w:rPr>
          <w:rFonts w:ascii="Times New Roman" w:hAnsi="Times New Roman"/>
          <w:color w:val="2E2E2E"/>
          <w:szCs w:val="24"/>
        </w:rPr>
        <w:t xml:space="preserve"> the proportion of the harm</w:t>
      </w:r>
      <w:r w:rsidR="0051756A">
        <w:rPr>
          <w:rStyle w:val="FootnoteReference"/>
          <w:rFonts w:ascii="Times New Roman" w:hAnsi="Times New Roman"/>
          <w:color w:val="2E2E2E"/>
          <w:szCs w:val="24"/>
        </w:rPr>
        <w:footnoteReference w:id="842"/>
      </w:r>
      <w:r w:rsidRPr="004B74AE">
        <w:rPr>
          <w:rFonts w:ascii="Times New Roman" w:hAnsi="Times New Roman"/>
          <w:color w:val="2E2E2E"/>
          <w:szCs w:val="24"/>
        </w:rPr>
        <w:t>. It is no gainsaying that retributive justice addresses the wrong, rather than the harm</w:t>
      </w:r>
      <w:r w:rsidR="0051756A">
        <w:rPr>
          <w:rFonts w:ascii="Times New Roman" w:hAnsi="Times New Roman"/>
          <w:color w:val="2E2E2E"/>
          <w:szCs w:val="24"/>
        </w:rPr>
        <w:t>. Thus,</w:t>
      </w:r>
      <w:r w:rsidRPr="004B74AE">
        <w:rPr>
          <w:rFonts w:ascii="Times New Roman" w:hAnsi="Times New Roman"/>
          <w:color w:val="2E2E2E"/>
          <w:szCs w:val="24"/>
        </w:rPr>
        <w:t xml:space="preserve"> the offender is the central focus of retributive justice. </w:t>
      </w:r>
    </w:p>
    <w:p w14:paraId="40C185DD" w14:textId="2358C76D" w:rsidR="004D5736" w:rsidRPr="00F94AD2" w:rsidRDefault="004D5736" w:rsidP="001B6656">
      <w:pPr>
        <w:spacing w:line="480" w:lineRule="auto"/>
        <w:jc w:val="both"/>
        <w:rPr>
          <w:rFonts w:ascii="Times New Roman" w:hAnsi="Times New Roman"/>
          <w:color w:val="2E2E2E"/>
          <w:szCs w:val="24"/>
        </w:rPr>
      </w:pPr>
      <w:r w:rsidRPr="004B74AE">
        <w:rPr>
          <w:rFonts w:ascii="Times New Roman" w:hAnsi="Times New Roman"/>
          <w:color w:val="2E2E2E"/>
          <w:szCs w:val="24"/>
        </w:rPr>
        <w:lastRenderedPageBreak/>
        <w:t xml:space="preserve"> </w:t>
      </w:r>
      <w:r w:rsidRPr="004B74AE">
        <w:rPr>
          <w:rFonts w:ascii="Times New Roman" w:hAnsi="Times New Roman"/>
          <w:szCs w:val="24"/>
        </w:rPr>
        <w:t>The concept of retributive justice has been used in a variety of ways, but it is best understood as that form of justice committed to the following three principles:</w:t>
      </w:r>
    </w:p>
    <w:p w14:paraId="5B39533D" w14:textId="77777777" w:rsidR="004D5736" w:rsidRPr="004B74AE" w:rsidRDefault="004D5736" w:rsidP="004B74AE">
      <w:pPr>
        <w:spacing w:line="480" w:lineRule="auto"/>
        <w:jc w:val="both"/>
        <w:rPr>
          <w:rFonts w:ascii="Times New Roman" w:hAnsi="Times New Roman"/>
          <w:szCs w:val="24"/>
        </w:rPr>
      </w:pPr>
    </w:p>
    <w:p w14:paraId="413B30D7" w14:textId="26D73355" w:rsidR="004D5736" w:rsidRPr="004B74AE" w:rsidRDefault="004D5736" w:rsidP="004B74AE">
      <w:pPr>
        <w:spacing w:line="480" w:lineRule="auto"/>
        <w:ind w:left="850" w:right="907"/>
        <w:jc w:val="both"/>
        <w:rPr>
          <w:rFonts w:ascii="Times New Roman" w:hAnsi="Times New Roman"/>
          <w:szCs w:val="24"/>
        </w:rPr>
      </w:pPr>
      <w:r w:rsidRPr="004B74AE">
        <w:rPr>
          <w:rFonts w:ascii="Times New Roman" w:hAnsi="Times New Roman"/>
          <w:szCs w:val="24"/>
        </w:rPr>
        <w:t xml:space="preserve"> “</w:t>
      </w:r>
      <w:r w:rsidR="00D3549D">
        <w:rPr>
          <w:rFonts w:ascii="Times New Roman" w:hAnsi="Times New Roman"/>
          <w:szCs w:val="24"/>
        </w:rPr>
        <w:t>(1)</w:t>
      </w:r>
      <w:r w:rsidRPr="001B6656">
        <w:rPr>
          <w:rFonts w:ascii="Times New Roman" w:hAnsi="Times New Roman"/>
          <w:szCs w:val="24"/>
        </w:rPr>
        <w:t>that those who commit certain  kinds of wrongful acts, paradigmatically serious crimes, morally deserve to suffer a proportionate punishment; (2) that it is intrinsically morally good—good  without reference to any other goods that might arise—if some legitimate punisher gives them the punishment  they deserve; and (3) that it is morally impermissible intentionally to punish the innocent or to inflict disproportionately large punishments on wrongdoers</w:t>
      </w:r>
      <w:r w:rsidRPr="00514973">
        <w:rPr>
          <w:rFonts w:ascii="Times New Roman" w:hAnsi="Times New Roman"/>
          <w:i/>
          <w:szCs w:val="24"/>
        </w:rPr>
        <w:t>.”</w:t>
      </w:r>
      <w:r w:rsidRPr="004B74AE">
        <w:rPr>
          <w:rStyle w:val="FootnoteReference"/>
          <w:rFonts w:ascii="Times New Roman" w:hAnsi="Times New Roman"/>
          <w:szCs w:val="24"/>
        </w:rPr>
        <w:footnoteReference w:id="843"/>
      </w:r>
      <w:r w:rsidRPr="004B74AE">
        <w:rPr>
          <w:rFonts w:ascii="Times New Roman" w:hAnsi="Times New Roman"/>
          <w:szCs w:val="24"/>
        </w:rPr>
        <w:t xml:space="preserve"> </w:t>
      </w:r>
    </w:p>
    <w:p w14:paraId="16CD6E3E" w14:textId="77777777" w:rsidR="004D5736" w:rsidRPr="004B74AE" w:rsidRDefault="004D5736" w:rsidP="004B74AE">
      <w:pPr>
        <w:spacing w:line="480" w:lineRule="auto"/>
        <w:jc w:val="both"/>
        <w:rPr>
          <w:rFonts w:ascii="Times New Roman" w:hAnsi="Times New Roman"/>
          <w:szCs w:val="24"/>
        </w:rPr>
      </w:pPr>
    </w:p>
    <w:p w14:paraId="620AF499" w14:textId="1FE7768B"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The idea of retributive justice has p</w:t>
      </w:r>
      <w:r w:rsidR="0051756A">
        <w:rPr>
          <w:rFonts w:ascii="Times New Roman" w:hAnsi="Times New Roman"/>
          <w:szCs w:val="24"/>
        </w:rPr>
        <w:t>layed a dominant role in theoris</w:t>
      </w:r>
      <w:r w:rsidRPr="004B74AE">
        <w:rPr>
          <w:rFonts w:ascii="Times New Roman" w:hAnsi="Times New Roman"/>
          <w:szCs w:val="24"/>
        </w:rPr>
        <w:t>ing about punishment over the past few decades</w:t>
      </w:r>
      <w:r w:rsidR="0051756A">
        <w:rPr>
          <w:rFonts w:ascii="Times New Roman" w:hAnsi="Times New Roman"/>
          <w:szCs w:val="24"/>
        </w:rPr>
        <w:t>. Still,</w:t>
      </w:r>
      <w:r w:rsidRPr="004B74AE">
        <w:rPr>
          <w:rFonts w:ascii="Times New Roman" w:hAnsi="Times New Roman"/>
          <w:szCs w:val="24"/>
        </w:rPr>
        <w:t xml:space="preserve"> many features of it—</w:t>
      </w:r>
      <w:r w:rsidR="0051756A">
        <w:rPr>
          <w:rFonts w:ascii="Times New Roman" w:hAnsi="Times New Roman"/>
          <w:szCs w:val="24"/>
        </w:rPr>
        <w:t>‘</w:t>
      </w:r>
      <w:r w:rsidRPr="004B74AE">
        <w:rPr>
          <w:rFonts w:ascii="Times New Roman" w:hAnsi="Times New Roman"/>
          <w:szCs w:val="24"/>
        </w:rPr>
        <w:t>especially the notions of desert and proportionality, the normative status of suffering, and the ultimate justification for retribution—remain contested and problematic</w:t>
      </w:r>
      <w:r w:rsidR="00F94AD2">
        <w:rPr>
          <w:rFonts w:ascii="Times New Roman" w:hAnsi="Times New Roman"/>
          <w:szCs w:val="24"/>
        </w:rPr>
        <w:t>.</w:t>
      </w:r>
      <w:r w:rsidRPr="004B74AE">
        <w:rPr>
          <w:rFonts w:ascii="Times New Roman" w:hAnsi="Times New Roman"/>
          <w:szCs w:val="24"/>
        </w:rPr>
        <w:t>’</w:t>
      </w:r>
      <w:r w:rsidRPr="004B74AE">
        <w:rPr>
          <w:rStyle w:val="FootnoteReference"/>
          <w:rFonts w:ascii="Times New Roman" w:hAnsi="Times New Roman"/>
          <w:szCs w:val="24"/>
        </w:rPr>
        <w:footnoteReference w:id="844"/>
      </w:r>
      <w:r w:rsidRPr="004B74AE">
        <w:rPr>
          <w:rFonts w:ascii="Times New Roman" w:hAnsi="Times New Roman"/>
          <w:szCs w:val="24"/>
        </w:rPr>
        <w:t xml:space="preserve"> The three justifications of retributive justice are deterrence, retribution and rehabilitation.</w:t>
      </w:r>
    </w:p>
    <w:p w14:paraId="595674A3" w14:textId="131863FE" w:rsidR="000457CE" w:rsidRDefault="004D5736" w:rsidP="007D7714">
      <w:pPr>
        <w:spacing w:line="480" w:lineRule="auto"/>
        <w:jc w:val="both"/>
        <w:rPr>
          <w:rFonts w:ascii="Times New Roman" w:hAnsi="Times New Roman"/>
          <w:szCs w:val="24"/>
        </w:rPr>
      </w:pPr>
      <w:r w:rsidRPr="004B74AE">
        <w:rPr>
          <w:rFonts w:ascii="Times New Roman" w:hAnsi="Times New Roman"/>
          <w:szCs w:val="24"/>
        </w:rPr>
        <w:lastRenderedPageBreak/>
        <w:t>Some proponents of retributive justice argue that it serves a</w:t>
      </w:r>
      <w:r w:rsidR="001972A1" w:rsidRPr="004B74AE">
        <w:rPr>
          <w:rFonts w:ascii="Times New Roman" w:hAnsi="Times New Roman"/>
          <w:szCs w:val="24"/>
        </w:rPr>
        <w:t xml:space="preserve">s </w:t>
      </w:r>
      <w:r w:rsidR="0051756A">
        <w:rPr>
          <w:rFonts w:ascii="Times New Roman" w:hAnsi="Times New Roman"/>
          <w:szCs w:val="24"/>
        </w:rPr>
        <w:t xml:space="preserve">a </w:t>
      </w:r>
      <w:r w:rsidR="001972A1" w:rsidRPr="004B74AE">
        <w:rPr>
          <w:rFonts w:ascii="Times New Roman" w:hAnsi="Times New Roman"/>
          <w:szCs w:val="24"/>
        </w:rPr>
        <w:t>de</w:t>
      </w:r>
      <w:r w:rsidR="0051756A">
        <w:rPr>
          <w:rFonts w:ascii="Times New Roman" w:hAnsi="Times New Roman"/>
          <w:szCs w:val="24"/>
        </w:rPr>
        <w:t>terrent</w:t>
      </w:r>
      <w:r w:rsidR="005113BE">
        <w:rPr>
          <w:rFonts w:ascii="Times New Roman" w:hAnsi="Times New Roman"/>
          <w:szCs w:val="24"/>
        </w:rPr>
        <w:t>(individual or general)</w:t>
      </w:r>
      <w:r w:rsidR="00F042BE">
        <w:rPr>
          <w:rFonts w:ascii="Times New Roman" w:hAnsi="Times New Roman"/>
          <w:szCs w:val="24"/>
        </w:rPr>
        <w:t xml:space="preserve"> while also reducing </w:t>
      </w:r>
      <w:r w:rsidR="00182D4B">
        <w:rPr>
          <w:rFonts w:ascii="Times New Roman" w:hAnsi="Times New Roman"/>
          <w:szCs w:val="24"/>
        </w:rPr>
        <w:t>society's crime rates</w:t>
      </w:r>
      <w:r w:rsidRPr="004B74AE">
        <w:rPr>
          <w:rFonts w:ascii="Times New Roman" w:hAnsi="Times New Roman"/>
          <w:szCs w:val="24"/>
        </w:rPr>
        <w:t>.</w:t>
      </w:r>
      <w:r w:rsidR="001972A1" w:rsidRPr="004B74AE">
        <w:rPr>
          <w:rStyle w:val="FootnoteReference"/>
          <w:rFonts w:ascii="Times New Roman" w:hAnsi="Times New Roman"/>
          <w:szCs w:val="24"/>
        </w:rPr>
        <w:footnoteReference w:id="845"/>
      </w:r>
      <w:r w:rsidRPr="004B74AE">
        <w:rPr>
          <w:rFonts w:ascii="Times New Roman" w:hAnsi="Times New Roman"/>
          <w:szCs w:val="24"/>
        </w:rPr>
        <w:t xml:space="preserve"> In the same vein, Schafer supports his argument with Pope Clement VI’s words </w:t>
      </w:r>
      <w:r w:rsidR="001B6656">
        <w:rPr>
          <w:rFonts w:ascii="Times New Roman" w:hAnsi="Times New Roman"/>
          <w:szCs w:val="24"/>
        </w:rPr>
        <w:t>“</w:t>
      </w:r>
      <w:r w:rsidRPr="001B6656">
        <w:rPr>
          <w:rFonts w:ascii="Times New Roman" w:hAnsi="Times New Roman"/>
          <w:szCs w:val="24"/>
        </w:rPr>
        <w:t>any punishment that makes the offender not commit a crime again is worth administering: and a punishment that does not correct should not be given</w:t>
      </w:r>
      <w:r w:rsidR="001B6656" w:rsidRPr="001B6656">
        <w:rPr>
          <w:rFonts w:ascii="Times New Roman" w:hAnsi="Times New Roman"/>
          <w:szCs w:val="24"/>
        </w:rPr>
        <w:t>”</w:t>
      </w:r>
      <w:r w:rsidRPr="001B6656">
        <w:rPr>
          <w:rFonts w:ascii="Times New Roman" w:hAnsi="Times New Roman"/>
          <w:szCs w:val="24"/>
        </w:rPr>
        <w:t>.</w:t>
      </w:r>
      <w:r w:rsidR="000457CE" w:rsidRPr="004B74AE">
        <w:rPr>
          <w:rStyle w:val="FootnoteReference"/>
          <w:rFonts w:ascii="Times New Roman" w:hAnsi="Times New Roman"/>
          <w:szCs w:val="24"/>
        </w:rPr>
        <w:footnoteReference w:id="846"/>
      </w:r>
      <w:r w:rsidRPr="004B74AE">
        <w:rPr>
          <w:rFonts w:ascii="Times New Roman" w:hAnsi="Times New Roman"/>
          <w:szCs w:val="24"/>
        </w:rPr>
        <w:t xml:space="preserve"> From the above arguments, it can be inferred that deterrence is one </w:t>
      </w:r>
      <w:r w:rsidR="00F042BE">
        <w:rPr>
          <w:rFonts w:ascii="Times New Roman" w:hAnsi="Times New Roman"/>
          <w:szCs w:val="24"/>
        </w:rPr>
        <w:t>reason</w:t>
      </w:r>
      <w:r w:rsidRPr="004B74AE">
        <w:rPr>
          <w:rFonts w:ascii="Times New Roman" w:hAnsi="Times New Roman"/>
          <w:szCs w:val="24"/>
        </w:rPr>
        <w:t xml:space="preserve"> behind </w:t>
      </w:r>
      <w:r w:rsidR="005113BE">
        <w:rPr>
          <w:rFonts w:ascii="Times New Roman" w:hAnsi="Times New Roman"/>
          <w:szCs w:val="24"/>
        </w:rPr>
        <w:t xml:space="preserve">the </w:t>
      </w:r>
      <w:r w:rsidRPr="004B74AE">
        <w:rPr>
          <w:rFonts w:ascii="Times New Roman" w:hAnsi="Times New Roman"/>
          <w:szCs w:val="24"/>
        </w:rPr>
        <w:t xml:space="preserve">prosecution of crimes in the international criminal justice system. Similarly, most domestic criminal justice systems are rooted in retributive justice approach. Bagaric and </w:t>
      </w:r>
      <w:proofErr w:type="spellStart"/>
      <w:r w:rsidRPr="004B74AE">
        <w:rPr>
          <w:rFonts w:ascii="Times New Roman" w:hAnsi="Times New Roman"/>
          <w:szCs w:val="24"/>
        </w:rPr>
        <w:t>Morss</w:t>
      </w:r>
      <w:proofErr w:type="spellEnd"/>
      <w:r w:rsidRPr="004B74AE">
        <w:rPr>
          <w:rFonts w:ascii="Times New Roman" w:hAnsi="Times New Roman"/>
          <w:szCs w:val="24"/>
        </w:rPr>
        <w:t xml:space="preserve"> submit that general deterrence is the </w:t>
      </w:r>
      <w:r w:rsidR="001F4511">
        <w:rPr>
          <w:rFonts w:ascii="Times New Roman" w:hAnsi="Times New Roman"/>
          <w:szCs w:val="24"/>
        </w:rPr>
        <w:t>primary</w:t>
      </w:r>
      <w:r w:rsidRPr="004B74AE">
        <w:rPr>
          <w:rFonts w:ascii="Times New Roman" w:hAnsi="Times New Roman"/>
          <w:szCs w:val="24"/>
        </w:rPr>
        <w:t xml:space="preserve"> rationale behind punishment in international criminal trials.</w:t>
      </w:r>
      <w:r w:rsidRPr="004B74AE">
        <w:rPr>
          <w:rStyle w:val="FootnoteReference"/>
          <w:rFonts w:ascii="Times New Roman" w:hAnsi="Times New Roman"/>
          <w:szCs w:val="24"/>
        </w:rPr>
        <w:footnoteReference w:id="847"/>
      </w:r>
      <w:r w:rsidRPr="004B74AE">
        <w:rPr>
          <w:rFonts w:ascii="Times New Roman" w:hAnsi="Times New Roman"/>
          <w:szCs w:val="24"/>
        </w:rPr>
        <w:t xml:space="preserve"> However, little research suggest</w:t>
      </w:r>
      <w:r w:rsidR="005113BE">
        <w:rPr>
          <w:rFonts w:ascii="Times New Roman" w:hAnsi="Times New Roman"/>
          <w:szCs w:val="24"/>
        </w:rPr>
        <w:t>s</w:t>
      </w:r>
      <w:r w:rsidRPr="004B74AE">
        <w:rPr>
          <w:rFonts w:ascii="Times New Roman" w:hAnsi="Times New Roman"/>
          <w:szCs w:val="24"/>
        </w:rPr>
        <w:t xml:space="preserve"> that punitive measures deter future offenders</w:t>
      </w:r>
      <w:r w:rsidR="005113BE">
        <w:rPr>
          <w:rFonts w:ascii="Times New Roman" w:hAnsi="Times New Roman"/>
          <w:szCs w:val="24"/>
        </w:rPr>
        <w:t>.</w:t>
      </w:r>
      <w:r w:rsidRPr="004B74AE">
        <w:rPr>
          <w:rFonts w:ascii="Times New Roman" w:hAnsi="Times New Roman"/>
          <w:szCs w:val="24"/>
        </w:rPr>
        <w:t xml:space="preserve"> </w:t>
      </w:r>
      <w:r w:rsidR="000457CE" w:rsidRPr="004B74AE">
        <w:rPr>
          <w:rFonts w:ascii="Times New Roman" w:hAnsi="Times New Roman"/>
          <w:szCs w:val="24"/>
        </w:rPr>
        <w:t xml:space="preserve">From </w:t>
      </w:r>
      <w:r w:rsidRPr="004B74AE">
        <w:rPr>
          <w:rFonts w:ascii="Times New Roman" w:hAnsi="Times New Roman"/>
          <w:szCs w:val="24"/>
        </w:rPr>
        <w:t>McGonigle</w:t>
      </w:r>
      <w:r w:rsidR="000457CE" w:rsidRPr="004B74AE">
        <w:rPr>
          <w:rFonts w:ascii="Times New Roman" w:hAnsi="Times New Roman"/>
          <w:szCs w:val="24"/>
        </w:rPr>
        <w:t>’s perspective,</w:t>
      </w:r>
      <w:r w:rsidRPr="004B74AE">
        <w:rPr>
          <w:rFonts w:ascii="Times New Roman" w:hAnsi="Times New Roman"/>
          <w:szCs w:val="24"/>
        </w:rPr>
        <w:t xml:space="preserve"> there is no empirical evidence that retributive justice deters crimes.</w:t>
      </w:r>
      <w:r w:rsidRPr="004B74AE">
        <w:rPr>
          <w:rStyle w:val="FootnoteReference"/>
          <w:rFonts w:ascii="Times New Roman" w:hAnsi="Times New Roman"/>
          <w:szCs w:val="24"/>
        </w:rPr>
        <w:footnoteReference w:id="848"/>
      </w:r>
      <w:r w:rsidR="005113BE">
        <w:rPr>
          <w:rFonts w:ascii="Times New Roman" w:hAnsi="Times New Roman"/>
          <w:szCs w:val="24"/>
        </w:rPr>
        <w:t xml:space="preserve"> </w:t>
      </w:r>
      <w:r w:rsidR="001F4511">
        <w:rPr>
          <w:rFonts w:ascii="Times New Roman" w:hAnsi="Times New Roman"/>
          <w:szCs w:val="24"/>
        </w:rPr>
        <w:t>T</w:t>
      </w:r>
      <w:r w:rsidRPr="004B74AE">
        <w:rPr>
          <w:rFonts w:ascii="Times New Roman" w:hAnsi="Times New Roman"/>
          <w:szCs w:val="24"/>
        </w:rPr>
        <w:t>heoretically, retributive justice is believed to deter future crimes</w:t>
      </w:r>
      <w:r w:rsidR="00F042BE">
        <w:rPr>
          <w:rFonts w:ascii="Times New Roman" w:hAnsi="Times New Roman"/>
          <w:szCs w:val="24"/>
        </w:rPr>
        <w:t>;</w:t>
      </w:r>
      <w:r w:rsidRPr="004B74AE">
        <w:rPr>
          <w:rFonts w:ascii="Times New Roman" w:hAnsi="Times New Roman"/>
          <w:szCs w:val="24"/>
        </w:rPr>
        <w:t xml:space="preserve"> nevertheless, pragmatically, it may be difficult for retributive justice to deter future crimes based on the fact that the occurrence of crim</w:t>
      </w:r>
      <w:r w:rsidR="005113BE">
        <w:rPr>
          <w:rFonts w:ascii="Times New Roman" w:hAnsi="Times New Roman"/>
          <w:szCs w:val="24"/>
        </w:rPr>
        <w:t>es seems to be on the increase.</w:t>
      </w:r>
    </w:p>
    <w:p w14:paraId="29C0B1E9" w14:textId="573F8F31" w:rsidR="00F94AD2" w:rsidRPr="004B74AE" w:rsidRDefault="00F94AD2" w:rsidP="007D7714">
      <w:pPr>
        <w:spacing w:line="480" w:lineRule="auto"/>
        <w:jc w:val="both"/>
        <w:rPr>
          <w:rFonts w:ascii="Times New Roman" w:hAnsi="Times New Roman"/>
          <w:szCs w:val="24"/>
        </w:rPr>
      </w:pPr>
      <w:r>
        <w:rPr>
          <w:rFonts w:ascii="Times New Roman" w:hAnsi="Times New Roman"/>
          <w:szCs w:val="24"/>
        </w:rPr>
        <w:lastRenderedPageBreak/>
        <w:t>With the punishment theory, one might posit that some people obey the law because of punishment. Presumably, if prevention of punishment is the motivation to obey the law in society, why has the law not been able to eliminate social vices and severe human rights violations? In his study, Tyler concludes that the fear of punishment is the force behind obedience to the law; instead, people obey the law because they think the authority is legitimate.</w:t>
      </w:r>
      <w:r>
        <w:rPr>
          <w:rStyle w:val="FootnoteReference"/>
          <w:rFonts w:ascii="Times New Roman" w:hAnsi="Times New Roman"/>
          <w:szCs w:val="24"/>
        </w:rPr>
        <w:footnoteReference w:id="849"/>
      </w:r>
      <w:r>
        <w:rPr>
          <w:rFonts w:ascii="Times New Roman" w:hAnsi="Times New Roman"/>
          <w:szCs w:val="24"/>
        </w:rPr>
        <w:t xml:space="preserve">Thus, if the legal system’s authority is legitimate and respects the people, there </w:t>
      </w:r>
      <w:r w:rsidR="00E5083B">
        <w:rPr>
          <w:rFonts w:ascii="Times New Roman" w:hAnsi="Times New Roman"/>
          <w:szCs w:val="24"/>
        </w:rPr>
        <w:t xml:space="preserve">will be an increase in </w:t>
      </w:r>
      <w:r>
        <w:rPr>
          <w:rFonts w:ascii="Times New Roman" w:hAnsi="Times New Roman"/>
          <w:szCs w:val="24"/>
        </w:rPr>
        <w:t>obedience to the law</w:t>
      </w:r>
      <w:r w:rsidR="00E5083B">
        <w:rPr>
          <w:rFonts w:ascii="Times New Roman" w:hAnsi="Times New Roman"/>
          <w:szCs w:val="24"/>
        </w:rPr>
        <w:t>.</w:t>
      </w:r>
      <w:r w:rsidR="00356477">
        <w:rPr>
          <w:rFonts w:ascii="Times New Roman" w:hAnsi="Times New Roman"/>
          <w:szCs w:val="24"/>
        </w:rPr>
        <w:t xml:space="preserve"> It could also be argued that people may</w:t>
      </w:r>
      <w:r w:rsidR="00A601F1">
        <w:rPr>
          <w:rFonts w:ascii="Times New Roman" w:hAnsi="Times New Roman"/>
          <w:szCs w:val="24"/>
        </w:rPr>
        <w:t xml:space="preserve"> also be motivated</w:t>
      </w:r>
      <w:r w:rsidR="00356477">
        <w:rPr>
          <w:rFonts w:ascii="Times New Roman" w:hAnsi="Times New Roman"/>
          <w:szCs w:val="24"/>
        </w:rPr>
        <w:t xml:space="preserve"> </w:t>
      </w:r>
      <w:r w:rsidR="00A601F1">
        <w:rPr>
          <w:rFonts w:ascii="Times New Roman" w:hAnsi="Times New Roman"/>
          <w:szCs w:val="24"/>
        </w:rPr>
        <w:t xml:space="preserve">to </w:t>
      </w:r>
      <w:r w:rsidR="00356477">
        <w:rPr>
          <w:rFonts w:ascii="Times New Roman" w:hAnsi="Times New Roman"/>
          <w:szCs w:val="24"/>
        </w:rPr>
        <w:t>obey the law because of their selfish interests</w:t>
      </w:r>
      <w:r w:rsidR="00A601F1">
        <w:rPr>
          <w:rFonts w:ascii="Times New Roman" w:hAnsi="Times New Roman"/>
          <w:szCs w:val="24"/>
        </w:rPr>
        <w:t>-to avoid punishment</w:t>
      </w:r>
    </w:p>
    <w:p w14:paraId="64C56FFF" w14:textId="18704FF4" w:rsidR="00FB74D2" w:rsidRDefault="004D5736" w:rsidP="007D7714">
      <w:pPr>
        <w:spacing w:line="480" w:lineRule="auto"/>
        <w:jc w:val="both"/>
        <w:rPr>
          <w:rStyle w:val="FootnoteReference"/>
          <w:rFonts w:ascii="Times New Roman" w:hAnsi="Times New Roman"/>
          <w:szCs w:val="24"/>
        </w:rPr>
      </w:pPr>
      <w:r w:rsidRPr="004B74AE">
        <w:rPr>
          <w:rFonts w:ascii="Times New Roman" w:hAnsi="Times New Roman"/>
          <w:szCs w:val="24"/>
        </w:rPr>
        <w:t>On victims’ and sentencing, Ashworth suggests that the traditional forms of criminal justice may adversely affect the involvement and the extent of applicability of victims’ rights in the criminal justice system.</w:t>
      </w:r>
      <w:r w:rsidRPr="004B74AE">
        <w:rPr>
          <w:rStyle w:val="FootnoteReference"/>
          <w:rFonts w:ascii="Times New Roman" w:hAnsi="Times New Roman"/>
          <w:szCs w:val="24"/>
        </w:rPr>
        <w:footnoteReference w:id="850"/>
      </w:r>
      <w:r w:rsidRPr="004B74AE">
        <w:rPr>
          <w:rFonts w:ascii="Times New Roman" w:hAnsi="Times New Roman"/>
          <w:szCs w:val="24"/>
        </w:rPr>
        <w:t>He cautions that remarkable consequences are likely to arise for introducing victim into an already balanced system- accused and the defence.</w:t>
      </w:r>
      <w:r w:rsidR="001F4511">
        <w:rPr>
          <w:rStyle w:val="FootnoteReference"/>
          <w:rFonts w:ascii="Times New Roman" w:hAnsi="Times New Roman"/>
          <w:szCs w:val="24"/>
        </w:rPr>
        <w:footnoteReference w:id="851"/>
      </w:r>
      <w:r w:rsidRPr="004B74AE">
        <w:rPr>
          <w:rFonts w:ascii="Times New Roman" w:hAnsi="Times New Roman"/>
          <w:szCs w:val="24"/>
        </w:rPr>
        <w:t xml:space="preserve"> This</w:t>
      </w:r>
      <w:r w:rsidR="005113BE">
        <w:rPr>
          <w:rFonts w:ascii="Times New Roman" w:hAnsi="Times New Roman"/>
          <w:szCs w:val="24"/>
        </w:rPr>
        <w:t xml:space="preserve"> argument</w:t>
      </w:r>
      <w:r w:rsidRPr="004B74AE">
        <w:rPr>
          <w:rFonts w:ascii="Times New Roman" w:hAnsi="Times New Roman"/>
          <w:szCs w:val="24"/>
        </w:rPr>
        <w:t xml:space="preserve"> supposes the traditional criminal justice</w:t>
      </w:r>
      <w:r w:rsidR="00FB74D2">
        <w:rPr>
          <w:rFonts w:ascii="Times New Roman" w:hAnsi="Times New Roman"/>
          <w:szCs w:val="24"/>
        </w:rPr>
        <w:t>; n</w:t>
      </w:r>
      <w:r w:rsidR="005113BE">
        <w:rPr>
          <w:rFonts w:ascii="Times New Roman" w:hAnsi="Times New Roman"/>
          <w:szCs w:val="24"/>
        </w:rPr>
        <w:t>otab</w:t>
      </w:r>
      <w:r w:rsidRPr="004B74AE">
        <w:rPr>
          <w:rFonts w:ascii="Times New Roman" w:hAnsi="Times New Roman"/>
          <w:szCs w:val="24"/>
        </w:rPr>
        <w:t>ly</w:t>
      </w:r>
      <w:r w:rsidR="005113BE">
        <w:rPr>
          <w:rFonts w:ascii="Times New Roman" w:hAnsi="Times New Roman"/>
          <w:szCs w:val="24"/>
        </w:rPr>
        <w:t>,</w:t>
      </w:r>
      <w:r w:rsidRPr="004B74AE">
        <w:rPr>
          <w:rFonts w:ascii="Times New Roman" w:hAnsi="Times New Roman"/>
          <w:szCs w:val="24"/>
        </w:rPr>
        <w:t xml:space="preserve"> the criminal tr</w:t>
      </w:r>
      <w:r w:rsidR="005113BE">
        <w:rPr>
          <w:rFonts w:ascii="Times New Roman" w:hAnsi="Times New Roman"/>
          <w:szCs w:val="24"/>
        </w:rPr>
        <w:t>ia</w:t>
      </w:r>
      <w:r w:rsidRPr="004B74AE">
        <w:rPr>
          <w:rFonts w:ascii="Times New Roman" w:hAnsi="Times New Roman"/>
          <w:szCs w:val="24"/>
        </w:rPr>
        <w:t xml:space="preserve">l setting </w:t>
      </w:r>
      <w:r w:rsidR="001F4511">
        <w:rPr>
          <w:rFonts w:ascii="Times New Roman" w:hAnsi="Times New Roman"/>
          <w:szCs w:val="24"/>
        </w:rPr>
        <w:t>lacks a well-equipped structure</w:t>
      </w:r>
      <w:r w:rsidRPr="004B74AE">
        <w:rPr>
          <w:rFonts w:ascii="Times New Roman" w:hAnsi="Times New Roman"/>
          <w:szCs w:val="24"/>
        </w:rPr>
        <w:t xml:space="preserve"> to incor</w:t>
      </w:r>
      <w:r w:rsidR="005113BE">
        <w:rPr>
          <w:rFonts w:ascii="Times New Roman" w:hAnsi="Times New Roman"/>
          <w:szCs w:val="24"/>
        </w:rPr>
        <w:t xml:space="preserve">porate victims’ interests </w:t>
      </w:r>
      <w:r w:rsidR="001F4511">
        <w:rPr>
          <w:rFonts w:ascii="Times New Roman" w:hAnsi="Times New Roman"/>
          <w:szCs w:val="24"/>
        </w:rPr>
        <w:t>and</w:t>
      </w:r>
      <w:r w:rsidRPr="004B74AE">
        <w:rPr>
          <w:rFonts w:ascii="Times New Roman" w:hAnsi="Times New Roman"/>
          <w:szCs w:val="24"/>
        </w:rPr>
        <w:t xml:space="preserve"> rights, </w:t>
      </w:r>
      <w:r w:rsidR="00182D4B">
        <w:rPr>
          <w:rFonts w:ascii="Times New Roman" w:hAnsi="Times New Roman"/>
          <w:szCs w:val="24"/>
        </w:rPr>
        <w:t>empowering</w:t>
      </w:r>
      <w:r w:rsidRPr="004B74AE">
        <w:rPr>
          <w:rFonts w:ascii="Times New Roman" w:hAnsi="Times New Roman"/>
          <w:szCs w:val="24"/>
        </w:rPr>
        <w:t xml:space="preserve"> their involvement. Retribution and deterrence are the driving force of the traditional criminal justice system</w:t>
      </w:r>
      <w:r w:rsidR="007D7714">
        <w:rPr>
          <w:rFonts w:ascii="Times New Roman" w:hAnsi="Times New Roman"/>
          <w:szCs w:val="24"/>
        </w:rPr>
        <w:t xml:space="preserve">. </w:t>
      </w:r>
      <w:r w:rsidRPr="004B74AE">
        <w:rPr>
          <w:rFonts w:ascii="Times New Roman" w:hAnsi="Times New Roman"/>
          <w:szCs w:val="24"/>
        </w:rPr>
        <w:t xml:space="preserve">Retributive justice focuses on the rights of the accused in order to prevent convicting an innocent person. Hence, retributive justice is offender-centred. In retributive justice systems, punishments given out to the offender </w:t>
      </w:r>
      <w:r w:rsidR="00F042BE">
        <w:rPr>
          <w:rFonts w:ascii="Times New Roman" w:hAnsi="Times New Roman"/>
          <w:szCs w:val="24"/>
        </w:rPr>
        <w:lastRenderedPageBreak/>
        <w:t>are grounded on evaluating the seriousness of the offender's crime and mental state</w:t>
      </w:r>
      <w:r w:rsidR="00FB74D2">
        <w:rPr>
          <w:rFonts w:ascii="Times New Roman" w:hAnsi="Times New Roman"/>
          <w:szCs w:val="24"/>
        </w:rPr>
        <w:t>. Which,</w:t>
      </w:r>
      <w:r w:rsidRPr="004B74AE">
        <w:rPr>
          <w:rFonts w:ascii="Times New Roman" w:hAnsi="Times New Roman"/>
          <w:szCs w:val="24"/>
        </w:rPr>
        <w:t xml:space="preserve"> </w:t>
      </w:r>
      <w:r w:rsidR="001F4511">
        <w:rPr>
          <w:rFonts w:ascii="Times New Roman" w:hAnsi="Times New Roman"/>
          <w:szCs w:val="24"/>
        </w:rPr>
        <w:t xml:space="preserve">relegates </w:t>
      </w:r>
      <w:r w:rsidRPr="004B74AE">
        <w:rPr>
          <w:rFonts w:ascii="Times New Roman" w:hAnsi="Times New Roman"/>
          <w:szCs w:val="24"/>
        </w:rPr>
        <w:t>the needs and expectations of victims in the determination of guilt or punishment of the offender.</w:t>
      </w:r>
      <w:r w:rsidRPr="004B74AE">
        <w:rPr>
          <w:rStyle w:val="FootnoteReference"/>
          <w:rFonts w:ascii="Times New Roman" w:hAnsi="Times New Roman"/>
          <w:szCs w:val="24"/>
        </w:rPr>
        <w:footnoteReference w:id="852"/>
      </w:r>
      <w:r w:rsidRPr="004B74AE">
        <w:rPr>
          <w:rFonts w:ascii="Times New Roman" w:hAnsi="Times New Roman"/>
          <w:szCs w:val="24"/>
        </w:rPr>
        <w:t xml:space="preserve"> The offender</w:t>
      </w:r>
      <w:r w:rsidR="00FB74D2">
        <w:rPr>
          <w:rFonts w:ascii="Times New Roman" w:hAnsi="Times New Roman"/>
          <w:szCs w:val="24"/>
        </w:rPr>
        <w:t xml:space="preserve">’s sentence </w:t>
      </w:r>
      <w:r w:rsidR="00182D4B">
        <w:rPr>
          <w:rFonts w:ascii="Times New Roman" w:hAnsi="Times New Roman"/>
          <w:szCs w:val="24"/>
        </w:rPr>
        <w:t>responds</w:t>
      </w:r>
      <w:r w:rsidR="00FB74D2">
        <w:rPr>
          <w:rFonts w:ascii="Times New Roman" w:hAnsi="Times New Roman"/>
          <w:szCs w:val="24"/>
        </w:rPr>
        <w:t xml:space="preserve"> to the wrong </w:t>
      </w:r>
      <w:r w:rsidR="001F4511">
        <w:rPr>
          <w:rFonts w:ascii="Times New Roman" w:hAnsi="Times New Roman"/>
          <w:szCs w:val="24"/>
        </w:rPr>
        <w:t>instead</w:t>
      </w:r>
      <w:r w:rsidR="00F042BE">
        <w:rPr>
          <w:rFonts w:ascii="Times New Roman" w:hAnsi="Times New Roman"/>
          <w:szCs w:val="24"/>
        </w:rPr>
        <w:t xml:space="preserve"> of</w:t>
      </w:r>
      <w:r w:rsidR="00FB74D2">
        <w:rPr>
          <w:rFonts w:ascii="Times New Roman" w:hAnsi="Times New Roman"/>
          <w:szCs w:val="24"/>
        </w:rPr>
        <w:t xml:space="preserve"> how it affects the victims’ position. An indication</w:t>
      </w:r>
      <w:r w:rsidRPr="004B74AE">
        <w:rPr>
          <w:rFonts w:ascii="Times New Roman" w:hAnsi="Times New Roman"/>
          <w:szCs w:val="24"/>
        </w:rPr>
        <w:t xml:space="preserve"> that retributive justice </w:t>
      </w:r>
      <w:r w:rsidR="00FB74D2">
        <w:rPr>
          <w:rFonts w:ascii="Times New Roman" w:hAnsi="Times New Roman"/>
          <w:szCs w:val="24"/>
        </w:rPr>
        <w:t>does not align</w:t>
      </w:r>
      <w:r w:rsidRPr="004B74AE">
        <w:rPr>
          <w:rFonts w:ascii="Times New Roman" w:hAnsi="Times New Roman"/>
          <w:szCs w:val="24"/>
        </w:rPr>
        <w:t xml:space="preserve"> with the interests of the victims. In the light of the above argument, how do we reconcile retributive justice with victims’ rights within the ICC’s context?</w:t>
      </w:r>
      <w:r w:rsidR="00FB74D2">
        <w:rPr>
          <w:rFonts w:ascii="Times New Roman" w:hAnsi="Times New Roman"/>
          <w:szCs w:val="24"/>
        </w:rPr>
        <w:t xml:space="preserve"> </w:t>
      </w:r>
      <w:r w:rsidRPr="004B74AE">
        <w:rPr>
          <w:rFonts w:ascii="Times New Roman" w:hAnsi="Times New Roman"/>
          <w:szCs w:val="24"/>
        </w:rPr>
        <w:t>Barnett opines that retributive justice reacts to the wrong inflicted on a victim rather than the harm suffered by the victim. As such, some have submitted that it is less victim-</w:t>
      </w:r>
      <w:r w:rsidR="00FB74D2">
        <w:rPr>
          <w:rFonts w:ascii="Times New Roman" w:hAnsi="Times New Roman"/>
          <w:szCs w:val="24"/>
        </w:rPr>
        <w:t>friendl</w:t>
      </w:r>
      <w:r w:rsidRPr="004B74AE">
        <w:rPr>
          <w:rFonts w:ascii="Times New Roman" w:hAnsi="Times New Roman"/>
          <w:szCs w:val="24"/>
        </w:rPr>
        <w:t>y.</w:t>
      </w:r>
    </w:p>
    <w:p w14:paraId="0566813A" w14:textId="2A23F2FC"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In contrast, it is believed that retributive justice is victim-friendly because the manner of punishment depicts society’s cohesion with the victim.</w:t>
      </w:r>
      <w:r w:rsidRPr="004B74AE">
        <w:rPr>
          <w:rStyle w:val="FootnoteReference"/>
          <w:rFonts w:ascii="Times New Roman" w:hAnsi="Times New Roman"/>
          <w:szCs w:val="24"/>
        </w:rPr>
        <w:footnoteReference w:id="853"/>
      </w:r>
      <w:r w:rsidRPr="004B74AE">
        <w:rPr>
          <w:rFonts w:ascii="Times New Roman" w:hAnsi="Times New Roman"/>
          <w:szCs w:val="24"/>
        </w:rPr>
        <w:t xml:space="preserve">The </w:t>
      </w:r>
      <w:r w:rsidR="00547F1C">
        <w:rPr>
          <w:rFonts w:ascii="Times New Roman" w:hAnsi="Times New Roman"/>
          <w:szCs w:val="24"/>
        </w:rPr>
        <w:t>critical</w:t>
      </w:r>
      <w:r w:rsidRPr="004B74AE">
        <w:rPr>
          <w:rFonts w:ascii="Times New Roman" w:hAnsi="Times New Roman"/>
          <w:szCs w:val="24"/>
        </w:rPr>
        <w:t xml:space="preserve"> problem with this argument is that it trivialises </w:t>
      </w:r>
      <w:r w:rsidR="00FB74D2">
        <w:rPr>
          <w:rFonts w:ascii="Times New Roman" w:hAnsi="Times New Roman"/>
          <w:szCs w:val="24"/>
        </w:rPr>
        <w:t xml:space="preserve">the </w:t>
      </w:r>
      <w:r w:rsidRPr="004B74AE">
        <w:rPr>
          <w:rFonts w:ascii="Times New Roman" w:hAnsi="Times New Roman"/>
          <w:szCs w:val="24"/>
        </w:rPr>
        <w:t xml:space="preserve">victim’s interest on </w:t>
      </w:r>
      <w:r w:rsidR="00FB74D2">
        <w:rPr>
          <w:rFonts w:ascii="Times New Roman" w:hAnsi="Times New Roman"/>
          <w:szCs w:val="24"/>
        </w:rPr>
        <w:t xml:space="preserve">an </w:t>
      </w:r>
      <w:r w:rsidRPr="004B74AE">
        <w:rPr>
          <w:rFonts w:ascii="Times New Roman" w:hAnsi="Times New Roman"/>
          <w:szCs w:val="24"/>
        </w:rPr>
        <w:t xml:space="preserve">individual basis. The punishment only shows the intention to address the wrong done to </w:t>
      </w:r>
      <w:r w:rsidR="00F042BE">
        <w:rPr>
          <w:rFonts w:ascii="Times New Roman" w:hAnsi="Times New Roman"/>
          <w:szCs w:val="24"/>
        </w:rPr>
        <w:t>society, rather than the victim's personal har</w:t>
      </w:r>
      <w:r w:rsidRPr="004B74AE">
        <w:rPr>
          <w:rFonts w:ascii="Times New Roman" w:hAnsi="Times New Roman"/>
          <w:szCs w:val="24"/>
        </w:rPr>
        <w:t>m. Thus, the victim’s satisfaction is sacrificed for society’s. The traditional criminal justice system would have been more useful for addressing victims’ needs if retributive justice provides a central role for victims and response to the harm suffered by the victim.</w:t>
      </w:r>
    </w:p>
    <w:p w14:paraId="48783DA6" w14:textId="2B2BCF9B" w:rsidR="004D5736" w:rsidRPr="004B74AE" w:rsidRDefault="004D5736" w:rsidP="001B6656">
      <w:pPr>
        <w:spacing w:line="480" w:lineRule="auto"/>
        <w:jc w:val="both"/>
        <w:rPr>
          <w:rFonts w:ascii="Times New Roman" w:hAnsi="Times New Roman"/>
          <w:szCs w:val="24"/>
        </w:rPr>
      </w:pPr>
      <w:proofErr w:type="spellStart"/>
      <w:r w:rsidRPr="004B74AE">
        <w:rPr>
          <w:rFonts w:ascii="Times New Roman" w:hAnsi="Times New Roman"/>
          <w:szCs w:val="24"/>
        </w:rPr>
        <w:t>Gohan</w:t>
      </w:r>
      <w:proofErr w:type="spellEnd"/>
      <w:r w:rsidRPr="004B74AE">
        <w:rPr>
          <w:rFonts w:ascii="Times New Roman" w:hAnsi="Times New Roman"/>
          <w:szCs w:val="24"/>
        </w:rPr>
        <w:t xml:space="preserve"> cautions about over-stretching retributive justice, especially within the context of victims interests, </w:t>
      </w:r>
      <w:r w:rsidR="00FB74D2">
        <w:rPr>
          <w:rFonts w:ascii="Times New Roman" w:hAnsi="Times New Roman"/>
          <w:szCs w:val="24"/>
        </w:rPr>
        <w:t xml:space="preserve"> </w:t>
      </w:r>
      <w:r w:rsidRPr="004B74AE">
        <w:rPr>
          <w:rFonts w:ascii="Times New Roman" w:hAnsi="Times New Roman"/>
          <w:szCs w:val="24"/>
        </w:rPr>
        <w:t>because it is likely to result in victimisation of the a</w:t>
      </w:r>
      <w:r w:rsidR="000457CE" w:rsidRPr="004B74AE">
        <w:rPr>
          <w:rFonts w:ascii="Times New Roman" w:hAnsi="Times New Roman"/>
          <w:szCs w:val="24"/>
        </w:rPr>
        <w:t>ccused(convict) or sabotage its</w:t>
      </w:r>
      <w:r w:rsidRPr="004B74AE">
        <w:rPr>
          <w:rFonts w:ascii="Times New Roman" w:hAnsi="Times New Roman"/>
          <w:szCs w:val="24"/>
        </w:rPr>
        <w:t xml:space="preserve"> effectiveness.</w:t>
      </w:r>
      <w:r w:rsidRPr="004B74AE">
        <w:rPr>
          <w:rStyle w:val="FootnoteReference"/>
          <w:rFonts w:ascii="Times New Roman" w:hAnsi="Times New Roman"/>
          <w:szCs w:val="24"/>
        </w:rPr>
        <w:footnoteReference w:id="854"/>
      </w:r>
      <w:r w:rsidRPr="004B74AE">
        <w:rPr>
          <w:rFonts w:ascii="Times New Roman" w:hAnsi="Times New Roman"/>
          <w:szCs w:val="24"/>
        </w:rPr>
        <w:t xml:space="preserve"> Perhaps, the notion of retributive justice within the </w:t>
      </w:r>
      <w:r w:rsidRPr="004B74AE">
        <w:rPr>
          <w:rFonts w:ascii="Times New Roman" w:hAnsi="Times New Roman"/>
          <w:szCs w:val="24"/>
        </w:rPr>
        <w:lastRenderedPageBreak/>
        <w:t xml:space="preserve">domestic context slightly differs from the </w:t>
      </w:r>
      <w:r w:rsidR="007D7714">
        <w:rPr>
          <w:rFonts w:ascii="Times New Roman" w:hAnsi="Times New Roman"/>
          <w:szCs w:val="24"/>
        </w:rPr>
        <w:t>idea</w:t>
      </w:r>
      <w:r w:rsidRPr="004B74AE">
        <w:rPr>
          <w:rFonts w:ascii="Times New Roman" w:hAnsi="Times New Roman"/>
          <w:szCs w:val="24"/>
        </w:rPr>
        <w:t xml:space="preserve"> of retributive justice within the international sentencing context. In the international jurisdiction, the ICC deals with large scale violations of human rights, which is considered ‘</w:t>
      </w:r>
      <w:r w:rsidRPr="004B74AE">
        <w:rPr>
          <w:rFonts w:ascii="Times New Roman" w:hAnsi="Times New Roman"/>
          <w:i/>
          <w:szCs w:val="24"/>
        </w:rPr>
        <w:t>serious</w:t>
      </w:r>
      <w:r w:rsidRPr="004B74AE">
        <w:rPr>
          <w:rFonts w:ascii="Times New Roman" w:hAnsi="Times New Roman"/>
          <w:szCs w:val="24"/>
        </w:rPr>
        <w:t xml:space="preserve">’, and with </w:t>
      </w:r>
      <w:r w:rsidR="00F042BE">
        <w:rPr>
          <w:rFonts w:ascii="Times New Roman" w:hAnsi="Times New Roman"/>
          <w:szCs w:val="24"/>
        </w:rPr>
        <w:t>many</w:t>
      </w:r>
      <w:r w:rsidRPr="004B74AE">
        <w:rPr>
          <w:rFonts w:ascii="Times New Roman" w:hAnsi="Times New Roman"/>
          <w:szCs w:val="24"/>
        </w:rPr>
        <w:t xml:space="preserve"> victims that must have suffered harm. </w:t>
      </w:r>
      <w:proofErr w:type="spellStart"/>
      <w:r w:rsidRPr="004B74AE">
        <w:rPr>
          <w:rFonts w:ascii="Times New Roman" w:hAnsi="Times New Roman"/>
          <w:szCs w:val="24"/>
        </w:rPr>
        <w:t>Henham</w:t>
      </w:r>
      <w:proofErr w:type="spellEnd"/>
      <w:r w:rsidRPr="004B74AE">
        <w:rPr>
          <w:rFonts w:ascii="Times New Roman" w:hAnsi="Times New Roman"/>
          <w:szCs w:val="24"/>
        </w:rPr>
        <w:t xml:space="preserve"> opines that victims tend to play significant roles within international sentencing as opposed to domestic sentencing.</w:t>
      </w:r>
      <w:r w:rsidRPr="004B74AE">
        <w:rPr>
          <w:rStyle w:val="FootnoteReference"/>
          <w:rFonts w:ascii="Times New Roman" w:hAnsi="Times New Roman"/>
          <w:szCs w:val="24"/>
        </w:rPr>
        <w:footnoteReference w:id="855"/>
      </w:r>
      <w:r w:rsidR="007D7714">
        <w:rPr>
          <w:rFonts w:ascii="Times New Roman" w:hAnsi="Times New Roman"/>
          <w:szCs w:val="24"/>
        </w:rPr>
        <w:t>The large scale of crime and collective violence may require</w:t>
      </w:r>
      <w:r w:rsidR="000457CE" w:rsidRPr="004B74AE">
        <w:rPr>
          <w:rFonts w:ascii="Times New Roman" w:hAnsi="Times New Roman"/>
          <w:szCs w:val="24"/>
        </w:rPr>
        <w:t xml:space="preserve"> victim involvement</w:t>
      </w:r>
      <w:r w:rsidR="00FB74D2">
        <w:rPr>
          <w:rFonts w:ascii="Times New Roman" w:hAnsi="Times New Roman"/>
          <w:szCs w:val="24"/>
        </w:rPr>
        <w:t xml:space="preserve">. The similarity within both contexts espouses justice as the accountability of the offender to the state or community. </w:t>
      </w:r>
      <w:r w:rsidR="00474D91">
        <w:rPr>
          <w:rFonts w:ascii="Times New Roman" w:hAnsi="Times New Roman"/>
          <w:szCs w:val="24"/>
        </w:rPr>
        <w:t>With victims’ participation in criminal justice, justice should move beyond</w:t>
      </w:r>
      <w:r w:rsidR="000457CE" w:rsidRPr="004B74AE">
        <w:rPr>
          <w:rFonts w:ascii="Times New Roman" w:hAnsi="Times New Roman"/>
          <w:szCs w:val="24"/>
        </w:rPr>
        <w:t xml:space="preserve"> </w:t>
      </w:r>
      <w:r w:rsidR="00474D91">
        <w:rPr>
          <w:rFonts w:ascii="Times New Roman" w:hAnsi="Times New Roman"/>
          <w:szCs w:val="24"/>
        </w:rPr>
        <w:t>accountability.</w:t>
      </w:r>
    </w:p>
    <w:p w14:paraId="535CF0D3" w14:textId="3EF061AE" w:rsidR="00755BED" w:rsidRDefault="00474D91" w:rsidP="001B6656">
      <w:pPr>
        <w:spacing w:line="480" w:lineRule="auto"/>
        <w:jc w:val="both"/>
        <w:rPr>
          <w:rFonts w:ascii="Times New Roman" w:hAnsi="Times New Roman"/>
          <w:szCs w:val="24"/>
        </w:rPr>
      </w:pPr>
      <w:r>
        <w:rPr>
          <w:rFonts w:ascii="Times New Roman" w:hAnsi="Times New Roman"/>
          <w:szCs w:val="24"/>
        </w:rPr>
        <w:t>Besides, t</w:t>
      </w:r>
      <w:r w:rsidR="004D5736" w:rsidRPr="004B74AE">
        <w:rPr>
          <w:rFonts w:ascii="Times New Roman" w:hAnsi="Times New Roman"/>
          <w:szCs w:val="24"/>
        </w:rPr>
        <w:t xml:space="preserve">he ICC has witnessed a progression from purely retributive norms to </w:t>
      </w:r>
      <w:r w:rsidR="00F042BE">
        <w:rPr>
          <w:rFonts w:ascii="Times New Roman" w:hAnsi="Times New Roman"/>
          <w:szCs w:val="24"/>
        </w:rPr>
        <w:t>incorporating</w:t>
      </w:r>
      <w:r w:rsidR="004D5736" w:rsidRPr="004B74AE">
        <w:rPr>
          <w:rFonts w:ascii="Times New Roman" w:hAnsi="Times New Roman"/>
          <w:szCs w:val="24"/>
        </w:rPr>
        <w:t xml:space="preserve"> </w:t>
      </w:r>
      <w:r w:rsidR="002D0BA3">
        <w:rPr>
          <w:rFonts w:ascii="Times New Roman" w:hAnsi="Times New Roman"/>
          <w:szCs w:val="24"/>
        </w:rPr>
        <w:t>restorative justice elements</w:t>
      </w:r>
      <w:r w:rsidR="00357668">
        <w:rPr>
          <w:rStyle w:val="FootnoteReference"/>
          <w:rFonts w:ascii="Times New Roman" w:hAnsi="Times New Roman"/>
          <w:szCs w:val="24"/>
        </w:rPr>
        <w:footnoteReference w:id="856"/>
      </w:r>
      <w:r>
        <w:rPr>
          <w:rFonts w:ascii="Times New Roman" w:hAnsi="Times New Roman"/>
          <w:szCs w:val="24"/>
        </w:rPr>
        <w:t>;</w:t>
      </w:r>
      <w:r w:rsidR="004D5736" w:rsidRPr="004B74AE">
        <w:rPr>
          <w:rFonts w:ascii="Times New Roman" w:hAnsi="Times New Roman"/>
          <w:szCs w:val="24"/>
        </w:rPr>
        <w:t xml:space="preserve"> despite this, </w:t>
      </w:r>
      <w:r w:rsidR="00357668">
        <w:rPr>
          <w:rFonts w:ascii="Times New Roman" w:hAnsi="Times New Roman"/>
          <w:szCs w:val="24"/>
        </w:rPr>
        <w:t xml:space="preserve">there are still challenges </w:t>
      </w:r>
      <w:r w:rsidR="004D5736" w:rsidRPr="004B74AE">
        <w:rPr>
          <w:rFonts w:ascii="Times New Roman" w:hAnsi="Times New Roman"/>
          <w:szCs w:val="24"/>
        </w:rPr>
        <w:t xml:space="preserve">in </w:t>
      </w:r>
      <w:r w:rsidR="00357668">
        <w:rPr>
          <w:rFonts w:ascii="Times New Roman" w:hAnsi="Times New Roman"/>
          <w:szCs w:val="24"/>
        </w:rPr>
        <w:t>fully accommodating</w:t>
      </w:r>
      <w:r w:rsidR="00BF102C">
        <w:rPr>
          <w:rFonts w:ascii="Times New Roman" w:hAnsi="Times New Roman"/>
          <w:szCs w:val="24"/>
        </w:rPr>
        <w:t xml:space="preserve"> </w:t>
      </w:r>
      <w:r w:rsidR="00182D4B">
        <w:rPr>
          <w:rFonts w:ascii="Times New Roman" w:hAnsi="Times New Roman"/>
          <w:szCs w:val="24"/>
        </w:rPr>
        <w:t>victims' rights and interest</w:t>
      </w:r>
      <w:r w:rsidR="004D5736" w:rsidRPr="004B74AE">
        <w:rPr>
          <w:rFonts w:ascii="Times New Roman" w:hAnsi="Times New Roman"/>
          <w:szCs w:val="24"/>
        </w:rPr>
        <w:t>s</w:t>
      </w:r>
      <w:r w:rsidR="00543F23">
        <w:rPr>
          <w:rFonts w:ascii="Times New Roman" w:hAnsi="Times New Roman"/>
          <w:szCs w:val="24"/>
        </w:rPr>
        <w:t xml:space="preserve"> in sentencing</w:t>
      </w:r>
      <w:r w:rsidR="004D5736" w:rsidRPr="004B74AE">
        <w:rPr>
          <w:rFonts w:ascii="Times New Roman" w:hAnsi="Times New Roman"/>
          <w:szCs w:val="24"/>
        </w:rPr>
        <w:t xml:space="preserve">. Empowering victims to </w:t>
      </w:r>
      <w:r>
        <w:rPr>
          <w:rFonts w:ascii="Times New Roman" w:hAnsi="Times New Roman"/>
          <w:szCs w:val="24"/>
        </w:rPr>
        <w:t>participate during criminal proceedings</w:t>
      </w:r>
      <w:r w:rsidR="00FE75F9">
        <w:rPr>
          <w:rFonts w:ascii="Times New Roman" w:hAnsi="Times New Roman"/>
          <w:szCs w:val="24"/>
        </w:rPr>
        <w:t xml:space="preserve"> may</w:t>
      </w:r>
      <w:r>
        <w:rPr>
          <w:rFonts w:ascii="Times New Roman" w:hAnsi="Times New Roman"/>
          <w:szCs w:val="24"/>
        </w:rPr>
        <w:t xml:space="preserve"> </w:t>
      </w:r>
      <w:r w:rsidR="00FE75F9">
        <w:rPr>
          <w:rFonts w:ascii="Times New Roman" w:hAnsi="Times New Roman"/>
          <w:szCs w:val="24"/>
        </w:rPr>
        <w:t>prejudice</w:t>
      </w:r>
      <w:r>
        <w:rPr>
          <w:rFonts w:ascii="Times New Roman" w:hAnsi="Times New Roman"/>
          <w:szCs w:val="24"/>
        </w:rPr>
        <w:t xml:space="preserve"> the rights of the accused.</w:t>
      </w:r>
      <w:r w:rsidR="00543F23">
        <w:rPr>
          <w:rStyle w:val="FootnoteReference"/>
          <w:rFonts w:ascii="Times New Roman" w:hAnsi="Times New Roman"/>
          <w:szCs w:val="24"/>
        </w:rPr>
        <w:footnoteReference w:id="857"/>
      </w:r>
      <w:r>
        <w:rPr>
          <w:rFonts w:ascii="Times New Roman" w:hAnsi="Times New Roman"/>
          <w:szCs w:val="24"/>
        </w:rPr>
        <w:t xml:space="preserve"> It </w:t>
      </w:r>
      <w:r w:rsidR="00FE75F9">
        <w:rPr>
          <w:rFonts w:ascii="Times New Roman" w:hAnsi="Times New Roman"/>
          <w:szCs w:val="24"/>
        </w:rPr>
        <w:t xml:space="preserve">could </w:t>
      </w:r>
      <w:r>
        <w:rPr>
          <w:rFonts w:ascii="Times New Roman" w:hAnsi="Times New Roman"/>
          <w:szCs w:val="24"/>
        </w:rPr>
        <w:t>also shift</w:t>
      </w:r>
      <w:r w:rsidR="004D5736" w:rsidRPr="004B74AE">
        <w:rPr>
          <w:rFonts w:ascii="Times New Roman" w:hAnsi="Times New Roman"/>
          <w:szCs w:val="24"/>
        </w:rPr>
        <w:t xml:space="preserve"> the </w:t>
      </w:r>
      <w:r w:rsidR="00F042BE">
        <w:rPr>
          <w:rFonts w:ascii="Times New Roman" w:hAnsi="Times New Roman"/>
          <w:szCs w:val="24"/>
        </w:rPr>
        <w:t>trial's focus</w:t>
      </w:r>
      <w:r w:rsidR="004D5736" w:rsidRPr="004B74AE">
        <w:rPr>
          <w:rFonts w:ascii="Times New Roman" w:hAnsi="Times New Roman"/>
          <w:szCs w:val="24"/>
        </w:rPr>
        <w:t xml:space="preserve"> from the </w:t>
      </w:r>
      <w:r w:rsidR="004D5736" w:rsidRPr="004B74AE">
        <w:rPr>
          <w:rFonts w:ascii="Times New Roman" w:hAnsi="Times New Roman"/>
          <w:i/>
          <w:szCs w:val="24"/>
        </w:rPr>
        <w:t>‘wrong’</w:t>
      </w:r>
      <w:r w:rsidR="004D5736" w:rsidRPr="004B74AE">
        <w:rPr>
          <w:rFonts w:ascii="Times New Roman" w:hAnsi="Times New Roman"/>
          <w:szCs w:val="24"/>
        </w:rPr>
        <w:t xml:space="preserve"> to the ‘</w:t>
      </w:r>
      <w:r w:rsidR="004D5736" w:rsidRPr="00474D91">
        <w:rPr>
          <w:rFonts w:ascii="Times New Roman" w:hAnsi="Times New Roman"/>
          <w:i/>
          <w:szCs w:val="24"/>
        </w:rPr>
        <w:t>harm</w:t>
      </w:r>
      <w:r w:rsidR="004D5736" w:rsidRPr="004B74AE">
        <w:rPr>
          <w:rFonts w:ascii="Times New Roman" w:hAnsi="Times New Roman"/>
          <w:szCs w:val="24"/>
        </w:rPr>
        <w:t>’ suffered by the victim.</w:t>
      </w:r>
      <w:r w:rsidR="00F74DE3">
        <w:rPr>
          <w:rFonts w:ascii="Times New Roman" w:hAnsi="Times New Roman"/>
          <w:szCs w:val="24"/>
        </w:rPr>
        <w:t xml:space="preserve"> </w:t>
      </w:r>
      <w:r>
        <w:rPr>
          <w:rFonts w:ascii="Times New Roman" w:hAnsi="Times New Roman"/>
          <w:szCs w:val="24"/>
        </w:rPr>
        <w:t>This idea restructures the traditional criminal justice system.</w:t>
      </w:r>
    </w:p>
    <w:p w14:paraId="36790D5A" w14:textId="72F5556E" w:rsidR="00755BED" w:rsidRDefault="00755BED" w:rsidP="001B6656">
      <w:pPr>
        <w:spacing w:line="480" w:lineRule="auto"/>
        <w:jc w:val="both"/>
        <w:rPr>
          <w:rFonts w:ascii="Times New Roman" w:hAnsi="Times New Roman"/>
          <w:szCs w:val="24"/>
        </w:rPr>
      </w:pPr>
      <w:r>
        <w:rPr>
          <w:rFonts w:ascii="Times New Roman" w:hAnsi="Times New Roman"/>
          <w:szCs w:val="24"/>
        </w:rPr>
        <w:t>Article 22 and 23 of the Rome Statu</w:t>
      </w:r>
      <w:r w:rsidR="00BE4C25">
        <w:rPr>
          <w:rFonts w:ascii="Times New Roman" w:hAnsi="Times New Roman"/>
          <w:szCs w:val="24"/>
        </w:rPr>
        <w:t>te</w:t>
      </w:r>
      <w:r>
        <w:rPr>
          <w:rFonts w:ascii="Times New Roman" w:hAnsi="Times New Roman"/>
          <w:szCs w:val="24"/>
        </w:rPr>
        <w:t xml:space="preserve"> contains the </w:t>
      </w:r>
      <w:r w:rsidR="00EF7F40">
        <w:rPr>
          <w:rFonts w:ascii="Times New Roman" w:hAnsi="Times New Roman"/>
          <w:szCs w:val="24"/>
        </w:rPr>
        <w:t>L</w:t>
      </w:r>
      <w:r>
        <w:rPr>
          <w:rFonts w:ascii="Times New Roman" w:hAnsi="Times New Roman"/>
          <w:szCs w:val="24"/>
        </w:rPr>
        <w:t xml:space="preserve">atin expression </w:t>
      </w:r>
      <w:proofErr w:type="spellStart"/>
      <w:r w:rsidRPr="00755BED">
        <w:rPr>
          <w:rFonts w:ascii="Times New Roman" w:hAnsi="Times New Roman"/>
          <w:i/>
          <w:iCs/>
          <w:szCs w:val="24"/>
        </w:rPr>
        <w:t>nullum</w:t>
      </w:r>
      <w:proofErr w:type="spellEnd"/>
      <w:r w:rsidRPr="00755BED">
        <w:rPr>
          <w:rFonts w:ascii="Times New Roman" w:hAnsi="Times New Roman"/>
          <w:i/>
          <w:iCs/>
          <w:szCs w:val="24"/>
        </w:rPr>
        <w:t xml:space="preserve"> </w:t>
      </w:r>
      <w:proofErr w:type="spellStart"/>
      <w:r w:rsidRPr="00755BED">
        <w:rPr>
          <w:rFonts w:ascii="Times New Roman" w:hAnsi="Times New Roman"/>
          <w:i/>
          <w:iCs/>
          <w:szCs w:val="24"/>
        </w:rPr>
        <w:t>crimen</w:t>
      </w:r>
      <w:proofErr w:type="spellEnd"/>
      <w:r w:rsidRPr="00755BED">
        <w:rPr>
          <w:rFonts w:ascii="Times New Roman" w:hAnsi="Times New Roman"/>
          <w:i/>
          <w:iCs/>
          <w:szCs w:val="24"/>
        </w:rPr>
        <w:t xml:space="preserve"> sine </w:t>
      </w:r>
      <w:proofErr w:type="spellStart"/>
      <w:r w:rsidRPr="00755BED">
        <w:rPr>
          <w:rFonts w:ascii="Times New Roman" w:hAnsi="Times New Roman"/>
          <w:i/>
          <w:iCs/>
          <w:szCs w:val="24"/>
        </w:rPr>
        <w:t>lege</w:t>
      </w:r>
      <w:proofErr w:type="spellEnd"/>
      <w:r w:rsidRPr="00755BED">
        <w:rPr>
          <w:rFonts w:ascii="Times New Roman" w:hAnsi="Times New Roman"/>
          <w:i/>
          <w:iCs/>
          <w:szCs w:val="24"/>
        </w:rPr>
        <w:t xml:space="preserve">, </w:t>
      </w:r>
      <w:proofErr w:type="spellStart"/>
      <w:r w:rsidRPr="00755BED">
        <w:rPr>
          <w:rFonts w:ascii="Times New Roman" w:hAnsi="Times New Roman"/>
          <w:i/>
          <w:iCs/>
          <w:szCs w:val="24"/>
        </w:rPr>
        <w:t>nulla</w:t>
      </w:r>
      <w:proofErr w:type="spellEnd"/>
      <w:r w:rsidRPr="00755BED">
        <w:rPr>
          <w:rFonts w:ascii="Times New Roman" w:hAnsi="Times New Roman"/>
          <w:i/>
          <w:iCs/>
          <w:szCs w:val="24"/>
        </w:rPr>
        <w:t xml:space="preserve"> </w:t>
      </w:r>
      <w:proofErr w:type="spellStart"/>
      <w:r w:rsidRPr="00755BED">
        <w:rPr>
          <w:rFonts w:ascii="Times New Roman" w:hAnsi="Times New Roman"/>
          <w:i/>
          <w:iCs/>
          <w:szCs w:val="24"/>
        </w:rPr>
        <w:t>poena</w:t>
      </w:r>
      <w:proofErr w:type="spellEnd"/>
      <w:r w:rsidRPr="00755BED">
        <w:rPr>
          <w:rFonts w:ascii="Times New Roman" w:hAnsi="Times New Roman"/>
          <w:i/>
          <w:iCs/>
          <w:szCs w:val="24"/>
        </w:rPr>
        <w:t xml:space="preserve"> sine </w:t>
      </w:r>
      <w:proofErr w:type="spellStart"/>
      <w:r w:rsidRPr="00755BED">
        <w:rPr>
          <w:rFonts w:ascii="Times New Roman" w:hAnsi="Times New Roman"/>
          <w:i/>
          <w:iCs/>
          <w:szCs w:val="24"/>
        </w:rPr>
        <w:t>lege</w:t>
      </w:r>
      <w:proofErr w:type="spellEnd"/>
      <w:r>
        <w:rPr>
          <w:rFonts w:ascii="Times New Roman" w:hAnsi="Times New Roman"/>
          <w:szCs w:val="24"/>
        </w:rPr>
        <w:t>.</w:t>
      </w:r>
      <w:r w:rsidR="00EF7F40">
        <w:rPr>
          <w:rFonts w:ascii="Times New Roman" w:hAnsi="Times New Roman"/>
          <w:szCs w:val="24"/>
        </w:rPr>
        <w:t xml:space="preserve"> </w:t>
      </w:r>
      <w:r>
        <w:rPr>
          <w:rFonts w:ascii="Times New Roman" w:hAnsi="Times New Roman"/>
          <w:szCs w:val="24"/>
        </w:rPr>
        <w:t xml:space="preserve">The </w:t>
      </w:r>
      <w:r w:rsidR="00BE4C25">
        <w:rPr>
          <w:rFonts w:ascii="Times New Roman" w:hAnsi="Times New Roman"/>
          <w:szCs w:val="24"/>
        </w:rPr>
        <w:t>principle indicates</w:t>
      </w:r>
      <w:r>
        <w:rPr>
          <w:rFonts w:ascii="Times New Roman" w:hAnsi="Times New Roman"/>
          <w:szCs w:val="24"/>
        </w:rPr>
        <w:t xml:space="preserve"> </w:t>
      </w:r>
      <w:r w:rsidR="00BE4C25">
        <w:rPr>
          <w:rFonts w:ascii="Times New Roman" w:hAnsi="Times New Roman"/>
          <w:szCs w:val="24"/>
        </w:rPr>
        <w:t>a mandatory connection between punishment(crime) and a fixed</w:t>
      </w:r>
      <w:r w:rsidR="00EF7F40">
        <w:rPr>
          <w:rFonts w:ascii="Times New Roman" w:hAnsi="Times New Roman"/>
          <w:szCs w:val="24"/>
        </w:rPr>
        <w:t>,</w:t>
      </w:r>
      <w:r w:rsidR="00BE4C25">
        <w:rPr>
          <w:rFonts w:ascii="Times New Roman" w:hAnsi="Times New Roman"/>
          <w:szCs w:val="24"/>
        </w:rPr>
        <w:t xml:space="preserve"> predetermined law</w:t>
      </w:r>
      <w:r w:rsidR="00153FB4">
        <w:rPr>
          <w:rFonts w:ascii="Times New Roman" w:hAnsi="Times New Roman"/>
          <w:szCs w:val="24"/>
        </w:rPr>
        <w:t>-the</w:t>
      </w:r>
      <w:r w:rsidR="003333A2">
        <w:rPr>
          <w:rFonts w:ascii="Times New Roman" w:hAnsi="Times New Roman"/>
          <w:szCs w:val="24"/>
        </w:rPr>
        <w:t xml:space="preserve"> basis for criminal responsibility</w:t>
      </w:r>
      <w:r w:rsidR="00153FB4">
        <w:rPr>
          <w:rFonts w:ascii="Times New Roman" w:hAnsi="Times New Roman"/>
          <w:szCs w:val="24"/>
        </w:rPr>
        <w:t>, a</w:t>
      </w:r>
      <w:r w:rsidR="00BE4C25">
        <w:rPr>
          <w:rFonts w:ascii="Times New Roman" w:hAnsi="Times New Roman"/>
          <w:szCs w:val="24"/>
        </w:rPr>
        <w:t xml:space="preserve"> principle of legality which is considered one of the foundations of international</w:t>
      </w:r>
      <w:r w:rsidR="00FD3C04">
        <w:rPr>
          <w:rFonts w:ascii="Times New Roman" w:hAnsi="Times New Roman"/>
          <w:szCs w:val="24"/>
        </w:rPr>
        <w:t xml:space="preserve"> </w:t>
      </w:r>
      <w:r w:rsidR="00FD3C04">
        <w:rPr>
          <w:rFonts w:ascii="Times New Roman" w:hAnsi="Times New Roman"/>
          <w:szCs w:val="24"/>
        </w:rPr>
        <w:lastRenderedPageBreak/>
        <w:t>criminal</w:t>
      </w:r>
      <w:r w:rsidR="00BE4C25">
        <w:rPr>
          <w:rFonts w:ascii="Times New Roman" w:hAnsi="Times New Roman"/>
          <w:szCs w:val="24"/>
        </w:rPr>
        <w:t xml:space="preserve"> law.</w:t>
      </w:r>
      <w:r w:rsidR="00BE4C25">
        <w:rPr>
          <w:rStyle w:val="FootnoteReference"/>
          <w:rFonts w:ascii="Times New Roman" w:hAnsi="Times New Roman"/>
          <w:szCs w:val="24"/>
        </w:rPr>
        <w:footnoteReference w:id="858"/>
      </w:r>
      <w:r w:rsidR="00CB02DB">
        <w:rPr>
          <w:rFonts w:ascii="Times New Roman" w:hAnsi="Times New Roman"/>
          <w:szCs w:val="24"/>
        </w:rPr>
        <w:t>It is also espoused in customary international law</w:t>
      </w:r>
      <w:r w:rsidR="00D01FD5">
        <w:rPr>
          <w:rFonts w:ascii="Times New Roman" w:hAnsi="Times New Roman"/>
          <w:szCs w:val="24"/>
        </w:rPr>
        <w:t xml:space="preserve"> and</w:t>
      </w:r>
      <w:r w:rsidR="00F042BE">
        <w:rPr>
          <w:rFonts w:ascii="Times New Roman" w:hAnsi="Times New Roman"/>
          <w:szCs w:val="24"/>
        </w:rPr>
        <w:t xml:space="preserve"> some</w:t>
      </w:r>
      <w:r w:rsidR="00D01FD5">
        <w:rPr>
          <w:rFonts w:ascii="Times New Roman" w:hAnsi="Times New Roman"/>
          <w:szCs w:val="24"/>
        </w:rPr>
        <w:t xml:space="preserve"> international treaties such as International Covenant on Civil and Political Rights 1966 and Universal Declaration of Human Rights 1948.</w:t>
      </w:r>
      <w:r w:rsidR="00EF7F40">
        <w:rPr>
          <w:rFonts w:ascii="Times New Roman" w:hAnsi="Times New Roman"/>
          <w:szCs w:val="24"/>
        </w:rPr>
        <w:t xml:space="preserve"> </w:t>
      </w:r>
      <w:r w:rsidR="00CB02DB">
        <w:rPr>
          <w:rFonts w:ascii="Times New Roman" w:hAnsi="Times New Roman"/>
          <w:szCs w:val="24"/>
        </w:rPr>
        <w:t xml:space="preserve">It is noteworthy that Article 22 </w:t>
      </w:r>
      <w:r w:rsidR="00FD3C04">
        <w:rPr>
          <w:rFonts w:ascii="Times New Roman" w:hAnsi="Times New Roman"/>
          <w:szCs w:val="24"/>
        </w:rPr>
        <w:t xml:space="preserve">generated a consensus amongst the delegations during the </w:t>
      </w:r>
      <w:r w:rsidR="0027232D">
        <w:rPr>
          <w:rFonts w:ascii="Times New Roman" w:hAnsi="Times New Roman"/>
          <w:szCs w:val="24"/>
        </w:rPr>
        <w:t>Rome Conference.</w:t>
      </w:r>
      <w:r w:rsidR="0027232D">
        <w:rPr>
          <w:rStyle w:val="FootnoteReference"/>
          <w:rFonts w:ascii="Times New Roman" w:hAnsi="Times New Roman"/>
          <w:szCs w:val="24"/>
        </w:rPr>
        <w:footnoteReference w:id="859"/>
      </w:r>
      <w:r w:rsidR="0027232D">
        <w:rPr>
          <w:rFonts w:ascii="Times New Roman" w:hAnsi="Times New Roman"/>
          <w:szCs w:val="24"/>
        </w:rPr>
        <w:t xml:space="preserve">Hence, the origin of the </w:t>
      </w:r>
      <w:r w:rsidR="00F042BE">
        <w:rPr>
          <w:rFonts w:ascii="Times New Roman" w:hAnsi="Times New Roman"/>
          <w:szCs w:val="24"/>
        </w:rPr>
        <w:t>court's power is</w:t>
      </w:r>
      <w:r w:rsidR="0027232D">
        <w:rPr>
          <w:rFonts w:ascii="Times New Roman" w:hAnsi="Times New Roman"/>
          <w:szCs w:val="24"/>
        </w:rPr>
        <w:t xml:space="preserve"> to investigate and prosecute an individual most responsible for violations of the most se</w:t>
      </w:r>
      <w:r w:rsidR="00F042BE">
        <w:rPr>
          <w:rFonts w:ascii="Times New Roman" w:hAnsi="Times New Roman"/>
          <w:szCs w:val="24"/>
        </w:rPr>
        <w:t>vere</w:t>
      </w:r>
      <w:r w:rsidR="0027232D">
        <w:rPr>
          <w:rFonts w:ascii="Times New Roman" w:hAnsi="Times New Roman"/>
          <w:szCs w:val="24"/>
        </w:rPr>
        <w:t xml:space="preserve"> crimes.</w:t>
      </w:r>
      <w:r w:rsidR="00F858FF">
        <w:rPr>
          <w:rFonts w:ascii="Times New Roman" w:hAnsi="Times New Roman"/>
          <w:szCs w:val="24"/>
        </w:rPr>
        <w:t xml:space="preserve"> </w:t>
      </w:r>
      <w:r w:rsidR="00F042BE">
        <w:rPr>
          <w:rFonts w:ascii="Times New Roman" w:hAnsi="Times New Roman"/>
          <w:szCs w:val="24"/>
        </w:rPr>
        <w:t>T</w:t>
      </w:r>
      <w:r w:rsidR="0027232D">
        <w:rPr>
          <w:rFonts w:ascii="Times New Roman" w:hAnsi="Times New Roman"/>
          <w:szCs w:val="24"/>
        </w:rPr>
        <w:t>he Rome Statute does not prohibit the offence</w:t>
      </w:r>
      <w:r w:rsidR="00F042BE">
        <w:rPr>
          <w:rFonts w:ascii="Times New Roman" w:hAnsi="Times New Roman"/>
          <w:szCs w:val="24"/>
        </w:rPr>
        <w:t>;</w:t>
      </w:r>
      <w:r w:rsidR="0027232D">
        <w:rPr>
          <w:rFonts w:ascii="Times New Roman" w:hAnsi="Times New Roman"/>
          <w:szCs w:val="24"/>
        </w:rPr>
        <w:t xml:space="preserve"> such </w:t>
      </w:r>
      <w:r w:rsidR="00F042BE">
        <w:rPr>
          <w:rFonts w:ascii="Times New Roman" w:hAnsi="Times New Roman"/>
          <w:szCs w:val="24"/>
        </w:rPr>
        <w:t xml:space="preserve">a </w:t>
      </w:r>
      <w:r w:rsidR="0027232D">
        <w:rPr>
          <w:rFonts w:ascii="Times New Roman" w:hAnsi="Times New Roman"/>
          <w:szCs w:val="24"/>
        </w:rPr>
        <w:t>person cannot be considered an accused or criminal.</w:t>
      </w:r>
      <w:r w:rsidR="0027232D">
        <w:rPr>
          <w:rStyle w:val="FootnoteReference"/>
          <w:rFonts w:ascii="Times New Roman" w:hAnsi="Times New Roman"/>
          <w:szCs w:val="24"/>
        </w:rPr>
        <w:footnoteReference w:id="860"/>
      </w:r>
      <w:r w:rsidR="00F858FF">
        <w:rPr>
          <w:rFonts w:ascii="Times New Roman" w:hAnsi="Times New Roman"/>
          <w:szCs w:val="24"/>
        </w:rPr>
        <w:t>Article 21 mirrors the legitimacy</w:t>
      </w:r>
      <w:r w:rsidR="008609AD">
        <w:rPr>
          <w:rFonts w:ascii="Times New Roman" w:hAnsi="Times New Roman"/>
          <w:szCs w:val="24"/>
        </w:rPr>
        <w:t xml:space="preserve"> and jurisdiction</w:t>
      </w:r>
      <w:r w:rsidR="00F858FF">
        <w:rPr>
          <w:rFonts w:ascii="Times New Roman" w:hAnsi="Times New Roman"/>
          <w:szCs w:val="24"/>
        </w:rPr>
        <w:t xml:space="preserve"> of the ICC.</w:t>
      </w:r>
      <w:r w:rsidR="00D01FD5">
        <w:rPr>
          <w:rFonts w:ascii="Times New Roman" w:hAnsi="Times New Roman"/>
          <w:szCs w:val="24"/>
        </w:rPr>
        <w:t xml:space="preserve"> </w:t>
      </w:r>
      <w:r w:rsidR="008609AD">
        <w:rPr>
          <w:rFonts w:ascii="Times New Roman" w:hAnsi="Times New Roman"/>
          <w:szCs w:val="24"/>
        </w:rPr>
        <w:t>The elements of crime underscore the objectives of Article 22</w:t>
      </w:r>
      <w:r w:rsidR="001B28C4">
        <w:rPr>
          <w:rFonts w:ascii="Times New Roman" w:hAnsi="Times New Roman"/>
          <w:szCs w:val="24"/>
        </w:rPr>
        <w:t xml:space="preserve">, especially </w:t>
      </w:r>
      <w:r w:rsidR="00F042BE">
        <w:rPr>
          <w:rFonts w:ascii="Times New Roman" w:hAnsi="Times New Roman"/>
          <w:szCs w:val="24"/>
        </w:rPr>
        <w:t>about</w:t>
      </w:r>
      <w:r w:rsidR="001B28C4">
        <w:rPr>
          <w:rFonts w:ascii="Times New Roman" w:hAnsi="Times New Roman"/>
          <w:szCs w:val="24"/>
        </w:rPr>
        <w:t xml:space="preserve"> the jurisdiction of the Court.</w:t>
      </w:r>
      <w:r w:rsidR="001B28C4">
        <w:rPr>
          <w:rStyle w:val="FootnoteReference"/>
          <w:rFonts w:ascii="Times New Roman" w:hAnsi="Times New Roman"/>
          <w:szCs w:val="24"/>
        </w:rPr>
        <w:footnoteReference w:id="861"/>
      </w:r>
    </w:p>
    <w:p w14:paraId="0C7C087A" w14:textId="77777777" w:rsidR="00F042BE" w:rsidRDefault="008A7B36" w:rsidP="001B6656">
      <w:pPr>
        <w:spacing w:line="480" w:lineRule="auto"/>
        <w:jc w:val="both"/>
        <w:rPr>
          <w:rFonts w:ascii="Times New Roman" w:hAnsi="Times New Roman"/>
          <w:szCs w:val="24"/>
        </w:rPr>
      </w:pPr>
      <w:r>
        <w:rPr>
          <w:rFonts w:ascii="Times New Roman" w:hAnsi="Times New Roman"/>
          <w:szCs w:val="24"/>
        </w:rPr>
        <w:t>Article 77 of the Rome Statute empowers the Court to impose penalties on individuals convicted by the Court of crimes within its jurisdiction. The penalties include imprisonment</w:t>
      </w:r>
      <w:r w:rsidR="00596548">
        <w:rPr>
          <w:rFonts w:ascii="Times New Roman" w:hAnsi="Times New Roman"/>
          <w:szCs w:val="24"/>
        </w:rPr>
        <w:t>,</w:t>
      </w:r>
      <w:r>
        <w:rPr>
          <w:rFonts w:ascii="Times New Roman" w:hAnsi="Times New Roman"/>
          <w:szCs w:val="24"/>
        </w:rPr>
        <w:t xml:space="preserve"> not more than 30 years, life imprisonment fines or forfeiture.</w:t>
      </w:r>
      <w:r w:rsidR="001F6CC6">
        <w:rPr>
          <w:rFonts w:ascii="Times New Roman" w:hAnsi="Times New Roman"/>
          <w:szCs w:val="24"/>
        </w:rPr>
        <w:t xml:space="preserve"> </w:t>
      </w:r>
      <w:r>
        <w:rPr>
          <w:rFonts w:ascii="Times New Roman" w:hAnsi="Times New Roman"/>
          <w:szCs w:val="24"/>
        </w:rPr>
        <w:t>It appears the Rome Statute is cautious about the imposition of some severe forms of penalties.</w:t>
      </w:r>
      <w:r w:rsidR="001F6CC6">
        <w:rPr>
          <w:rStyle w:val="FootnoteReference"/>
          <w:rFonts w:ascii="Times New Roman" w:hAnsi="Times New Roman"/>
          <w:szCs w:val="24"/>
        </w:rPr>
        <w:footnoteReference w:id="862"/>
      </w:r>
      <w:r>
        <w:rPr>
          <w:rFonts w:ascii="Times New Roman" w:hAnsi="Times New Roman"/>
          <w:szCs w:val="24"/>
        </w:rPr>
        <w:t xml:space="preserve">This may be the rationale behind </w:t>
      </w:r>
      <w:r w:rsidR="001F6CC6">
        <w:rPr>
          <w:rFonts w:ascii="Times New Roman" w:hAnsi="Times New Roman"/>
          <w:szCs w:val="24"/>
        </w:rPr>
        <w:t xml:space="preserve">the exclusion of </w:t>
      </w:r>
      <w:r w:rsidR="00547F1C">
        <w:rPr>
          <w:rFonts w:ascii="Times New Roman" w:hAnsi="Times New Roman"/>
          <w:szCs w:val="24"/>
        </w:rPr>
        <w:t xml:space="preserve">the </w:t>
      </w:r>
      <w:r w:rsidR="001F6CC6">
        <w:rPr>
          <w:rFonts w:ascii="Times New Roman" w:hAnsi="Times New Roman"/>
          <w:szCs w:val="24"/>
        </w:rPr>
        <w:t>death penalty f</w:t>
      </w:r>
      <w:r w:rsidR="00153FB4">
        <w:rPr>
          <w:rFonts w:ascii="Times New Roman" w:hAnsi="Times New Roman"/>
          <w:szCs w:val="24"/>
        </w:rPr>
        <w:t>ro</w:t>
      </w:r>
      <w:r w:rsidR="001F6CC6">
        <w:rPr>
          <w:rFonts w:ascii="Times New Roman" w:hAnsi="Times New Roman"/>
          <w:szCs w:val="24"/>
        </w:rPr>
        <w:t>m the Statute. Th</w:t>
      </w:r>
      <w:r w:rsidR="00153FB4">
        <w:rPr>
          <w:rFonts w:ascii="Times New Roman" w:hAnsi="Times New Roman"/>
          <w:szCs w:val="24"/>
        </w:rPr>
        <w:t>e delisting of the death penalty, corporal punishment</w:t>
      </w:r>
      <w:r w:rsidR="00F042BE">
        <w:rPr>
          <w:rFonts w:ascii="Times New Roman" w:hAnsi="Times New Roman"/>
          <w:szCs w:val="24"/>
        </w:rPr>
        <w:t xml:space="preserve">, and other forms of </w:t>
      </w:r>
      <w:r w:rsidR="00F042BE">
        <w:rPr>
          <w:rFonts w:ascii="Times New Roman" w:hAnsi="Times New Roman"/>
          <w:szCs w:val="24"/>
        </w:rPr>
        <w:lastRenderedPageBreak/>
        <w:t>penalties implies an intention to adhere to the limitations provided by international treaties like the UNCPR and the UN minimum rules for prisoners' treatment</w:t>
      </w:r>
      <w:r w:rsidR="001F6CC6">
        <w:rPr>
          <w:rFonts w:ascii="Times New Roman" w:hAnsi="Times New Roman"/>
          <w:szCs w:val="24"/>
        </w:rPr>
        <w:t>.</w:t>
      </w:r>
      <w:r w:rsidR="001F6CC6">
        <w:rPr>
          <w:rStyle w:val="FootnoteReference"/>
          <w:rFonts w:ascii="Times New Roman" w:hAnsi="Times New Roman"/>
          <w:szCs w:val="24"/>
        </w:rPr>
        <w:footnoteReference w:id="863"/>
      </w:r>
      <w:r w:rsidR="001F6CC6">
        <w:rPr>
          <w:rFonts w:ascii="Times New Roman" w:hAnsi="Times New Roman"/>
          <w:szCs w:val="24"/>
        </w:rPr>
        <w:t>Article 80 notes that these provisions do not prejudice the applicable laws in the national jurisdictions.</w:t>
      </w:r>
      <w:r w:rsidR="00B64BC5">
        <w:rPr>
          <w:rFonts w:ascii="Times New Roman" w:hAnsi="Times New Roman"/>
          <w:szCs w:val="24"/>
        </w:rPr>
        <w:t xml:space="preserve"> Although, the ICC does not acknowledge harsher punishment like </w:t>
      </w:r>
      <w:r w:rsidR="00596548">
        <w:rPr>
          <w:rFonts w:ascii="Times New Roman" w:hAnsi="Times New Roman"/>
          <w:szCs w:val="24"/>
        </w:rPr>
        <w:t xml:space="preserve">the </w:t>
      </w:r>
      <w:r w:rsidR="00B64BC5">
        <w:rPr>
          <w:rFonts w:ascii="Times New Roman" w:hAnsi="Times New Roman"/>
          <w:szCs w:val="24"/>
        </w:rPr>
        <w:t xml:space="preserve">death penalty and other forms of penalties which could lead to torture or </w:t>
      </w:r>
      <w:r w:rsidR="00596548">
        <w:rPr>
          <w:rFonts w:ascii="Times New Roman" w:hAnsi="Times New Roman"/>
          <w:szCs w:val="24"/>
        </w:rPr>
        <w:t>an</w:t>
      </w:r>
      <w:r w:rsidR="00B64BC5">
        <w:rPr>
          <w:rFonts w:ascii="Times New Roman" w:hAnsi="Times New Roman"/>
          <w:szCs w:val="24"/>
        </w:rPr>
        <w:t>other form of degrading treatment</w:t>
      </w:r>
      <w:r w:rsidR="00547F1C">
        <w:rPr>
          <w:rFonts w:ascii="Times New Roman" w:hAnsi="Times New Roman"/>
          <w:szCs w:val="24"/>
        </w:rPr>
        <w:t>.</w:t>
      </w:r>
    </w:p>
    <w:p w14:paraId="4E899F2E" w14:textId="3A0DE550" w:rsidR="008A7B36" w:rsidRDefault="00547F1C" w:rsidP="001B6656">
      <w:pPr>
        <w:spacing w:line="480" w:lineRule="auto"/>
        <w:jc w:val="both"/>
        <w:rPr>
          <w:rFonts w:ascii="Times New Roman" w:hAnsi="Times New Roman"/>
          <w:szCs w:val="24"/>
        </w:rPr>
      </w:pPr>
      <w:r>
        <w:rPr>
          <w:rFonts w:ascii="Times New Roman" w:hAnsi="Times New Roman"/>
          <w:szCs w:val="24"/>
        </w:rPr>
        <w:t>N</w:t>
      </w:r>
      <w:r w:rsidR="00B64BC5">
        <w:rPr>
          <w:rFonts w:ascii="Times New Roman" w:hAnsi="Times New Roman"/>
          <w:szCs w:val="24"/>
        </w:rPr>
        <w:t xml:space="preserve">evertheless, the </w:t>
      </w:r>
      <w:r w:rsidR="00F042BE">
        <w:rPr>
          <w:rFonts w:ascii="Times New Roman" w:hAnsi="Times New Roman"/>
          <w:szCs w:val="24"/>
        </w:rPr>
        <w:t>stipulated provision's implementat</w:t>
      </w:r>
      <w:r w:rsidR="00B64BC5">
        <w:rPr>
          <w:rFonts w:ascii="Times New Roman" w:hAnsi="Times New Roman"/>
          <w:szCs w:val="24"/>
        </w:rPr>
        <w:t xml:space="preserve">ion does not preclude its enforcement in the State party domestic jurisdictions. </w:t>
      </w:r>
      <w:r w:rsidR="009045C3">
        <w:rPr>
          <w:rFonts w:ascii="Times New Roman" w:hAnsi="Times New Roman"/>
          <w:szCs w:val="24"/>
        </w:rPr>
        <w:t>Additionally, of equal importance is the restrictive application of life imprisonment as a form of penalty.</w:t>
      </w:r>
      <w:r w:rsidR="00C403FD">
        <w:rPr>
          <w:rFonts w:ascii="Times New Roman" w:hAnsi="Times New Roman"/>
          <w:szCs w:val="24"/>
        </w:rPr>
        <w:t xml:space="preserve"> </w:t>
      </w:r>
      <w:r w:rsidR="00B64BC5">
        <w:rPr>
          <w:rFonts w:ascii="Times New Roman" w:hAnsi="Times New Roman"/>
          <w:szCs w:val="24"/>
        </w:rPr>
        <w:t>The Chambers are required to ensure that the imposition of life imprisonment is subject to the fulfilment of strict conditions.</w:t>
      </w:r>
      <w:r w:rsidR="00B64BC5">
        <w:rPr>
          <w:rStyle w:val="FootnoteReference"/>
          <w:rFonts w:ascii="Times New Roman" w:hAnsi="Times New Roman"/>
          <w:szCs w:val="24"/>
        </w:rPr>
        <w:footnoteReference w:id="864"/>
      </w:r>
      <w:r w:rsidR="009045C3">
        <w:rPr>
          <w:rFonts w:ascii="Times New Roman" w:hAnsi="Times New Roman"/>
          <w:szCs w:val="24"/>
        </w:rPr>
        <w:t xml:space="preserve"> Life imprisonment is justified by the extreme gravity of the crime and one or more aggravating circumstances.</w:t>
      </w:r>
      <w:r w:rsidR="009045C3">
        <w:rPr>
          <w:rStyle w:val="FootnoteReference"/>
          <w:rFonts w:ascii="Times New Roman" w:hAnsi="Times New Roman"/>
          <w:szCs w:val="24"/>
        </w:rPr>
        <w:footnoteReference w:id="865"/>
      </w:r>
      <w:r w:rsidR="00C403FD">
        <w:rPr>
          <w:rFonts w:ascii="Times New Roman" w:hAnsi="Times New Roman"/>
          <w:szCs w:val="24"/>
        </w:rPr>
        <w:t>This</w:t>
      </w:r>
      <w:r w:rsidR="00153FB4">
        <w:rPr>
          <w:rFonts w:ascii="Times New Roman" w:hAnsi="Times New Roman"/>
          <w:szCs w:val="24"/>
        </w:rPr>
        <w:t xml:space="preserve"> interpretation</w:t>
      </w:r>
      <w:r w:rsidR="00C403FD">
        <w:rPr>
          <w:rFonts w:ascii="Times New Roman" w:hAnsi="Times New Roman"/>
          <w:szCs w:val="24"/>
        </w:rPr>
        <w:t xml:space="preserve"> </w:t>
      </w:r>
      <w:r>
        <w:rPr>
          <w:rFonts w:ascii="Times New Roman" w:hAnsi="Times New Roman"/>
          <w:szCs w:val="24"/>
        </w:rPr>
        <w:t>s</w:t>
      </w:r>
      <w:r w:rsidR="00C403FD">
        <w:rPr>
          <w:rFonts w:ascii="Times New Roman" w:hAnsi="Times New Roman"/>
          <w:szCs w:val="24"/>
        </w:rPr>
        <w:t>ums up a liberal approach of the ICC to individual rights and rehabilitation of offenders. While at the same time, respecting the existing criminal law applicable in national jurisdictions of the affected parties.</w:t>
      </w:r>
    </w:p>
    <w:p w14:paraId="47E1F042" w14:textId="558593FE" w:rsidR="004D5736" w:rsidRPr="004B74AE" w:rsidRDefault="001E3FD7" w:rsidP="001B6656">
      <w:pPr>
        <w:spacing w:line="480" w:lineRule="auto"/>
        <w:jc w:val="both"/>
        <w:rPr>
          <w:rFonts w:ascii="Times New Roman" w:hAnsi="Times New Roman"/>
          <w:szCs w:val="24"/>
        </w:rPr>
      </w:pPr>
      <w:r>
        <w:rPr>
          <w:rFonts w:ascii="Times New Roman" w:hAnsi="Times New Roman"/>
          <w:szCs w:val="24"/>
        </w:rPr>
        <w:t>That being said,</w:t>
      </w:r>
      <w:r w:rsidR="004D5736" w:rsidRPr="004B74AE">
        <w:rPr>
          <w:rFonts w:ascii="Times New Roman" w:hAnsi="Times New Roman"/>
          <w:szCs w:val="24"/>
        </w:rPr>
        <w:t xml:space="preserve"> </w:t>
      </w:r>
      <w:r>
        <w:rPr>
          <w:rFonts w:ascii="Times New Roman" w:hAnsi="Times New Roman"/>
          <w:szCs w:val="24"/>
        </w:rPr>
        <w:t>a</w:t>
      </w:r>
      <w:r w:rsidR="004D5736" w:rsidRPr="004B74AE">
        <w:rPr>
          <w:rFonts w:ascii="Times New Roman" w:hAnsi="Times New Roman"/>
          <w:szCs w:val="24"/>
        </w:rPr>
        <w:t>ccording to Heikkila, procedural rights can improve the status of victims at the court.</w:t>
      </w:r>
      <w:r w:rsidR="004D5736" w:rsidRPr="004B74AE">
        <w:rPr>
          <w:rStyle w:val="FootnoteReference"/>
          <w:rFonts w:ascii="Times New Roman" w:hAnsi="Times New Roman"/>
          <w:szCs w:val="24"/>
        </w:rPr>
        <w:footnoteReference w:id="866"/>
      </w:r>
      <w:r w:rsidR="004D5736" w:rsidRPr="004B74AE">
        <w:rPr>
          <w:rFonts w:ascii="Times New Roman" w:hAnsi="Times New Roman"/>
          <w:szCs w:val="24"/>
        </w:rPr>
        <w:t xml:space="preserve"> </w:t>
      </w:r>
      <w:r w:rsidR="00972C2E">
        <w:rPr>
          <w:rFonts w:ascii="Times New Roman" w:hAnsi="Times New Roman"/>
          <w:szCs w:val="24"/>
        </w:rPr>
        <w:t>Procedural rights may be</w:t>
      </w:r>
      <w:r w:rsidR="004D5736" w:rsidRPr="004B74AE">
        <w:rPr>
          <w:rFonts w:ascii="Times New Roman" w:hAnsi="Times New Roman"/>
          <w:szCs w:val="24"/>
        </w:rPr>
        <w:t xml:space="preserve"> essential for assessing </w:t>
      </w:r>
      <w:r w:rsidR="00F042BE">
        <w:rPr>
          <w:rFonts w:ascii="Times New Roman" w:hAnsi="Times New Roman"/>
          <w:szCs w:val="24"/>
        </w:rPr>
        <w:t>victims' situation</w:t>
      </w:r>
      <w:r w:rsidR="004D5736" w:rsidRPr="004B74AE">
        <w:rPr>
          <w:rFonts w:ascii="Times New Roman" w:hAnsi="Times New Roman"/>
          <w:szCs w:val="24"/>
        </w:rPr>
        <w:t xml:space="preserve"> </w:t>
      </w:r>
      <w:r w:rsidR="004D5736" w:rsidRPr="004B74AE">
        <w:rPr>
          <w:rFonts w:ascii="Times New Roman" w:hAnsi="Times New Roman"/>
          <w:szCs w:val="24"/>
        </w:rPr>
        <w:lastRenderedPageBreak/>
        <w:t>d</w:t>
      </w:r>
      <w:r w:rsidR="00972C2E">
        <w:rPr>
          <w:rFonts w:ascii="Times New Roman" w:hAnsi="Times New Roman"/>
          <w:szCs w:val="24"/>
        </w:rPr>
        <w:t>uring criminal proceedings;</w:t>
      </w:r>
      <w:r w:rsidR="00F74DE3">
        <w:rPr>
          <w:rFonts w:ascii="Times New Roman" w:hAnsi="Times New Roman"/>
          <w:szCs w:val="24"/>
        </w:rPr>
        <w:t xml:space="preserve"> </w:t>
      </w:r>
      <w:r w:rsidR="00972C2E">
        <w:rPr>
          <w:rFonts w:ascii="Times New Roman" w:hAnsi="Times New Roman"/>
          <w:szCs w:val="24"/>
        </w:rPr>
        <w:t>which</w:t>
      </w:r>
      <w:r w:rsidR="004D5736" w:rsidRPr="004B74AE">
        <w:rPr>
          <w:rFonts w:ascii="Times New Roman" w:hAnsi="Times New Roman"/>
          <w:szCs w:val="24"/>
        </w:rPr>
        <w:t xml:space="preserve"> has</w:t>
      </w:r>
      <w:r w:rsidR="002A4A99" w:rsidRPr="004B74AE">
        <w:rPr>
          <w:rFonts w:ascii="Times New Roman" w:hAnsi="Times New Roman"/>
          <w:szCs w:val="24"/>
        </w:rPr>
        <w:t xml:space="preserve"> been</w:t>
      </w:r>
      <w:r w:rsidR="00972C2E">
        <w:rPr>
          <w:rFonts w:ascii="Times New Roman" w:hAnsi="Times New Roman"/>
          <w:szCs w:val="24"/>
        </w:rPr>
        <w:t xml:space="preserve"> examined</w:t>
      </w:r>
      <w:r w:rsidR="002A4A99" w:rsidRPr="004B74AE">
        <w:rPr>
          <w:rFonts w:ascii="Times New Roman" w:hAnsi="Times New Roman"/>
          <w:szCs w:val="24"/>
        </w:rPr>
        <w:t xml:space="preserve"> in chapter three</w:t>
      </w:r>
      <w:r w:rsidR="00F74DE3">
        <w:rPr>
          <w:rFonts w:ascii="Times New Roman" w:hAnsi="Times New Roman"/>
          <w:szCs w:val="24"/>
        </w:rPr>
        <w:t>. What follows is a review</w:t>
      </w:r>
      <w:r w:rsidR="004D5736" w:rsidRPr="004B74AE">
        <w:rPr>
          <w:rFonts w:ascii="Times New Roman" w:hAnsi="Times New Roman"/>
          <w:szCs w:val="24"/>
        </w:rPr>
        <w:t xml:space="preserve"> of the justificati</w:t>
      </w:r>
      <w:r w:rsidR="00F74DE3">
        <w:rPr>
          <w:rFonts w:ascii="Times New Roman" w:hAnsi="Times New Roman"/>
          <w:szCs w:val="24"/>
        </w:rPr>
        <w:t>ons for retributive justice. It is necessary to assess the</w:t>
      </w:r>
      <w:r w:rsidR="004D5736" w:rsidRPr="004B74AE">
        <w:rPr>
          <w:rFonts w:ascii="Times New Roman" w:hAnsi="Times New Roman"/>
          <w:szCs w:val="24"/>
        </w:rPr>
        <w:t xml:space="preserve"> </w:t>
      </w:r>
      <w:r w:rsidR="00F74DE3">
        <w:rPr>
          <w:rFonts w:ascii="Times New Roman" w:hAnsi="Times New Roman"/>
          <w:szCs w:val="24"/>
        </w:rPr>
        <w:t>rationale</w:t>
      </w:r>
      <w:r w:rsidR="004D5736" w:rsidRPr="004B74AE">
        <w:rPr>
          <w:rFonts w:ascii="Times New Roman" w:hAnsi="Times New Roman"/>
          <w:szCs w:val="24"/>
        </w:rPr>
        <w:t xml:space="preserve"> for retributive justice</w:t>
      </w:r>
      <w:r w:rsidR="00F74DE3">
        <w:rPr>
          <w:rFonts w:ascii="Times New Roman" w:hAnsi="Times New Roman"/>
          <w:szCs w:val="24"/>
        </w:rPr>
        <w:t xml:space="preserve"> in order to explore its relevance</w:t>
      </w:r>
      <w:r w:rsidR="004D5736" w:rsidRPr="004B74AE">
        <w:rPr>
          <w:rFonts w:ascii="Times New Roman" w:hAnsi="Times New Roman"/>
          <w:szCs w:val="24"/>
        </w:rPr>
        <w:t xml:space="preserve"> to the role of victims in sentencing</w:t>
      </w:r>
      <w:r w:rsidR="00F74DE3">
        <w:rPr>
          <w:rFonts w:ascii="Times New Roman" w:hAnsi="Times New Roman"/>
          <w:szCs w:val="24"/>
        </w:rPr>
        <w:t xml:space="preserve">. Besides, an assessment may reveal if </w:t>
      </w:r>
      <w:r w:rsidR="004D5736" w:rsidRPr="004B74AE">
        <w:rPr>
          <w:rFonts w:ascii="Times New Roman" w:hAnsi="Times New Roman"/>
          <w:szCs w:val="24"/>
        </w:rPr>
        <w:t xml:space="preserve">it resonates with victims’ needs and expectations in criminal justice. </w:t>
      </w:r>
    </w:p>
    <w:p w14:paraId="41CADD7B" w14:textId="77777777"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A considerab</w:t>
      </w:r>
      <w:r w:rsidR="002A4A99" w:rsidRPr="004B74AE">
        <w:rPr>
          <w:rFonts w:ascii="Times New Roman" w:hAnsi="Times New Roman"/>
          <w:szCs w:val="24"/>
        </w:rPr>
        <w:t>le amount of literature reveal</w:t>
      </w:r>
      <w:r w:rsidR="009A344E">
        <w:rPr>
          <w:rFonts w:ascii="Times New Roman" w:hAnsi="Times New Roman"/>
          <w:szCs w:val="24"/>
        </w:rPr>
        <w:t>s</w:t>
      </w:r>
      <w:r w:rsidRPr="004B74AE">
        <w:rPr>
          <w:rFonts w:ascii="Times New Roman" w:hAnsi="Times New Roman"/>
          <w:szCs w:val="24"/>
        </w:rPr>
        <w:t xml:space="preserve"> that, in most national jurisdictions, retributive justice is at the heart of their criminal justice systems.</w:t>
      </w:r>
      <w:r w:rsidR="009A344E">
        <w:rPr>
          <w:rFonts w:ascii="Times New Roman" w:hAnsi="Times New Roman"/>
          <w:szCs w:val="24"/>
        </w:rPr>
        <w:t xml:space="preserve"> </w:t>
      </w:r>
      <w:r w:rsidRPr="004B74AE">
        <w:rPr>
          <w:rFonts w:ascii="Times New Roman" w:hAnsi="Times New Roman"/>
          <w:szCs w:val="24"/>
        </w:rPr>
        <w:t>International criminal law being</w:t>
      </w:r>
      <w:r w:rsidR="009A344E">
        <w:rPr>
          <w:rFonts w:ascii="Times New Roman" w:hAnsi="Times New Roman"/>
          <w:szCs w:val="24"/>
        </w:rPr>
        <w:t xml:space="preserve"> a</w:t>
      </w:r>
      <w:r w:rsidRPr="004B74AE">
        <w:rPr>
          <w:rFonts w:ascii="Times New Roman" w:hAnsi="Times New Roman"/>
          <w:szCs w:val="24"/>
        </w:rPr>
        <w:t xml:space="preserve">  distinct area in public international law incorporates some of the theories and principles of national jurisdictions with some modificati</w:t>
      </w:r>
      <w:r w:rsidR="009A344E">
        <w:rPr>
          <w:rFonts w:ascii="Times New Roman" w:hAnsi="Times New Roman"/>
          <w:szCs w:val="24"/>
        </w:rPr>
        <w:t>on</w:t>
      </w:r>
      <w:r w:rsidRPr="004B74AE">
        <w:rPr>
          <w:rFonts w:ascii="Times New Roman" w:hAnsi="Times New Roman"/>
          <w:szCs w:val="24"/>
        </w:rPr>
        <w:t>.</w:t>
      </w:r>
      <w:r w:rsidRPr="004B74AE">
        <w:rPr>
          <w:rStyle w:val="FootnoteReference"/>
          <w:rFonts w:ascii="Times New Roman" w:hAnsi="Times New Roman"/>
          <w:szCs w:val="24"/>
        </w:rPr>
        <w:footnoteReference w:id="867"/>
      </w:r>
      <w:r w:rsidRPr="004B74AE">
        <w:rPr>
          <w:rFonts w:ascii="Times New Roman" w:hAnsi="Times New Roman"/>
          <w:szCs w:val="24"/>
        </w:rPr>
        <w:t>It is largely founded on retributive justice.</w:t>
      </w:r>
    </w:p>
    <w:p w14:paraId="1E9F98CB" w14:textId="3F9A6F1A" w:rsidR="004D5736" w:rsidRPr="004B74AE" w:rsidRDefault="002A4A99" w:rsidP="001B6656">
      <w:pPr>
        <w:spacing w:line="480" w:lineRule="auto"/>
        <w:jc w:val="both"/>
        <w:rPr>
          <w:rFonts w:ascii="Times New Roman" w:hAnsi="Times New Roman"/>
          <w:szCs w:val="24"/>
        </w:rPr>
      </w:pPr>
      <w:r w:rsidRPr="004B74AE">
        <w:rPr>
          <w:rFonts w:ascii="Times New Roman" w:hAnsi="Times New Roman"/>
          <w:szCs w:val="24"/>
        </w:rPr>
        <w:t>Having discussed that, the next se</w:t>
      </w:r>
      <w:r w:rsidR="00FE75F9">
        <w:rPr>
          <w:rFonts w:ascii="Times New Roman" w:hAnsi="Times New Roman"/>
          <w:szCs w:val="24"/>
        </w:rPr>
        <w:t>ct</w:t>
      </w:r>
      <w:r w:rsidRPr="004B74AE">
        <w:rPr>
          <w:rFonts w:ascii="Times New Roman" w:hAnsi="Times New Roman"/>
          <w:szCs w:val="24"/>
        </w:rPr>
        <w:t xml:space="preserve">ion shall </w:t>
      </w:r>
      <w:r w:rsidR="00F02AB9" w:rsidRPr="004B74AE">
        <w:rPr>
          <w:rFonts w:ascii="Times New Roman" w:hAnsi="Times New Roman"/>
          <w:szCs w:val="24"/>
        </w:rPr>
        <w:t>examine the classic theories of justifications of punishments which are deterrence, retribution and rehabilitation.</w:t>
      </w:r>
      <w:r w:rsidRPr="004B74AE">
        <w:rPr>
          <w:rFonts w:ascii="Times New Roman" w:hAnsi="Times New Roman"/>
          <w:szCs w:val="24"/>
        </w:rPr>
        <w:t xml:space="preserve"> </w:t>
      </w:r>
    </w:p>
    <w:p w14:paraId="2935DC7B" w14:textId="77777777" w:rsidR="004D5736" w:rsidRPr="004B74AE" w:rsidRDefault="007C720C" w:rsidP="00DF5C01">
      <w:pPr>
        <w:pStyle w:val="Heading3"/>
      </w:pPr>
      <w:bookmarkStart w:id="52" w:name="_Toc60235825"/>
      <w:r>
        <w:t>4.1.1</w:t>
      </w:r>
      <w:r w:rsidR="004D5736" w:rsidRPr="004B74AE">
        <w:t xml:space="preserve">  </w:t>
      </w:r>
      <w:bookmarkStart w:id="53" w:name="_Toc21896840"/>
      <w:r w:rsidR="004D5736" w:rsidRPr="004B74AE">
        <w:t>D</w:t>
      </w:r>
      <w:bookmarkEnd w:id="53"/>
      <w:r w:rsidR="004D5736" w:rsidRPr="004B74AE">
        <w:t>eterrence</w:t>
      </w:r>
      <w:bookmarkEnd w:id="52"/>
    </w:p>
    <w:p w14:paraId="1258270A" w14:textId="7EA1D573"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Bentham describes morality as that which promotes ‘</w:t>
      </w:r>
      <w:r w:rsidRPr="001B6656">
        <w:rPr>
          <w:rFonts w:ascii="Times New Roman" w:hAnsi="Times New Roman"/>
          <w:szCs w:val="24"/>
        </w:rPr>
        <w:t>the greatest happiness of the greatest number</w:t>
      </w:r>
      <w:r w:rsidRPr="004B74AE">
        <w:rPr>
          <w:rFonts w:ascii="Times New Roman" w:hAnsi="Times New Roman"/>
          <w:szCs w:val="24"/>
        </w:rPr>
        <w:t>.’</w:t>
      </w:r>
      <w:r w:rsidRPr="004B74AE">
        <w:rPr>
          <w:rStyle w:val="FootnoteReference"/>
          <w:rFonts w:ascii="Times New Roman" w:hAnsi="Times New Roman"/>
          <w:szCs w:val="24"/>
        </w:rPr>
        <w:footnoteReference w:id="868"/>
      </w:r>
      <w:r w:rsidRPr="004B74AE">
        <w:rPr>
          <w:rFonts w:ascii="Times New Roman" w:hAnsi="Times New Roman"/>
          <w:szCs w:val="24"/>
        </w:rPr>
        <w:t xml:space="preserve"> From Bentham’s perspective, the state is under the duty ‘</w:t>
      </w:r>
      <w:r w:rsidRPr="004B74AE">
        <w:rPr>
          <w:rFonts w:ascii="Times New Roman" w:hAnsi="Times New Roman"/>
          <w:i/>
          <w:szCs w:val="24"/>
        </w:rPr>
        <w:t>to promote the happiness of the society, by punishing and rewarding</w:t>
      </w:r>
      <w:r w:rsidRPr="004B74AE">
        <w:rPr>
          <w:rFonts w:ascii="Times New Roman" w:hAnsi="Times New Roman"/>
          <w:szCs w:val="24"/>
        </w:rPr>
        <w:t>.’</w:t>
      </w:r>
      <w:r w:rsidRPr="004B74AE">
        <w:rPr>
          <w:rStyle w:val="FootnoteReference"/>
          <w:rFonts w:ascii="Times New Roman" w:hAnsi="Times New Roman"/>
          <w:szCs w:val="24"/>
        </w:rPr>
        <w:footnoteReference w:id="869"/>
      </w:r>
      <w:r w:rsidRPr="004B74AE">
        <w:rPr>
          <w:rFonts w:ascii="Times New Roman" w:hAnsi="Times New Roman"/>
          <w:szCs w:val="24"/>
        </w:rPr>
        <w:t xml:space="preserve">One reasonable explanation for this is that punishment is used as a social or crime control, especially for </w:t>
      </w:r>
      <w:r w:rsidR="00F042BE">
        <w:rPr>
          <w:rFonts w:ascii="Times New Roman" w:hAnsi="Times New Roman"/>
          <w:szCs w:val="24"/>
        </w:rPr>
        <w:t xml:space="preserve">offenders' </w:t>
      </w:r>
      <w:r w:rsidR="00F042BE">
        <w:rPr>
          <w:rFonts w:ascii="Times New Roman" w:hAnsi="Times New Roman"/>
          <w:szCs w:val="24"/>
        </w:rPr>
        <w:lastRenderedPageBreak/>
        <w:t>action</w:t>
      </w:r>
      <w:r w:rsidRPr="004B74AE">
        <w:rPr>
          <w:rFonts w:ascii="Times New Roman" w:hAnsi="Times New Roman"/>
          <w:szCs w:val="24"/>
        </w:rPr>
        <w:t xml:space="preserve">. It could be said that while it controls the actions of offenders, at the same time, it increases the happiness of the society and reduces the pain of the </w:t>
      </w:r>
      <w:r w:rsidR="009A344E">
        <w:rPr>
          <w:rFonts w:ascii="Times New Roman" w:hAnsi="Times New Roman"/>
          <w:szCs w:val="24"/>
        </w:rPr>
        <w:t>communi</w:t>
      </w:r>
      <w:r w:rsidRPr="004B74AE">
        <w:rPr>
          <w:rFonts w:ascii="Times New Roman" w:hAnsi="Times New Roman"/>
          <w:szCs w:val="24"/>
        </w:rPr>
        <w:t>ty. The aim of punishing the offender is to deter people from violating the law in the future.</w:t>
      </w:r>
      <w:r w:rsidR="00EF29CA">
        <w:rPr>
          <w:rStyle w:val="FootnoteReference"/>
          <w:rFonts w:ascii="Times New Roman" w:hAnsi="Times New Roman"/>
          <w:szCs w:val="24"/>
        </w:rPr>
        <w:footnoteReference w:id="870"/>
      </w:r>
    </w:p>
    <w:p w14:paraId="5ADE61A1" w14:textId="778AACBF" w:rsidR="004D5736" w:rsidRDefault="009A344E" w:rsidP="001B6656">
      <w:pPr>
        <w:spacing w:line="480" w:lineRule="auto"/>
        <w:jc w:val="both"/>
        <w:rPr>
          <w:rFonts w:ascii="Times New Roman" w:hAnsi="Times New Roman"/>
          <w:szCs w:val="24"/>
        </w:rPr>
      </w:pPr>
      <w:r>
        <w:rPr>
          <w:rFonts w:ascii="Times New Roman" w:hAnsi="Times New Roman"/>
          <w:szCs w:val="24"/>
        </w:rPr>
        <w:t>The l</w:t>
      </w:r>
      <w:r w:rsidR="004D5736" w:rsidRPr="004B74AE">
        <w:rPr>
          <w:rFonts w:ascii="Times New Roman" w:hAnsi="Times New Roman"/>
          <w:szCs w:val="24"/>
        </w:rPr>
        <w:t>iterature on deterrence assert</w:t>
      </w:r>
      <w:r>
        <w:rPr>
          <w:rFonts w:ascii="Times New Roman" w:hAnsi="Times New Roman"/>
          <w:szCs w:val="24"/>
        </w:rPr>
        <w:t>s</w:t>
      </w:r>
      <w:r w:rsidR="004D5736" w:rsidRPr="004B74AE">
        <w:rPr>
          <w:rFonts w:ascii="Times New Roman" w:hAnsi="Times New Roman"/>
          <w:szCs w:val="24"/>
        </w:rPr>
        <w:t xml:space="preserve"> that the </w:t>
      </w:r>
      <w:r>
        <w:rPr>
          <w:rFonts w:ascii="Times New Roman" w:hAnsi="Times New Roman"/>
          <w:szCs w:val="24"/>
        </w:rPr>
        <w:t>primary</w:t>
      </w:r>
      <w:r w:rsidR="004D5736" w:rsidRPr="004B74AE">
        <w:rPr>
          <w:rFonts w:ascii="Times New Roman" w:hAnsi="Times New Roman"/>
          <w:szCs w:val="24"/>
        </w:rPr>
        <w:t xml:space="preserve"> justification for the punis</w:t>
      </w:r>
      <w:r>
        <w:rPr>
          <w:rFonts w:ascii="Times New Roman" w:hAnsi="Times New Roman"/>
          <w:szCs w:val="24"/>
        </w:rPr>
        <w:t>hment in an international criminal trial</w:t>
      </w:r>
      <w:r w:rsidR="004D5736" w:rsidRPr="004B74AE">
        <w:rPr>
          <w:rFonts w:ascii="Times New Roman" w:hAnsi="Times New Roman"/>
          <w:szCs w:val="24"/>
        </w:rPr>
        <w:t xml:space="preserve"> is deterrence.</w:t>
      </w:r>
      <w:r w:rsidR="004D5736" w:rsidRPr="004B74AE">
        <w:rPr>
          <w:rStyle w:val="FootnoteReference"/>
          <w:rFonts w:ascii="Times New Roman" w:hAnsi="Times New Roman"/>
          <w:szCs w:val="24"/>
        </w:rPr>
        <w:footnoteReference w:id="871"/>
      </w:r>
      <w:proofErr w:type="spellStart"/>
      <w:r w:rsidR="004D5736" w:rsidRPr="004B74AE">
        <w:rPr>
          <w:rFonts w:ascii="Times New Roman" w:hAnsi="Times New Roman"/>
          <w:szCs w:val="24"/>
        </w:rPr>
        <w:t>Rothe</w:t>
      </w:r>
      <w:proofErr w:type="spellEnd"/>
      <w:r w:rsidR="004D5736" w:rsidRPr="004B74AE">
        <w:rPr>
          <w:rFonts w:ascii="Times New Roman" w:hAnsi="Times New Roman"/>
          <w:szCs w:val="24"/>
        </w:rPr>
        <w:t xml:space="preserve"> and Mullins published a paper in which they conclude that the notion behind international criminal prosecution is deterrence.</w:t>
      </w:r>
      <w:r w:rsidR="004D5736" w:rsidRPr="004B74AE">
        <w:rPr>
          <w:rStyle w:val="FootnoteReference"/>
          <w:rFonts w:ascii="Times New Roman" w:hAnsi="Times New Roman"/>
          <w:szCs w:val="24"/>
        </w:rPr>
        <w:footnoteReference w:id="872"/>
      </w:r>
      <w:r>
        <w:rPr>
          <w:rFonts w:ascii="Times New Roman" w:hAnsi="Times New Roman"/>
          <w:szCs w:val="24"/>
        </w:rPr>
        <w:t>From observation,</w:t>
      </w:r>
      <w:r w:rsidR="004D5736" w:rsidRPr="004B74AE">
        <w:rPr>
          <w:rFonts w:ascii="Times New Roman" w:hAnsi="Times New Roman"/>
          <w:szCs w:val="24"/>
        </w:rPr>
        <w:t xml:space="preserve"> </w:t>
      </w:r>
      <w:proofErr w:type="spellStart"/>
      <w:r w:rsidR="004D5736" w:rsidRPr="004B74AE">
        <w:rPr>
          <w:rFonts w:ascii="Times New Roman" w:hAnsi="Times New Roman"/>
          <w:szCs w:val="24"/>
        </w:rPr>
        <w:t>Rothe</w:t>
      </w:r>
      <w:proofErr w:type="spellEnd"/>
      <w:r w:rsidR="004D5736" w:rsidRPr="004B74AE">
        <w:rPr>
          <w:rFonts w:ascii="Times New Roman" w:hAnsi="Times New Roman"/>
          <w:szCs w:val="24"/>
        </w:rPr>
        <w:t xml:space="preserve"> and Mullin’s </w:t>
      </w:r>
      <w:r w:rsidR="00547F1C">
        <w:rPr>
          <w:rFonts w:ascii="Times New Roman" w:hAnsi="Times New Roman"/>
          <w:szCs w:val="24"/>
        </w:rPr>
        <w:t>viewpoint</w:t>
      </w:r>
      <w:r>
        <w:rPr>
          <w:rFonts w:ascii="Times New Roman" w:hAnsi="Times New Roman"/>
          <w:szCs w:val="24"/>
        </w:rPr>
        <w:t xml:space="preserve"> emerges from criminology. In an author’s opinion, </w:t>
      </w:r>
      <w:r w:rsidR="004D5736" w:rsidRPr="004B74AE">
        <w:rPr>
          <w:rFonts w:ascii="Times New Roman" w:hAnsi="Times New Roman"/>
          <w:szCs w:val="24"/>
        </w:rPr>
        <w:t>international criminal tribunals have integrated accountability and ‘</w:t>
      </w:r>
      <w:r w:rsidR="004D5736" w:rsidRPr="004B74AE">
        <w:rPr>
          <w:rFonts w:ascii="Times New Roman" w:hAnsi="Times New Roman"/>
          <w:i/>
          <w:szCs w:val="24"/>
        </w:rPr>
        <w:t>instilled long-term inhibitions against international crimes in the global community</w:t>
      </w:r>
      <w:r w:rsidR="00547F1C">
        <w:rPr>
          <w:rFonts w:ascii="Times New Roman" w:hAnsi="Times New Roman"/>
          <w:i/>
          <w:szCs w:val="24"/>
        </w:rPr>
        <w:t>.</w:t>
      </w:r>
      <w:r w:rsidR="004D5736" w:rsidRPr="004B74AE">
        <w:rPr>
          <w:rFonts w:ascii="Times New Roman" w:hAnsi="Times New Roman"/>
          <w:i/>
          <w:szCs w:val="24"/>
        </w:rPr>
        <w:t>’</w:t>
      </w:r>
      <w:r w:rsidR="004D5736" w:rsidRPr="004B74AE">
        <w:rPr>
          <w:rStyle w:val="FootnoteReference"/>
          <w:rFonts w:ascii="Times New Roman" w:hAnsi="Times New Roman"/>
          <w:i/>
          <w:szCs w:val="24"/>
        </w:rPr>
        <w:footnoteReference w:id="873"/>
      </w:r>
      <w:r w:rsidR="004D5736" w:rsidRPr="004B74AE">
        <w:rPr>
          <w:rFonts w:ascii="Times New Roman" w:hAnsi="Times New Roman"/>
          <w:szCs w:val="24"/>
        </w:rPr>
        <w:t xml:space="preserve"> </w:t>
      </w:r>
      <w:r>
        <w:rPr>
          <w:rFonts w:ascii="Times New Roman" w:hAnsi="Times New Roman"/>
          <w:szCs w:val="24"/>
        </w:rPr>
        <w:t xml:space="preserve">The inhibitions are measures towards deterrence and accountability.  </w:t>
      </w:r>
      <w:r w:rsidR="004D5736" w:rsidRPr="004B74AE">
        <w:rPr>
          <w:rFonts w:ascii="Times New Roman" w:hAnsi="Times New Roman"/>
          <w:szCs w:val="24"/>
        </w:rPr>
        <w:t>Nevertheless, it is questionable if international criminal law, courts and tribunals have been able to pass on a deterrent effect in the international community. There are still instances of se</w:t>
      </w:r>
      <w:r>
        <w:rPr>
          <w:rFonts w:ascii="Times New Roman" w:hAnsi="Times New Roman"/>
          <w:szCs w:val="24"/>
        </w:rPr>
        <w:t>vere</w:t>
      </w:r>
      <w:r w:rsidR="004D5736" w:rsidRPr="004B74AE">
        <w:rPr>
          <w:rFonts w:ascii="Times New Roman" w:hAnsi="Times New Roman"/>
          <w:szCs w:val="24"/>
        </w:rPr>
        <w:t xml:space="preserve"> violations of human rights around the world.</w:t>
      </w:r>
      <w:r>
        <w:rPr>
          <w:rFonts w:ascii="Times New Roman" w:hAnsi="Times New Roman"/>
          <w:szCs w:val="24"/>
        </w:rPr>
        <w:t xml:space="preserve"> </w:t>
      </w:r>
      <w:r w:rsidR="004D5736" w:rsidRPr="004B74AE">
        <w:rPr>
          <w:rFonts w:ascii="Times New Roman" w:hAnsi="Times New Roman"/>
          <w:szCs w:val="24"/>
        </w:rPr>
        <w:t>At best, it could be said that the rate of se</w:t>
      </w:r>
      <w:r>
        <w:rPr>
          <w:rFonts w:ascii="Times New Roman" w:hAnsi="Times New Roman"/>
          <w:szCs w:val="24"/>
        </w:rPr>
        <w:t>vere</w:t>
      </w:r>
      <w:r w:rsidR="004D5736" w:rsidRPr="004B74AE">
        <w:rPr>
          <w:rFonts w:ascii="Times New Roman" w:hAnsi="Times New Roman"/>
          <w:szCs w:val="24"/>
        </w:rPr>
        <w:t xml:space="preserve"> </w:t>
      </w:r>
      <w:r>
        <w:rPr>
          <w:rFonts w:ascii="Times New Roman" w:hAnsi="Times New Roman"/>
          <w:szCs w:val="24"/>
        </w:rPr>
        <w:t>abuse</w:t>
      </w:r>
      <w:r w:rsidR="004D5736" w:rsidRPr="004B74AE">
        <w:rPr>
          <w:rFonts w:ascii="Times New Roman" w:hAnsi="Times New Roman"/>
          <w:szCs w:val="24"/>
        </w:rPr>
        <w:t>s of hum</w:t>
      </w:r>
      <w:r>
        <w:rPr>
          <w:rFonts w:ascii="Times New Roman" w:hAnsi="Times New Roman"/>
          <w:szCs w:val="24"/>
        </w:rPr>
        <w:t>an rights has reduced slightly. Arguably,</w:t>
      </w:r>
      <w:r w:rsidR="004D5736" w:rsidRPr="004B74AE">
        <w:rPr>
          <w:rFonts w:ascii="Times New Roman" w:hAnsi="Times New Roman"/>
          <w:szCs w:val="24"/>
        </w:rPr>
        <w:t xml:space="preserve"> a harsher sentence/punishment may </w:t>
      </w:r>
      <w:r>
        <w:rPr>
          <w:rFonts w:ascii="Times New Roman" w:hAnsi="Times New Roman"/>
          <w:szCs w:val="24"/>
        </w:rPr>
        <w:t xml:space="preserve">restrict </w:t>
      </w:r>
      <w:r w:rsidR="004D5736" w:rsidRPr="004B74AE">
        <w:rPr>
          <w:rFonts w:ascii="Times New Roman" w:hAnsi="Times New Roman"/>
          <w:szCs w:val="24"/>
        </w:rPr>
        <w:t>future offender</w:t>
      </w:r>
      <w:r w:rsidR="00547F1C">
        <w:rPr>
          <w:rFonts w:ascii="Times New Roman" w:hAnsi="Times New Roman"/>
          <w:szCs w:val="24"/>
        </w:rPr>
        <w:t>s</w:t>
      </w:r>
      <w:r w:rsidR="004D5736" w:rsidRPr="004B74AE">
        <w:rPr>
          <w:rFonts w:ascii="Times New Roman" w:hAnsi="Times New Roman"/>
          <w:szCs w:val="24"/>
        </w:rPr>
        <w:t>.</w:t>
      </w:r>
      <w:r>
        <w:rPr>
          <w:rFonts w:ascii="Times New Roman" w:hAnsi="Times New Roman"/>
          <w:szCs w:val="24"/>
        </w:rPr>
        <w:t xml:space="preserve"> </w:t>
      </w:r>
      <w:r w:rsidR="004D5736" w:rsidRPr="004B74AE">
        <w:rPr>
          <w:rFonts w:ascii="Times New Roman" w:hAnsi="Times New Roman"/>
          <w:szCs w:val="24"/>
        </w:rPr>
        <w:t>The</w:t>
      </w:r>
      <w:r w:rsidR="00547F1C">
        <w:rPr>
          <w:rFonts w:ascii="Times New Roman" w:hAnsi="Times New Roman"/>
          <w:szCs w:val="24"/>
        </w:rPr>
        <w:t xml:space="preserve"> perpetrator</w:t>
      </w:r>
      <w:r w:rsidR="004D5736" w:rsidRPr="004B74AE">
        <w:rPr>
          <w:rFonts w:ascii="Times New Roman" w:hAnsi="Times New Roman"/>
          <w:szCs w:val="24"/>
        </w:rPr>
        <w:t xml:space="preserve"> is sanctioned to serve as examples for future offenders. Thus, deterrence is perceived </w:t>
      </w:r>
      <w:r w:rsidR="004D5736" w:rsidRPr="004B74AE">
        <w:rPr>
          <w:rFonts w:ascii="Times New Roman" w:hAnsi="Times New Roman"/>
          <w:szCs w:val="24"/>
        </w:rPr>
        <w:lastRenderedPageBreak/>
        <w:t xml:space="preserve">as </w:t>
      </w:r>
      <w:r>
        <w:rPr>
          <w:rFonts w:ascii="Times New Roman" w:hAnsi="Times New Roman"/>
          <w:szCs w:val="24"/>
        </w:rPr>
        <w:t>a</w:t>
      </w:r>
      <w:r w:rsidR="004D5736" w:rsidRPr="004B74AE">
        <w:rPr>
          <w:rFonts w:ascii="Times New Roman" w:hAnsi="Times New Roman"/>
          <w:szCs w:val="24"/>
        </w:rPr>
        <w:t xml:space="preserve"> legal threat </w:t>
      </w:r>
      <w:r>
        <w:rPr>
          <w:rFonts w:ascii="Times New Roman" w:hAnsi="Times New Roman"/>
          <w:szCs w:val="24"/>
        </w:rPr>
        <w:t>to</w:t>
      </w:r>
      <w:r w:rsidR="004D5736" w:rsidRPr="004B74AE">
        <w:rPr>
          <w:rFonts w:ascii="Times New Roman" w:hAnsi="Times New Roman"/>
          <w:szCs w:val="24"/>
        </w:rPr>
        <w:t xml:space="preserve"> crime control.</w:t>
      </w:r>
      <w:r w:rsidR="004D5736" w:rsidRPr="004B74AE">
        <w:rPr>
          <w:rStyle w:val="FootnoteReference"/>
          <w:rFonts w:ascii="Times New Roman" w:hAnsi="Times New Roman"/>
          <w:szCs w:val="24"/>
        </w:rPr>
        <w:footnoteReference w:id="874"/>
      </w:r>
      <w:r w:rsidR="004D5736" w:rsidRPr="004B74AE">
        <w:rPr>
          <w:rFonts w:ascii="Times New Roman" w:hAnsi="Times New Roman"/>
          <w:szCs w:val="24"/>
        </w:rPr>
        <w:t xml:space="preserve">This sanction could be in </w:t>
      </w:r>
      <w:r>
        <w:rPr>
          <w:rFonts w:ascii="Times New Roman" w:hAnsi="Times New Roman"/>
          <w:szCs w:val="24"/>
        </w:rPr>
        <w:t xml:space="preserve">the </w:t>
      </w:r>
      <w:r w:rsidR="004D5736" w:rsidRPr="004B74AE">
        <w:rPr>
          <w:rFonts w:ascii="Times New Roman" w:hAnsi="Times New Roman"/>
          <w:szCs w:val="24"/>
        </w:rPr>
        <w:t xml:space="preserve">form of </w:t>
      </w:r>
      <w:r>
        <w:rPr>
          <w:rFonts w:ascii="Times New Roman" w:hAnsi="Times New Roman"/>
          <w:szCs w:val="24"/>
        </w:rPr>
        <w:t xml:space="preserve">the </w:t>
      </w:r>
      <w:r w:rsidR="004D5736" w:rsidRPr="004B74AE">
        <w:rPr>
          <w:rFonts w:ascii="Times New Roman" w:hAnsi="Times New Roman"/>
          <w:szCs w:val="24"/>
        </w:rPr>
        <w:t>death penalty, imprisonment or fine.</w:t>
      </w:r>
    </w:p>
    <w:p w14:paraId="16EC33AB" w14:textId="43F949A1" w:rsidR="00EF29CA" w:rsidRDefault="00EF29CA" w:rsidP="001B6656">
      <w:pPr>
        <w:spacing w:line="480" w:lineRule="auto"/>
        <w:jc w:val="both"/>
        <w:rPr>
          <w:rFonts w:ascii="Times New Roman" w:hAnsi="Times New Roman"/>
          <w:szCs w:val="24"/>
        </w:rPr>
      </w:pPr>
      <w:r>
        <w:rPr>
          <w:rFonts w:ascii="Times New Roman" w:hAnsi="Times New Roman"/>
          <w:szCs w:val="24"/>
        </w:rPr>
        <w:t xml:space="preserve">The absence of a general provision for </w:t>
      </w:r>
      <w:r w:rsidR="00F042BE">
        <w:rPr>
          <w:rFonts w:ascii="Times New Roman" w:hAnsi="Times New Roman"/>
          <w:szCs w:val="24"/>
        </w:rPr>
        <w:t>sentencing objectives</w:t>
      </w:r>
      <w:r>
        <w:rPr>
          <w:rFonts w:ascii="Times New Roman" w:hAnsi="Times New Roman"/>
          <w:szCs w:val="24"/>
        </w:rPr>
        <w:t xml:space="preserve"> in the Rome Statute leaves a gap for the rationale behind the punishment.</w:t>
      </w:r>
      <w:r w:rsidR="007F7A8F">
        <w:rPr>
          <w:rFonts w:ascii="Times New Roman" w:hAnsi="Times New Roman"/>
          <w:szCs w:val="24"/>
        </w:rPr>
        <w:t xml:space="preserve"> </w:t>
      </w:r>
      <w:r>
        <w:rPr>
          <w:rFonts w:ascii="Times New Roman" w:hAnsi="Times New Roman"/>
          <w:szCs w:val="24"/>
        </w:rPr>
        <w:t>Notwithstanding, a cursory look at the Preamble shows a deterrent function: “Determined to put an end to impunity for the perpetrators of these crimes and thus to contribute to the prevention of such crimes.”</w:t>
      </w:r>
      <w:r>
        <w:rPr>
          <w:rStyle w:val="FootnoteReference"/>
          <w:rFonts w:ascii="Times New Roman" w:hAnsi="Times New Roman"/>
          <w:szCs w:val="24"/>
        </w:rPr>
        <w:footnoteReference w:id="875"/>
      </w:r>
      <w:r w:rsidR="00DB3E78">
        <w:rPr>
          <w:rFonts w:ascii="Times New Roman" w:hAnsi="Times New Roman"/>
          <w:szCs w:val="24"/>
        </w:rPr>
        <w:t xml:space="preserve"> And “Determined to these ends and for the sake of present and future generations.”</w:t>
      </w:r>
      <w:r w:rsidR="00DB3E78">
        <w:rPr>
          <w:rStyle w:val="FootnoteReference"/>
          <w:rFonts w:ascii="Times New Roman" w:hAnsi="Times New Roman"/>
          <w:szCs w:val="24"/>
        </w:rPr>
        <w:footnoteReference w:id="876"/>
      </w:r>
      <w:r w:rsidR="00DB3E78">
        <w:rPr>
          <w:rFonts w:ascii="Times New Roman" w:hAnsi="Times New Roman"/>
          <w:szCs w:val="24"/>
        </w:rPr>
        <w:t xml:space="preserve"> Preamble 5 and 9 support the deterrent function of the Rome Statute.</w:t>
      </w:r>
    </w:p>
    <w:p w14:paraId="205443C5" w14:textId="77777777" w:rsidR="009A344E" w:rsidRPr="004B74AE" w:rsidRDefault="009A344E" w:rsidP="001B6656">
      <w:pPr>
        <w:spacing w:line="480" w:lineRule="auto"/>
        <w:jc w:val="both"/>
        <w:rPr>
          <w:rFonts w:ascii="Times New Roman" w:hAnsi="Times New Roman"/>
          <w:szCs w:val="24"/>
        </w:rPr>
      </w:pPr>
      <w:r>
        <w:rPr>
          <w:rFonts w:ascii="Times New Roman" w:hAnsi="Times New Roman"/>
          <w:szCs w:val="24"/>
        </w:rPr>
        <w:t>This section has briefly explained deterrence as a justification for retributive justice. The next part of this section will discuss retribution as another justification for retributive justice.</w:t>
      </w:r>
    </w:p>
    <w:p w14:paraId="5221ABAD" w14:textId="2CD71E2B" w:rsidR="004D5736" w:rsidRPr="004B74AE" w:rsidRDefault="007C720C" w:rsidP="00DF5C01">
      <w:pPr>
        <w:pStyle w:val="Heading3"/>
      </w:pPr>
      <w:bookmarkStart w:id="54" w:name="_Toc60235826"/>
      <w:r>
        <w:t>4.1.2</w:t>
      </w:r>
      <w:bookmarkStart w:id="55" w:name="_Toc21896841"/>
      <w:r>
        <w:t xml:space="preserve">  </w:t>
      </w:r>
      <w:r w:rsidR="004D5736" w:rsidRPr="004B74AE">
        <w:t>R</w:t>
      </w:r>
      <w:bookmarkEnd w:id="55"/>
      <w:r w:rsidR="004D5736" w:rsidRPr="004B74AE">
        <w:t>etribution</w:t>
      </w:r>
      <w:bookmarkEnd w:id="54"/>
    </w:p>
    <w:p w14:paraId="70C3F1E6" w14:textId="4FFAE709"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Retribution is at the heart of criminal law theory.</w:t>
      </w:r>
      <w:r w:rsidRPr="004B74AE">
        <w:rPr>
          <w:rStyle w:val="FootnoteReference"/>
          <w:rFonts w:ascii="Times New Roman" w:hAnsi="Times New Roman"/>
          <w:szCs w:val="24"/>
        </w:rPr>
        <w:footnoteReference w:id="877"/>
      </w:r>
      <w:r w:rsidRPr="004B74AE">
        <w:rPr>
          <w:rFonts w:ascii="Times New Roman" w:hAnsi="Times New Roman"/>
          <w:szCs w:val="24"/>
        </w:rPr>
        <w:t xml:space="preserve"> It underscores punishment as a reaction to the commission of </w:t>
      </w:r>
      <w:r w:rsidR="009A344E">
        <w:rPr>
          <w:rFonts w:ascii="Times New Roman" w:hAnsi="Times New Roman"/>
          <w:szCs w:val="24"/>
        </w:rPr>
        <w:t xml:space="preserve">a </w:t>
      </w:r>
      <w:r w:rsidRPr="004B74AE">
        <w:rPr>
          <w:rFonts w:ascii="Times New Roman" w:hAnsi="Times New Roman"/>
          <w:szCs w:val="24"/>
        </w:rPr>
        <w:t>crime. The foundation of retribution is deeply rooted</w:t>
      </w:r>
      <w:r w:rsidR="009A344E">
        <w:rPr>
          <w:rFonts w:ascii="Times New Roman" w:hAnsi="Times New Roman"/>
          <w:szCs w:val="24"/>
        </w:rPr>
        <w:t xml:space="preserve"> in</w:t>
      </w:r>
      <w:r w:rsidRPr="004B74AE">
        <w:rPr>
          <w:rFonts w:ascii="Times New Roman" w:hAnsi="Times New Roman"/>
          <w:szCs w:val="24"/>
        </w:rPr>
        <w:t xml:space="preserve"> respect for the autonomy of the offender. It is a notion that justifies the imposition of punishment because it is deserved.</w:t>
      </w:r>
      <w:r w:rsidRPr="004B74AE">
        <w:rPr>
          <w:rStyle w:val="FootnoteReference"/>
          <w:rFonts w:ascii="Times New Roman" w:hAnsi="Times New Roman"/>
          <w:szCs w:val="24"/>
        </w:rPr>
        <w:footnoteReference w:id="878"/>
      </w:r>
      <w:r w:rsidRPr="004B74AE">
        <w:rPr>
          <w:rFonts w:ascii="Times New Roman" w:hAnsi="Times New Roman"/>
          <w:szCs w:val="24"/>
        </w:rPr>
        <w:t xml:space="preserve"> In Moore’s words, “</w:t>
      </w:r>
      <w:r w:rsidRPr="004B74AE">
        <w:rPr>
          <w:rFonts w:ascii="Times New Roman" w:hAnsi="Times New Roman"/>
          <w:i/>
          <w:szCs w:val="24"/>
        </w:rPr>
        <w:t>Punishment is justified if it</w:t>
      </w:r>
      <w:r w:rsidRPr="004B74AE">
        <w:rPr>
          <w:rFonts w:ascii="Times New Roman" w:hAnsi="Times New Roman"/>
          <w:szCs w:val="24"/>
        </w:rPr>
        <w:t xml:space="preserve"> </w:t>
      </w:r>
      <w:r w:rsidRPr="004B74AE">
        <w:rPr>
          <w:rFonts w:ascii="Times New Roman" w:hAnsi="Times New Roman"/>
          <w:i/>
          <w:szCs w:val="24"/>
        </w:rPr>
        <w:t>is</w:t>
      </w:r>
      <w:r w:rsidRPr="004B74AE">
        <w:rPr>
          <w:rFonts w:ascii="Times New Roman" w:hAnsi="Times New Roman"/>
          <w:szCs w:val="24"/>
        </w:rPr>
        <w:t xml:space="preserve"> </w:t>
      </w:r>
      <w:r w:rsidRPr="004B74AE">
        <w:rPr>
          <w:rFonts w:ascii="Times New Roman" w:hAnsi="Times New Roman"/>
          <w:i/>
          <w:szCs w:val="24"/>
        </w:rPr>
        <w:lastRenderedPageBreak/>
        <w:t>given to those who deserve it</w:t>
      </w:r>
      <w:r w:rsidR="002D1F18">
        <w:rPr>
          <w:rFonts w:ascii="Times New Roman" w:hAnsi="Times New Roman"/>
          <w:i/>
          <w:szCs w:val="24"/>
        </w:rPr>
        <w:t>.</w:t>
      </w:r>
      <w:r w:rsidRPr="004B74AE">
        <w:rPr>
          <w:rFonts w:ascii="Times New Roman" w:hAnsi="Times New Roman"/>
          <w:szCs w:val="24"/>
        </w:rPr>
        <w:t>”</w:t>
      </w:r>
      <w:r w:rsidRPr="004B74AE">
        <w:rPr>
          <w:rStyle w:val="FootnoteReference"/>
          <w:rFonts w:ascii="Times New Roman" w:hAnsi="Times New Roman"/>
          <w:szCs w:val="24"/>
        </w:rPr>
        <w:footnoteReference w:id="879"/>
      </w:r>
      <w:r w:rsidRPr="004B74AE">
        <w:rPr>
          <w:rFonts w:ascii="Times New Roman" w:hAnsi="Times New Roman"/>
          <w:szCs w:val="24"/>
        </w:rPr>
        <w:t xml:space="preserve"> </w:t>
      </w:r>
      <w:r w:rsidR="002D1F18">
        <w:rPr>
          <w:rFonts w:ascii="Times New Roman" w:hAnsi="Times New Roman"/>
          <w:szCs w:val="24"/>
        </w:rPr>
        <w:t>‘</w:t>
      </w:r>
      <w:r w:rsidRPr="004B74AE">
        <w:rPr>
          <w:rFonts w:ascii="Times New Roman" w:hAnsi="Times New Roman"/>
          <w:szCs w:val="24"/>
        </w:rPr>
        <w:t>Desert …is a sufficient condition of just punishment, not only a necessary condition’</w:t>
      </w:r>
      <w:r w:rsidRPr="004B74AE">
        <w:rPr>
          <w:rStyle w:val="FootnoteReference"/>
          <w:rFonts w:ascii="Times New Roman" w:hAnsi="Times New Roman"/>
          <w:szCs w:val="24"/>
        </w:rPr>
        <w:footnoteReference w:id="880"/>
      </w:r>
      <w:r w:rsidR="009A344E">
        <w:rPr>
          <w:rFonts w:ascii="Times New Roman" w:hAnsi="Times New Roman"/>
          <w:szCs w:val="24"/>
        </w:rPr>
        <w:t xml:space="preserve"> It is not yet </w:t>
      </w:r>
      <w:r w:rsidR="00FE75F9">
        <w:rPr>
          <w:rFonts w:ascii="Times New Roman" w:hAnsi="Times New Roman"/>
          <w:szCs w:val="24"/>
        </w:rPr>
        <w:t>certain</w:t>
      </w:r>
      <w:r w:rsidRPr="004B74AE">
        <w:rPr>
          <w:rFonts w:ascii="Times New Roman" w:hAnsi="Times New Roman"/>
          <w:szCs w:val="24"/>
        </w:rPr>
        <w:t xml:space="preserve"> if the </w:t>
      </w:r>
      <w:r w:rsidR="00D87075">
        <w:rPr>
          <w:rFonts w:ascii="Times New Roman" w:hAnsi="Times New Roman"/>
          <w:szCs w:val="24"/>
        </w:rPr>
        <w:t>offender's punishment</w:t>
      </w:r>
      <w:r w:rsidRPr="004B74AE">
        <w:rPr>
          <w:rFonts w:ascii="Times New Roman" w:hAnsi="Times New Roman"/>
          <w:szCs w:val="24"/>
        </w:rPr>
        <w:t xml:space="preserve"> can be equated to the harm and suff</w:t>
      </w:r>
      <w:r w:rsidR="009A344E">
        <w:rPr>
          <w:rFonts w:ascii="Times New Roman" w:hAnsi="Times New Roman"/>
          <w:szCs w:val="24"/>
        </w:rPr>
        <w:t>ering inflicted on the victims. Therefore,</w:t>
      </w:r>
      <w:r w:rsidRPr="004B74AE">
        <w:rPr>
          <w:rFonts w:ascii="Times New Roman" w:hAnsi="Times New Roman"/>
          <w:szCs w:val="24"/>
        </w:rPr>
        <w:t xml:space="preserve"> the fact that the offender is deserving of punishment does not mean that such punishment is quantifiable to the </w:t>
      </w:r>
      <w:r w:rsidR="00F042BE">
        <w:rPr>
          <w:rFonts w:ascii="Times New Roman" w:hAnsi="Times New Roman"/>
          <w:szCs w:val="24"/>
        </w:rPr>
        <w:t>victim's plight</w:t>
      </w:r>
      <w:r w:rsidRPr="004B74AE">
        <w:rPr>
          <w:rFonts w:ascii="Times New Roman" w:hAnsi="Times New Roman"/>
          <w:szCs w:val="24"/>
        </w:rPr>
        <w:t>, given that they occur within two different context</w:t>
      </w:r>
      <w:r w:rsidR="009A344E">
        <w:rPr>
          <w:rFonts w:ascii="Times New Roman" w:hAnsi="Times New Roman"/>
          <w:szCs w:val="24"/>
        </w:rPr>
        <w:t>s</w:t>
      </w:r>
      <w:r w:rsidRPr="004B74AE">
        <w:rPr>
          <w:rFonts w:ascii="Times New Roman" w:hAnsi="Times New Roman"/>
          <w:szCs w:val="24"/>
        </w:rPr>
        <w:t>. As such,  punishment is motivated by ‘</w:t>
      </w:r>
      <w:r w:rsidRPr="004B74AE">
        <w:rPr>
          <w:rFonts w:ascii="Times New Roman" w:hAnsi="Times New Roman"/>
          <w:i/>
          <w:szCs w:val="24"/>
        </w:rPr>
        <w:t>just deserts’</w:t>
      </w:r>
      <w:r w:rsidRPr="004B74AE">
        <w:rPr>
          <w:rFonts w:ascii="Times New Roman" w:hAnsi="Times New Roman"/>
          <w:szCs w:val="24"/>
        </w:rPr>
        <w:t xml:space="preserve"> and </w:t>
      </w:r>
      <w:r w:rsidRPr="004B74AE">
        <w:rPr>
          <w:rFonts w:ascii="Times New Roman" w:hAnsi="Times New Roman"/>
          <w:i/>
          <w:szCs w:val="24"/>
        </w:rPr>
        <w:t>proportionality</w:t>
      </w:r>
      <w:r w:rsidRPr="004B74AE">
        <w:rPr>
          <w:rFonts w:ascii="Times New Roman" w:hAnsi="Times New Roman"/>
          <w:szCs w:val="24"/>
        </w:rPr>
        <w:t xml:space="preserve">. Punishment is </w:t>
      </w:r>
      <w:r w:rsidR="009A344E">
        <w:rPr>
          <w:rFonts w:ascii="Times New Roman" w:hAnsi="Times New Roman"/>
          <w:szCs w:val="24"/>
        </w:rPr>
        <w:t xml:space="preserve">mainly </w:t>
      </w:r>
      <w:r w:rsidRPr="004B74AE">
        <w:rPr>
          <w:rFonts w:ascii="Times New Roman" w:hAnsi="Times New Roman"/>
          <w:szCs w:val="24"/>
        </w:rPr>
        <w:t>imposed because the offender has committed a crime. This offender is sanctioned by punishment or reward because he deserves it</w:t>
      </w:r>
      <w:r w:rsidR="009A344E">
        <w:rPr>
          <w:rFonts w:ascii="Times New Roman" w:hAnsi="Times New Roman"/>
          <w:szCs w:val="24"/>
        </w:rPr>
        <w:t>;</w:t>
      </w:r>
      <w:r w:rsidRPr="004B74AE">
        <w:rPr>
          <w:rFonts w:ascii="Times New Roman" w:hAnsi="Times New Roman"/>
          <w:szCs w:val="24"/>
        </w:rPr>
        <w:t xml:space="preserve"> this is the philosophy behind just desert. The sanction is a reaction to the breaking of rules by the offender.</w:t>
      </w:r>
      <w:r w:rsidR="009A344E">
        <w:rPr>
          <w:rFonts w:ascii="Times New Roman" w:hAnsi="Times New Roman"/>
          <w:szCs w:val="24"/>
        </w:rPr>
        <w:t xml:space="preserve"> Theoretically,  the offender’s punishment</w:t>
      </w:r>
      <w:r w:rsidRPr="004B74AE">
        <w:rPr>
          <w:rFonts w:ascii="Times New Roman" w:hAnsi="Times New Roman"/>
          <w:szCs w:val="24"/>
        </w:rPr>
        <w:t xml:space="preserve"> is proportionate to the offence committed. How to measure the proportionality of the punishment remains unsettled. Different courts adopt different approaches. Proportionality principle is significant in the determinati</w:t>
      </w:r>
      <w:r w:rsidR="009A344E">
        <w:rPr>
          <w:rFonts w:ascii="Times New Roman" w:hAnsi="Times New Roman"/>
          <w:szCs w:val="24"/>
        </w:rPr>
        <w:t>on of retribution. Nevertheless,</w:t>
      </w:r>
      <w:r w:rsidRPr="004B74AE">
        <w:rPr>
          <w:rFonts w:ascii="Times New Roman" w:hAnsi="Times New Roman"/>
          <w:szCs w:val="24"/>
        </w:rPr>
        <w:t xml:space="preserve"> </w:t>
      </w:r>
      <w:r w:rsidR="009A344E">
        <w:rPr>
          <w:rFonts w:ascii="Times New Roman" w:hAnsi="Times New Roman"/>
          <w:szCs w:val="24"/>
        </w:rPr>
        <w:t>i</w:t>
      </w:r>
      <w:r w:rsidRPr="004B74AE">
        <w:rPr>
          <w:rFonts w:ascii="Times New Roman" w:hAnsi="Times New Roman"/>
          <w:szCs w:val="24"/>
        </w:rPr>
        <w:t>t is difficult to ascertain if the sentencing matches the crime committed.</w:t>
      </w:r>
      <w:r w:rsidRPr="004B74AE">
        <w:rPr>
          <w:rStyle w:val="FootnoteReference"/>
          <w:rFonts w:ascii="Times New Roman" w:hAnsi="Times New Roman"/>
          <w:szCs w:val="24"/>
        </w:rPr>
        <w:footnoteReference w:id="881"/>
      </w:r>
    </w:p>
    <w:p w14:paraId="2823ED88" w14:textId="57505FC7"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The principle of proportionality determines the sentencing that is appropriate for the gravity o</w:t>
      </w:r>
      <w:r w:rsidR="009A344E">
        <w:rPr>
          <w:rFonts w:ascii="Times New Roman" w:hAnsi="Times New Roman"/>
          <w:szCs w:val="24"/>
        </w:rPr>
        <w:t>f the crime.</w:t>
      </w:r>
      <w:r w:rsidR="00535B2A">
        <w:rPr>
          <w:rFonts w:ascii="Times New Roman" w:hAnsi="Times New Roman"/>
          <w:szCs w:val="24"/>
        </w:rPr>
        <w:t xml:space="preserve"> </w:t>
      </w:r>
      <w:r w:rsidR="009A344E">
        <w:rPr>
          <w:rFonts w:ascii="Times New Roman" w:hAnsi="Times New Roman"/>
          <w:szCs w:val="24"/>
        </w:rPr>
        <w:t xml:space="preserve">The gravity of the crime must be commensurate with the </w:t>
      </w:r>
      <w:r w:rsidRPr="004B74AE">
        <w:rPr>
          <w:rFonts w:ascii="Times New Roman" w:hAnsi="Times New Roman"/>
          <w:szCs w:val="24"/>
        </w:rPr>
        <w:t xml:space="preserve">severity of the crime. The principle of proportionality is a commonly –used notion in sentencing, and yet it is a concept difficult to define precisely. Goh asserts that proportionality competes with other sentencing goals, which subsequently gives rise to conflicting </w:t>
      </w:r>
      <w:r w:rsidRPr="004B74AE">
        <w:rPr>
          <w:rFonts w:ascii="Times New Roman" w:hAnsi="Times New Roman"/>
          <w:szCs w:val="24"/>
        </w:rPr>
        <w:lastRenderedPageBreak/>
        <w:t>objectives of criminal punishment proscribed by sentencing guidelines.</w:t>
      </w:r>
      <w:r w:rsidRPr="004B74AE">
        <w:rPr>
          <w:rStyle w:val="FootnoteReference"/>
          <w:rFonts w:ascii="Times New Roman" w:hAnsi="Times New Roman"/>
          <w:szCs w:val="24"/>
        </w:rPr>
        <w:footnoteReference w:id="882"/>
      </w:r>
      <w:r w:rsidRPr="004B74AE">
        <w:rPr>
          <w:rFonts w:ascii="Times New Roman" w:hAnsi="Times New Roman"/>
          <w:szCs w:val="24"/>
        </w:rPr>
        <w:t xml:space="preserve"> There is an inconsistency with this argument</w:t>
      </w:r>
      <w:r w:rsidR="00535B2A">
        <w:rPr>
          <w:rFonts w:ascii="Times New Roman" w:hAnsi="Times New Roman"/>
          <w:szCs w:val="24"/>
        </w:rPr>
        <w:t xml:space="preserve">; </w:t>
      </w:r>
      <w:r w:rsidRPr="004B74AE">
        <w:rPr>
          <w:rFonts w:ascii="Times New Roman" w:hAnsi="Times New Roman"/>
          <w:szCs w:val="24"/>
        </w:rPr>
        <w:t xml:space="preserve">proportionality is a determining factor for </w:t>
      </w:r>
      <w:r w:rsidR="00535B2A">
        <w:rPr>
          <w:rFonts w:ascii="Times New Roman" w:hAnsi="Times New Roman"/>
          <w:szCs w:val="24"/>
        </w:rPr>
        <w:t>sentencing</w:t>
      </w:r>
      <w:r w:rsidR="00FE75F9">
        <w:rPr>
          <w:rFonts w:ascii="Times New Roman" w:hAnsi="Times New Roman"/>
          <w:szCs w:val="24"/>
        </w:rPr>
        <w:t>;</w:t>
      </w:r>
      <w:r w:rsidR="00535B2A">
        <w:rPr>
          <w:rFonts w:ascii="Times New Roman" w:hAnsi="Times New Roman"/>
          <w:szCs w:val="24"/>
        </w:rPr>
        <w:t xml:space="preserve"> it is similar to the</w:t>
      </w:r>
      <w:r w:rsidRPr="004B74AE">
        <w:rPr>
          <w:rFonts w:ascii="Times New Roman" w:hAnsi="Times New Roman"/>
          <w:szCs w:val="24"/>
        </w:rPr>
        <w:t xml:space="preserve"> deciding factor. Hence, it is not an objecti</w:t>
      </w:r>
      <w:r w:rsidR="00535B2A">
        <w:rPr>
          <w:rFonts w:ascii="Times New Roman" w:hAnsi="Times New Roman"/>
          <w:szCs w:val="24"/>
        </w:rPr>
        <w:t>ve of criminal punishment</w:t>
      </w:r>
      <w:r w:rsidRPr="004B74AE">
        <w:rPr>
          <w:rFonts w:ascii="Times New Roman" w:hAnsi="Times New Roman"/>
          <w:szCs w:val="24"/>
        </w:rPr>
        <w:t>.</w:t>
      </w:r>
      <w:r w:rsidR="00535B2A">
        <w:rPr>
          <w:rFonts w:ascii="Times New Roman" w:hAnsi="Times New Roman"/>
          <w:szCs w:val="24"/>
        </w:rPr>
        <w:t xml:space="preserve"> </w:t>
      </w:r>
      <w:r w:rsidRPr="004B74AE">
        <w:rPr>
          <w:rFonts w:ascii="Times New Roman" w:hAnsi="Times New Roman"/>
          <w:szCs w:val="24"/>
        </w:rPr>
        <w:t xml:space="preserve">Goh’s argument fails to </w:t>
      </w:r>
      <w:r w:rsidR="00182D4B">
        <w:rPr>
          <w:rFonts w:ascii="Times New Roman" w:hAnsi="Times New Roman"/>
          <w:szCs w:val="24"/>
        </w:rPr>
        <w:t>consider</w:t>
      </w:r>
      <w:r w:rsidRPr="004B74AE">
        <w:rPr>
          <w:rFonts w:ascii="Times New Roman" w:hAnsi="Times New Roman"/>
          <w:szCs w:val="24"/>
        </w:rPr>
        <w:t xml:space="preserve"> that proportionality is not an objective of criminal punishment but rather, a determinant. Therefore, there is no competition between proportionality and other </w:t>
      </w:r>
      <w:r w:rsidR="00535B2A">
        <w:rPr>
          <w:rFonts w:ascii="Times New Roman" w:hAnsi="Times New Roman"/>
          <w:szCs w:val="24"/>
        </w:rPr>
        <w:t>goal</w:t>
      </w:r>
      <w:r w:rsidRPr="004B74AE">
        <w:rPr>
          <w:rFonts w:ascii="Times New Roman" w:hAnsi="Times New Roman"/>
          <w:szCs w:val="24"/>
        </w:rPr>
        <w:t>s of punishment. Punishment is a reaction to crime.</w:t>
      </w:r>
      <w:r w:rsidR="00535B2A">
        <w:rPr>
          <w:rFonts w:ascii="Times New Roman" w:hAnsi="Times New Roman"/>
          <w:szCs w:val="24"/>
        </w:rPr>
        <w:t xml:space="preserve"> </w:t>
      </w:r>
      <w:r w:rsidRPr="004B74AE">
        <w:rPr>
          <w:rFonts w:ascii="Times New Roman" w:hAnsi="Times New Roman"/>
          <w:szCs w:val="24"/>
        </w:rPr>
        <w:t>It is argued that proportionality is a principle in determining the punishment</w:t>
      </w:r>
      <w:r w:rsidR="00535B2A">
        <w:rPr>
          <w:rFonts w:ascii="Times New Roman" w:hAnsi="Times New Roman"/>
          <w:szCs w:val="24"/>
        </w:rPr>
        <w:t>,</w:t>
      </w:r>
      <w:r w:rsidRPr="004B74AE">
        <w:rPr>
          <w:rFonts w:ascii="Times New Roman" w:hAnsi="Times New Roman"/>
          <w:szCs w:val="24"/>
        </w:rPr>
        <w:t xml:space="preserve"> while retribution is an objective of criminal punishment. The principle of proportionality is a determinant of sentencing,</w:t>
      </w:r>
      <w:r w:rsidR="00535B2A">
        <w:rPr>
          <w:rFonts w:ascii="Times New Roman" w:hAnsi="Times New Roman"/>
          <w:szCs w:val="24"/>
        </w:rPr>
        <w:t xml:space="preserve"> and</w:t>
      </w:r>
      <w:r w:rsidRPr="004B74AE">
        <w:rPr>
          <w:rFonts w:ascii="Times New Roman" w:hAnsi="Times New Roman"/>
          <w:szCs w:val="24"/>
        </w:rPr>
        <w:t xml:space="preserve"> it is a means to an end</w:t>
      </w:r>
      <w:r w:rsidR="00535B2A">
        <w:rPr>
          <w:rFonts w:ascii="Times New Roman" w:hAnsi="Times New Roman"/>
          <w:szCs w:val="24"/>
        </w:rPr>
        <w:t xml:space="preserve">, which is sentencing. </w:t>
      </w:r>
      <w:r w:rsidRPr="004B74AE">
        <w:rPr>
          <w:rFonts w:ascii="Times New Roman" w:hAnsi="Times New Roman"/>
          <w:szCs w:val="24"/>
        </w:rPr>
        <w:t xml:space="preserve">It measures the gravity of the crime in determining the severity of the punishment. It </w:t>
      </w:r>
      <w:r w:rsidR="00F02AB9" w:rsidRPr="004B74AE">
        <w:rPr>
          <w:rFonts w:ascii="Times New Roman" w:hAnsi="Times New Roman"/>
          <w:szCs w:val="24"/>
        </w:rPr>
        <w:t xml:space="preserve">is believed that </w:t>
      </w:r>
      <w:r w:rsidR="00535B2A">
        <w:rPr>
          <w:rFonts w:ascii="Times New Roman" w:hAnsi="Times New Roman"/>
          <w:szCs w:val="24"/>
        </w:rPr>
        <w:t>sentence</w:t>
      </w:r>
      <w:r w:rsidR="00F02AB9" w:rsidRPr="004B74AE">
        <w:rPr>
          <w:rFonts w:ascii="Times New Roman" w:hAnsi="Times New Roman"/>
          <w:szCs w:val="24"/>
        </w:rPr>
        <w:t xml:space="preserve"> which</w:t>
      </w:r>
      <w:r w:rsidRPr="004B74AE">
        <w:rPr>
          <w:rFonts w:ascii="Times New Roman" w:hAnsi="Times New Roman"/>
          <w:szCs w:val="24"/>
        </w:rPr>
        <w:t xml:space="preserve"> matches the gravity of offences are deemed fairer than punishment that do</w:t>
      </w:r>
      <w:r w:rsidR="00535B2A">
        <w:rPr>
          <w:rFonts w:ascii="Times New Roman" w:hAnsi="Times New Roman"/>
          <w:szCs w:val="24"/>
        </w:rPr>
        <w:t>es</w:t>
      </w:r>
      <w:r w:rsidRPr="004B74AE">
        <w:rPr>
          <w:rFonts w:ascii="Times New Roman" w:hAnsi="Times New Roman"/>
          <w:szCs w:val="24"/>
        </w:rPr>
        <w:t xml:space="preserve"> not.</w:t>
      </w:r>
      <w:r w:rsidRPr="004B74AE">
        <w:rPr>
          <w:rStyle w:val="FootnoteReference"/>
          <w:rFonts w:ascii="Times New Roman" w:hAnsi="Times New Roman"/>
          <w:szCs w:val="24"/>
        </w:rPr>
        <w:footnoteReference w:id="883"/>
      </w:r>
      <w:r w:rsidR="00F02AB9" w:rsidRPr="004B74AE">
        <w:rPr>
          <w:rFonts w:ascii="Times New Roman" w:hAnsi="Times New Roman"/>
          <w:szCs w:val="24"/>
        </w:rPr>
        <w:t>It is worthy of mention that p</w:t>
      </w:r>
      <w:r w:rsidRPr="004B74AE">
        <w:rPr>
          <w:rFonts w:ascii="Times New Roman" w:hAnsi="Times New Roman"/>
          <w:szCs w:val="24"/>
        </w:rPr>
        <w:t>roportionality as a concept</w:t>
      </w:r>
      <w:r w:rsidR="00535B2A">
        <w:rPr>
          <w:rFonts w:ascii="Times New Roman" w:hAnsi="Times New Roman"/>
          <w:szCs w:val="24"/>
        </w:rPr>
        <w:t xml:space="preserve"> is nebulous</w:t>
      </w:r>
      <w:r w:rsidRPr="004B74AE">
        <w:rPr>
          <w:rFonts w:ascii="Times New Roman" w:hAnsi="Times New Roman"/>
          <w:szCs w:val="24"/>
        </w:rPr>
        <w:t xml:space="preserve">. We should be careful not to confuse the justification for punishment with the determinant for sentencing. While the former focuses on retribution, deterrence and rehabilitation, the latter aims to determine the reasoning or logic why a particular quantity(measurement/amount) of </w:t>
      </w:r>
      <w:r w:rsidR="00535B2A">
        <w:rPr>
          <w:rFonts w:ascii="Times New Roman" w:hAnsi="Times New Roman"/>
          <w:szCs w:val="24"/>
        </w:rPr>
        <w:t xml:space="preserve">a </w:t>
      </w:r>
      <w:r w:rsidRPr="004B74AE">
        <w:rPr>
          <w:rFonts w:ascii="Times New Roman" w:hAnsi="Times New Roman"/>
          <w:szCs w:val="24"/>
        </w:rPr>
        <w:t xml:space="preserve">sentence is given in response to the gravity of the crime. </w:t>
      </w:r>
    </w:p>
    <w:p w14:paraId="055C4051" w14:textId="1AA2A38B" w:rsidR="004D5736" w:rsidRPr="004B74AE" w:rsidRDefault="00F02AB9" w:rsidP="001B6656">
      <w:pPr>
        <w:spacing w:line="480" w:lineRule="auto"/>
        <w:jc w:val="both"/>
        <w:rPr>
          <w:rFonts w:ascii="Times New Roman" w:hAnsi="Times New Roman"/>
          <w:szCs w:val="24"/>
        </w:rPr>
      </w:pPr>
      <w:r w:rsidRPr="004B74AE">
        <w:rPr>
          <w:rFonts w:ascii="Times New Roman" w:hAnsi="Times New Roman"/>
          <w:szCs w:val="24"/>
        </w:rPr>
        <w:t>To broaden</w:t>
      </w:r>
      <w:r w:rsidR="0024636A" w:rsidRPr="004B74AE">
        <w:rPr>
          <w:rFonts w:ascii="Times New Roman" w:hAnsi="Times New Roman"/>
          <w:szCs w:val="24"/>
        </w:rPr>
        <w:t xml:space="preserve"> our unde</w:t>
      </w:r>
      <w:r w:rsidR="00535B2A">
        <w:rPr>
          <w:rFonts w:ascii="Times New Roman" w:hAnsi="Times New Roman"/>
          <w:szCs w:val="24"/>
        </w:rPr>
        <w:t>rstanding o</w:t>
      </w:r>
      <w:r w:rsidR="00F042BE">
        <w:rPr>
          <w:rFonts w:ascii="Times New Roman" w:hAnsi="Times New Roman"/>
          <w:szCs w:val="24"/>
        </w:rPr>
        <w:t>f</w:t>
      </w:r>
      <w:r w:rsidR="00535B2A">
        <w:rPr>
          <w:rFonts w:ascii="Times New Roman" w:hAnsi="Times New Roman"/>
          <w:szCs w:val="24"/>
        </w:rPr>
        <w:t xml:space="preserve"> proportionality, the following paragraph </w:t>
      </w:r>
      <w:r w:rsidR="0024636A" w:rsidRPr="004B74AE">
        <w:rPr>
          <w:rFonts w:ascii="Times New Roman" w:hAnsi="Times New Roman"/>
          <w:szCs w:val="24"/>
        </w:rPr>
        <w:t xml:space="preserve">shall </w:t>
      </w:r>
      <w:r w:rsidR="00535B2A">
        <w:rPr>
          <w:rFonts w:ascii="Times New Roman" w:hAnsi="Times New Roman"/>
          <w:szCs w:val="24"/>
        </w:rPr>
        <w:t xml:space="preserve">briefly </w:t>
      </w:r>
      <w:r w:rsidR="0024636A" w:rsidRPr="004B74AE">
        <w:rPr>
          <w:rFonts w:ascii="Times New Roman" w:hAnsi="Times New Roman"/>
          <w:szCs w:val="24"/>
        </w:rPr>
        <w:t>explore</w:t>
      </w:r>
      <w:r w:rsidR="004D5736" w:rsidRPr="004B74AE">
        <w:rPr>
          <w:rFonts w:ascii="Times New Roman" w:hAnsi="Times New Roman"/>
          <w:szCs w:val="24"/>
        </w:rPr>
        <w:t xml:space="preserve"> the different types of proportionality</w:t>
      </w:r>
      <w:r w:rsidR="00535B2A">
        <w:rPr>
          <w:rFonts w:ascii="Times New Roman" w:hAnsi="Times New Roman"/>
          <w:szCs w:val="24"/>
        </w:rPr>
        <w:t xml:space="preserve">. </w:t>
      </w:r>
      <w:r w:rsidR="00DA3679" w:rsidRPr="004B74AE">
        <w:rPr>
          <w:rFonts w:ascii="Times New Roman" w:hAnsi="Times New Roman"/>
          <w:szCs w:val="24"/>
        </w:rPr>
        <w:t>The five</w:t>
      </w:r>
      <w:r w:rsidR="004D5736" w:rsidRPr="004B74AE">
        <w:rPr>
          <w:rFonts w:ascii="Times New Roman" w:hAnsi="Times New Roman"/>
          <w:szCs w:val="24"/>
        </w:rPr>
        <w:t xml:space="preserve"> types of proportionality are</w:t>
      </w:r>
      <w:r w:rsidR="00DA3679" w:rsidRPr="004B74AE">
        <w:rPr>
          <w:rFonts w:ascii="Times New Roman" w:hAnsi="Times New Roman"/>
          <w:szCs w:val="24"/>
        </w:rPr>
        <w:t xml:space="preserve"> </w:t>
      </w:r>
      <w:r w:rsidR="00DA3679" w:rsidRPr="004B74AE">
        <w:rPr>
          <w:rFonts w:ascii="Times New Roman" w:hAnsi="Times New Roman"/>
          <w:szCs w:val="24"/>
        </w:rPr>
        <w:lastRenderedPageBreak/>
        <w:t xml:space="preserve">retributive proportionality, constitutional proportionality, ordinal </w:t>
      </w:r>
      <w:r w:rsidR="004D5736" w:rsidRPr="004B74AE">
        <w:rPr>
          <w:rFonts w:ascii="Times New Roman" w:hAnsi="Times New Roman"/>
          <w:szCs w:val="24"/>
        </w:rPr>
        <w:t>proportionalit</w:t>
      </w:r>
      <w:r w:rsidR="00DA3679" w:rsidRPr="004B74AE">
        <w:rPr>
          <w:rFonts w:ascii="Times New Roman" w:hAnsi="Times New Roman"/>
          <w:szCs w:val="24"/>
        </w:rPr>
        <w:t xml:space="preserve">y, cardinal proportionality, </w:t>
      </w:r>
      <w:r w:rsidR="004D5736" w:rsidRPr="004B74AE">
        <w:rPr>
          <w:rFonts w:ascii="Times New Roman" w:hAnsi="Times New Roman"/>
          <w:szCs w:val="24"/>
        </w:rPr>
        <w:t>and utilitarian proportionality.</w:t>
      </w:r>
    </w:p>
    <w:p w14:paraId="3F1C28F6" w14:textId="77777777"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Retributive proportionality is backw</w:t>
      </w:r>
      <w:r w:rsidR="00535B2A">
        <w:rPr>
          <w:rFonts w:ascii="Times New Roman" w:hAnsi="Times New Roman"/>
          <w:szCs w:val="24"/>
        </w:rPr>
        <w:t>ards</w:t>
      </w:r>
      <w:r w:rsidRPr="004B74AE">
        <w:rPr>
          <w:rFonts w:ascii="Times New Roman" w:hAnsi="Times New Roman"/>
          <w:szCs w:val="24"/>
        </w:rPr>
        <w:t xml:space="preserve"> looking. It addresses the past of the offender by depriving him of his rights.</w:t>
      </w:r>
      <w:r w:rsidR="0024636A" w:rsidRPr="004B74AE">
        <w:rPr>
          <w:rFonts w:ascii="Times New Roman" w:hAnsi="Times New Roman"/>
          <w:szCs w:val="24"/>
        </w:rPr>
        <w:t xml:space="preserve"> </w:t>
      </w:r>
      <w:r w:rsidRPr="004B74AE">
        <w:rPr>
          <w:rFonts w:ascii="Times New Roman" w:hAnsi="Times New Roman"/>
          <w:szCs w:val="24"/>
        </w:rPr>
        <w:t>It is considered that the offender deserves this deprivation of rights.</w:t>
      </w:r>
      <w:r w:rsidR="0024636A" w:rsidRPr="004B74AE">
        <w:rPr>
          <w:rFonts w:ascii="Times New Roman" w:hAnsi="Times New Roman"/>
          <w:szCs w:val="24"/>
        </w:rPr>
        <w:t xml:space="preserve"> </w:t>
      </w:r>
      <w:r w:rsidRPr="004B74AE">
        <w:rPr>
          <w:rFonts w:ascii="Times New Roman" w:hAnsi="Times New Roman"/>
          <w:szCs w:val="24"/>
        </w:rPr>
        <w:t xml:space="preserve">It </w:t>
      </w:r>
      <w:r w:rsidR="00535B2A">
        <w:rPr>
          <w:rFonts w:ascii="Times New Roman" w:hAnsi="Times New Roman"/>
          <w:szCs w:val="24"/>
        </w:rPr>
        <w:t xml:space="preserve">ensures the extent of </w:t>
      </w:r>
      <w:r w:rsidRPr="004B74AE">
        <w:rPr>
          <w:rFonts w:ascii="Times New Roman" w:hAnsi="Times New Roman"/>
          <w:szCs w:val="24"/>
        </w:rPr>
        <w:t>punishment</w:t>
      </w:r>
      <w:r w:rsidR="00535B2A">
        <w:rPr>
          <w:rFonts w:ascii="Times New Roman" w:hAnsi="Times New Roman"/>
          <w:szCs w:val="24"/>
        </w:rPr>
        <w:t xml:space="preserve"> of the offender by using</w:t>
      </w:r>
      <w:r w:rsidRPr="004B74AE">
        <w:rPr>
          <w:rFonts w:ascii="Times New Roman" w:hAnsi="Times New Roman"/>
          <w:szCs w:val="24"/>
        </w:rPr>
        <w:t xml:space="preserve"> the concept of blameworthiness.</w:t>
      </w:r>
      <w:r w:rsidRPr="004B74AE">
        <w:rPr>
          <w:rStyle w:val="FootnoteReference"/>
          <w:rFonts w:ascii="Times New Roman" w:hAnsi="Times New Roman"/>
          <w:szCs w:val="24"/>
        </w:rPr>
        <w:footnoteReference w:id="884"/>
      </w:r>
    </w:p>
    <w:p w14:paraId="365C2E6C" w14:textId="56C5DB91" w:rsidR="00535B2A" w:rsidRDefault="004D5736" w:rsidP="001B6656">
      <w:pPr>
        <w:spacing w:line="480" w:lineRule="auto"/>
        <w:jc w:val="both"/>
        <w:rPr>
          <w:rFonts w:ascii="Times New Roman" w:hAnsi="Times New Roman"/>
          <w:szCs w:val="24"/>
        </w:rPr>
      </w:pPr>
      <w:proofErr w:type="spellStart"/>
      <w:r w:rsidRPr="004B74AE">
        <w:rPr>
          <w:rFonts w:ascii="Times New Roman" w:hAnsi="Times New Roman"/>
          <w:szCs w:val="24"/>
        </w:rPr>
        <w:t>Ristroph</w:t>
      </w:r>
      <w:proofErr w:type="spellEnd"/>
      <w:r w:rsidRPr="004B74AE">
        <w:rPr>
          <w:rFonts w:ascii="Times New Roman" w:hAnsi="Times New Roman"/>
          <w:szCs w:val="24"/>
        </w:rPr>
        <w:t xml:space="preserve"> draws our attention to constitutional proportionality. He argues that within the criminal context, constitutional proportionality sets </w:t>
      </w:r>
      <w:r w:rsidR="00535B2A">
        <w:rPr>
          <w:rFonts w:ascii="Times New Roman" w:hAnsi="Times New Roman"/>
          <w:szCs w:val="24"/>
        </w:rPr>
        <w:t xml:space="preserve">a </w:t>
      </w:r>
      <w:r w:rsidRPr="004B74AE">
        <w:rPr>
          <w:rFonts w:ascii="Times New Roman" w:hAnsi="Times New Roman"/>
          <w:szCs w:val="24"/>
        </w:rPr>
        <w:t>limit on the state penal powers.</w:t>
      </w:r>
      <w:r w:rsidRPr="004B74AE">
        <w:rPr>
          <w:rStyle w:val="FootnoteReference"/>
          <w:rFonts w:ascii="Times New Roman" w:hAnsi="Times New Roman"/>
          <w:szCs w:val="24"/>
        </w:rPr>
        <w:footnoteReference w:id="885"/>
      </w:r>
      <w:r w:rsidRPr="004B74AE">
        <w:rPr>
          <w:rFonts w:ascii="Times New Roman" w:hAnsi="Times New Roman"/>
          <w:szCs w:val="24"/>
        </w:rPr>
        <w:t>This means that there is a maximum sentence which caps the totality of sentence an offender may serve.</w:t>
      </w:r>
      <w:r w:rsidR="00DA3679" w:rsidRPr="004B74AE">
        <w:rPr>
          <w:rFonts w:ascii="Times New Roman" w:hAnsi="Times New Roman"/>
          <w:szCs w:val="24"/>
        </w:rPr>
        <w:t xml:space="preserve"> </w:t>
      </w:r>
      <w:r w:rsidRPr="004B74AE">
        <w:rPr>
          <w:rFonts w:ascii="Times New Roman" w:hAnsi="Times New Roman"/>
          <w:szCs w:val="24"/>
        </w:rPr>
        <w:t>This type of proportionality is prevalent in most national jurisdictions.</w:t>
      </w:r>
      <w:r w:rsidR="00DA3679" w:rsidRPr="004B74AE">
        <w:rPr>
          <w:rFonts w:ascii="Times New Roman" w:hAnsi="Times New Roman"/>
          <w:szCs w:val="24"/>
        </w:rPr>
        <w:t xml:space="preserve"> </w:t>
      </w:r>
      <w:r w:rsidRPr="004B74AE">
        <w:rPr>
          <w:rFonts w:ascii="Times New Roman" w:hAnsi="Times New Roman"/>
          <w:szCs w:val="24"/>
        </w:rPr>
        <w:t xml:space="preserve">These jurisdictions have a maximum number of imprisonment which </w:t>
      </w:r>
      <w:r w:rsidR="00535B2A">
        <w:rPr>
          <w:rFonts w:ascii="Times New Roman" w:hAnsi="Times New Roman"/>
          <w:szCs w:val="24"/>
        </w:rPr>
        <w:t>the offender can serve</w:t>
      </w:r>
      <w:r w:rsidRPr="004B74AE">
        <w:rPr>
          <w:rFonts w:ascii="Times New Roman" w:hAnsi="Times New Roman"/>
          <w:szCs w:val="24"/>
        </w:rPr>
        <w:t xml:space="preserve">. For instance, the ICC’s states that imprisonment should not exceed 30 years </w:t>
      </w:r>
      <w:r w:rsidR="00DA3679" w:rsidRPr="004B74AE">
        <w:rPr>
          <w:rFonts w:ascii="Times New Roman" w:hAnsi="Times New Roman"/>
          <w:szCs w:val="24"/>
        </w:rPr>
        <w:t>or</w:t>
      </w:r>
      <w:r w:rsidRPr="004B74AE">
        <w:rPr>
          <w:rFonts w:ascii="Times New Roman" w:hAnsi="Times New Roman"/>
          <w:szCs w:val="24"/>
        </w:rPr>
        <w:t xml:space="preserve"> a sentence of life imprisonment in conformity with article 77.</w:t>
      </w:r>
      <w:r w:rsidRPr="004B74AE">
        <w:rPr>
          <w:rStyle w:val="FootnoteReference"/>
          <w:rFonts w:ascii="Times New Roman" w:hAnsi="Times New Roman"/>
          <w:szCs w:val="24"/>
        </w:rPr>
        <w:footnoteReference w:id="886"/>
      </w:r>
      <w:r w:rsidR="00535B2A">
        <w:rPr>
          <w:rFonts w:ascii="Times New Roman" w:hAnsi="Times New Roman"/>
          <w:szCs w:val="24"/>
        </w:rPr>
        <w:t>The Rome Statute</w:t>
      </w:r>
      <w:r w:rsidRPr="004B74AE">
        <w:rPr>
          <w:rFonts w:ascii="Times New Roman" w:hAnsi="Times New Roman"/>
          <w:szCs w:val="24"/>
        </w:rPr>
        <w:t xml:space="preserve"> set a maximum</w:t>
      </w:r>
      <w:r w:rsidR="00535B2A">
        <w:rPr>
          <w:rFonts w:ascii="Times New Roman" w:hAnsi="Times New Roman"/>
          <w:szCs w:val="24"/>
        </w:rPr>
        <w:t>, which ensures</w:t>
      </w:r>
      <w:r w:rsidRPr="004B74AE">
        <w:rPr>
          <w:rFonts w:ascii="Times New Roman" w:hAnsi="Times New Roman"/>
          <w:szCs w:val="24"/>
        </w:rPr>
        <w:t xml:space="preserve"> that sentencing is not only the purpose of punishment. </w:t>
      </w:r>
      <w:r w:rsidR="00F042BE">
        <w:rPr>
          <w:rFonts w:ascii="Times New Roman" w:hAnsi="Times New Roman"/>
          <w:szCs w:val="24"/>
        </w:rPr>
        <w:t>However</w:t>
      </w:r>
      <w:r w:rsidRPr="004B74AE">
        <w:rPr>
          <w:rFonts w:ascii="Times New Roman" w:hAnsi="Times New Roman"/>
          <w:szCs w:val="24"/>
        </w:rPr>
        <w:t xml:space="preserve">, there are other purposes for punishment which could be rehabilitation. However, it is debatable if the </w:t>
      </w:r>
      <w:r w:rsidR="00535B2A">
        <w:rPr>
          <w:rFonts w:ascii="Times New Roman" w:hAnsi="Times New Roman"/>
          <w:szCs w:val="24"/>
        </w:rPr>
        <w:t>different</w:t>
      </w:r>
      <w:r w:rsidRPr="004B74AE">
        <w:rPr>
          <w:rFonts w:ascii="Times New Roman" w:hAnsi="Times New Roman"/>
          <w:szCs w:val="24"/>
        </w:rPr>
        <w:t xml:space="preserve"> purposes of sentencing are combined while using constitutional proportionality. Arguably, if constitutional proportionality is applied, it could co-exist with </w:t>
      </w:r>
      <w:r w:rsidR="00535B2A">
        <w:rPr>
          <w:rFonts w:ascii="Times New Roman" w:hAnsi="Times New Roman"/>
          <w:szCs w:val="24"/>
        </w:rPr>
        <w:t xml:space="preserve">other </w:t>
      </w:r>
      <w:r w:rsidRPr="004B74AE">
        <w:rPr>
          <w:rFonts w:ascii="Times New Roman" w:hAnsi="Times New Roman"/>
          <w:szCs w:val="24"/>
        </w:rPr>
        <w:t xml:space="preserve">purposes of punishment. </w:t>
      </w:r>
      <w:r w:rsidR="00535B2A">
        <w:rPr>
          <w:rFonts w:ascii="Times New Roman" w:hAnsi="Times New Roman"/>
          <w:szCs w:val="24"/>
        </w:rPr>
        <w:lastRenderedPageBreak/>
        <w:t>C</w:t>
      </w:r>
      <w:r w:rsidRPr="004B74AE">
        <w:rPr>
          <w:rFonts w:ascii="Times New Roman" w:hAnsi="Times New Roman"/>
          <w:szCs w:val="24"/>
        </w:rPr>
        <w:t xml:space="preserve">onstitutional proportionality is not </w:t>
      </w:r>
      <w:r w:rsidR="00535B2A">
        <w:rPr>
          <w:rFonts w:ascii="Times New Roman" w:hAnsi="Times New Roman"/>
          <w:szCs w:val="24"/>
        </w:rPr>
        <w:t>the</w:t>
      </w:r>
      <w:r w:rsidRPr="004B74AE">
        <w:rPr>
          <w:rFonts w:ascii="Times New Roman" w:hAnsi="Times New Roman"/>
          <w:szCs w:val="24"/>
        </w:rPr>
        <w:t xml:space="preserve"> purpose of punishment. It puts a cap to the quantum of punishment; it regulates and prevent</w:t>
      </w:r>
      <w:r w:rsidR="00535B2A">
        <w:rPr>
          <w:rFonts w:ascii="Times New Roman" w:hAnsi="Times New Roman"/>
          <w:szCs w:val="24"/>
        </w:rPr>
        <w:t>s</w:t>
      </w:r>
      <w:r w:rsidRPr="004B74AE">
        <w:rPr>
          <w:rFonts w:ascii="Times New Roman" w:hAnsi="Times New Roman"/>
          <w:szCs w:val="24"/>
        </w:rPr>
        <w:t xml:space="preserve"> abuse of the process.</w:t>
      </w:r>
    </w:p>
    <w:p w14:paraId="096DC2E6" w14:textId="77777777" w:rsidR="004D5736" w:rsidRPr="004B74AE" w:rsidRDefault="00535B2A" w:rsidP="001B6656">
      <w:pPr>
        <w:spacing w:line="480" w:lineRule="auto"/>
        <w:jc w:val="both"/>
        <w:rPr>
          <w:rFonts w:ascii="Times New Roman" w:hAnsi="Times New Roman"/>
          <w:szCs w:val="24"/>
        </w:rPr>
      </w:pPr>
      <w:r>
        <w:rPr>
          <w:rFonts w:ascii="Times New Roman" w:hAnsi="Times New Roman"/>
          <w:szCs w:val="24"/>
        </w:rPr>
        <w:t>Furthermore, o</w:t>
      </w:r>
      <w:r w:rsidR="004D5736" w:rsidRPr="004B74AE">
        <w:rPr>
          <w:rFonts w:ascii="Times New Roman" w:hAnsi="Times New Roman"/>
          <w:szCs w:val="24"/>
        </w:rPr>
        <w:t>rdinal proportionality proposes that more serious crimes require severe punishment.</w:t>
      </w:r>
      <w:r>
        <w:rPr>
          <w:rFonts w:ascii="Times New Roman" w:hAnsi="Times New Roman"/>
          <w:szCs w:val="24"/>
        </w:rPr>
        <w:t xml:space="preserve"> </w:t>
      </w:r>
      <w:r w:rsidR="004D5736" w:rsidRPr="004B74AE">
        <w:rPr>
          <w:rFonts w:ascii="Times New Roman" w:hAnsi="Times New Roman"/>
          <w:szCs w:val="24"/>
        </w:rPr>
        <w:t xml:space="preserve">Thus, the gravity of the crime determines the severity of the </w:t>
      </w:r>
      <w:r>
        <w:rPr>
          <w:rFonts w:ascii="Times New Roman" w:hAnsi="Times New Roman"/>
          <w:szCs w:val="24"/>
        </w:rPr>
        <w:t>sentence—c</w:t>
      </w:r>
      <w:r w:rsidR="004D5736" w:rsidRPr="004B74AE">
        <w:rPr>
          <w:rFonts w:ascii="Times New Roman" w:hAnsi="Times New Roman"/>
          <w:szCs w:val="24"/>
        </w:rPr>
        <w:t xml:space="preserve">rimes of </w:t>
      </w:r>
      <w:r>
        <w:rPr>
          <w:rFonts w:ascii="Times New Roman" w:hAnsi="Times New Roman"/>
          <w:szCs w:val="24"/>
        </w:rPr>
        <w:t xml:space="preserve">a lesser degree attracts </w:t>
      </w:r>
      <w:r w:rsidR="004D5736" w:rsidRPr="004B74AE">
        <w:rPr>
          <w:rFonts w:ascii="Times New Roman" w:hAnsi="Times New Roman"/>
          <w:szCs w:val="24"/>
        </w:rPr>
        <w:t>less severe punishment.</w:t>
      </w:r>
    </w:p>
    <w:p w14:paraId="52DAA6FA" w14:textId="4EA35896"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According to cardinal proportionality, absolute measures are set for punishment that is proportional to a given crime.</w:t>
      </w:r>
      <w:r w:rsidRPr="004B74AE">
        <w:rPr>
          <w:rStyle w:val="FootnoteReference"/>
          <w:rFonts w:ascii="Times New Roman" w:hAnsi="Times New Roman"/>
          <w:szCs w:val="24"/>
        </w:rPr>
        <w:footnoteReference w:id="887"/>
      </w:r>
      <w:r w:rsidR="00535B2A">
        <w:rPr>
          <w:rFonts w:ascii="Times New Roman" w:hAnsi="Times New Roman"/>
          <w:szCs w:val="24"/>
        </w:rPr>
        <w:t xml:space="preserve">This </w:t>
      </w:r>
      <w:r w:rsidR="00FE75F9">
        <w:rPr>
          <w:rFonts w:ascii="Times New Roman" w:hAnsi="Times New Roman"/>
          <w:szCs w:val="24"/>
        </w:rPr>
        <w:t xml:space="preserve">proportionality lay </w:t>
      </w:r>
      <w:r w:rsidR="00535B2A">
        <w:rPr>
          <w:rFonts w:ascii="Times New Roman" w:hAnsi="Times New Roman"/>
          <w:szCs w:val="24"/>
        </w:rPr>
        <w:t xml:space="preserve">emphasis </w:t>
      </w:r>
      <w:r w:rsidR="00FE75F9">
        <w:rPr>
          <w:rFonts w:ascii="Times New Roman" w:hAnsi="Times New Roman"/>
          <w:szCs w:val="24"/>
        </w:rPr>
        <w:t>on</w:t>
      </w:r>
      <w:r w:rsidR="00535B2A">
        <w:rPr>
          <w:rFonts w:ascii="Times New Roman" w:hAnsi="Times New Roman"/>
          <w:szCs w:val="24"/>
        </w:rPr>
        <w:t xml:space="preserve"> commensuration</w:t>
      </w:r>
      <w:r w:rsidRPr="004B74AE">
        <w:rPr>
          <w:rFonts w:ascii="Times New Roman" w:hAnsi="Times New Roman"/>
          <w:szCs w:val="24"/>
        </w:rPr>
        <w:t xml:space="preserve"> </w:t>
      </w:r>
      <w:r w:rsidR="00535B2A">
        <w:rPr>
          <w:rFonts w:ascii="Times New Roman" w:hAnsi="Times New Roman"/>
          <w:szCs w:val="24"/>
        </w:rPr>
        <w:t xml:space="preserve">between </w:t>
      </w:r>
      <w:r w:rsidRPr="004B74AE">
        <w:rPr>
          <w:rFonts w:ascii="Times New Roman" w:hAnsi="Times New Roman"/>
          <w:szCs w:val="24"/>
        </w:rPr>
        <w:t xml:space="preserve">the </w:t>
      </w:r>
      <w:r w:rsidR="00535B2A">
        <w:rPr>
          <w:rFonts w:ascii="Times New Roman" w:hAnsi="Times New Roman"/>
          <w:szCs w:val="24"/>
        </w:rPr>
        <w:t>sentence</w:t>
      </w:r>
      <w:r w:rsidRPr="004B74AE">
        <w:rPr>
          <w:rFonts w:ascii="Times New Roman" w:hAnsi="Times New Roman"/>
          <w:szCs w:val="24"/>
        </w:rPr>
        <w:t xml:space="preserve"> </w:t>
      </w:r>
      <w:r w:rsidR="00535B2A">
        <w:rPr>
          <w:rFonts w:ascii="Times New Roman" w:hAnsi="Times New Roman"/>
          <w:szCs w:val="24"/>
        </w:rPr>
        <w:t xml:space="preserve">and </w:t>
      </w:r>
      <w:r w:rsidRPr="004B74AE">
        <w:rPr>
          <w:rFonts w:ascii="Times New Roman" w:hAnsi="Times New Roman"/>
          <w:szCs w:val="24"/>
        </w:rPr>
        <w:t xml:space="preserve">the crime. </w:t>
      </w:r>
      <w:r w:rsidR="00535B2A">
        <w:rPr>
          <w:rFonts w:ascii="Times New Roman" w:hAnsi="Times New Roman"/>
          <w:szCs w:val="24"/>
        </w:rPr>
        <w:t>There are doubts reg</w:t>
      </w:r>
      <w:r w:rsidR="00FE75F9">
        <w:rPr>
          <w:rFonts w:ascii="Times New Roman" w:hAnsi="Times New Roman"/>
          <w:szCs w:val="24"/>
        </w:rPr>
        <w:t>ar</w:t>
      </w:r>
      <w:r w:rsidR="00535B2A">
        <w:rPr>
          <w:rFonts w:ascii="Times New Roman" w:hAnsi="Times New Roman"/>
          <w:szCs w:val="24"/>
        </w:rPr>
        <w:t xml:space="preserve">ding the applicability and attainment of cardinal proportionality as </w:t>
      </w:r>
      <w:r w:rsidRPr="004B74AE">
        <w:rPr>
          <w:rFonts w:ascii="Times New Roman" w:hAnsi="Times New Roman"/>
          <w:szCs w:val="24"/>
        </w:rPr>
        <w:t>the crime and harm suffered by the victim happen within an entirely different context</w:t>
      </w:r>
      <w:r w:rsidR="00FE75F9">
        <w:rPr>
          <w:rFonts w:ascii="Times New Roman" w:hAnsi="Times New Roman"/>
          <w:szCs w:val="24"/>
        </w:rPr>
        <w:t>. At the same time,</w:t>
      </w:r>
      <w:r w:rsidRPr="004B74AE">
        <w:rPr>
          <w:rFonts w:ascii="Times New Roman" w:hAnsi="Times New Roman"/>
          <w:szCs w:val="24"/>
        </w:rPr>
        <w:t xml:space="preserve"> the punishment </w:t>
      </w:r>
      <w:r w:rsidR="00535B2A">
        <w:rPr>
          <w:rFonts w:ascii="Times New Roman" w:hAnsi="Times New Roman"/>
          <w:szCs w:val="24"/>
        </w:rPr>
        <w:t>occur</w:t>
      </w:r>
      <w:r w:rsidRPr="004B74AE">
        <w:rPr>
          <w:rFonts w:ascii="Times New Roman" w:hAnsi="Times New Roman"/>
          <w:szCs w:val="24"/>
        </w:rPr>
        <w:t xml:space="preserve">s in another context with </w:t>
      </w:r>
      <w:r w:rsidR="00535B2A">
        <w:rPr>
          <w:rFonts w:ascii="Times New Roman" w:hAnsi="Times New Roman"/>
          <w:szCs w:val="24"/>
        </w:rPr>
        <w:t>various</w:t>
      </w:r>
      <w:r w:rsidRPr="004B74AE">
        <w:rPr>
          <w:rFonts w:ascii="Times New Roman" w:hAnsi="Times New Roman"/>
          <w:szCs w:val="24"/>
        </w:rPr>
        <w:t xml:space="preserve"> factors to be taken into consideration in determining the quantum.</w:t>
      </w:r>
      <w:r w:rsidR="00535B2A">
        <w:rPr>
          <w:rStyle w:val="FootnoteReference"/>
          <w:rFonts w:ascii="Times New Roman" w:hAnsi="Times New Roman"/>
          <w:szCs w:val="24"/>
        </w:rPr>
        <w:footnoteReference w:id="888"/>
      </w:r>
    </w:p>
    <w:p w14:paraId="2944B238" w14:textId="143E1E31" w:rsidR="004D5736" w:rsidRDefault="004D5736" w:rsidP="001B6656">
      <w:pPr>
        <w:spacing w:line="480" w:lineRule="auto"/>
        <w:jc w:val="both"/>
        <w:rPr>
          <w:rFonts w:ascii="Times New Roman" w:hAnsi="Times New Roman"/>
          <w:szCs w:val="24"/>
        </w:rPr>
      </w:pPr>
      <w:r w:rsidRPr="004B74AE">
        <w:rPr>
          <w:rFonts w:ascii="Times New Roman" w:hAnsi="Times New Roman"/>
          <w:szCs w:val="24"/>
        </w:rPr>
        <w:t>Retribution as a concept with particular reference to proportionality and just des</w:t>
      </w:r>
      <w:r w:rsidR="00182D4B">
        <w:rPr>
          <w:rFonts w:ascii="Times New Roman" w:hAnsi="Times New Roman"/>
          <w:szCs w:val="24"/>
        </w:rPr>
        <w:t>erts depends on</w:t>
      </w:r>
      <w:r w:rsidRPr="004B74AE">
        <w:rPr>
          <w:rFonts w:ascii="Times New Roman" w:hAnsi="Times New Roman"/>
          <w:szCs w:val="24"/>
        </w:rPr>
        <w:t xml:space="preserve"> moral relativism and public opinion.</w:t>
      </w:r>
      <w:r w:rsidRPr="004B74AE">
        <w:rPr>
          <w:rStyle w:val="FootnoteReference"/>
          <w:rFonts w:ascii="Times New Roman" w:hAnsi="Times New Roman"/>
          <w:szCs w:val="24"/>
        </w:rPr>
        <w:footnoteReference w:id="889"/>
      </w:r>
      <w:r w:rsidRPr="004B74AE">
        <w:rPr>
          <w:rFonts w:ascii="Times New Roman" w:hAnsi="Times New Roman"/>
          <w:szCs w:val="24"/>
        </w:rPr>
        <w:t>The moral values of society dictate if a crime should get a harsher punishment.</w:t>
      </w:r>
      <w:r w:rsidRPr="004B74AE">
        <w:rPr>
          <w:rStyle w:val="FootnoteReference"/>
          <w:rFonts w:ascii="Times New Roman" w:hAnsi="Times New Roman"/>
          <w:szCs w:val="24"/>
        </w:rPr>
        <w:footnoteReference w:id="890"/>
      </w:r>
      <w:r w:rsidRPr="004B74AE">
        <w:rPr>
          <w:rFonts w:ascii="Times New Roman" w:hAnsi="Times New Roman"/>
          <w:szCs w:val="24"/>
        </w:rPr>
        <w:t xml:space="preserve">The crime and punishment are paired together on two scales to determine </w:t>
      </w:r>
      <w:r w:rsidR="00535B2A">
        <w:rPr>
          <w:rFonts w:ascii="Times New Roman" w:hAnsi="Times New Roman"/>
          <w:szCs w:val="24"/>
        </w:rPr>
        <w:t>equality</w:t>
      </w:r>
      <w:r w:rsidR="00547F1C">
        <w:rPr>
          <w:rFonts w:ascii="Times New Roman" w:hAnsi="Times New Roman"/>
          <w:szCs w:val="24"/>
        </w:rPr>
        <w:t>.</w:t>
      </w:r>
    </w:p>
    <w:p w14:paraId="585A695D" w14:textId="1AD91EEC" w:rsidR="00547F1C" w:rsidRDefault="00547F1C" w:rsidP="00547F1C">
      <w:pPr>
        <w:spacing w:line="480" w:lineRule="auto"/>
        <w:jc w:val="both"/>
        <w:rPr>
          <w:rFonts w:ascii="Times New Roman" w:hAnsi="Times New Roman"/>
          <w:szCs w:val="24"/>
        </w:rPr>
      </w:pPr>
      <w:r>
        <w:rPr>
          <w:rFonts w:ascii="Times New Roman" w:hAnsi="Times New Roman"/>
          <w:szCs w:val="24"/>
        </w:rPr>
        <w:lastRenderedPageBreak/>
        <w:t xml:space="preserve">Some of the </w:t>
      </w:r>
      <w:r w:rsidR="00F042BE">
        <w:rPr>
          <w:rFonts w:ascii="Times New Roman" w:hAnsi="Times New Roman"/>
          <w:szCs w:val="24"/>
        </w:rPr>
        <w:t>Rome Conference delegates proposed</w:t>
      </w:r>
      <w:r>
        <w:rPr>
          <w:rFonts w:ascii="Times New Roman" w:hAnsi="Times New Roman"/>
          <w:szCs w:val="24"/>
        </w:rPr>
        <w:t xml:space="preserve"> proportionality between the gravity of the crimes and severe penalties; they suggested death penalty and life imprisonment reflect the magnitude of the offence.</w:t>
      </w:r>
      <w:r>
        <w:rPr>
          <w:rStyle w:val="FootnoteReference"/>
          <w:rFonts w:ascii="Times New Roman" w:hAnsi="Times New Roman"/>
          <w:szCs w:val="24"/>
        </w:rPr>
        <w:footnoteReference w:id="891"/>
      </w:r>
      <w:r>
        <w:rPr>
          <w:rFonts w:ascii="Times New Roman" w:hAnsi="Times New Roman"/>
          <w:szCs w:val="24"/>
        </w:rPr>
        <w:t>This bid was counteracted by a few delegations who pointed to the compliance of human rights treatise. The opposing delegations suggested humane means of punishment which would gradually reform and rehabilitate the offenders.</w:t>
      </w:r>
      <w:r>
        <w:rPr>
          <w:rStyle w:val="FootnoteReference"/>
          <w:rFonts w:ascii="Times New Roman" w:hAnsi="Times New Roman"/>
          <w:szCs w:val="24"/>
        </w:rPr>
        <w:footnoteReference w:id="892"/>
      </w:r>
    </w:p>
    <w:p w14:paraId="4B75C950" w14:textId="6D080E3E" w:rsidR="004D5736" w:rsidRDefault="004D5736" w:rsidP="001B6656">
      <w:pPr>
        <w:spacing w:line="480" w:lineRule="auto"/>
        <w:jc w:val="both"/>
        <w:rPr>
          <w:rFonts w:ascii="Times New Roman" w:hAnsi="Times New Roman"/>
          <w:szCs w:val="24"/>
        </w:rPr>
      </w:pPr>
      <w:r w:rsidRPr="004B74AE">
        <w:rPr>
          <w:rFonts w:ascii="Times New Roman" w:hAnsi="Times New Roman"/>
          <w:szCs w:val="24"/>
        </w:rPr>
        <w:t xml:space="preserve">According to the Orthodox school, </w:t>
      </w:r>
      <w:r w:rsidR="00535B2A">
        <w:rPr>
          <w:rFonts w:ascii="Times New Roman" w:hAnsi="Times New Roman"/>
          <w:szCs w:val="24"/>
        </w:rPr>
        <w:t xml:space="preserve">the </w:t>
      </w:r>
      <w:r w:rsidRPr="004B74AE">
        <w:rPr>
          <w:rFonts w:ascii="Times New Roman" w:hAnsi="Times New Roman"/>
          <w:szCs w:val="24"/>
        </w:rPr>
        <w:t>law is criminal when the individual who contravenes it is punished.</w:t>
      </w:r>
      <w:r w:rsidRPr="004B74AE">
        <w:rPr>
          <w:rStyle w:val="FootnoteReference"/>
          <w:rFonts w:ascii="Times New Roman" w:hAnsi="Times New Roman"/>
          <w:szCs w:val="24"/>
        </w:rPr>
        <w:footnoteReference w:id="893"/>
      </w:r>
      <w:r w:rsidRPr="004B74AE">
        <w:rPr>
          <w:rFonts w:ascii="Times New Roman" w:hAnsi="Times New Roman"/>
          <w:szCs w:val="24"/>
        </w:rPr>
        <w:t xml:space="preserve">The judicial punishment invokes sanction on the offender as a response to </w:t>
      </w:r>
      <w:r w:rsidR="00535B2A">
        <w:rPr>
          <w:rFonts w:ascii="Times New Roman" w:hAnsi="Times New Roman"/>
          <w:szCs w:val="24"/>
        </w:rPr>
        <w:t xml:space="preserve">a </w:t>
      </w:r>
      <w:r w:rsidRPr="004B74AE">
        <w:rPr>
          <w:rFonts w:ascii="Times New Roman" w:hAnsi="Times New Roman"/>
          <w:szCs w:val="24"/>
        </w:rPr>
        <w:t xml:space="preserve">violation of the law. </w:t>
      </w:r>
      <w:proofErr w:type="spellStart"/>
      <w:r w:rsidRPr="004B74AE">
        <w:rPr>
          <w:rFonts w:ascii="Times New Roman" w:hAnsi="Times New Roman"/>
          <w:szCs w:val="24"/>
        </w:rPr>
        <w:t>Husak</w:t>
      </w:r>
      <w:proofErr w:type="spellEnd"/>
      <w:r w:rsidRPr="004B74AE">
        <w:rPr>
          <w:rFonts w:ascii="Times New Roman" w:hAnsi="Times New Roman"/>
          <w:szCs w:val="24"/>
        </w:rPr>
        <w:t xml:space="preserve"> argues that a sanction does not qualify as a punishment in the absence of ‘</w:t>
      </w:r>
      <w:r w:rsidRPr="004B74AE">
        <w:rPr>
          <w:rFonts w:ascii="Times New Roman" w:hAnsi="Times New Roman"/>
          <w:i/>
          <w:szCs w:val="24"/>
        </w:rPr>
        <w:t>punitive intention’</w:t>
      </w:r>
      <w:r w:rsidRPr="004B74AE">
        <w:rPr>
          <w:rFonts w:ascii="Times New Roman" w:hAnsi="Times New Roman"/>
          <w:szCs w:val="24"/>
        </w:rPr>
        <w:t>.</w:t>
      </w:r>
      <w:r w:rsidRPr="004B74AE">
        <w:rPr>
          <w:rStyle w:val="FootnoteReference"/>
          <w:rFonts w:ascii="Times New Roman" w:hAnsi="Times New Roman"/>
          <w:szCs w:val="24"/>
        </w:rPr>
        <w:footnoteReference w:id="894"/>
      </w:r>
      <w:r w:rsidRPr="004B74AE">
        <w:rPr>
          <w:rFonts w:ascii="Times New Roman" w:hAnsi="Times New Roman"/>
          <w:szCs w:val="24"/>
        </w:rPr>
        <w:t>It is believed that there must be a functional idea behind the imposition of sanction on the offender. What does the sanction intend to achieve by i</w:t>
      </w:r>
      <w:r w:rsidR="00535B2A">
        <w:rPr>
          <w:rFonts w:ascii="Times New Roman" w:hAnsi="Times New Roman"/>
          <w:szCs w:val="24"/>
        </w:rPr>
        <w:t xml:space="preserve">mposing punishment? It could possibly be the </w:t>
      </w:r>
      <w:r w:rsidRPr="004B74AE">
        <w:rPr>
          <w:rFonts w:ascii="Times New Roman" w:hAnsi="Times New Roman"/>
          <w:szCs w:val="24"/>
        </w:rPr>
        <w:t>correct</w:t>
      </w:r>
      <w:r w:rsidR="00535B2A">
        <w:rPr>
          <w:rFonts w:ascii="Times New Roman" w:hAnsi="Times New Roman"/>
          <w:szCs w:val="24"/>
        </w:rPr>
        <w:t>ion of</w:t>
      </w:r>
      <w:r w:rsidRPr="004B74AE">
        <w:rPr>
          <w:rFonts w:ascii="Times New Roman" w:hAnsi="Times New Roman"/>
          <w:szCs w:val="24"/>
        </w:rPr>
        <w:t xml:space="preserve"> the wrong or </w:t>
      </w:r>
      <w:r w:rsidR="00535B2A">
        <w:rPr>
          <w:rFonts w:ascii="Times New Roman" w:hAnsi="Times New Roman"/>
          <w:szCs w:val="24"/>
        </w:rPr>
        <w:t xml:space="preserve">to </w:t>
      </w:r>
      <w:r w:rsidRPr="004B74AE">
        <w:rPr>
          <w:rFonts w:ascii="Times New Roman" w:hAnsi="Times New Roman"/>
          <w:szCs w:val="24"/>
        </w:rPr>
        <w:t>address the harm. Most times,</w:t>
      </w:r>
      <w:r w:rsidR="00535B2A">
        <w:rPr>
          <w:rFonts w:ascii="Times New Roman" w:hAnsi="Times New Roman"/>
          <w:szCs w:val="24"/>
        </w:rPr>
        <w:t xml:space="preserve"> </w:t>
      </w:r>
      <w:r w:rsidRPr="004B74AE">
        <w:rPr>
          <w:rFonts w:ascii="Times New Roman" w:hAnsi="Times New Roman"/>
          <w:szCs w:val="24"/>
        </w:rPr>
        <w:t xml:space="preserve">the intention behind </w:t>
      </w:r>
      <w:r w:rsidR="00535B2A">
        <w:rPr>
          <w:rFonts w:ascii="Times New Roman" w:hAnsi="Times New Roman"/>
          <w:szCs w:val="24"/>
        </w:rPr>
        <w:t xml:space="preserve">the </w:t>
      </w:r>
      <w:r w:rsidRPr="004B74AE">
        <w:rPr>
          <w:rFonts w:ascii="Times New Roman" w:hAnsi="Times New Roman"/>
          <w:szCs w:val="24"/>
        </w:rPr>
        <w:t>punitive measure is to reinforce social control.</w:t>
      </w:r>
    </w:p>
    <w:p w14:paraId="2990C6FD" w14:textId="7FFF51D4" w:rsidR="00DB3E78" w:rsidRDefault="00AD7DF3" w:rsidP="001B6656">
      <w:pPr>
        <w:spacing w:line="480" w:lineRule="auto"/>
        <w:jc w:val="both"/>
        <w:rPr>
          <w:rFonts w:ascii="Times New Roman" w:hAnsi="Times New Roman"/>
          <w:szCs w:val="24"/>
        </w:rPr>
      </w:pPr>
      <w:r>
        <w:rPr>
          <w:rFonts w:ascii="Times New Roman" w:hAnsi="Times New Roman"/>
          <w:szCs w:val="24"/>
        </w:rPr>
        <w:t>Concerning the ICC,</w:t>
      </w:r>
      <w:r w:rsidR="00607766">
        <w:rPr>
          <w:rFonts w:ascii="Times New Roman" w:hAnsi="Times New Roman"/>
          <w:szCs w:val="24"/>
        </w:rPr>
        <w:t xml:space="preserve"> after rigorous debate on the issue of mode of punishment, all the delegates at the Diplomatic Conference unanimously agreed to include imprisonment as the main punishment.</w:t>
      </w:r>
      <w:r w:rsidR="00607766">
        <w:rPr>
          <w:rStyle w:val="FootnoteReference"/>
          <w:rFonts w:ascii="Times New Roman" w:hAnsi="Times New Roman"/>
          <w:szCs w:val="24"/>
        </w:rPr>
        <w:footnoteReference w:id="895"/>
      </w:r>
      <w:r w:rsidR="00607766">
        <w:rPr>
          <w:rFonts w:ascii="Times New Roman" w:hAnsi="Times New Roman"/>
          <w:szCs w:val="24"/>
        </w:rPr>
        <w:t xml:space="preserve">While some delegations advocated for </w:t>
      </w:r>
      <w:r w:rsidR="00547F1C">
        <w:rPr>
          <w:rFonts w:ascii="Times New Roman" w:hAnsi="Times New Roman"/>
          <w:szCs w:val="24"/>
        </w:rPr>
        <w:t xml:space="preserve">a </w:t>
      </w:r>
      <w:r w:rsidR="00607766">
        <w:rPr>
          <w:rFonts w:ascii="Times New Roman" w:hAnsi="Times New Roman"/>
          <w:szCs w:val="24"/>
        </w:rPr>
        <w:t xml:space="preserve">maximum sentence, </w:t>
      </w:r>
      <w:r w:rsidR="00607766">
        <w:rPr>
          <w:rFonts w:ascii="Times New Roman" w:hAnsi="Times New Roman"/>
          <w:szCs w:val="24"/>
        </w:rPr>
        <w:lastRenderedPageBreak/>
        <w:t xml:space="preserve">the counterpart preferred judicial discretion </w:t>
      </w:r>
      <w:r w:rsidR="00BF7D58">
        <w:rPr>
          <w:rFonts w:ascii="Times New Roman" w:hAnsi="Times New Roman"/>
          <w:szCs w:val="24"/>
        </w:rPr>
        <w:t>to determine</w:t>
      </w:r>
      <w:r w:rsidR="00607766">
        <w:rPr>
          <w:rFonts w:ascii="Times New Roman" w:hAnsi="Times New Roman"/>
          <w:szCs w:val="24"/>
        </w:rPr>
        <w:t xml:space="preserve"> sentence rather than a specific cap.</w:t>
      </w:r>
      <w:r w:rsidR="005D5825">
        <w:rPr>
          <w:rStyle w:val="FootnoteReference"/>
          <w:rFonts w:ascii="Times New Roman" w:hAnsi="Times New Roman"/>
          <w:szCs w:val="24"/>
        </w:rPr>
        <w:footnoteReference w:id="896"/>
      </w:r>
      <w:r w:rsidR="005D5825">
        <w:rPr>
          <w:rFonts w:ascii="Times New Roman" w:hAnsi="Times New Roman"/>
          <w:szCs w:val="24"/>
        </w:rPr>
        <w:t xml:space="preserve"> It is observed that the delegations reached no consensus on the rationale behind punishment. Although, there were “widely differing” opinion</w:t>
      </w:r>
      <w:r w:rsidR="00547F1C">
        <w:rPr>
          <w:rFonts w:ascii="Times New Roman" w:hAnsi="Times New Roman"/>
          <w:szCs w:val="24"/>
        </w:rPr>
        <w:t>s</w:t>
      </w:r>
      <w:r w:rsidR="005D5825">
        <w:rPr>
          <w:rFonts w:ascii="Times New Roman" w:hAnsi="Times New Roman"/>
          <w:szCs w:val="24"/>
        </w:rPr>
        <w:t xml:space="preserve"> on</w:t>
      </w:r>
      <w:r w:rsidR="00F042BE">
        <w:rPr>
          <w:rFonts w:ascii="Times New Roman" w:hAnsi="Times New Roman"/>
          <w:szCs w:val="24"/>
        </w:rPr>
        <w:t xml:space="preserve"> the</w:t>
      </w:r>
      <w:r w:rsidR="005D5825">
        <w:rPr>
          <w:rFonts w:ascii="Times New Roman" w:hAnsi="Times New Roman"/>
          <w:szCs w:val="24"/>
        </w:rPr>
        <w:t xml:space="preserve"> objectives of penalties because of the large disparity between the moral values, norms, principles and practices</w:t>
      </w:r>
      <w:r w:rsidR="00F042BE">
        <w:rPr>
          <w:rFonts w:ascii="Times New Roman" w:hAnsi="Times New Roman"/>
          <w:szCs w:val="24"/>
        </w:rPr>
        <w:t xml:space="preserve"> are</w:t>
      </w:r>
      <w:r w:rsidR="005D5825">
        <w:rPr>
          <w:rFonts w:ascii="Times New Roman" w:hAnsi="Times New Roman"/>
          <w:szCs w:val="24"/>
        </w:rPr>
        <w:t xml:space="preserve"> operating in their different jurisdictions.</w:t>
      </w:r>
      <w:r w:rsidR="005D5825">
        <w:rPr>
          <w:rStyle w:val="FootnoteReference"/>
          <w:rFonts w:ascii="Times New Roman" w:hAnsi="Times New Roman"/>
          <w:szCs w:val="24"/>
        </w:rPr>
        <w:footnoteReference w:id="897"/>
      </w:r>
      <w:r w:rsidR="00645780">
        <w:rPr>
          <w:rFonts w:ascii="Times New Roman" w:hAnsi="Times New Roman"/>
          <w:szCs w:val="24"/>
        </w:rPr>
        <w:t>Unfortunately, no conclusion was reached on the issue.</w:t>
      </w:r>
      <w:r w:rsidR="00DB3E78">
        <w:rPr>
          <w:rFonts w:ascii="Times New Roman" w:hAnsi="Times New Roman"/>
          <w:szCs w:val="24"/>
        </w:rPr>
        <w:t xml:space="preserve"> </w:t>
      </w:r>
      <w:r w:rsidR="00645780">
        <w:rPr>
          <w:rFonts w:ascii="Times New Roman" w:hAnsi="Times New Roman"/>
          <w:szCs w:val="24"/>
        </w:rPr>
        <w:t>However, the Rome Statute Preamble gives us guidance</w:t>
      </w:r>
      <w:r w:rsidR="000E36E1">
        <w:rPr>
          <w:rFonts w:ascii="Times New Roman" w:hAnsi="Times New Roman"/>
          <w:szCs w:val="24"/>
        </w:rPr>
        <w:t xml:space="preserve"> on </w:t>
      </w:r>
      <w:r w:rsidR="00547F1C">
        <w:rPr>
          <w:rFonts w:ascii="Times New Roman" w:hAnsi="Times New Roman"/>
          <w:szCs w:val="24"/>
        </w:rPr>
        <w:t xml:space="preserve">the </w:t>
      </w:r>
      <w:r w:rsidR="000E36E1">
        <w:rPr>
          <w:rFonts w:ascii="Times New Roman" w:hAnsi="Times New Roman"/>
          <w:szCs w:val="24"/>
        </w:rPr>
        <w:t>purpose of penalty</w:t>
      </w:r>
      <w:r w:rsidR="00645780">
        <w:rPr>
          <w:rFonts w:ascii="Times New Roman" w:hAnsi="Times New Roman"/>
          <w:szCs w:val="24"/>
        </w:rPr>
        <w:t>:</w:t>
      </w:r>
      <w:r w:rsidR="000E36E1">
        <w:rPr>
          <w:rFonts w:ascii="Times New Roman" w:hAnsi="Times New Roman"/>
          <w:szCs w:val="24"/>
        </w:rPr>
        <w:t xml:space="preserve"> “Affirming that the most serious crimes of concern to </w:t>
      </w:r>
      <w:r w:rsidR="00F042BE">
        <w:rPr>
          <w:rFonts w:ascii="Times New Roman" w:hAnsi="Times New Roman"/>
          <w:szCs w:val="24"/>
        </w:rPr>
        <w:t xml:space="preserve">the </w:t>
      </w:r>
      <w:r w:rsidR="000E36E1">
        <w:rPr>
          <w:rFonts w:ascii="Times New Roman" w:hAnsi="Times New Roman"/>
          <w:szCs w:val="24"/>
        </w:rPr>
        <w:t>international community as a whole must not go unpunished and that their effective prosecution…”</w:t>
      </w:r>
      <w:r w:rsidR="00DB3E78">
        <w:rPr>
          <w:rStyle w:val="FootnoteReference"/>
          <w:rFonts w:ascii="Times New Roman" w:hAnsi="Times New Roman"/>
          <w:szCs w:val="24"/>
        </w:rPr>
        <w:footnoteReference w:id="898"/>
      </w:r>
    </w:p>
    <w:p w14:paraId="77334573" w14:textId="148861AA" w:rsidR="00DB3E78" w:rsidRDefault="00DB3E78" w:rsidP="001B6656">
      <w:pPr>
        <w:spacing w:line="480" w:lineRule="auto"/>
        <w:jc w:val="both"/>
        <w:rPr>
          <w:rFonts w:ascii="Times New Roman" w:hAnsi="Times New Roman"/>
          <w:szCs w:val="24"/>
        </w:rPr>
      </w:pPr>
      <w:r>
        <w:rPr>
          <w:rFonts w:ascii="Times New Roman" w:hAnsi="Times New Roman"/>
          <w:szCs w:val="24"/>
        </w:rPr>
        <w:t>The phrase “must not go unpunished” emphasised on the inclination for retribution as an objective of sentencing.</w:t>
      </w:r>
    </w:p>
    <w:p w14:paraId="00B8DA08" w14:textId="05EBDD23" w:rsidR="007C720C" w:rsidRPr="007C720C" w:rsidRDefault="00535B2A" w:rsidP="001B6656">
      <w:pPr>
        <w:spacing w:line="480" w:lineRule="auto"/>
        <w:jc w:val="both"/>
        <w:rPr>
          <w:rFonts w:ascii="Times New Roman" w:hAnsi="Times New Roman"/>
          <w:szCs w:val="24"/>
        </w:rPr>
      </w:pPr>
      <w:r>
        <w:rPr>
          <w:rFonts w:ascii="Times New Roman" w:hAnsi="Times New Roman"/>
          <w:szCs w:val="24"/>
        </w:rPr>
        <w:t xml:space="preserve">Having </w:t>
      </w:r>
      <w:r w:rsidR="00547F1C">
        <w:rPr>
          <w:rFonts w:ascii="Times New Roman" w:hAnsi="Times New Roman"/>
          <w:szCs w:val="24"/>
        </w:rPr>
        <w:t>examined</w:t>
      </w:r>
      <w:r>
        <w:rPr>
          <w:rFonts w:ascii="Times New Roman" w:hAnsi="Times New Roman"/>
          <w:szCs w:val="24"/>
        </w:rPr>
        <w:t xml:space="preserve"> what is meant by retribution, it is necessary to explain rehabilitation as an aspect of retributive justice.</w:t>
      </w:r>
    </w:p>
    <w:p w14:paraId="4E9121D3" w14:textId="77777777" w:rsidR="007C720C" w:rsidRDefault="007C720C" w:rsidP="00DF5C01">
      <w:pPr>
        <w:pStyle w:val="Heading3"/>
      </w:pPr>
      <w:bookmarkStart w:id="56" w:name="_Toc60235827"/>
      <w:r>
        <w:t>4.1.3. Rehabilitation</w:t>
      </w:r>
      <w:bookmarkEnd w:id="56"/>
      <w:r>
        <w:t xml:space="preserve"> </w:t>
      </w:r>
    </w:p>
    <w:p w14:paraId="30CB68FB" w14:textId="0950ED73" w:rsidR="004D5736" w:rsidRPr="007C720C" w:rsidRDefault="00BF7D58" w:rsidP="001B6656">
      <w:pPr>
        <w:spacing w:line="480" w:lineRule="auto"/>
        <w:jc w:val="both"/>
        <w:rPr>
          <w:rFonts w:ascii="Times New Roman" w:hAnsi="Times New Roman"/>
        </w:rPr>
      </w:pPr>
      <w:r>
        <w:rPr>
          <w:rFonts w:ascii="Times New Roman" w:hAnsi="Times New Roman"/>
        </w:rPr>
        <w:t>Concerning</w:t>
      </w:r>
      <w:r w:rsidR="00535B2A" w:rsidRPr="007C720C">
        <w:rPr>
          <w:rFonts w:ascii="Times New Roman" w:hAnsi="Times New Roman"/>
        </w:rPr>
        <w:t xml:space="preserve"> rehabilitation, </w:t>
      </w:r>
      <w:r w:rsidR="004D5736" w:rsidRPr="007C720C">
        <w:rPr>
          <w:rFonts w:ascii="Times New Roman" w:hAnsi="Times New Roman"/>
        </w:rPr>
        <w:t>Andrews and Bonita argue</w:t>
      </w:r>
      <w:r w:rsidR="00535B2A" w:rsidRPr="007C720C">
        <w:rPr>
          <w:rFonts w:ascii="Times New Roman" w:hAnsi="Times New Roman"/>
        </w:rPr>
        <w:t xml:space="preserve"> </w:t>
      </w:r>
      <w:r w:rsidR="004D5736" w:rsidRPr="007C720C">
        <w:rPr>
          <w:rFonts w:ascii="Times New Roman" w:hAnsi="Times New Roman"/>
        </w:rPr>
        <w:t xml:space="preserve">that more attention should be given to </w:t>
      </w:r>
      <w:r w:rsidR="00F042BE">
        <w:rPr>
          <w:rFonts w:ascii="Times New Roman" w:hAnsi="Times New Roman"/>
        </w:rPr>
        <w:t>offenders' rehabilitation</w:t>
      </w:r>
      <w:r w:rsidR="004D5736" w:rsidRPr="007C720C">
        <w:rPr>
          <w:rFonts w:ascii="Times New Roman" w:hAnsi="Times New Roman"/>
        </w:rPr>
        <w:t xml:space="preserve"> rather than increasing punitive measures.</w:t>
      </w:r>
      <w:r w:rsidR="00023F2E" w:rsidRPr="007C720C">
        <w:rPr>
          <w:rStyle w:val="FootnoteReference"/>
          <w:rFonts w:ascii="Times New Roman" w:hAnsi="Times New Roman"/>
        </w:rPr>
        <w:footnoteReference w:id="899"/>
      </w:r>
      <w:r w:rsidR="004D5736" w:rsidRPr="007C720C">
        <w:rPr>
          <w:rFonts w:ascii="Times New Roman" w:hAnsi="Times New Roman"/>
        </w:rPr>
        <w:t xml:space="preserve"> In their opinion, punitive measures have not been able to curtail</w:t>
      </w:r>
      <w:r w:rsidR="00014CBB">
        <w:rPr>
          <w:rFonts w:ascii="Times New Roman" w:hAnsi="Times New Roman"/>
        </w:rPr>
        <w:t xml:space="preserve"> criminal recidivism</w:t>
      </w:r>
      <w:r w:rsidR="001D4096">
        <w:rPr>
          <w:rFonts w:ascii="Times New Roman" w:hAnsi="Times New Roman"/>
        </w:rPr>
        <w:t>;</w:t>
      </w:r>
      <w:r w:rsidR="004D5736" w:rsidRPr="007C720C">
        <w:rPr>
          <w:rFonts w:ascii="Times New Roman" w:hAnsi="Times New Roman"/>
        </w:rPr>
        <w:t xml:space="preserve"> rather, </w:t>
      </w:r>
      <w:r w:rsidR="004D5736" w:rsidRPr="007C720C">
        <w:rPr>
          <w:rFonts w:ascii="Times New Roman" w:hAnsi="Times New Roman"/>
        </w:rPr>
        <w:lastRenderedPageBreak/>
        <w:t>there is an increase in the proliferation of correctional facilities</w:t>
      </w:r>
      <w:r w:rsidR="00392BBA">
        <w:rPr>
          <w:rFonts w:ascii="Times New Roman" w:hAnsi="Times New Roman"/>
        </w:rPr>
        <w:t>-</w:t>
      </w:r>
      <w:r w:rsidR="00F042BE">
        <w:rPr>
          <w:rFonts w:ascii="Times New Roman" w:hAnsi="Times New Roman"/>
        </w:rPr>
        <w:t>affecting</w:t>
      </w:r>
      <w:r w:rsidR="004D5736" w:rsidRPr="007C720C">
        <w:rPr>
          <w:rFonts w:ascii="Times New Roman" w:hAnsi="Times New Roman"/>
        </w:rPr>
        <w:t xml:space="preserve"> government budgets.</w:t>
      </w:r>
      <w:r w:rsidR="00023F2E" w:rsidRPr="007C720C">
        <w:rPr>
          <w:rStyle w:val="FootnoteReference"/>
          <w:rFonts w:ascii="Times New Roman" w:hAnsi="Times New Roman"/>
        </w:rPr>
        <w:footnoteReference w:id="900"/>
      </w:r>
      <w:r w:rsidR="00023F2E" w:rsidRPr="007C720C">
        <w:rPr>
          <w:rFonts w:ascii="Times New Roman" w:hAnsi="Times New Roman"/>
        </w:rPr>
        <w:t xml:space="preserve"> </w:t>
      </w:r>
      <w:r w:rsidR="00547F1C">
        <w:rPr>
          <w:rFonts w:ascii="Times New Roman" w:hAnsi="Times New Roman"/>
        </w:rPr>
        <w:t>Possibly,</w:t>
      </w:r>
      <w:r w:rsidR="00014CBB">
        <w:rPr>
          <w:rFonts w:ascii="Times New Roman" w:hAnsi="Times New Roman"/>
        </w:rPr>
        <w:t xml:space="preserve"> </w:t>
      </w:r>
      <w:r w:rsidR="004D5736" w:rsidRPr="007C720C">
        <w:rPr>
          <w:rFonts w:ascii="Times New Roman" w:hAnsi="Times New Roman"/>
        </w:rPr>
        <w:t>punitive measures do not deter crimes to the expectation of society.</w:t>
      </w:r>
    </w:p>
    <w:p w14:paraId="06873583" w14:textId="77777777" w:rsidR="004D5736" w:rsidRPr="007C720C" w:rsidRDefault="004D5736" w:rsidP="007C720C">
      <w:pPr>
        <w:spacing w:line="480" w:lineRule="auto"/>
        <w:jc w:val="both"/>
        <w:rPr>
          <w:rFonts w:ascii="Times New Roman" w:hAnsi="Times New Roman"/>
          <w:szCs w:val="24"/>
        </w:rPr>
      </w:pPr>
      <w:r w:rsidRPr="007C720C">
        <w:rPr>
          <w:rFonts w:ascii="Times New Roman" w:hAnsi="Times New Roman"/>
          <w:szCs w:val="24"/>
        </w:rPr>
        <w:t>For more clarification, it is imperative to define rehabilitation. According to Hudson, Rehabilitation is :</w:t>
      </w:r>
    </w:p>
    <w:p w14:paraId="0C1C8B48" w14:textId="23AB175C" w:rsidR="004D5736" w:rsidRPr="004B74AE" w:rsidRDefault="004D5736" w:rsidP="00FE75F9">
      <w:pPr>
        <w:spacing w:line="480" w:lineRule="auto"/>
        <w:jc w:val="center"/>
        <w:rPr>
          <w:rFonts w:ascii="Times New Roman" w:hAnsi="Times New Roman"/>
          <w:szCs w:val="24"/>
        </w:rPr>
      </w:pPr>
      <w:r w:rsidRPr="004B74AE">
        <w:rPr>
          <w:rFonts w:ascii="Times New Roman" w:hAnsi="Times New Roman"/>
          <w:szCs w:val="24"/>
        </w:rPr>
        <w:t>“</w:t>
      </w:r>
      <w:r w:rsidRPr="001B6656">
        <w:rPr>
          <w:rFonts w:ascii="Times New Roman" w:hAnsi="Times New Roman"/>
          <w:szCs w:val="24"/>
        </w:rPr>
        <w:t>taking away the desire to offend, is the aim of reformist or rehabilitation punishment. The objective of reform or rehabilitation is to reintegrate the offender into society after a period of punishment, and to design the content of the punishment so as to achieve this</w:t>
      </w:r>
      <w:r w:rsidR="00547F1C">
        <w:rPr>
          <w:rFonts w:ascii="Times New Roman" w:hAnsi="Times New Roman"/>
          <w:szCs w:val="24"/>
        </w:rPr>
        <w:t>.</w:t>
      </w:r>
      <w:r w:rsidRPr="004B74AE">
        <w:rPr>
          <w:rFonts w:ascii="Times New Roman" w:hAnsi="Times New Roman"/>
          <w:szCs w:val="24"/>
        </w:rPr>
        <w:t>”</w:t>
      </w:r>
      <w:r w:rsidRPr="004B74AE">
        <w:rPr>
          <w:rStyle w:val="FootnoteReference"/>
          <w:rFonts w:ascii="Times New Roman" w:hAnsi="Times New Roman"/>
          <w:szCs w:val="24"/>
        </w:rPr>
        <w:footnoteReference w:id="901"/>
      </w:r>
    </w:p>
    <w:p w14:paraId="3E17EE79" w14:textId="31823051" w:rsidR="00014CBB" w:rsidRDefault="004D5736" w:rsidP="001B6656">
      <w:pPr>
        <w:spacing w:line="480" w:lineRule="auto"/>
        <w:jc w:val="both"/>
        <w:rPr>
          <w:rFonts w:ascii="Times New Roman" w:hAnsi="Times New Roman"/>
          <w:szCs w:val="24"/>
        </w:rPr>
      </w:pPr>
      <w:r w:rsidRPr="004B74AE">
        <w:rPr>
          <w:rFonts w:ascii="Times New Roman" w:hAnsi="Times New Roman"/>
          <w:szCs w:val="24"/>
        </w:rPr>
        <w:t xml:space="preserve">Unfortunately, Hudson’s definition does not provide a certain perspective on rehabilitation. While the definition aims to be comprehensive, it also gives an unsettled perception </w:t>
      </w:r>
      <w:r w:rsidR="001D4096">
        <w:rPr>
          <w:rFonts w:ascii="Times New Roman" w:hAnsi="Times New Roman"/>
          <w:szCs w:val="24"/>
        </w:rPr>
        <w:t>of</w:t>
      </w:r>
      <w:r w:rsidRPr="004B74AE">
        <w:rPr>
          <w:rFonts w:ascii="Times New Roman" w:hAnsi="Times New Roman"/>
          <w:szCs w:val="24"/>
        </w:rPr>
        <w:t xml:space="preserve"> rehabilitation. This definition raises some questions a</w:t>
      </w:r>
      <w:r w:rsidR="00B15FB7">
        <w:rPr>
          <w:rFonts w:ascii="Times New Roman" w:hAnsi="Times New Roman"/>
          <w:szCs w:val="24"/>
        </w:rPr>
        <w:t>bout</w:t>
      </w:r>
      <w:r w:rsidRPr="004B74AE">
        <w:rPr>
          <w:rFonts w:ascii="Times New Roman" w:hAnsi="Times New Roman"/>
          <w:szCs w:val="24"/>
        </w:rPr>
        <w:t xml:space="preserve"> </w:t>
      </w:r>
      <w:r w:rsidR="00B15FB7">
        <w:rPr>
          <w:rFonts w:ascii="Times New Roman" w:hAnsi="Times New Roman"/>
          <w:szCs w:val="24"/>
        </w:rPr>
        <w:t>rehabilitation's objective, the relationship it has with punishment, the act or process of rehabilitation,</w:t>
      </w:r>
      <w:r w:rsidRPr="004B74AE">
        <w:rPr>
          <w:rFonts w:ascii="Times New Roman" w:hAnsi="Times New Roman"/>
          <w:szCs w:val="24"/>
        </w:rPr>
        <w:t xml:space="preserve"> and the aftermath of rehabilitation. However, from this definition, it is believed that rehabilitation intends to reform the offender after he has served the punishment.</w:t>
      </w:r>
    </w:p>
    <w:p w14:paraId="37245CF8" w14:textId="746F263C" w:rsidR="00014CBB" w:rsidRDefault="00014CBB" w:rsidP="001B6656">
      <w:pPr>
        <w:spacing w:line="480" w:lineRule="auto"/>
        <w:jc w:val="both"/>
        <w:rPr>
          <w:rFonts w:ascii="Times New Roman" w:hAnsi="Times New Roman"/>
          <w:szCs w:val="24"/>
        </w:rPr>
      </w:pPr>
      <w:r>
        <w:rPr>
          <w:rFonts w:ascii="Times New Roman" w:hAnsi="Times New Roman"/>
          <w:szCs w:val="24"/>
        </w:rPr>
        <w:t>Rehabilitation takes place</w:t>
      </w:r>
      <w:r w:rsidR="007F7A8F">
        <w:rPr>
          <w:rFonts w:ascii="Times New Roman" w:hAnsi="Times New Roman"/>
          <w:szCs w:val="24"/>
        </w:rPr>
        <w:t xml:space="preserve"> during and</w:t>
      </w:r>
      <w:r>
        <w:rPr>
          <w:rFonts w:ascii="Times New Roman" w:hAnsi="Times New Roman"/>
          <w:szCs w:val="24"/>
        </w:rPr>
        <w:t xml:space="preserve"> after punishment. Presumably, the co</w:t>
      </w:r>
      <w:r w:rsidR="00F042BE">
        <w:rPr>
          <w:rFonts w:ascii="Times New Roman" w:hAnsi="Times New Roman"/>
          <w:szCs w:val="24"/>
        </w:rPr>
        <w:t>urts' contribution</w:t>
      </w:r>
      <w:r>
        <w:rPr>
          <w:rFonts w:ascii="Times New Roman" w:hAnsi="Times New Roman"/>
          <w:szCs w:val="24"/>
        </w:rPr>
        <w:t xml:space="preserve"> to </w:t>
      </w:r>
      <w:r w:rsidR="00F042BE">
        <w:rPr>
          <w:rFonts w:ascii="Times New Roman" w:hAnsi="Times New Roman"/>
          <w:szCs w:val="24"/>
        </w:rPr>
        <w:t>offenders' rehabilitation</w:t>
      </w:r>
      <w:r>
        <w:rPr>
          <w:rFonts w:ascii="Times New Roman" w:hAnsi="Times New Roman"/>
          <w:szCs w:val="24"/>
        </w:rPr>
        <w:t xml:space="preserve"> after the sentence term can result in re-integration into soci</w:t>
      </w:r>
      <w:r w:rsidR="001D4096">
        <w:rPr>
          <w:rFonts w:ascii="Times New Roman" w:hAnsi="Times New Roman"/>
          <w:szCs w:val="24"/>
        </w:rPr>
        <w:t>ety. One viable approach is for</w:t>
      </w:r>
      <w:r>
        <w:rPr>
          <w:rFonts w:ascii="Times New Roman" w:hAnsi="Times New Roman"/>
          <w:szCs w:val="24"/>
        </w:rPr>
        <w:t xml:space="preserve"> </w:t>
      </w:r>
      <w:r w:rsidR="005B4A59">
        <w:rPr>
          <w:rFonts w:ascii="Times New Roman" w:hAnsi="Times New Roman"/>
          <w:szCs w:val="24"/>
        </w:rPr>
        <w:t>the court</w:t>
      </w:r>
      <w:r w:rsidR="001D4096">
        <w:rPr>
          <w:rFonts w:ascii="Times New Roman" w:hAnsi="Times New Roman"/>
          <w:szCs w:val="24"/>
        </w:rPr>
        <w:t xml:space="preserve"> </w:t>
      </w:r>
      <w:r w:rsidR="005B4A59">
        <w:rPr>
          <w:rFonts w:ascii="Times New Roman" w:hAnsi="Times New Roman"/>
          <w:szCs w:val="24"/>
        </w:rPr>
        <w:t>to address the consequences of a conviction for the convict/sentenced person.</w:t>
      </w:r>
      <w:r w:rsidR="005B4A59">
        <w:rPr>
          <w:rStyle w:val="FootnoteReference"/>
          <w:rFonts w:ascii="Times New Roman" w:hAnsi="Times New Roman"/>
          <w:szCs w:val="24"/>
        </w:rPr>
        <w:footnoteReference w:id="902"/>
      </w:r>
      <w:r w:rsidR="001D4096">
        <w:rPr>
          <w:rFonts w:ascii="Times New Roman" w:hAnsi="Times New Roman"/>
          <w:szCs w:val="24"/>
        </w:rPr>
        <w:t xml:space="preserve">Court’s involvement </w:t>
      </w:r>
      <w:r w:rsidR="001D4096">
        <w:rPr>
          <w:rFonts w:ascii="Times New Roman" w:hAnsi="Times New Roman"/>
          <w:szCs w:val="24"/>
        </w:rPr>
        <w:lastRenderedPageBreak/>
        <w:t xml:space="preserve">in rehabilitation would </w:t>
      </w:r>
      <w:r w:rsidR="00F042BE">
        <w:rPr>
          <w:rFonts w:ascii="Times New Roman" w:hAnsi="Times New Roman"/>
          <w:szCs w:val="24"/>
        </w:rPr>
        <w:t xml:space="preserve">demonstrate their interest in deterrence and retribution. However, it would also show their interests in the </w:t>
      </w:r>
      <w:r w:rsidR="00B15FB7">
        <w:rPr>
          <w:rFonts w:ascii="Times New Roman" w:hAnsi="Times New Roman"/>
          <w:szCs w:val="24"/>
        </w:rPr>
        <w:t>offender's life</w:t>
      </w:r>
      <w:r w:rsidR="00F042BE">
        <w:rPr>
          <w:rFonts w:ascii="Times New Roman" w:hAnsi="Times New Roman"/>
          <w:szCs w:val="24"/>
        </w:rPr>
        <w:t xml:space="preserve"> post-conviction and reintegration into</w:t>
      </w:r>
      <w:r w:rsidR="001D4096">
        <w:rPr>
          <w:rFonts w:ascii="Times New Roman" w:hAnsi="Times New Roman"/>
          <w:szCs w:val="24"/>
        </w:rPr>
        <w:t xml:space="preserve"> society.</w:t>
      </w:r>
      <w:r w:rsidR="00547F1C">
        <w:rPr>
          <w:rFonts w:ascii="Times New Roman" w:hAnsi="Times New Roman"/>
          <w:szCs w:val="24"/>
        </w:rPr>
        <w:t xml:space="preserve"> Re-integration is a pillar of restorative justice, an indication that retributive justice is not totally punitive, rehabilitation entails a restorative element.</w:t>
      </w:r>
    </w:p>
    <w:p w14:paraId="35B9E820" w14:textId="39BD4F85" w:rsidR="00916D86" w:rsidRDefault="00916D86" w:rsidP="001B6656">
      <w:pPr>
        <w:spacing w:line="480" w:lineRule="auto"/>
        <w:jc w:val="both"/>
        <w:rPr>
          <w:rFonts w:ascii="Times New Roman" w:hAnsi="Times New Roman"/>
          <w:szCs w:val="24"/>
        </w:rPr>
      </w:pPr>
      <w:proofErr w:type="spellStart"/>
      <w:r>
        <w:rPr>
          <w:rFonts w:ascii="Times New Roman" w:hAnsi="Times New Roman"/>
          <w:szCs w:val="24"/>
        </w:rPr>
        <w:t>Triffterer</w:t>
      </w:r>
      <w:proofErr w:type="spellEnd"/>
      <w:r>
        <w:rPr>
          <w:rFonts w:ascii="Times New Roman" w:hAnsi="Times New Roman"/>
          <w:szCs w:val="24"/>
        </w:rPr>
        <w:t xml:space="preserve"> notes that </w:t>
      </w:r>
      <w:r w:rsidR="00F042BE">
        <w:rPr>
          <w:rFonts w:ascii="Times New Roman" w:hAnsi="Times New Roman"/>
          <w:szCs w:val="24"/>
        </w:rPr>
        <w:t xml:space="preserve">the </w:t>
      </w:r>
      <w:r>
        <w:rPr>
          <w:rFonts w:ascii="Times New Roman" w:hAnsi="Times New Roman"/>
          <w:szCs w:val="24"/>
        </w:rPr>
        <w:t>most effective means to ‘fight’ criminality is to prevent the commission of crimes.</w:t>
      </w:r>
      <w:r>
        <w:rPr>
          <w:rStyle w:val="FootnoteReference"/>
          <w:rFonts w:ascii="Times New Roman" w:hAnsi="Times New Roman"/>
          <w:szCs w:val="24"/>
        </w:rPr>
        <w:footnoteReference w:id="903"/>
      </w:r>
      <w:r>
        <w:rPr>
          <w:rFonts w:ascii="Times New Roman" w:hAnsi="Times New Roman"/>
          <w:szCs w:val="24"/>
        </w:rPr>
        <w:t>He recommends an early evaluation of the different ways to challenge impunity.</w:t>
      </w:r>
      <w:r>
        <w:rPr>
          <w:rStyle w:val="FootnoteReference"/>
          <w:rFonts w:ascii="Times New Roman" w:hAnsi="Times New Roman"/>
          <w:szCs w:val="24"/>
        </w:rPr>
        <w:footnoteReference w:id="904"/>
      </w:r>
      <w:r>
        <w:rPr>
          <w:rFonts w:ascii="Times New Roman" w:hAnsi="Times New Roman"/>
          <w:szCs w:val="24"/>
        </w:rPr>
        <w:t>Prevention, deterrence and repression are sustainable means of fighting impunity.</w:t>
      </w:r>
      <w:r>
        <w:rPr>
          <w:rStyle w:val="FootnoteReference"/>
          <w:rFonts w:ascii="Times New Roman" w:hAnsi="Times New Roman"/>
          <w:szCs w:val="24"/>
        </w:rPr>
        <w:footnoteReference w:id="905"/>
      </w:r>
    </w:p>
    <w:p w14:paraId="4888E232" w14:textId="0A222CF9" w:rsidR="005719FD" w:rsidRPr="003C6F4D" w:rsidRDefault="005719FD" w:rsidP="003C6F4D">
      <w:pPr>
        <w:spacing w:line="480" w:lineRule="auto"/>
        <w:jc w:val="both"/>
        <w:rPr>
          <w:rFonts w:ascii="Times New Roman" w:hAnsi="Times New Roman"/>
        </w:rPr>
      </w:pPr>
      <w:r w:rsidRPr="003C6F4D">
        <w:rPr>
          <w:rFonts w:ascii="Times New Roman" w:hAnsi="Times New Roman"/>
        </w:rPr>
        <w:t xml:space="preserve">Rehabilitation has been described as a humane alternative to retribution and deterrence; </w:t>
      </w:r>
      <w:proofErr w:type="spellStart"/>
      <w:r w:rsidRPr="003C6F4D">
        <w:rPr>
          <w:rFonts w:ascii="Times New Roman" w:hAnsi="Times New Roman"/>
        </w:rPr>
        <w:t>some times</w:t>
      </w:r>
      <w:proofErr w:type="spellEnd"/>
      <w:r w:rsidRPr="003C6F4D">
        <w:rPr>
          <w:rFonts w:ascii="Times New Roman" w:hAnsi="Times New Roman"/>
        </w:rPr>
        <w:t>, the punishment is lenient to dissuade recidivism.</w:t>
      </w:r>
      <w:r w:rsidRPr="003C6F4D">
        <w:rPr>
          <w:rStyle w:val="FootnoteReference"/>
          <w:rFonts w:ascii="Times New Roman" w:hAnsi="Times New Roman"/>
          <w:szCs w:val="24"/>
        </w:rPr>
        <w:footnoteReference w:id="906"/>
      </w:r>
      <w:r w:rsidRPr="003C6F4D">
        <w:rPr>
          <w:rFonts w:ascii="Times New Roman" w:hAnsi="Times New Roman"/>
        </w:rPr>
        <w:t xml:space="preserve"> Article 110(4) and Rule 223 states the Conditions and factors for Sentence review at the ICC.</w:t>
      </w:r>
      <w:r w:rsidRPr="003C6F4D">
        <w:rPr>
          <w:rStyle w:val="FootnoteReference"/>
          <w:rFonts w:ascii="Times New Roman" w:hAnsi="Times New Roman"/>
          <w:szCs w:val="24"/>
        </w:rPr>
        <w:footnoteReference w:id="907"/>
      </w:r>
      <w:r w:rsidRPr="003C6F4D">
        <w:rPr>
          <w:rFonts w:ascii="Times New Roman" w:hAnsi="Times New Roman"/>
        </w:rPr>
        <w:t xml:space="preserve">These provisions </w:t>
      </w:r>
      <w:r w:rsidR="00F042BE">
        <w:rPr>
          <w:rFonts w:ascii="Times New Roman" w:hAnsi="Times New Roman"/>
        </w:rPr>
        <w:t xml:space="preserve">that may ensure the </w:t>
      </w:r>
      <w:r w:rsidR="00B15FB7">
        <w:rPr>
          <w:rFonts w:ascii="Times New Roman" w:hAnsi="Times New Roman"/>
        </w:rPr>
        <w:t>convicts' early release could conflict with the deterrent and retribution function because it focuses on reformation and resocialisation of the offender,</w:t>
      </w:r>
      <w:r w:rsidR="00F042BE">
        <w:rPr>
          <w:rFonts w:ascii="Times New Roman" w:hAnsi="Times New Roman"/>
        </w:rPr>
        <w:t xml:space="preserve"> which may outweigh or preclude the deterrent's objectives</w:t>
      </w:r>
      <w:r w:rsidR="001A0720">
        <w:rPr>
          <w:rFonts w:ascii="Times New Roman" w:hAnsi="Times New Roman"/>
        </w:rPr>
        <w:t xml:space="preserve"> retribution. Possibly, rehabilitation of the offender could be the reason why the maximum term of </w:t>
      </w:r>
      <w:r w:rsidR="001A0720">
        <w:rPr>
          <w:rFonts w:ascii="Times New Roman" w:hAnsi="Times New Roman"/>
        </w:rPr>
        <w:lastRenderedPageBreak/>
        <w:t>imprisonment is 30 years. How these conditions and factors reflect the rationale of penalty is</w:t>
      </w:r>
      <w:r w:rsidR="00EE68C7" w:rsidRPr="003C6F4D">
        <w:rPr>
          <w:rFonts w:ascii="Times New Roman" w:hAnsi="Times New Roman"/>
        </w:rPr>
        <w:t xml:space="preserve"> left to the discretion of the panel.</w:t>
      </w:r>
    </w:p>
    <w:p w14:paraId="755954B0" w14:textId="478CE836" w:rsidR="00916D86" w:rsidRDefault="00916D86" w:rsidP="001B6656">
      <w:pPr>
        <w:spacing w:line="480" w:lineRule="auto"/>
        <w:jc w:val="both"/>
        <w:rPr>
          <w:rFonts w:ascii="Times New Roman" w:hAnsi="Times New Roman"/>
          <w:szCs w:val="24"/>
        </w:rPr>
      </w:pPr>
      <w:r>
        <w:rPr>
          <w:rFonts w:ascii="Times New Roman" w:hAnsi="Times New Roman"/>
          <w:szCs w:val="24"/>
        </w:rPr>
        <w:t xml:space="preserve">Arguably, the ICC  could use a combination of deterrence, retribution and rehabilitation </w:t>
      </w:r>
      <w:r w:rsidR="00441FB0">
        <w:rPr>
          <w:rFonts w:ascii="Times New Roman" w:hAnsi="Times New Roman"/>
          <w:szCs w:val="24"/>
        </w:rPr>
        <w:t>for sentencing</w:t>
      </w:r>
      <w:r>
        <w:rPr>
          <w:rFonts w:ascii="Times New Roman" w:hAnsi="Times New Roman"/>
          <w:szCs w:val="24"/>
        </w:rPr>
        <w:t>, since they are not mutually exclusive.</w:t>
      </w:r>
      <w:r w:rsidR="00DC2B63">
        <w:rPr>
          <w:rFonts w:ascii="Times New Roman" w:hAnsi="Times New Roman"/>
          <w:szCs w:val="24"/>
        </w:rPr>
        <w:t xml:space="preserve"> </w:t>
      </w:r>
      <w:r>
        <w:rPr>
          <w:rFonts w:ascii="Times New Roman" w:hAnsi="Times New Roman"/>
          <w:szCs w:val="24"/>
        </w:rPr>
        <w:t xml:space="preserve">While it is easy for the ICC to enforce deterrence and retribution, it could become challenging for the ICC to implement and supervise </w:t>
      </w:r>
      <w:r w:rsidR="00F042BE">
        <w:rPr>
          <w:rFonts w:ascii="Times New Roman" w:hAnsi="Times New Roman"/>
          <w:szCs w:val="24"/>
        </w:rPr>
        <w:t>offenders' rehabilitation</w:t>
      </w:r>
      <w:r>
        <w:rPr>
          <w:rFonts w:ascii="Times New Roman" w:hAnsi="Times New Roman"/>
          <w:szCs w:val="24"/>
        </w:rPr>
        <w:t>. While article 110 of the Rome Statute and Rule 223 of the ICC RPE provides for the reduction of sentencing and expressly list reintegration and re-socialisation, respectively, these provisions do not stipulate a medium of compliance with these conditions</w:t>
      </w:r>
      <w:r w:rsidR="002B3BCD">
        <w:rPr>
          <w:rFonts w:ascii="Times New Roman" w:hAnsi="Times New Roman"/>
          <w:szCs w:val="24"/>
        </w:rPr>
        <w:t xml:space="preserve"> during the convict’s incarceration and a</w:t>
      </w:r>
      <w:r>
        <w:rPr>
          <w:rFonts w:ascii="Times New Roman" w:hAnsi="Times New Roman"/>
          <w:szCs w:val="24"/>
        </w:rPr>
        <w:t>fter the release. It seems rehabilitation as a purpose of punishment would be more effective in the domestic context</w:t>
      </w:r>
      <w:r w:rsidR="002B3BCD">
        <w:rPr>
          <w:rFonts w:ascii="Times New Roman" w:hAnsi="Times New Roman"/>
          <w:szCs w:val="24"/>
        </w:rPr>
        <w:t>.</w:t>
      </w:r>
      <w:r>
        <w:rPr>
          <w:rFonts w:ascii="Times New Roman" w:hAnsi="Times New Roman"/>
          <w:szCs w:val="24"/>
        </w:rPr>
        <w:t xml:space="preserve"> </w:t>
      </w:r>
    </w:p>
    <w:p w14:paraId="090F54BD" w14:textId="5A085392" w:rsidR="004D5736" w:rsidRPr="004B74AE" w:rsidRDefault="004D5736" w:rsidP="001B6656">
      <w:pPr>
        <w:spacing w:line="480" w:lineRule="auto"/>
        <w:jc w:val="both"/>
        <w:rPr>
          <w:rFonts w:ascii="Times New Roman" w:hAnsi="Times New Roman"/>
          <w:b/>
          <w:szCs w:val="24"/>
        </w:rPr>
      </w:pPr>
      <w:r w:rsidRPr="004B74AE">
        <w:rPr>
          <w:rFonts w:ascii="Times New Roman" w:hAnsi="Times New Roman"/>
          <w:szCs w:val="24"/>
        </w:rPr>
        <w:t xml:space="preserve"> </w:t>
      </w:r>
      <w:r w:rsidR="001D4096">
        <w:rPr>
          <w:rFonts w:ascii="Times New Roman" w:hAnsi="Times New Roman"/>
          <w:szCs w:val="24"/>
        </w:rPr>
        <w:t>That being said, t</w:t>
      </w:r>
      <w:r w:rsidRPr="004B74AE">
        <w:rPr>
          <w:rFonts w:ascii="Times New Roman" w:hAnsi="Times New Roman"/>
          <w:szCs w:val="24"/>
        </w:rPr>
        <w:t xml:space="preserve">his study does not intend to discuss </w:t>
      </w:r>
      <w:r w:rsidR="00F042BE">
        <w:rPr>
          <w:rFonts w:ascii="Times New Roman" w:hAnsi="Times New Roman"/>
          <w:szCs w:val="24"/>
        </w:rPr>
        <w:t>rehabilitation extensively, and</w:t>
      </w:r>
      <w:r w:rsidRPr="004B74AE">
        <w:rPr>
          <w:rFonts w:ascii="Times New Roman" w:hAnsi="Times New Roman"/>
          <w:szCs w:val="24"/>
        </w:rPr>
        <w:t xml:space="preserve"> criminologists have written a lot on rehabilitation.</w:t>
      </w:r>
      <w:r w:rsidRPr="004B74AE">
        <w:rPr>
          <w:rStyle w:val="FootnoteReference"/>
          <w:rFonts w:ascii="Times New Roman" w:hAnsi="Times New Roman"/>
          <w:szCs w:val="24"/>
        </w:rPr>
        <w:footnoteReference w:id="908"/>
      </w:r>
      <w:r w:rsidRPr="004B74AE">
        <w:rPr>
          <w:rFonts w:ascii="Times New Roman" w:hAnsi="Times New Roman"/>
          <w:szCs w:val="24"/>
        </w:rPr>
        <w:t xml:space="preserve"> So far, this section has focused on retributive justic</w:t>
      </w:r>
      <w:r w:rsidR="001D4096">
        <w:rPr>
          <w:rFonts w:ascii="Times New Roman" w:hAnsi="Times New Roman"/>
          <w:szCs w:val="24"/>
        </w:rPr>
        <w:t xml:space="preserve">e; the following part  addresses the theory and principles  of restorative justice </w:t>
      </w:r>
    </w:p>
    <w:p w14:paraId="290FBC38" w14:textId="77777777" w:rsidR="004D5736" w:rsidRPr="004B74AE" w:rsidRDefault="001D4096" w:rsidP="000C4174">
      <w:pPr>
        <w:pStyle w:val="Heading2"/>
      </w:pPr>
      <w:bookmarkStart w:id="57" w:name="_Toc21896843"/>
      <w:bookmarkStart w:id="58" w:name="_Toc60235828"/>
      <w:r>
        <w:t xml:space="preserve">4.2   </w:t>
      </w:r>
      <w:r w:rsidR="004D5736" w:rsidRPr="004B74AE">
        <w:t>Restorative J</w:t>
      </w:r>
      <w:bookmarkEnd w:id="57"/>
      <w:r w:rsidR="004D5736" w:rsidRPr="004B74AE">
        <w:t>ustice</w:t>
      </w:r>
      <w:bookmarkEnd w:id="58"/>
    </w:p>
    <w:p w14:paraId="5BB469AA" w14:textId="77777777"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t xml:space="preserve">Having considered the implications of retributive </w:t>
      </w:r>
      <w:r w:rsidR="00CF413D">
        <w:rPr>
          <w:rFonts w:ascii="Times New Roman" w:hAnsi="Times New Roman"/>
          <w:szCs w:val="24"/>
        </w:rPr>
        <w:t xml:space="preserve">justice, and its elements, within the ambience of </w:t>
      </w:r>
      <w:r w:rsidRPr="004B74AE">
        <w:rPr>
          <w:rFonts w:ascii="Times New Roman" w:hAnsi="Times New Roman"/>
          <w:szCs w:val="24"/>
        </w:rPr>
        <w:t xml:space="preserve">sentencing </w:t>
      </w:r>
      <w:r w:rsidR="00CF413D">
        <w:rPr>
          <w:rFonts w:ascii="Times New Roman" w:hAnsi="Times New Roman"/>
          <w:szCs w:val="24"/>
        </w:rPr>
        <w:t>in criminal courts, this segment</w:t>
      </w:r>
      <w:r w:rsidRPr="004B74AE">
        <w:rPr>
          <w:rFonts w:ascii="Times New Roman" w:hAnsi="Times New Roman"/>
          <w:szCs w:val="24"/>
        </w:rPr>
        <w:t xml:space="preserve"> will discuss restorative justice </w:t>
      </w:r>
      <w:r w:rsidRPr="004B74AE">
        <w:rPr>
          <w:rFonts w:ascii="Times New Roman" w:hAnsi="Times New Roman"/>
          <w:szCs w:val="24"/>
        </w:rPr>
        <w:lastRenderedPageBreak/>
        <w:t>and its imp</w:t>
      </w:r>
      <w:r w:rsidR="00CF413D">
        <w:rPr>
          <w:rFonts w:ascii="Times New Roman" w:hAnsi="Times New Roman"/>
          <w:szCs w:val="24"/>
        </w:rPr>
        <w:t>act on</w:t>
      </w:r>
      <w:r w:rsidRPr="004B74AE">
        <w:rPr>
          <w:rFonts w:ascii="Times New Roman" w:hAnsi="Times New Roman"/>
          <w:szCs w:val="24"/>
        </w:rPr>
        <w:t xml:space="preserve"> sentencing.</w:t>
      </w:r>
      <w:r w:rsidR="00CF413D">
        <w:rPr>
          <w:rFonts w:ascii="Times New Roman" w:hAnsi="Times New Roman"/>
          <w:szCs w:val="24"/>
        </w:rPr>
        <w:t xml:space="preserve"> </w:t>
      </w:r>
      <w:r w:rsidRPr="004B74AE">
        <w:rPr>
          <w:rFonts w:ascii="Times New Roman" w:hAnsi="Times New Roman"/>
          <w:szCs w:val="24"/>
        </w:rPr>
        <w:t xml:space="preserve">It is necessary here to clarify what is meant by restorative justice. </w:t>
      </w:r>
      <w:proofErr w:type="spellStart"/>
      <w:r w:rsidRPr="004B74AE">
        <w:rPr>
          <w:rFonts w:ascii="Times New Roman" w:hAnsi="Times New Roman"/>
          <w:szCs w:val="24"/>
        </w:rPr>
        <w:t>Zehr</w:t>
      </w:r>
      <w:proofErr w:type="spellEnd"/>
      <w:r w:rsidRPr="004B74AE">
        <w:rPr>
          <w:rFonts w:ascii="Times New Roman" w:hAnsi="Times New Roman"/>
          <w:szCs w:val="24"/>
        </w:rPr>
        <w:t xml:space="preserve"> is one of the first authors to define restorative justice. He is referred to as the father of resto</w:t>
      </w:r>
      <w:r w:rsidR="00CF413D">
        <w:rPr>
          <w:rFonts w:ascii="Times New Roman" w:hAnsi="Times New Roman"/>
          <w:szCs w:val="24"/>
        </w:rPr>
        <w:t xml:space="preserve">rative justice. According to </w:t>
      </w:r>
      <w:proofErr w:type="spellStart"/>
      <w:r w:rsidR="00CF413D">
        <w:rPr>
          <w:rFonts w:ascii="Times New Roman" w:hAnsi="Times New Roman"/>
          <w:szCs w:val="24"/>
        </w:rPr>
        <w:t>Zehr</w:t>
      </w:r>
      <w:proofErr w:type="spellEnd"/>
      <w:r w:rsidR="00CF413D">
        <w:rPr>
          <w:rFonts w:ascii="Times New Roman" w:hAnsi="Times New Roman"/>
          <w:szCs w:val="24"/>
        </w:rPr>
        <w:t>:</w:t>
      </w:r>
      <w:r w:rsidRPr="004B74AE">
        <w:rPr>
          <w:rFonts w:ascii="Times New Roman" w:hAnsi="Times New Roman"/>
          <w:szCs w:val="24"/>
        </w:rPr>
        <w:t xml:space="preserve"> </w:t>
      </w:r>
    </w:p>
    <w:p w14:paraId="334676E0" w14:textId="1BB42FD0" w:rsidR="004D5736" w:rsidRPr="004B74AE" w:rsidRDefault="004D5736" w:rsidP="00CF413D">
      <w:pPr>
        <w:pStyle w:val="Quote"/>
      </w:pPr>
      <w:r w:rsidRPr="004B74AE">
        <w:t>“</w:t>
      </w:r>
      <w:r w:rsidRPr="001B6656">
        <w:rPr>
          <w:rFonts w:ascii="Times New Roman" w:hAnsi="Times New Roman"/>
        </w:rPr>
        <w:t>Restorative justice is a process to involve, to the extent possible, those</w:t>
      </w:r>
      <w:r w:rsidR="00CF413D" w:rsidRPr="001B6656">
        <w:rPr>
          <w:rFonts w:ascii="Times New Roman" w:hAnsi="Times New Roman"/>
        </w:rPr>
        <w:t xml:space="preserve"> </w:t>
      </w:r>
      <w:r w:rsidRPr="001B6656">
        <w:rPr>
          <w:rFonts w:ascii="Times New Roman" w:hAnsi="Times New Roman"/>
        </w:rPr>
        <w:t>who have a stake in a specific offen</w:t>
      </w:r>
      <w:r w:rsidR="00FE75F9">
        <w:rPr>
          <w:rFonts w:ascii="Times New Roman" w:hAnsi="Times New Roman"/>
        </w:rPr>
        <w:t>c</w:t>
      </w:r>
      <w:r w:rsidRPr="001B6656">
        <w:rPr>
          <w:rFonts w:ascii="Times New Roman" w:hAnsi="Times New Roman"/>
        </w:rPr>
        <w:t>e and to collectively identify and address harms, needs and obligations, in order to heal and put things right as possible</w:t>
      </w:r>
      <w:r w:rsidRPr="004B74AE">
        <w:t>.”</w:t>
      </w:r>
      <w:r w:rsidRPr="004B74AE">
        <w:rPr>
          <w:rStyle w:val="FootnoteReference"/>
          <w:rFonts w:ascii="Times New Roman" w:hAnsi="Times New Roman"/>
          <w:szCs w:val="24"/>
        </w:rPr>
        <w:footnoteReference w:id="909"/>
      </w:r>
    </w:p>
    <w:p w14:paraId="314B3A3B" w14:textId="5C7D6D52" w:rsidR="004D5736" w:rsidRPr="004B74AE" w:rsidRDefault="007645EC" w:rsidP="001B6656">
      <w:pPr>
        <w:spacing w:line="480" w:lineRule="auto"/>
        <w:jc w:val="both"/>
        <w:rPr>
          <w:rFonts w:ascii="Times New Roman" w:hAnsi="Times New Roman"/>
          <w:szCs w:val="24"/>
        </w:rPr>
      </w:pPr>
      <w:r w:rsidRPr="004B74AE">
        <w:rPr>
          <w:rFonts w:ascii="Times New Roman" w:hAnsi="Times New Roman"/>
          <w:szCs w:val="24"/>
        </w:rPr>
        <w:t xml:space="preserve">Similarly, </w:t>
      </w:r>
      <w:proofErr w:type="spellStart"/>
      <w:r w:rsidR="004D5736" w:rsidRPr="004B74AE">
        <w:rPr>
          <w:rFonts w:ascii="Times New Roman" w:hAnsi="Times New Roman"/>
          <w:szCs w:val="24"/>
        </w:rPr>
        <w:t>Zehr’s</w:t>
      </w:r>
      <w:proofErr w:type="spellEnd"/>
      <w:r w:rsidR="004D5736" w:rsidRPr="004B74AE">
        <w:rPr>
          <w:rFonts w:ascii="Times New Roman" w:hAnsi="Times New Roman"/>
          <w:szCs w:val="24"/>
        </w:rPr>
        <w:t xml:space="preserve"> definition share</w:t>
      </w:r>
      <w:r w:rsidR="00CF413D">
        <w:rPr>
          <w:rFonts w:ascii="Times New Roman" w:hAnsi="Times New Roman"/>
          <w:szCs w:val="24"/>
        </w:rPr>
        <w:t>s</w:t>
      </w:r>
      <w:r w:rsidR="004D5736" w:rsidRPr="004B74AE">
        <w:rPr>
          <w:rFonts w:ascii="Times New Roman" w:hAnsi="Times New Roman"/>
          <w:szCs w:val="24"/>
        </w:rPr>
        <w:t xml:space="preserve"> the same content </w:t>
      </w:r>
      <w:r w:rsidR="00CF413D">
        <w:rPr>
          <w:rFonts w:ascii="Times New Roman" w:hAnsi="Times New Roman"/>
          <w:szCs w:val="24"/>
        </w:rPr>
        <w:t>as</w:t>
      </w:r>
      <w:r w:rsidR="004D5736" w:rsidRPr="004B74AE">
        <w:rPr>
          <w:rFonts w:ascii="Times New Roman" w:hAnsi="Times New Roman"/>
          <w:szCs w:val="24"/>
        </w:rPr>
        <w:t xml:space="preserve"> Marshall’s. Marshall defines it ‘</w:t>
      </w:r>
      <w:r w:rsidR="004D5736" w:rsidRPr="004B74AE">
        <w:rPr>
          <w:rFonts w:ascii="Times New Roman" w:hAnsi="Times New Roman"/>
          <w:i/>
          <w:szCs w:val="24"/>
        </w:rPr>
        <w:t>as a process whereby parties with a stake in a specific offence collectively resolve how to deal with the aftermath of the offence and its implications for the future’</w:t>
      </w:r>
      <w:r w:rsidR="004D5736" w:rsidRPr="004B74AE">
        <w:rPr>
          <w:rFonts w:ascii="Times New Roman" w:hAnsi="Times New Roman"/>
          <w:szCs w:val="24"/>
        </w:rPr>
        <w:t>.</w:t>
      </w:r>
      <w:r w:rsidR="004D5736" w:rsidRPr="004B74AE">
        <w:rPr>
          <w:rStyle w:val="FootnoteReference"/>
          <w:rFonts w:ascii="Times New Roman" w:hAnsi="Times New Roman"/>
          <w:szCs w:val="24"/>
        </w:rPr>
        <w:footnoteReference w:id="910"/>
      </w:r>
      <w:r w:rsidR="004D5736" w:rsidRPr="004B74AE">
        <w:rPr>
          <w:rFonts w:ascii="Times New Roman" w:hAnsi="Times New Roman"/>
          <w:szCs w:val="24"/>
        </w:rPr>
        <w:t xml:space="preserve">  Be t</w:t>
      </w:r>
      <w:r w:rsidR="00AD25D4" w:rsidRPr="004B74AE">
        <w:rPr>
          <w:rFonts w:ascii="Times New Roman" w:hAnsi="Times New Roman"/>
          <w:szCs w:val="24"/>
        </w:rPr>
        <w:t xml:space="preserve">hat as it may, Doolin is critical of </w:t>
      </w:r>
      <w:r w:rsidR="004D5736" w:rsidRPr="004B74AE">
        <w:rPr>
          <w:rFonts w:ascii="Times New Roman" w:hAnsi="Times New Roman"/>
          <w:szCs w:val="24"/>
        </w:rPr>
        <w:t xml:space="preserve"> Marshall’s definition. From her perspective</w:t>
      </w:r>
      <w:r w:rsidR="00AA0CCE">
        <w:rPr>
          <w:rFonts w:ascii="Times New Roman" w:hAnsi="Times New Roman"/>
          <w:szCs w:val="24"/>
        </w:rPr>
        <w:t>,</w:t>
      </w:r>
      <w:r w:rsidR="004D5736" w:rsidRPr="004B74AE">
        <w:rPr>
          <w:rFonts w:ascii="Times New Roman" w:hAnsi="Times New Roman"/>
          <w:szCs w:val="24"/>
        </w:rPr>
        <w:t xml:space="preserve"> Marshall’s de</w:t>
      </w:r>
      <w:r w:rsidR="00AA0CCE">
        <w:rPr>
          <w:rFonts w:ascii="Times New Roman" w:hAnsi="Times New Roman"/>
          <w:szCs w:val="24"/>
        </w:rPr>
        <w:t>scrip</w:t>
      </w:r>
      <w:r w:rsidR="004D5736" w:rsidRPr="004B74AE">
        <w:rPr>
          <w:rFonts w:ascii="Times New Roman" w:hAnsi="Times New Roman"/>
          <w:szCs w:val="24"/>
        </w:rPr>
        <w:t xml:space="preserve">tion contains lacunae because it does not include some </w:t>
      </w:r>
      <w:r w:rsidR="00AA0CCE">
        <w:rPr>
          <w:rFonts w:ascii="Times New Roman" w:hAnsi="Times New Roman"/>
          <w:szCs w:val="24"/>
        </w:rPr>
        <w:t>crucial</w:t>
      </w:r>
      <w:r w:rsidR="004D5736" w:rsidRPr="004B74AE">
        <w:rPr>
          <w:rFonts w:ascii="Times New Roman" w:hAnsi="Times New Roman"/>
          <w:szCs w:val="24"/>
        </w:rPr>
        <w:t xml:space="preserve"> </w:t>
      </w:r>
      <w:r w:rsidR="00F042BE">
        <w:rPr>
          <w:rFonts w:ascii="Times New Roman" w:hAnsi="Times New Roman"/>
          <w:szCs w:val="24"/>
        </w:rPr>
        <w:t>restorative justice elements</w:t>
      </w:r>
      <w:r w:rsidR="004D5736" w:rsidRPr="004B74AE">
        <w:rPr>
          <w:rFonts w:ascii="Times New Roman" w:hAnsi="Times New Roman"/>
          <w:szCs w:val="24"/>
        </w:rPr>
        <w:t>.</w:t>
      </w:r>
      <w:r w:rsidRPr="004B74AE">
        <w:rPr>
          <w:rStyle w:val="FootnoteReference"/>
          <w:rFonts w:ascii="Times New Roman" w:hAnsi="Times New Roman"/>
          <w:szCs w:val="24"/>
        </w:rPr>
        <w:footnoteReference w:id="911"/>
      </w:r>
      <w:r w:rsidR="004D5736" w:rsidRPr="004B74AE">
        <w:rPr>
          <w:rFonts w:ascii="Times New Roman" w:hAnsi="Times New Roman"/>
          <w:szCs w:val="24"/>
        </w:rPr>
        <w:t xml:space="preserve"> Some of the questions raised include</w:t>
      </w:r>
      <w:r w:rsidR="00B15FB7">
        <w:rPr>
          <w:rFonts w:ascii="Times New Roman" w:hAnsi="Times New Roman"/>
          <w:szCs w:val="24"/>
        </w:rPr>
        <w:t>;</w:t>
      </w:r>
      <w:r w:rsidR="004D5736" w:rsidRPr="004B74AE">
        <w:rPr>
          <w:rFonts w:ascii="Times New Roman" w:hAnsi="Times New Roman"/>
          <w:szCs w:val="24"/>
        </w:rPr>
        <w:t xml:space="preserve"> who should be involved in collective resolution? how do those involved arrive at the collective resolution? what is meant by dealing with the aftermath of an offence and its implications for the future? </w:t>
      </w:r>
      <w:r w:rsidR="008B2C7C">
        <w:rPr>
          <w:rFonts w:ascii="Times New Roman" w:hAnsi="Times New Roman"/>
          <w:szCs w:val="24"/>
        </w:rPr>
        <w:t>Moreover,</w:t>
      </w:r>
      <w:r w:rsidR="004D5736" w:rsidRPr="004B74AE">
        <w:rPr>
          <w:rFonts w:ascii="Times New Roman" w:hAnsi="Times New Roman"/>
          <w:szCs w:val="24"/>
        </w:rPr>
        <w:t xml:space="preserve"> what are the best ways to resolve such issues in terms of the spirit of restorative justice? This</w:t>
      </w:r>
      <w:r w:rsidR="00AA0CCE">
        <w:rPr>
          <w:rFonts w:ascii="Times New Roman" w:hAnsi="Times New Roman"/>
          <w:szCs w:val="24"/>
        </w:rPr>
        <w:t xml:space="preserve"> debate</w:t>
      </w:r>
      <w:r w:rsidR="004D5736" w:rsidRPr="004B74AE">
        <w:rPr>
          <w:rFonts w:ascii="Times New Roman" w:hAnsi="Times New Roman"/>
          <w:szCs w:val="24"/>
        </w:rPr>
        <w:t xml:space="preserve"> opens a range of broad questions with the process of restorative justice.</w:t>
      </w:r>
      <w:r w:rsidR="00AA0CCE">
        <w:rPr>
          <w:rFonts w:ascii="Times New Roman" w:hAnsi="Times New Roman"/>
          <w:szCs w:val="24"/>
        </w:rPr>
        <w:t xml:space="preserve"> </w:t>
      </w:r>
      <w:r w:rsidRPr="004B74AE">
        <w:rPr>
          <w:rFonts w:ascii="Times New Roman" w:hAnsi="Times New Roman"/>
          <w:szCs w:val="24"/>
        </w:rPr>
        <w:t>Doolin gives a comprehensive perspective on restorative justice.</w:t>
      </w:r>
    </w:p>
    <w:p w14:paraId="2E05AE85" w14:textId="3A3F6635" w:rsidR="004D5736" w:rsidRPr="004B74AE" w:rsidRDefault="004D5736" w:rsidP="001B6656">
      <w:pPr>
        <w:spacing w:line="480" w:lineRule="auto"/>
        <w:jc w:val="both"/>
        <w:rPr>
          <w:rFonts w:ascii="Times New Roman" w:hAnsi="Times New Roman"/>
          <w:szCs w:val="24"/>
        </w:rPr>
      </w:pPr>
      <w:r w:rsidRPr="004B74AE">
        <w:rPr>
          <w:rFonts w:ascii="Times New Roman" w:hAnsi="Times New Roman"/>
          <w:szCs w:val="24"/>
        </w:rPr>
        <w:lastRenderedPageBreak/>
        <w:t>Moreover, Doolin also propose</w:t>
      </w:r>
      <w:r w:rsidR="00623E85">
        <w:rPr>
          <w:rFonts w:ascii="Times New Roman" w:hAnsi="Times New Roman"/>
          <w:szCs w:val="24"/>
        </w:rPr>
        <w:t>s</w:t>
      </w:r>
      <w:r w:rsidRPr="004B74AE">
        <w:rPr>
          <w:rFonts w:ascii="Times New Roman" w:hAnsi="Times New Roman"/>
          <w:szCs w:val="24"/>
        </w:rPr>
        <w:t xml:space="preserve"> that the definition of restorative justice should not be restricted to the ‘</w:t>
      </w:r>
      <w:r w:rsidRPr="004B74AE">
        <w:rPr>
          <w:rFonts w:ascii="Times New Roman" w:hAnsi="Times New Roman"/>
          <w:i/>
          <w:szCs w:val="24"/>
        </w:rPr>
        <w:t>proces</w:t>
      </w:r>
      <w:r w:rsidR="00623E85">
        <w:rPr>
          <w:rFonts w:ascii="Times New Roman" w:hAnsi="Times New Roman"/>
          <w:szCs w:val="24"/>
        </w:rPr>
        <w:t>s’ involved, but, the outcome should also be considered.</w:t>
      </w:r>
      <w:r w:rsidRPr="004B74AE">
        <w:rPr>
          <w:rFonts w:ascii="Times New Roman" w:hAnsi="Times New Roman"/>
          <w:szCs w:val="24"/>
        </w:rPr>
        <w:t xml:space="preserve"> She pointed out that Marshall’s definition is ambiguous</w:t>
      </w:r>
      <w:r w:rsidR="00623E85">
        <w:rPr>
          <w:rFonts w:ascii="Times New Roman" w:hAnsi="Times New Roman"/>
          <w:szCs w:val="24"/>
        </w:rPr>
        <w:t xml:space="preserve">; hence his </w:t>
      </w:r>
      <w:r w:rsidR="0081601A">
        <w:rPr>
          <w:rFonts w:ascii="Times New Roman" w:hAnsi="Times New Roman"/>
          <w:szCs w:val="24"/>
        </w:rPr>
        <w:t>interpreta</w:t>
      </w:r>
      <w:r w:rsidR="00623E85">
        <w:rPr>
          <w:rFonts w:ascii="Times New Roman" w:hAnsi="Times New Roman"/>
          <w:szCs w:val="24"/>
        </w:rPr>
        <w:t>tion did not refer</w:t>
      </w:r>
      <w:r w:rsidRPr="004B74AE">
        <w:rPr>
          <w:rFonts w:ascii="Times New Roman" w:hAnsi="Times New Roman"/>
          <w:szCs w:val="24"/>
        </w:rPr>
        <w:t xml:space="preserve"> to the </w:t>
      </w:r>
      <w:r w:rsidR="00623E85">
        <w:rPr>
          <w:rFonts w:ascii="Times New Roman" w:hAnsi="Times New Roman"/>
          <w:szCs w:val="24"/>
        </w:rPr>
        <w:t>result</w:t>
      </w:r>
      <w:r w:rsidRPr="004B74AE">
        <w:rPr>
          <w:rFonts w:ascii="Times New Roman" w:hAnsi="Times New Roman"/>
          <w:szCs w:val="24"/>
        </w:rPr>
        <w:t xml:space="preserve"> to be achieved.</w:t>
      </w:r>
      <w:r w:rsidRPr="004B74AE">
        <w:rPr>
          <w:rStyle w:val="FootnoteReference"/>
          <w:rFonts w:ascii="Times New Roman" w:hAnsi="Times New Roman"/>
          <w:szCs w:val="24"/>
        </w:rPr>
        <w:footnoteReference w:id="912"/>
      </w:r>
      <w:r w:rsidR="00623E85">
        <w:rPr>
          <w:rFonts w:ascii="Times New Roman" w:hAnsi="Times New Roman"/>
          <w:szCs w:val="24"/>
        </w:rPr>
        <w:t xml:space="preserve"> Doolin’s assertion prioritises the voluntariness and informal settings of the process. For instance, </w:t>
      </w:r>
      <w:r w:rsidR="00863E47" w:rsidRPr="004B74AE">
        <w:rPr>
          <w:rFonts w:ascii="Times New Roman" w:hAnsi="Times New Roman"/>
          <w:szCs w:val="24"/>
        </w:rPr>
        <w:t xml:space="preserve"> </w:t>
      </w:r>
      <w:r w:rsidR="00623E85">
        <w:rPr>
          <w:rFonts w:ascii="Times New Roman" w:hAnsi="Times New Roman"/>
          <w:szCs w:val="24"/>
        </w:rPr>
        <w:t>w</w:t>
      </w:r>
      <w:r w:rsidRPr="004B74AE">
        <w:rPr>
          <w:rFonts w:ascii="Times New Roman" w:hAnsi="Times New Roman"/>
          <w:szCs w:val="24"/>
        </w:rPr>
        <w:t xml:space="preserve">here one of the </w:t>
      </w:r>
      <w:r w:rsidR="00623E85">
        <w:rPr>
          <w:rFonts w:ascii="Times New Roman" w:hAnsi="Times New Roman"/>
          <w:szCs w:val="24"/>
        </w:rPr>
        <w:t>stakeholder</w:t>
      </w:r>
      <w:r w:rsidR="0081601A">
        <w:rPr>
          <w:rFonts w:ascii="Times New Roman" w:hAnsi="Times New Roman"/>
          <w:szCs w:val="24"/>
        </w:rPr>
        <w:t>s</w:t>
      </w:r>
      <w:r w:rsidR="00623E85">
        <w:rPr>
          <w:rFonts w:ascii="Times New Roman" w:hAnsi="Times New Roman"/>
          <w:szCs w:val="24"/>
        </w:rPr>
        <w:t xml:space="preserve"> is absent</w:t>
      </w:r>
      <w:r w:rsidRPr="004B74AE">
        <w:rPr>
          <w:rFonts w:ascii="Times New Roman" w:hAnsi="Times New Roman"/>
          <w:szCs w:val="24"/>
        </w:rPr>
        <w:t>, he/she could be coerced for appearance. One se</w:t>
      </w:r>
      <w:r w:rsidR="00623E85">
        <w:rPr>
          <w:rFonts w:ascii="Times New Roman" w:hAnsi="Times New Roman"/>
          <w:szCs w:val="24"/>
        </w:rPr>
        <w:t>vere</w:t>
      </w:r>
      <w:r w:rsidRPr="004B74AE">
        <w:rPr>
          <w:rFonts w:ascii="Times New Roman" w:hAnsi="Times New Roman"/>
          <w:szCs w:val="24"/>
        </w:rPr>
        <w:t xml:space="preserve"> weakness with the proposition of Doolin is the use of coercion.</w:t>
      </w:r>
      <w:r w:rsidR="00623E85" w:rsidRPr="004B74AE">
        <w:rPr>
          <w:rFonts w:ascii="Times New Roman" w:hAnsi="Times New Roman"/>
          <w:szCs w:val="24"/>
        </w:rPr>
        <w:t xml:space="preserve"> </w:t>
      </w:r>
      <w:r w:rsidRPr="004B74AE">
        <w:rPr>
          <w:rFonts w:ascii="Times New Roman" w:hAnsi="Times New Roman"/>
          <w:szCs w:val="24"/>
        </w:rPr>
        <w:t>Coercion goes against the voluntary and consent needed for the process.</w:t>
      </w:r>
      <w:r w:rsidR="00623E85">
        <w:rPr>
          <w:rFonts w:ascii="Times New Roman" w:hAnsi="Times New Roman"/>
          <w:szCs w:val="24"/>
        </w:rPr>
        <w:t xml:space="preserve"> </w:t>
      </w:r>
      <w:r w:rsidRPr="004B74AE">
        <w:rPr>
          <w:rFonts w:ascii="Times New Roman" w:hAnsi="Times New Roman"/>
          <w:szCs w:val="24"/>
        </w:rPr>
        <w:t>A possible implication of this is that the process might lead to a  ‘</w:t>
      </w:r>
      <w:r w:rsidRPr="004B74AE">
        <w:rPr>
          <w:rFonts w:ascii="Times New Roman" w:hAnsi="Times New Roman"/>
          <w:i/>
          <w:szCs w:val="24"/>
        </w:rPr>
        <w:t>non</w:t>
      </w:r>
      <w:r w:rsidR="0081601A">
        <w:rPr>
          <w:rFonts w:ascii="Times New Roman" w:hAnsi="Times New Roman"/>
          <w:i/>
          <w:szCs w:val="24"/>
        </w:rPr>
        <w:t>-</w:t>
      </w:r>
      <w:r w:rsidRPr="004B74AE">
        <w:rPr>
          <w:rFonts w:ascii="Times New Roman" w:hAnsi="Times New Roman"/>
          <w:i/>
          <w:szCs w:val="24"/>
        </w:rPr>
        <w:t>restorative ends’</w:t>
      </w:r>
      <w:r w:rsidRPr="004B74AE">
        <w:rPr>
          <w:rFonts w:ascii="Times New Roman" w:hAnsi="Times New Roman"/>
          <w:szCs w:val="24"/>
        </w:rPr>
        <w:t xml:space="preserve"> thereby compromising the intention of restorative justice.</w:t>
      </w:r>
      <w:r w:rsidR="0081601A">
        <w:rPr>
          <w:rStyle w:val="FootnoteReference"/>
          <w:rFonts w:ascii="Times New Roman" w:hAnsi="Times New Roman"/>
          <w:szCs w:val="24"/>
        </w:rPr>
        <w:footnoteReference w:id="913"/>
      </w:r>
      <w:r w:rsidRPr="004B74AE">
        <w:rPr>
          <w:rFonts w:ascii="Times New Roman" w:hAnsi="Times New Roman"/>
          <w:szCs w:val="24"/>
        </w:rPr>
        <w:t xml:space="preserve"> </w:t>
      </w:r>
      <w:r w:rsidR="0081601A">
        <w:rPr>
          <w:rFonts w:ascii="Times New Roman" w:hAnsi="Times New Roman"/>
          <w:szCs w:val="24"/>
        </w:rPr>
        <w:t xml:space="preserve">As such, compulsion may lead to victimisation of the offender or re-victimisation of the victim. </w:t>
      </w:r>
      <w:r w:rsidRPr="004B74AE">
        <w:rPr>
          <w:rFonts w:ascii="Times New Roman" w:hAnsi="Times New Roman"/>
          <w:szCs w:val="24"/>
        </w:rPr>
        <w:t>Thus, the use of coercion flaws the proposition of Doolin.</w:t>
      </w:r>
    </w:p>
    <w:p w14:paraId="2B04E9ED" w14:textId="77777777" w:rsidR="000606BD" w:rsidRPr="004B74AE" w:rsidRDefault="000606BD" w:rsidP="001B6656">
      <w:pPr>
        <w:spacing w:line="480" w:lineRule="auto"/>
        <w:jc w:val="both"/>
        <w:rPr>
          <w:rFonts w:ascii="Times New Roman" w:hAnsi="Times New Roman"/>
          <w:szCs w:val="24"/>
        </w:rPr>
      </w:pPr>
      <w:r w:rsidRPr="004B74AE">
        <w:rPr>
          <w:rFonts w:ascii="Times New Roman" w:hAnsi="Times New Roman"/>
          <w:szCs w:val="24"/>
        </w:rPr>
        <w:t xml:space="preserve">Besides, </w:t>
      </w:r>
      <w:proofErr w:type="spellStart"/>
      <w:r w:rsidRPr="004B74AE">
        <w:rPr>
          <w:rFonts w:ascii="Times New Roman" w:hAnsi="Times New Roman"/>
          <w:szCs w:val="24"/>
        </w:rPr>
        <w:t>Zehr’s</w:t>
      </w:r>
      <w:proofErr w:type="spellEnd"/>
      <w:r w:rsidRPr="004B74AE">
        <w:rPr>
          <w:rFonts w:ascii="Times New Roman" w:hAnsi="Times New Roman"/>
          <w:szCs w:val="24"/>
        </w:rPr>
        <w:t xml:space="preserve"> principles of restorative justice </w:t>
      </w:r>
      <w:r w:rsidR="0081601A">
        <w:rPr>
          <w:rFonts w:ascii="Times New Roman" w:hAnsi="Times New Roman"/>
          <w:szCs w:val="24"/>
        </w:rPr>
        <w:t>comprise of</w:t>
      </w:r>
      <w:r w:rsidR="007B2149" w:rsidRPr="004B74AE">
        <w:rPr>
          <w:rFonts w:ascii="Times New Roman" w:hAnsi="Times New Roman"/>
          <w:szCs w:val="24"/>
        </w:rPr>
        <w:t xml:space="preserve"> the relationship between parties in conflict resolution.</w:t>
      </w:r>
      <w:r w:rsidR="0081601A">
        <w:rPr>
          <w:rFonts w:ascii="Times New Roman" w:hAnsi="Times New Roman"/>
          <w:szCs w:val="24"/>
        </w:rPr>
        <w:t xml:space="preserve"> </w:t>
      </w:r>
      <w:r w:rsidR="007B2149" w:rsidRPr="004B74AE">
        <w:rPr>
          <w:rFonts w:ascii="Times New Roman" w:hAnsi="Times New Roman"/>
          <w:szCs w:val="24"/>
        </w:rPr>
        <w:t>These values include:</w:t>
      </w:r>
    </w:p>
    <w:p w14:paraId="768EF91E" w14:textId="77777777" w:rsidR="000606BD" w:rsidRPr="004B74AE" w:rsidRDefault="000606BD" w:rsidP="004B74AE">
      <w:pPr>
        <w:pStyle w:val="ListParagraph"/>
        <w:numPr>
          <w:ilvl w:val="0"/>
          <w:numId w:val="9"/>
        </w:numPr>
        <w:spacing w:line="480" w:lineRule="auto"/>
        <w:jc w:val="both"/>
        <w:rPr>
          <w:rFonts w:ascii="Times New Roman" w:hAnsi="Times New Roman"/>
          <w:szCs w:val="24"/>
        </w:rPr>
      </w:pPr>
      <w:r w:rsidRPr="004B74AE">
        <w:rPr>
          <w:rFonts w:ascii="Times New Roman" w:hAnsi="Times New Roman"/>
          <w:szCs w:val="24"/>
        </w:rPr>
        <w:t>deals with victims’ harms and consequent needs, as well as offenders’ and communities’;</w:t>
      </w:r>
    </w:p>
    <w:p w14:paraId="65F7F3CD" w14:textId="285187DF" w:rsidR="000606BD" w:rsidRPr="004B74AE" w:rsidRDefault="000606BD" w:rsidP="004B74AE">
      <w:pPr>
        <w:pStyle w:val="ListParagraph"/>
        <w:numPr>
          <w:ilvl w:val="0"/>
          <w:numId w:val="9"/>
        </w:numPr>
        <w:spacing w:line="480" w:lineRule="auto"/>
        <w:jc w:val="both"/>
        <w:rPr>
          <w:rFonts w:ascii="Times New Roman" w:hAnsi="Times New Roman"/>
          <w:szCs w:val="24"/>
        </w:rPr>
      </w:pPr>
      <w:r w:rsidRPr="004B74AE">
        <w:rPr>
          <w:rFonts w:ascii="Times New Roman" w:hAnsi="Times New Roman"/>
          <w:szCs w:val="24"/>
        </w:rPr>
        <w:t>Addresses obligations that arise from these harms;</w:t>
      </w:r>
    </w:p>
    <w:p w14:paraId="7450DBB5" w14:textId="2D40C1A4" w:rsidR="000606BD" w:rsidRPr="004B74AE" w:rsidRDefault="000606BD" w:rsidP="004B74AE">
      <w:pPr>
        <w:pStyle w:val="ListParagraph"/>
        <w:numPr>
          <w:ilvl w:val="0"/>
          <w:numId w:val="9"/>
        </w:numPr>
        <w:spacing w:line="480" w:lineRule="auto"/>
        <w:jc w:val="both"/>
        <w:rPr>
          <w:rFonts w:ascii="Times New Roman" w:hAnsi="Times New Roman"/>
          <w:szCs w:val="24"/>
        </w:rPr>
      </w:pPr>
      <w:r w:rsidRPr="004B74AE">
        <w:rPr>
          <w:rFonts w:ascii="Times New Roman" w:hAnsi="Times New Roman"/>
          <w:szCs w:val="24"/>
        </w:rPr>
        <w:t>Uses inclusive,</w:t>
      </w:r>
      <w:r w:rsidR="00FE75F9">
        <w:rPr>
          <w:rFonts w:ascii="Times New Roman" w:hAnsi="Times New Roman"/>
          <w:szCs w:val="24"/>
        </w:rPr>
        <w:t xml:space="preserve"> </w:t>
      </w:r>
      <w:r w:rsidRPr="004B74AE">
        <w:rPr>
          <w:rFonts w:ascii="Times New Roman" w:hAnsi="Times New Roman"/>
          <w:szCs w:val="24"/>
        </w:rPr>
        <w:t>collaborative processes;</w:t>
      </w:r>
    </w:p>
    <w:p w14:paraId="5D099F98" w14:textId="77777777" w:rsidR="000606BD" w:rsidRPr="004B74AE" w:rsidRDefault="000606BD" w:rsidP="004B74AE">
      <w:pPr>
        <w:pStyle w:val="ListParagraph"/>
        <w:numPr>
          <w:ilvl w:val="0"/>
          <w:numId w:val="9"/>
        </w:numPr>
        <w:spacing w:line="480" w:lineRule="auto"/>
        <w:jc w:val="both"/>
        <w:rPr>
          <w:rFonts w:ascii="Times New Roman" w:hAnsi="Times New Roman"/>
          <w:szCs w:val="24"/>
        </w:rPr>
      </w:pPr>
      <w:r w:rsidRPr="004B74AE">
        <w:rPr>
          <w:rFonts w:ascii="Times New Roman" w:hAnsi="Times New Roman"/>
          <w:szCs w:val="24"/>
        </w:rPr>
        <w:lastRenderedPageBreak/>
        <w:t>involves victims, offenders,</w:t>
      </w:r>
      <w:r w:rsidR="0081601A">
        <w:rPr>
          <w:rFonts w:ascii="Times New Roman" w:hAnsi="Times New Roman"/>
          <w:szCs w:val="24"/>
        </w:rPr>
        <w:t xml:space="preserve"> </w:t>
      </w:r>
      <w:r w:rsidRPr="004B74AE">
        <w:rPr>
          <w:rFonts w:ascii="Times New Roman" w:hAnsi="Times New Roman"/>
          <w:szCs w:val="24"/>
        </w:rPr>
        <w:t>families,</w:t>
      </w:r>
      <w:r w:rsidR="0081601A">
        <w:rPr>
          <w:rFonts w:ascii="Times New Roman" w:hAnsi="Times New Roman"/>
          <w:szCs w:val="24"/>
        </w:rPr>
        <w:t xml:space="preserve"> </w:t>
      </w:r>
      <w:r w:rsidRPr="004B74AE">
        <w:rPr>
          <w:rFonts w:ascii="Times New Roman" w:hAnsi="Times New Roman"/>
          <w:szCs w:val="24"/>
        </w:rPr>
        <w:t xml:space="preserve">community members and society because they have </w:t>
      </w:r>
      <w:r w:rsidR="0081601A">
        <w:rPr>
          <w:rFonts w:ascii="Times New Roman" w:hAnsi="Times New Roman"/>
          <w:szCs w:val="24"/>
        </w:rPr>
        <w:t xml:space="preserve">a </w:t>
      </w:r>
      <w:r w:rsidRPr="004B74AE">
        <w:rPr>
          <w:rFonts w:ascii="Times New Roman" w:hAnsi="Times New Roman"/>
          <w:szCs w:val="24"/>
        </w:rPr>
        <w:t>legitimate stake in the situation;</w:t>
      </w:r>
    </w:p>
    <w:p w14:paraId="553C7956" w14:textId="77777777" w:rsidR="000606BD" w:rsidRPr="004B74AE" w:rsidRDefault="000606BD" w:rsidP="004B74AE">
      <w:pPr>
        <w:pStyle w:val="ListParagraph"/>
        <w:numPr>
          <w:ilvl w:val="0"/>
          <w:numId w:val="9"/>
        </w:numPr>
        <w:spacing w:line="480" w:lineRule="auto"/>
        <w:jc w:val="both"/>
        <w:rPr>
          <w:rFonts w:ascii="Times New Roman" w:hAnsi="Times New Roman"/>
          <w:szCs w:val="24"/>
        </w:rPr>
      </w:pPr>
      <w:r w:rsidRPr="004B74AE">
        <w:rPr>
          <w:rFonts w:ascii="Times New Roman" w:hAnsi="Times New Roman"/>
          <w:szCs w:val="24"/>
        </w:rPr>
        <w:t>aims to put right the wrong.</w:t>
      </w:r>
      <w:r w:rsidRPr="004B74AE">
        <w:rPr>
          <w:rStyle w:val="FootnoteReference"/>
          <w:rFonts w:ascii="Times New Roman" w:hAnsi="Times New Roman"/>
          <w:szCs w:val="24"/>
        </w:rPr>
        <w:footnoteReference w:id="914"/>
      </w:r>
    </w:p>
    <w:p w14:paraId="0C07C065" w14:textId="3D9AC3E3" w:rsidR="00B41112" w:rsidRDefault="00F11F53" w:rsidP="001B6656">
      <w:pPr>
        <w:spacing w:line="480" w:lineRule="auto"/>
        <w:jc w:val="both"/>
        <w:rPr>
          <w:rFonts w:ascii="Times New Roman" w:hAnsi="Times New Roman"/>
          <w:szCs w:val="24"/>
        </w:rPr>
      </w:pPr>
      <w:r w:rsidRPr="00F11F53">
        <w:rPr>
          <w:rFonts w:ascii="Times New Roman" w:hAnsi="Times New Roman"/>
          <w:szCs w:val="24"/>
        </w:rPr>
        <w:t xml:space="preserve">One </w:t>
      </w:r>
      <w:r w:rsidR="004D5736" w:rsidRPr="00F11F53">
        <w:rPr>
          <w:rFonts w:ascii="Times New Roman" w:hAnsi="Times New Roman"/>
          <w:szCs w:val="24"/>
        </w:rPr>
        <w:t>of the aim</w:t>
      </w:r>
      <w:r w:rsidRPr="00F11F53">
        <w:rPr>
          <w:rFonts w:ascii="Times New Roman" w:hAnsi="Times New Roman"/>
          <w:szCs w:val="24"/>
        </w:rPr>
        <w:t xml:space="preserve">s of restorative justice is to </w:t>
      </w:r>
      <w:r>
        <w:rPr>
          <w:rFonts w:ascii="Times New Roman" w:hAnsi="Times New Roman"/>
          <w:szCs w:val="24"/>
        </w:rPr>
        <w:t xml:space="preserve">reposition victims </w:t>
      </w:r>
      <w:r w:rsidR="004D5736" w:rsidRPr="00F11F53">
        <w:rPr>
          <w:rFonts w:ascii="Times New Roman" w:hAnsi="Times New Roman"/>
          <w:szCs w:val="24"/>
        </w:rPr>
        <w:t>as ‘</w:t>
      </w:r>
      <w:r w:rsidR="004D5736" w:rsidRPr="00F11F53">
        <w:rPr>
          <w:rFonts w:ascii="Times New Roman" w:hAnsi="Times New Roman"/>
          <w:i/>
          <w:szCs w:val="24"/>
        </w:rPr>
        <w:t>active agents’</w:t>
      </w:r>
      <w:r w:rsidR="004D5736" w:rsidRPr="00F11F53">
        <w:rPr>
          <w:rFonts w:ascii="Times New Roman" w:hAnsi="Times New Roman"/>
          <w:szCs w:val="24"/>
        </w:rPr>
        <w:t xml:space="preserve"> rather ‘</w:t>
      </w:r>
      <w:r w:rsidR="004D5736" w:rsidRPr="00F11F53">
        <w:rPr>
          <w:rFonts w:ascii="Times New Roman" w:hAnsi="Times New Roman"/>
          <w:i/>
          <w:szCs w:val="24"/>
        </w:rPr>
        <w:t>passive objects’</w:t>
      </w:r>
      <w:r w:rsidR="004D5736" w:rsidRPr="00F11F53">
        <w:rPr>
          <w:rFonts w:ascii="Times New Roman" w:hAnsi="Times New Roman"/>
          <w:szCs w:val="24"/>
        </w:rPr>
        <w:t xml:space="preserve"> of the justice process.</w:t>
      </w:r>
      <w:r w:rsidR="004D5736" w:rsidRPr="00F11F53">
        <w:rPr>
          <w:rStyle w:val="FootnoteReference"/>
          <w:rFonts w:ascii="Times New Roman" w:hAnsi="Times New Roman"/>
          <w:szCs w:val="24"/>
        </w:rPr>
        <w:footnoteReference w:id="915"/>
      </w:r>
      <w:r w:rsidR="004D5736" w:rsidRPr="00F11F53">
        <w:rPr>
          <w:rFonts w:ascii="Times New Roman" w:hAnsi="Times New Roman"/>
          <w:szCs w:val="24"/>
        </w:rPr>
        <w:t xml:space="preserve"> </w:t>
      </w:r>
      <w:r w:rsidR="007B2149" w:rsidRPr="00F11F53">
        <w:rPr>
          <w:rFonts w:ascii="Times New Roman" w:hAnsi="Times New Roman"/>
          <w:szCs w:val="24"/>
        </w:rPr>
        <w:t>It puts the needs of both parties at the forefront.</w:t>
      </w:r>
      <w:r w:rsidR="004D5736" w:rsidRPr="00F11F53">
        <w:rPr>
          <w:rFonts w:ascii="Times New Roman" w:hAnsi="Times New Roman"/>
          <w:szCs w:val="24"/>
        </w:rPr>
        <w:t xml:space="preserve"> </w:t>
      </w:r>
      <w:r w:rsidR="00B41112">
        <w:rPr>
          <w:rFonts w:ascii="Times New Roman" w:hAnsi="Times New Roman"/>
          <w:szCs w:val="24"/>
        </w:rPr>
        <w:t xml:space="preserve">One benefit of restorative justice is that it </w:t>
      </w:r>
      <w:proofErr w:type="spellStart"/>
      <w:r w:rsidR="00B41112">
        <w:rPr>
          <w:rFonts w:ascii="Times New Roman" w:hAnsi="Times New Roman"/>
          <w:szCs w:val="24"/>
        </w:rPr>
        <w:t>profers</w:t>
      </w:r>
      <w:proofErr w:type="spellEnd"/>
      <w:r w:rsidR="00B41112">
        <w:rPr>
          <w:rFonts w:ascii="Times New Roman" w:hAnsi="Times New Roman"/>
          <w:szCs w:val="24"/>
        </w:rPr>
        <w:t xml:space="preserve"> inclusive approach for all stakeholders.</w:t>
      </w:r>
    </w:p>
    <w:p w14:paraId="206CA89A" w14:textId="2A1977D2" w:rsidR="004D5736" w:rsidRPr="00B41112" w:rsidRDefault="00B41112" w:rsidP="001B6656">
      <w:pPr>
        <w:spacing w:line="480" w:lineRule="auto"/>
        <w:jc w:val="both"/>
        <w:rPr>
          <w:rFonts w:ascii="Times New Roman" w:hAnsi="Times New Roman"/>
          <w:szCs w:val="24"/>
        </w:rPr>
      </w:pPr>
      <w:r w:rsidRPr="00F11F53">
        <w:rPr>
          <w:rFonts w:ascii="Times New Roman" w:hAnsi="Times New Roman"/>
          <w:szCs w:val="24"/>
        </w:rPr>
        <w:t xml:space="preserve"> </w:t>
      </w:r>
      <w:r w:rsidRPr="00B41112">
        <w:rPr>
          <w:rFonts w:ascii="Times New Roman" w:hAnsi="Times New Roman"/>
          <w:szCs w:val="24"/>
        </w:rPr>
        <w:t>Moreover,</w:t>
      </w:r>
      <w:r>
        <w:rPr>
          <w:rFonts w:ascii="Times New Roman" w:hAnsi="Times New Roman"/>
          <w:szCs w:val="24"/>
        </w:rPr>
        <w:t xml:space="preserve"> Ness and  Strong divide restorative justice into </w:t>
      </w:r>
      <w:proofErr w:type="spellStart"/>
      <w:r>
        <w:rPr>
          <w:rFonts w:ascii="Times New Roman" w:hAnsi="Times New Roman"/>
          <w:szCs w:val="24"/>
        </w:rPr>
        <w:t>there</w:t>
      </w:r>
      <w:proofErr w:type="spellEnd"/>
      <w:r>
        <w:rPr>
          <w:rFonts w:ascii="Times New Roman" w:hAnsi="Times New Roman"/>
          <w:szCs w:val="24"/>
        </w:rPr>
        <w:t xml:space="preserve"> categories. The three categories are referred to as</w:t>
      </w:r>
      <w:r w:rsidR="007B2149" w:rsidRPr="00B41112">
        <w:rPr>
          <w:rFonts w:ascii="Times New Roman" w:hAnsi="Times New Roman"/>
          <w:szCs w:val="24"/>
        </w:rPr>
        <w:t xml:space="preserve"> three key pillars of restorative justice</w:t>
      </w:r>
      <w:r>
        <w:rPr>
          <w:rFonts w:ascii="Times New Roman" w:hAnsi="Times New Roman"/>
          <w:szCs w:val="24"/>
        </w:rPr>
        <w:t xml:space="preserve">; </w:t>
      </w:r>
      <w:r w:rsidR="007B2149" w:rsidRPr="00B41112">
        <w:rPr>
          <w:rFonts w:ascii="Times New Roman" w:hAnsi="Times New Roman"/>
          <w:szCs w:val="24"/>
        </w:rPr>
        <w:t xml:space="preserve"> ‘</w:t>
      </w:r>
      <w:r w:rsidR="007B2149" w:rsidRPr="00B41112">
        <w:rPr>
          <w:rFonts w:ascii="Times New Roman" w:hAnsi="Times New Roman"/>
          <w:i/>
          <w:szCs w:val="24"/>
        </w:rPr>
        <w:t>encounte</w:t>
      </w:r>
      <w:r w:rsidR="007B2149" w:rsidRPr="00B41112">
        <w:rPr>
          <w:rFonts w:ascii="Times New Roman" w:hAnsi="Times New Roman"/>
          <w:szCs w:val="24"/>
        </w:rPr>
        <w:t>r’, ‘</w:t>
      </w:r>
      <w:r w:rsidR="007B2149" w:rsidRPr="00B41112">
        <w:rPr>
          <w:rFonts w:ascii="Times New Roman" w:hAnsi="Times New Roman"/>
          <w:i/>
          <w:szCs w:val="24"/>
        </w:rPr>
        <w:t>amends</w:t>
      </w:r>
      <w:r w:rsidR="007B2149" w:rsidRPr="00B41112">
        <w:rPr>
          <w:rFonts w:ascii="Times New Roman" w:hAnsi="Times New Roman"/>
          <w:szCs w:val="24"/>
        </w:rPr>
        <w:t>’ and ‘</w:t>
      </w:r>
      <w:r w:rsidR="007B2149" w:rsidRPr="00B41112">
        <w:rPr>
          <w:rFonts w:ascii="Times New Roman" w:hAnsi="Times New Roman"/>
          <w:i/>
          <w:szCs w:val="24"/>
        </w:rPr>
        <w:t>reintegration</w:t>
      </w:r>
      <w:r w:rsidR="007B2149" w:rsidRPr="00B41112">
        <w:rPr>
          <w:rFonts w:ascii="Times New Roman" w:hAnsi="Times New Roman"/>
          <w:szCs w:val="24"/>
        </w:rPr>
        <w:t>.’</w:t>
      </w:r>
      <w:r w:rsidR="007B2149" w:rsidRPr="00B41112">
        <w:rPr>
          <w:rStyle w:val="FootnoteReference"/>
          <w:rFonts w:ascii="Times New Roman" w:hAnsi="Times New Roman"/>
          <w:szCs w:val="24"/>
        </w:rPr>
        <w:footnoteReference w:id="916"/>
      </w:r>
      <w:r w:rsidR="007B2149" w:rsidRPr="00B41112">
        <w:rPr>
          <w:rFonts w:ascii="Times New Roman" w:hAnsi="Times New Roman"/>
          <w:szCs w:val="24"/>
        </w:rPr>
        <w:t xml:space="preserve"> These commentators argue that victims have a central participatory role in the three pillars of restorative justice processes. Realistically, victims ought to be involved in direct participation in this process.</w:t>
      </w:r>
      <w:r>
        <w:rPr>
          <w:rFonts w:ascii="Times New Roman" w:hAnsi="Times New Roman"/>
          <w:szCs w:val="24"/>
        </w:rPr>
        <w:t xml:space="preserve"> </w:t>
      </w:r>
      <w:r w:rsidR="004D5736" w:rsidRPr="00B41112">
        <w:rPr>
          <w:rFonts w:ascii="Times New Roman" w:hAnsi="Times New Roman"/>
          <w:szCs w:val="24"/>
        </w:rPr>
        <w:t xml:space="preserve">The three key pillars of restorative justice shall be discussed in </w:t>
      </w:r>
      <w:r>
        <w:rPr>
          <w:rFonts w:ascii="Times New Roman" w:hAnsi="Times New Roman"/>
          <w:szCs w:val="24"/>
        </w:rPr>
        <w:t xml:space="preserve">the </w:t>
      </w:r>
      <w:r w:rsidR="004D5736" w:rsidRPr="00B41112">
        <w:rPr>
          <w:rFonts w:ascii="Times New Roman" w:hAnsi="Times New Roman"/>
          <w:szCs w:val="24"/>
        </w:rPr>
        <w:t>following section:</w:t>
      </w:r>
    </w:p>
    <w:p w14:paraId="038CE17C" w14:textId="77777777" w:rsidR="004D5736" w:rsidRPr="00A41538" w:rsidRDefault="004D5736" w:rsidP="001B6656">
      <w:pPr>
        <w:spacing w:line="480" w:lineRule="auto"/>
        <w:jc w:val="both"/>
        <w:rPr>
          <w:b/>
          <w:szCs w:val="24"/>
        </w:rPr>
      </w:pPr>
    </w:p>
    <w:p w14:paraId="4EB2F4BD" w14:textId="77777777" w:rsidR="004D5736" w:rsidRPr="00B41112" w:rsidRDefault="00B41112" w:rsidP="00DF5C01">
      <w:pPr>
        <w:pStyle w:val="Heading3"/>
      </w:pPr>
      <w:bookmarkStart w:id="59" w:name="_Toc60235829"/>
      <w:r>
        <w:t xml:space="preserve">4.2.1 </w:t>
      </w:r>
      <w:r w:rsidR="004D5736" w:rsidRPr="00B41112">
        <w:t>Encounter</w:t>
      </w:r>
      <w:bookmarkEnd w:id="59"/>
    </w:p>
    <w:p w14:paraId="4263D452" w14:textId="77777777" w:rsidR="004D5736" w:rsidRPr="00B41112" w:rsidRDefault="00B41112" w:rsidP="001B6656">
      <w:pPr>
        <w:spacing w:line="480" w:lineRule="auto"/>
        <w:jc w:val="both"/>
        <w:rPr>
          <w:rFonts w:ascii="Times New Roman" w:hAnsi="Times New Roman"/>
          <w:szCs w:val="24"/>
        </w:rPr>
      </w:pPr>
      <w:r>
        <w:rPr>
          <w:rFonts w:ascii="Times New Roman" w:hAnsi="Times New Roman"/>
          <w:szCs w:val="24"/>
        </w:rPr>
        <w:t xml:space="preserve">According to </w:t>
      </w:r>
      <w:r w:rsidRPr="00B41112">
        <w:rPr>
          <w:rFonts w:ascii="Times New Roman" w:hAnsi="Times New Roman"/>
          <w:szCs w:val="24"/>
        </w:rPr>
        <w:t xml:space="preserve">Van Ness and </w:t>
      </w:r>
      <w:proofErr w:type="spellStart"/>
      <w:r w:rsidRPr="00B41112">
        <w:rPr>
          <w:rFonts w:ascii="Times New Roman" w:hAnsi="Times New Roman"/>
          <w:szCs w:val="24"/>
        </w:rPr>
        <w:t>Heetderks</w:t>
      </w:r>
      <w:proofErr w:type="spellEnd"/>
      <w:r>
        <w:rPr>
          <w:rFonts w:ascii="Times New Roman" w:hAnsi="Times New Roman"/>
          <w:szCs w:val="24"/>
        </w:rPr>
        <w:t xml:space="preserve">, </w:t>
      </w:r>
      <w:r w:rsidR="004D5736" w:rsidRPr="00B41112">
        <w:rPr>
          <w:rFonts w:ascii="Times New Roman" w:hAnsi="Times New Roman"/>
          <w:szCs w:val="24"/>
        </w:rPr>
        <w:t>Encounter is the first pillar of RJ</w:t>
      </w:r>
      <w:r>
        <w:rPr>
          <w:rFonts w:ascii="Times New Roman" w:hAnsi="Times New Roman"/>
          <w:szCs w:val="24"/>
        </w:rPr>
        <w:t>.</w:t>
      </w:r>
      <w:r w:rsidR="004D5736" w:rsidRPr="00B41112">
        <w:rPr>
          <w:rFonts w:ascii="Times New Roman" w:hAnsi="Times New Roman"/>
          <w:szCs w:val="24"/>
        </w:rPr>
        <w:t xml:space="preserve">  The encounter between victims and </w:t>
      </w:r>
      <w:r>
        <w:rPr>
          <w:rFonts w:ascii="Times New Roman" w:hAnsi="Times New Roman"/>
          <w:szCs w:val="24"/>
        </w:rPr>
        <w:t xml:space="preserve">the </w:t>
      </w:r>
      <w:r w:rsidR="004D5736" w:rsidRPr="00B41112">
        <w:rPr>
          <w:rFonts w:ascii="Times New Roman" w:hAnsi="Times New Roman"/>
          <w:szCs w:val="24"/>
        </w:rPr>
        <w:t xml:space="preserve">offender is an </w:t>
      </w:r>
      <w:r>
        <w:rPr>
          <w:rFonts w:ascii="Times New Roman" w:hAnsi="Times New Roman"/>
          <w:szCs w:val="24"/>
        </w:rPr>
        <w:t>essential</w:t>
      </w:r>
      <w:r w:rsidR="004D5736" w:rsidRPr="00B41112">
        <w:rPr>
          <w:rFonts w:ascii="Times New Roman" w:hAnsi="Times New Roman"/>
          <w:szCs w:val="24"/>
        </w:rPr>
        <w:t xml:space="preserve"> element of the RJ process.</w:t>
      </w:r>
      <w:r w:rsidR="004D5736" w:rsidRPr="00A41538">
        <w:rPr>
          <w:szCs w:val="24"/>
        </w:rPr>
        <w:t xml:space="preserve"> </w:t>
      </w:r>
      <w:r w:rsidR="004D5736" w:rsidRPr="00B41112">
        <w:rPr>
          <w:rFonts w:ascii="Times New Roman" w:hAnsi="Times New Roman"/>
          <w:szCs w:val="24"/>
        </w:rPr>
        <w:t xml:space="preserve">This </w:t>
      </w:r>
      <w:r w:rsidR="004D5736" w:rsidRPr="00B41112">
        <w:rPr>
          <w:rFonts w:ascii="Times New Roman" w:hAnsi="Times New Roman"/>
          <w:szCs w:val="24"/>
        </w:rPr>
        <w:lastRenderedPageBreak/>
        <w:t xml:space="preserve">encounter may be referred </w:t>
      </w:r>
      <w:r>
        <w:rPr>
          <w:rFonts w:ascii="Times New Roman" w:hAnsi="Times New Roman"/>
          <w:szCs w:val="24"/>
        </w:rPr>
        <w:t>to as a meeting. It is vital that this meeting must</w:t>
      </w:r>
      <w:r w:rsidR="004D5736" w:rsidRPr="00B41112">
        <w:rPr>
          <w:rFonts w:ascii="Times New Roman" w:hAnsi="Times New Roman"/>
          <w:szCs w:val="24"/>
        </w:rPr>
        <w:t xml:space="preserve"> involve </w:t>
      </w:r>
      <w:r>
        <w:rPr>
          <w:rFonts w:ascii="Times New Roman" w:hAnsi="Times New Roman"/>
          <w:szCs w:val="24"/>
        </w:rPr>
        <w:t xml:space="preserve">the </w:t>
      </w:r>
      <w:r w:rsidR="004D5736" w:rsidRPr="00B41112">
        <w:rPr>
          <w:rFonts w:ascii="Times New Roman" w:hAnsi="Times New Roman"/>
          <w:szCs w:val="24"/>
        </w:rPr>
        <w:t xml:space="preserve">voluntary participation of victims. No participant should be coerced to attend or participate in the </w:t>
      </w:r>
      <w:r>
        <w:rPr>
          <w:rFonts w:ascii="Times New Roman" w:hAnsi="Times New Roman"/>
          <w:szCs w:val="24"/>
        </w:rPr>
        <w:t>conference. The conference</w:t>
      </w:r>
      <w:r w:rsidR="004D5736" w:rsidRPr="00B41112">
        <w:rPr>
          <w:rFonts w:ascii="Times New Roman" w:hAnsi="Times New Roman"/>
          <w:szCs w:val="24"/>
        </w:rPr>
        <w:t xml:space="preserve"> provides a platform for communication for both the victims and</w:t>
      </w:r>
      <w:r>
        <w:rPr>
          <w:rFonts w:ascii="Times New Roman" w:hAnsi="Times New Roman"/>
          <w:szCs w:val="24"/>
        </w:rPr>
        <w:t xml:space="preserve"> offenders where they can </w:t>
      </w:r>
      <w:r w:rsidR="00C96142">
        <w:rPr>
          <w:rFonts w:ascii="Times New Roman" w:hAnsi="Times New Roman"/>
          <w:szCs w:val="24"/>
        </w:rPr>
        <w:t>narrate</w:t>
      </w:r>
      <w:r w:rsidR="004D5736" w:rsidRPr="00B41112">
        <w:rPr>
          <w:rFonts w:ascii="Times New Roman" w:hAnsi="Times New Roman"/>
          <w:szCs w:val="24"/>
        </w:rPr>
        <w:t xml:space="preserve"> their experiences, the harm caused they suffered</w:t>
      </w:r>
      <w:r>
        <w:rPr>
          <w:rFonts w:ascii="Times New Roman" w:hAnsi="Times New Roman"/>
          <w:szCs w:val="24"/>
        </w:rPr>
        <w:t>,</w:t>
      </w:r>
      <w:r w:rsidR="004D5736" w:rsidRPr="00B41112">
        <w:rPr>
          <w:rFonts w:ascii="Times New Roman" w:hAnsi="Times New Roman"/>
          <w:szCs w:val="24"/>
        </w:rPr>
        <w:t xml:space="preserve"> and the impact on their lives.</w:t>
      </w:r>
      <w:r w:rsidR="004D5736" w:rsidRPr="00B41112">
        <w:rPr>
          <w:rStyle w:val="FootnoteReference"/>
          <w:rFonts w:ascii="Times New Roman" w:hAnsi="Times New Roman"/>
          <w:szCs w:val="24"/>
        </w:rPr>
        <w:footnoteReference w:id="917"/>
      </w:r>
    </w:p>
    <w:p w14:paraId="0AD52994" w14:textId="18CB624C" w:rsidR="00985C9E" w:rsidRDefault="004D5736" w:rsidP="001B6656">
      <w:pPr>
        <w:spacing w:line="480" w:lineRule="auto"/>
        <w:jc w:val="both"/>
        <w:rPr>
          <w:rFonts w:ascii="Times New Roman" w:hAnsi="Times New Roman"/>
          <w:szCs w:val="24"/>
        </w:rPr>
      </w:pPr>
      <w:r w:rsidRPr="00B41112">
        <w:rPr>
          <w:rFonts w:ascii="Times New Roman" w:hAnsi="Times New Roman"/>
          <w:szCs w:val="24"/>
        </w:rPr>
        <w:t xml:space="preserve">Interestingly, one unique aspect at the encounter stage is that the victims can tell their stories in their own words, instead of speaking in legal language. </w:t>
      </w:r>
      <w:r w:rsidR="002A22F0">
        <w:rPr>
          <w:rFonts w:ascii="Times New Roman" w:hAnsi="Times New Roman"/>
          <w:szCs w:val="24"/>
        </w:rPr>
        <w:t>Besides</w:t>
      </w:r>
      <w:r w:rsidRPr="00B41112">
        <w:rPr>
          <w:rFonts w:ascii="Times New Roman" w:hAnsi="Times New Roman"/>
          <w:szCs w:val="24"/>
        </w:rPr>
        <w:t>, they can also e</w:t>
      </w:r>
      <w:r w:rsidR="00C96142">
        <w:rPr>
          <w:rFonts w:ascii="Times New Roman" w:hAnsi="Times New Roman"/>
          <w:szCs w:val="24"/>
        </w:rPr>
        <w:t>mote and use emotional language. I</w:t>
      </w:r>
      <w:r w:rsidRPr="00B41112">
        <w:rPr>
          <w:rFonts w:ascii="Times New Roman" w:hAnsi="Times New Roman"/>
          <w:szCs w:val="24"/>
        </w:rPr>
        <w:t>n a way</w:t>
      </w:r>
      <w:r w:rsidR="00C96142">
        <w:rPr>
          <w:rFonts w:ascii="Times New Roman" w:hAnsi="Times New Roman"/>
          <w:szCs w:val="24"/>
        </w:rPr>
        <w:t>, it becomes</w:t>
      </w:r>
      <w:r w:rsidRPr="00B41112">
        <w:rPr>
          <w:rFonts w:ascii="Times New Roman" w:hAnsi="Times New Roman"/>
          <w:szCs w:val="24"/>
        </w:rPr>
        <w:t xml:space="preserve"> </w:t>
      </w:r>
      <w:r w:rsidR="00C96142">
        <w:rPr>
          <w:rFonts w:ascii="Times New Roman" w:hAnsi="Times New Roman"/>
          <w:szCs w:val="24"/>
        </w:rPr>
        <w:t>easier for</w:t>
      </w:r>
      <w:r w:rsidRPr="00B41112">
        <w:rPr>
          <w:rFonts w:ascii="Times New Roman" w:hAnsi="Times New Roman"/>
          <w:szCs w:val="24"/>
        </w:rPr>
        <w:t xml:space="preserve"> understanding</w:t>
      </w:r>
      <w:r w:rsidR="00772566">
        <w:rPr>
          <w:rFonts w:ascii="Times New Roman" w:hAnsi="Times New Roman"/>
          <w:szCs w:val="24"/>
        </w:rPr>
        <w:t xml:space="preserve"> the relationship between the parties and the implications of their actions.</w:t>
      </w:r>
      <w:r w:rsidR="00985C9E">
        <w:rPr>
          <w:rFonts w:ascii="Times New Roman" w:hAnsi="Times New Roman"/>
          <w:szCs w:val="24"/>
        </w:rPr>
        <w:t xml:space="preserve"> </w:t>
      </w:r>
    </w:p>
    <w:p w14:paraId="2EA8D9CD" w14:textId="272AE98D" w:rsidR="004D5736" w:rsidRPr="00B41112" w:rsidRDefault="00985C9E" w:rsidP="001B6656">
      <w:pPr>
        <w:spacing w:line="480" w:lineRule="auto"/>
        <w:jc w:val="both"/>
        <w:rPr>
          <w:rFonts w:ascii="Times New Roman" w:hAnsi="Times New Roman"/>
          <w:szCs w:val="24"/>
        </w:rPr>
      </w:pPr>
      <w:r>
        <w:rPr>
          <w:rFonts w:ascii="Times New Roman" w:hAnsi="Times New Roman"/>
          <w:szCs w:val="24"/>
        </w:rPr>
        <w:t xml:space="preserve">In the meeting, </w:t>
      </w:r>
      <w:r w:rsidR="004D5736" w:rsidRPr="00B41112">
        <w:rPr>
          <w:rFonts w:ascii="Times New Roman" w:hAnsi="Times New Roman"/>
          <w:szCs w:val="24"/>
        </w:rPr>
        <w:t>all participants bring their unresolved, undiscovered</w:t>
      </w:r>
      <w:r w:rsidR="006901D4">
        <w:rPr>
          <w:rFonts w:ascii="Times New Roman" w:hAnsi="Times New Roman"/>
          <w:szCs w:val="24"/>
        </w:rPr>
        <w:t>, and</w:t>
      </w:r>
      <w:r w:rsidR="004D5736" w:rsidRPr="00B41112">
        <w:rPr>
          <w:rFonts w:ascii="Times New Roman" w:hAnsi="Times New Roman"/>
          <w:szCs w:val="24"/>
        </w:rPr>
        <w:t xml:space="preserve"> unacknowledged issues with their emotional consequences from the wrongdoing to the meeting.</w:t>
      </w:r>
      <w:r w:rsidR="004D5736" w:rsidRPr="00B41112">
        <w:rPr>
          <w:rStyle w:val="FootnoteReference"/>
          <w:rFonts w:ascii="Times New Roman" w:hAnsi="Times New Roman"/>
          <w:szCs w:val="24"/>
        </w:rPr>
        <w:footnoteReference w:id="918"/>
      </w:r>
      <w:r w:rsidR="004D5736" w:rsidRPr="00B41112">
        <w:rPr>
          <w:rFonts w:ascii="Times New Roman" w:hAnsi="Times New Roman"/>
          <w:szCs w:val="24"/>
        </w:rPr>
        <w:t>Hence,</w:t>
      </w:r>
      <w:r w:rsidR="004C287D" w:rsidRPr="00B41112">
        <w:rPr>
          <w:rFonts w:ascii="Times New Roman" w:hAnsi="Times New Roman"/>
          <w:szCs w:val="24"/>
        </w:rPr>
        <w:t xml:space="preserve"> </w:t>
      </w:r>
      <w:r>
        <w:rPr>
          <w:rFonts w:ascii="Times New Roman" w:hAnsi="Times New Roman"/>
          <w:szCs w:val="24"/>
        </w:rPr>
        <w:t>allowing them</w:t>
      </w:r>
      <w:r w:rsidR="004D5736" w:rsidRPr="00B41112">
        <w:rPr>
          <w:rFonts w:ascii="Times New Roman" w:hAnsi="Times New Roman"/>
          <w:szCs w:val="24"/>
        </w:rPr>
        <w:t xml:space="preserve"> to express these emotions can promote healing for both parties.</w:t>
      </w:r>
      <w:r w:rsidR="004D5736" w:rsidRPr="00B41112">
        <w:rPr>
          <w:rStyle w:val="FootnoteReference"/>
          <w:rFonts w:ascii="Times New Roman" w:hAnsi="Times New Roman"/>
          <w:szCs w:val="24"/>
        </w:rPr>
        <w:footnoteReference w:id="919"/>
      </w:r>
      <w:r w:rsidR="004D5736" w:rsidRPr="00B41112">
        <w:rPr>
          <w:rFonts w:ascii="Times New Roman" w:hAnsi="Times New Roman"/>
          <w:szCs w:val="24"/>
        </w:rPr>
        <w:t xml:space="preserve"> </w:t>
      </w:r>
    </w:p>
    <w:p w14:paraId="1EB84872" w14:textId="07452F81" w:rsidR="004D5736" w:rsidRPr="001341E3" w:rsidRDefault="004D5736" w:rsidP="001B6656">
      <w:pPr>
        <w:spacing w:line="480" w:lineRule="auto"/>
        <w:jc w:val="both"/>
        <w:rPr>
          <w:rFonts w:ascii="Times New Roman" w:hAnsi="Times New Roman"/>
          <w:szCs w:val="24"/>
        </w:rPr>
      </w:pPr>
      <w:r w:rsidRPr="00B41112">
        <w:rPr>
          <w:rFonts w:ascii="Times New Roman" w:hAnsi="Times New Roman"/>
          <w:szCs w:val="24"/>
        </w:rPr>
        <w:t xml:space="preserve"> It is argued that if the victim is allowed to give a narrative of the crime and the events that led to the crime,</w:t>
      </w:r>
      <w:r w:rsidR="004C287D" w:rsidRPr="00B41112">
        <w:rPr>
          <w:rFonts w:ascii="Times New Roman" w:hAnsi="Times New Roman"/>
          <w:szCs w:val="24"/>
        </w:rPr>
        <w:t xml:space="preserve"> </w:t>
      </w:r>
      <w:r w:rsidRPr="00B41112">
        <w:rPr>
          <w:rFonts w:ascii="Times New Roman" w:hAnsi="Times New Roman"/>
          <w:szCs w:val="24"/>
        </w:rPr>
        <w:t>he will probably make a subjective account rather than the factual</w:t>
      </w:r>
      <w:r w:rsidR="00985C9E">
        <w:rPr>
          <w:rFonts w:ascii="Times New Roman" w:hAnsi="Times New Roman"/>
          <w:szCs w:val="24"/>
        </w:rPr>
        <w:t>,</w:t>
      </w:r>
      <w:r w:rsidRPr="00B41112">
        <w:rPr>
          <w:rFonts w:ascii="Times New Roman" w:hAnsi="Times New Roman"/>
          <w:szCs w:val="24"/>
        </w:rPr>
        <w:t xml:space="preserve"> objective account. Subsequently, the storytelling and its consequences lead to a </w:t>
      </w:r>
      <w:r w:rsidRPr="00B41112">
        <w:rPr>
          <w:rFonts w:ascii="Times New Roman" w:hAnsi="Times New Roman"/>
          <w:szCs w:val="24"/>
        </w:rPr>
        <w:lastRenderedPageBreak/>
        <w:t xml:space="preserve">discussion between the victims and offenders. </w:t>
      </w:r>
      <w:proofErr w:type="spellStart"/>
      <w:r w:rsidRPr="00B41112">
        <w:rPr>
          <w:rFonts w:ascii="Times New Roman" w:hAnsi="Times New Roman"/>
          <w:szCs w:val="24"/>
        </w:rPr>
        <w:t>McCold</w:t>
      </w:r>
      <w:proofErr w:type="spellEnd"/>
      <w:r w:rsidRPr="00B41112">
        <w:rPr>
          <w:rFonts w:ascii="Times New Roman" w:hAnsi="Times New Roman"/>
          <w:szCs w:val="24"/>
        </w:rPr>
        <w:t xml:space="preserve"> and Wachtel maintain that </w:t>
      </w:r>
      <w:r w:rsidR="00F042BE">
        <w:rPr>
          <w:rFonts w:ascii="Times New Roman" w:hAnsi="Times New Roman"/>
          <w:szCs w:val="24"/>
        </w:rPr>
        <w:t>restorative justice's dialogue stage helps in the ‘collaborative problem-solving approach’,</w:t>
      </w:r>
      <w:r w:rsidRPr="001341E3">
        <w:rPr>
          <w:rFonts w:ascii="Times New Roman" w:hAnsi="Times New Roman"/>
          <w:szCs w:val="24"/>
        </w:rPr>
        <w:t xml:space="preserve"> which is the central focus of restorative justice practice.</w:t>
      </w:r>
      <w:r w:rsidRPr="001341E3">
        <w:rPr>
          <w:rStyle w:val="FootnoteReference"/>
          <w:rFonts w:ascii="Times New Roman" w:hAnsi="Times New Roman"/>
          <w:szCs w:val="24"/>
        </w:rPr>
        <w:footnoteReference w:id="920"/>
      </w:r>
      <w:r w:rsidRPr="001341E3">
        <w:rPr>
          <w:rFonts w:ascii="Times New Roman" w:hAnsi="Times New Roman"/>
          <w:szCs w:val="24"/>
        </w:rPr>
        <w:t xml:space="preserve"> I</w:t>
      </w:r>
      <w:r w:rsidR="004C287D" w:rsidRPr="001341E3">
        <w:rPr>
          <w:rFonts w:ascii="Times New Roman" w:hAnsi="Times New Roman"/>
          <w:szCs w:val="24"/>
        </w:rPr>
        <w:t>t follows that the meeting</w:t>
      </w:r>
      <w:r w:rsidRPr="001341E3">
        <w:rPr>
          <w:rFonts w:ascii="Times New Roman" w:hAnsi="Times New Roman"/>
          <w:szCs w:val="24"/>
        </w:rPr>
        <w:t xml:space="preserve"> between the participants aims to highlight the problems/issues. Afterwards, the participants </w:t>
      </w:r>
      <w:proofErr w:type="spellStart"/>
      <w:r w:rsidRPr="001341E3">
        <w:rPr>
          <w:rFonts w:ascii="Times New Roman" w:hAnsi="Times New Roman"/>
          <w:szCs w:val="24"/>
        </w:rPr>
        <w:t>profer</w:t>
      </w:r>
      <w:proofErr w:type="spellEnd"/>
      <w:r w:rsidRPr="001341E3">
        <w:rPr>
          <w:rFonts w:ascii="Times New Roman" w:hAnsi="Times New Roman"/>
          <w:szCs w:val="24"/>
        </w:rPr>
        <w:t xml:space="preserve"> solution to these issues collaboratively</w:t>
      </w:r>
      <w:r w:rsidR="00985C9E">
        <w:rPr>
          <w:rFonts w:ascii="Times New Roman" w:hAnsi="Times New Roman"/>
          <w:szCs w:val="24"/>
        </w:rPr>
        <w:t>.</w:t>
      </w:r>
      <w:r w:rsidRPr="001341E3">
        <w:rPr>
          <w:rFonts w:ascii="Times New Roman" w:hAnsi="Times New Roman"/>
          <w:szCs w:val="24"/>
        </w:rPr>
        <w:t xml:space="preserve"> It is also noteworthy that the discussion grants them the freedom to make their choices/decision. The result of the encounter is  to reach an ‘outcome agreement.’</w:t>
      </w:r>
      <w:r w:rsidRPr="001341E3">
        <w:rPr>
          <w:rStyle w:val="FootnoteReference"/>
          <w:rFonts w:ascii="Times New Roman" w:hAnsi="Times New Roman"/>
          <w:szCs w:val="24"/>
        </w:rPr>
        <w:footnoteReference w:id="921"/>
      </w:r>
      <w:r w:rsidRPr="001341E3">
        <w:rPr>
          <w:rFonts w:ascii="Times New Roman" w:hAnsi="Times New Roman"/>
          <w:szCs w:val="24"/>
        </w:rPr>
        <w:t xml:space="preserve"> Encounter</w:t>
      </w:r>
      <w:r w:rsidR="00985C9E">
        <w:rPr>
          <w:rFonts w:ascii="Times New Roman" w:hAnsi="Times New Roman"/>
          <w:szCs w:val="24"/>
        </w:rPr>
        <w:t xml:space="preserve"> emphasis</w:t>
      </w:r>
      <w:r w:rsidR="00A945F0">
        <w:rPr>
          <w:rFonts w:ascii="Times New Roman" w:hAnsi="Times New Roman"/>
          <w:szCs w:val="24"/>
        </w:rPr>
        <w:t>es</w:t>
      </w:r>
      <w:r w:rsidRPr="001341E3">
        <w:rPr>
          <w:rFonts w:ascii="Times New Roman" w:hAnsi="Times New Roman"/>
          <w:szCs w:val="24"/>
        </w:rPr>
        <w:t xml:space="preserve"> on the practice of restorative justice or best put, the process of restorative justice.</w:t>
      </w:r>
    </w:p>
    <w:p w14:paraId="44414FBC" w14:textId="77777777" w:rsidR="004D5736" w:rsidRPr="001341E3" w:rsidRDefault="00985C9E" w:rsidP="00DF5C01">
      <w:pPr>
        <w:pStyle w:val="Heading3"/>
      </w:pPr>
      <w:bookmarkStart w:id="60" w:name="_Toc60235830"/>
      <w:r>
        <w:t>4.2.2</w:t>
      </w:r>
      <w:r w:rsidR="004D5736" w:rsidRPr="001341E3">
        <w:t xml:space="preserve">  Amends</w:t>
      </w:r>
      <w:bookmarkEnd w:id="60"/>
    </w:p>
    <w:p w14:paraId="61A4714C" w14:textId="13D519E2" w:rsidR="001D52BF" w:rsidRDefault="004D5736" w:rsidP="001B6656">
      <w:pPr>
        <w:spacing w:line="480" w:lineRule="auto"/>
        <w:jc w:val="both"/>
        <w:rPr>
          <w:rFonts w:ascii="Times New Roman" w:hAnsi="Times New Roman"/>
          <w:szCs w:val="24"/>
        </w:rPr>
      </w:pPr>
      <w:r w:rsidRPr="001341E3">
        <w:rPr>
          <w:rFonts w:ascii="Times New Roman" w:hAnsi="Times New Roman"/>
          <w:szCs w:val="24"/>
        </w:rPr>
        <w:t xml:space="preserve">As mentioned earlier, amend is the second pillar of </w:t>
      </w:r>
      <w:r w:rsidR="001D52BF">
        <w:rPr>
          <w:rFonts w:ascii="Times New Roman" w:hAnsi="Times New Roman"/>
          <w:szCs w:val="24"/>
        </w:rPr>
        <w:t xml:space="preserve">the </w:t>
      </w:r>
      <w:r w:rsidRPr="001341E3">
        <w:rPr>
          <w:rFonts w:ascii="Times New Roman" w:hAnsi="Times New Roman"/>
          <w:szCs w:val="24"/>
        </w:rPr>
        <w:t>restorative justice</w:t>
      </w:r>
      <w:r w:rsidR="002A22F0">
        <w:rPr>
          <w:rFonts w:ascii="Times New Roman" w:hAnsi="Times New Roman"/>
          <w:szCs w:val="24"/>
        </w:rPr>
        <w:t>-</w:t>
      </w:r>
      <w:r w:rsidR="00087E50">
        <w:rPr>
          <w:rFonts w:ascii="Times New Roman" w:hAnsi="Times New Roman"/>
          <w:szCs w:val="24"/>
        </w:rPr>
        <w:t>A role of the offender</w:t>
      </w:r>
      <w:r w:rsidRPr="001341E3">
        <w:rPr>
          <w:rFonts w:ascii="Times New Roman" w:hAnsi="Times New Roman"/>
          <w:szCs w:val="24"/>
        </w:rPr>
        <w:t>.</w:t>
      </w:r>
      <w:r w:rsidRPr="001341E3">
        <w:rPr>
          <w:rStyle w:val="FootnoteReference"/>
          <w:rFonts w:ascii="Times New Roman" w:hAnsi="Times New Roman"/>
          <w:szCs w:val="24"/>
        </w:rPr>
        <w:footnoteReference w:id="922"/>
      </w:r>
      <w:r w:rsidRPr="001341E3">
        <w:rPr>
          <w:rFonts w:ascii="Times New Roman" w:hAnsi="Times New Roman"/>
          <w:szCs w:val="24"/>
        </w:rPr>
        <w:t xml:space="preserve"> Given that  ‘encounter’ means the practice of restorative justice, then ‘amends’ means the outcome’</w:t>
      </w:r>
      <w:r w:rsidRPr="001341E3">
        <w:rPr>
          <w:rStyle w:val="FootnoteReference"/>
          <w:rFonts w:ascii="Times New Roman" w:hAnsi="Times New Roman"/>
          <w:szCs w:val="24"/>
        </w:rPr>
        <w:footnoteReference w:id="923"/>
      </w:r>
      <w:r w:rsidRPr="001341E3">
        <w:rPr>
          <w:rFonts w:ascii="Times New Roman" w:hAnsi="Times New Roman"/>
          <w:szCs w:val="24"/>
        </w:rPr>
        <w:t xml:space="preserve"> Thus, the outcome of restorative justice is to heal individuals, communities and nations after harm caused by wrongdoing.</w:t>
      </w:r>
      <w:r w:rsidRPr="001341E3">
        <w:rPr>
          <w:rStyle w:val="FootnoteReference"/>
          <w:rFonts w:ascii="Times New Roman" w:hAnsi="Times New Roman"/>
          <w:szCs w:val="24"/>
        </w:rPr>
        <w:footnoteReference w:id="924"/>
      </w:r>
      <w:r w:rsidRPr="001341E3">
        <w:rPr>
          <w:rFonts w:ascii="Times New Roman" w:hAnsi="Times New Roman"/>
          <w:szCs w:val="24"/>
        </w:rPr>
        <w:t xml:space="preserve"> </w:t>
      </w:r>
      <w:r w:rsidR="00087E50">
        <w:rPr>
          <w:rFonts w:ascii="Times New Roman" w:hAnsi="Times New Roman"/>
          <w:szCs w:val="24"/>
        </w:rPr>
        <w:t>A</w:t>
      </w:r>
      <w:r w:rsidRPr="001341E3">
        <w:rPr>
          <w:rFonts w:ascii="Times New Roman" w:hAnsi="Times New Roman"/>
          <w:szCs w:val="24"/>
        </w:rPr>
        <w:t xml:space="preserve">n </w:t>
      </w:r>
      <w:r w:rsidR="00087E50">
        <w:rPr>
          <w:rFonts w:ascii="Times New Roman" w:hAnsi="Times New Roman"/>
          <w:szCs w:val="24"/>
        </w:rPr>
        <w:t>essential</w:t>
      </w:r>
      <w:r w:rsidRPr="001341E3">
        <w:rPr>
          <w:rFonts w:ascii="Times New Roman" w:hAnsi="Times New Roman"/>
          <w:szCs w:val="24"/>
        </w:rPr>
        <w:t xml:space="preserve"> determinant of repair is the input/involvement from those who were mainly affected by the crime.</w:t>
      </w:r>
      <w:r w:rsidR="00087E50">
        <w:rPr>
          <w:rFonts w:ascii="Times New Roman" w:hAnsi="Times New Roman"/>
          <w:szCs w:val="24"/>
        </w:rPr>
        <w:t xml:space="preserve"> </w:t>
      </w:r>
      <w:r w:rsidRPr="001341E3">
        <w:rPr>
          <w:rFonts w:ascii="Times New Roman" w:hAnsi="Times New Roman"/>
          <w:szCs w:val="24"/>
        </w:rPr>
        <w:t xml:space="preserve">This ability to repair connotes taking on responsibility for the crime he(the </w:t>
      </w:r>
      <w:r w:rsidRPr="001341E3">
        <w:rPr>
          <w:rFonts w:ascii="Times New Roman" w:hAnsi="Times New Roman"/>
          <w:szCs w:val="24"/>
        </w:rPr>
        <w:lastRenderedPageBreak/>
        <w:t>offender) has committed.</w:t>
      </w:r>
      <w:r w:rsidR="004C287D" w:rsidRPr="001341E3">
        <w:rPr>
          <w:rFonts w:ascii="Times New Roman" w:hAnsi="Times New Roman"/>
          <w:szCs w:val="24"/>
        </w:rPr>
        <w:t xml:space="preserve"> </w:t>
      </w:r>
      <w:r w:rsidR="00F042BE">
        <w:rPr>
          <w:rFonts w:ascii="Times New Roman" w:hAnsi="Times New Roman"/>
          <w:szCs w:val="24"/>
        </w:rPr>
        <w:t>Furthermore,</w:t>
      </w:r>
      <w:r w:rsidRPr="001341E3">
        <w:rPr>
          <w:rFonts w:ascii="Times New Roman" w:hAnsi="Times New Roman"/>
          <w:szCs w:val="24"/>
        </w:rPr>
        <w:t xml:space="preserve"> finding ways to repair the harm or loss</w:t>
      </w:r>
      <w:r w:rsidR="00F042BE">
        <w:rPr>
          <w:rFonts w:ascii="Times New Roman" w:hAnsi="Times New Roman"/>
          <w:szCs w:val="24"/>
        </w:rPr>
        <w:t>,</w:t>
      </w:r>
      <w:r w:rsidRPr="001341E3">
        <w:rPr>
          <w:rFonts w:ascii="Times New Roman" w:hAnsi="Times New Roman"/>
          <w:szCs w:val="24"/>
        </w:rPr>
        <w:t xml:space="preserve"> the victim has suffered.</w:t>
      </w:r>
    </w:p>
    <w:p w14:paraId="189CACA0" w14:textId="5B5B043C" w:rsidR="004D5736" w:rsidRPr="00087E50" w:rsidRDefault="004D5736" w:rsidP="001B6656">
      <w:pPr>
        <w:spacing w:line="480" w:lineRule="auto"/>
        <w:jc w:val="both"/>
        <w:rPr>
          <w:rFonts w:ascii="Times New Roman" w:hAnsi="Times New Roman"/>
          <w:szCs w:val="24"/>
        </w:rPr>
      </w:pPr>
      <w:r w:rsidRPr="001341E3">
        <w:rPr>
          <w:rFonts w:ascii="Times New Roman" w:hAnsi="Times New Roman"/>
          <w:szCs w:val="24"/>
        </w:rPr>
        <w:t>Moreover, making amends could be in tangible ways.</w:t>
      </w:r>
      <w:r w:rsidRPr="001341E3">
        <w:rPr>
          <w:rStyle w:val="FootnoteReference"/>
          <w:rFonts w:ascii="Times New Roman" w:hAnsi="Times New Roman"/>
          <w:szCs w:val="24"/>
        </w:rPr>
        <w:footnoteReference w:id="925"/>
      </w:r>
      <w:r w:rsidRPr="001341E3">
        <w:rPr>
          <w:rFonts w:ascii="Times New Roman" w:hAnsi="Times New Roman"/>
          <w:szCs w:val="24"/>
        </w:rPr>
        <w:t>Also, amends could be made through an acknowledg</w:t>
      </w:r>
      <w:r w:rsidR="00087E50">
        <w:rPr>
          <w:rFonts w:ascii="Times New Roman" w:hAnsi="Times New Roman"/>
          <w:szCs w:val="24"/>
        </w:rPr>
        <w:t>e</w:t>
      </w:r>
      <w:r w:rsidRPr="001341E3">
        <w:rPr>
          <w:rFonts w:ascii="Times New Roman" w:hAnsi="Times New Roman"/>
          <w:szCs w:val="24"/>
        </w:rPr>
        <w:t xml:space="preserve">ment of the crime or sincere apologies. </w:t>
      </w:r>
      <w:r w:rsidRPr="00087E50">
        <w:rPr>
          <w:rFonts w:ascii="Times New Roman" w:hAnsi="Times New Roman"/>
          <w:szCs w:val="24"/>
        </w:rPr>
        <w:t>It has been submitted that in most conferences of restorative justice,  the crux of discussion ‘always presents  a moment when it is natural for an apology to be offered in recognition of emotional restoration needed by the victim</w:t>
      </w:r>
      <w:r w:rsidR="00087E50">
        <w:rPr>
          <w:rFonts w:ascii="Times New Roman" w:hAnsi="Times New Roman"/>
          <w:szCs w:val="24"/>
        </w:rPr>
        <w:t>.</w:t>
      </w:r>
      <w:r w:rsidRPr="00087E50">
        <w:rPr>
          <w:rFonts w:ascii="Times New Roman" w:hAnsi="Times New Roman"/>
          <w:szCs w:val="24"/>
        </w:rPr>
        <w:t>’</w:t>
      </w:r>
      <w:r w:rsidRPr="00087E50">
        <w:rPr>
          <w:rStyle w:val="FootnoteReference"/>
          <w:rFonts w:ascii="Times New Roman" w:hAnsi="Times New Roman"/>
          <w:szCs w:val="24"/>
        </w:rPr>
        <w:footnoteReference w:id="926"/>
      </w:r>
      <w:r w:rsidRPr="00087E50">
        <w:rPr>
          <w:rFonts w:ascii="Times New Roman" w:hAnsi="Times New Roman"/>
          <w:szCs w:val="24"/>
        </w:rPr>
        <w:t xml:space="preserve"> </w:t>
      </w:r>
    </w:p>
    <w:p w14:paraId="4D973AFC" w14:textId="77777777" w:rsidR="007F0C9B" w:rsidRDefault="004D5736" w:rsidP="001B6656">
      <w:pPr>
        <w:spacing w:line="480" w:lineRule="auto"/>
        <w:jc w:val="both"/>
        <w:rPr>
          <w:rFonts w:ascii="Times New Roman" w:hAnsi="Times New Roman"/>
          <w:szCs w:val="24"/>
        </w:rPr>
      </w:pPr>
      <w:r w:rsidRPr="00087E50">
        <w:rPr>
          <w:rFonts w:ascii="Times New Roman" w:hAnsi="Times New Roman"/>
          <w:szCs w:val="24"/>
        </w:rPr>
        <w:t xml:space="preserve">Research suggests that in </w:t>
      </w:r>
      <w:r w:rsidR="00087E50">
        <w:rPr>
          <w:rFonts w:ascii="Times New Roman" w:hAnsi="Times New Roman"/>
          <w:szCs w:val="24"/>
        </w:rPr>
        <w:t xml:space="preserve">the </w:t>
      </w:r>
      <w:r w:rsidRPr="00087E50">
        <w:rPr>
          <w:rFonts w:ascii="Times New Roman" w:hAnsi="Times New Roman"/>
          <w:szCs w:val="24"/>
        </w:rPr>
        <w:t>criminal justice system, victims are affected by their experiences.</w:t>
      </w:r>
      <w:r w:rsidRPr="00087E50">
        <w:rPr>
          <w:rStyle w:val="FootnoteReference"/>
          <w:rFonts w:ascii="Times New Roman" w:hAnsi="Times New Roman"/>
          <w:szCs w:val="24"/>
        </w:rPr>
        <w:footnoteReference w:id="927"/>
      </w:r>
      <w:proofErr w:type="spellStart"/>
      <w:r w:rsidR="00087E50">
        <w:rPr>
          <w:rFonts w:ascii="Times New Roman" w:hAnsi="Times New Roman"/>
          <w:szCs w:val="24"/>
        </w:rPr>
        <w:t>Victimologists</w:t>
      </w:r>
      <w:proofErr w:type="spellEnd"/>
      <w:r w:rsidR="00087E50">
        <w:rPr>
          <w:rFonts w:ascii="Times New Roman" w:hAnsi="Times New Roman"/>
          <w:szCs w:val="24"/>
        </w:rPr>
        <w:t xml:space="preserve"> have described thi</w:t>
      </w:r>
      <w:r w:rsidR="004C287D" w:rsidRPr="00087E50">
        <w:rPr>
          <w:rFonts w:ascii="Times New Roman" w:hAnsi="Times New Roman"/>
          <w:szCs w:val="24"/>
        </w:rPr>
        <w:t xml:space="preserve">s </w:t>
      </w:r>
      <w:r w:rsidRPr="00087E50">
        <w:rPr>
          <w:rFonts w:ascii="Times New Roman" w:hAnsi="Times New Roman"/>
          <w:szCs w:val="24"/>
        </w:rPr>
        <w:t>as ‘secondary victimisation’ or re-traumatisation.</w:t>
      </w:r>
      <w:r w:rsidRPr="00087E50">
        <w:rPr>
          <w:rStyle w:val="FootnoteReference"/>
          <w:rFonts w:ascii="Times New Roman" w:hAnsi="Times New Roman"/>
          <w:szCs w:val="24"/>
        </w:rPr>
        <w:footnoteReference w:id="928"/>
      </w:r>
      <w:r w:rsidRPr="00087E50">
        <w:rPr>
          <w:rFonts w:ascii="Times New Roman" w:hAnsi="Times New Roman"/>
          <w:szCs w:val="24"/>
        </w:rPr>
        <w:t xml:space="preserve"> The</w:t>
      </w:r>
      <w:r w:rsidR="00087E50">
        <w:rPr>
          <w:rFonts w:ascii="Times New Roman" w:hAnsi="Times New Roman"/>
          <w:szCs w:val="24"/>
        </w:rPr>
        <w:t>y</w:t>
      </w:r>
      <w:r w:rsidRPr="00087E50">
        <w:rPr>
          <w:rFonts w:ascii="Times New Roman" w:hAnsi="Times New Roman"/>
          <w:szCs w:val="24"/>
        </w:rPr>
        <w:t xml:space="preserve"> may be </w:t>
      </w:r>
      <w:r w:rsidR="00087E50">
        <w:rPr>
          <w:rFonts w:ascii="Times New Roman" w:hAnsi="Times New Roman"/>
          <w:szCs w:val="24"/>
        </w:rPr>
        <w:t>characteris</w:t>
      </w:r>
      <w:r w:rsidRPr="00087E50">
        <w:rPr>
          <w:rFonts w:ascii="Times New Roman" w:hAnsi="Times New Roman"/>
          <w:szCs w:val="24"/>
        </w:rPr>
        <w:t>ed as a</w:t>
      </w:r>
      <w:r w:rsidR="00AC71AD">
        <w:rPr>
          <w:rFonts w:ascii="Times New Roman" w:hAnsi="Times New Roman"/>
          <w:szCs w:val="24"/>
        </w:rPr>
        <w:t>nti-therapeutic experiences which</w:t>
      </w:r>
      <w:r w:rsidRPr="00087E50">
        <w:rPr>
          <w:rFonts w:ascii="Times New Roman" w:hAnsi="Times New Roman"/>
          <w:szCs w:val="24"/>
        </w:rPr>
        <w:t xml:space="preserve"> victims of crimes go through as a result of their involvement or contact with the actors of </w:t>
      </w:r>
      <w:r w:rsidR="00AC71AD">
        <w:rPr>
          <w:rFonts w:ascii="Times New Roman" w:hAnsi="Times New Roman"/>
          <w:szCs w:val="24"/>
        </w:rPr>
        <w:t xml:space="preserve">the </w:t>
      </w:r>
      <w:r w:rsidR="007F0C9B">
        <w:rPr>
          <w:rFonts w:ascii="Times New Roman" w:hAnsi="Times New Roman"/>
          <w:szCs w:val="24"/>
        </w:rPr>
        <w:t xml:space="preserve">criminal justice system </w:t>
      </w:r>
    </w:p>
    <w:p w14:paraId="3DBEAC9D" w14:textId="43088E64" w:rsidR="004D5736" w:rsidRPr="007F0C9B" w:rsidRDefault="007F0C9B" w:rsidP="001B6656">
      <w:pPr>
        <w:spacing w:line="480" w:lineRule="auto"/>
        <w:jc w:val="both"/>
        <w:rPr>
          <w:rFonts w:ascii="Times New Roman" w:hAnsi="Times New Roman"/>
          <w:szCs w:val="24"/>
        </w:rPr>
      </w:pPr>
      <w:r>
        <w:rPr>
          <w:rFonts w:ascii="Times New Roman" w:hAnsi="Times New Roman"/>
          <w:szCs w:val="24"/>
        </w:rPr>
        <w:t>Presumably,</w:t>
      </w:r>
      <w:r w:rsidR="004D5736" w:rsidRPr="00087E50">
        <w:rPr>
          <w:rFonts w:ascii="Times New Roman" w:hAnsi="Times New Roman"/>
          <w:szCs w:val="24"/>
        </w:rPr>
        <w:t xml:space="preserve"> vic</w:t>
      </w:r>
      <w:r w:rsidR="00AC71AD">
        <w:rPr>
          <w:rFonts w:ascii="Times New Roman" w:hAnsi="Times New Roman"/>
          <w:szCs w:val="24"/>
        </w:rPr>
        <w:t>tims may be affected by the</w:t>
      </w:r>
      <w:r w:rsidR="00F042BE">
        <w:rPr>
          <w:rFonts w:ascii="Times New Roman" w:hAnsi="Times New Roman"/>
          <w:szCs w:val="24"/>
        </w:rPr>
        <w:t>se actors' indifferent reaction</w:t>
      </w:r>
      <w:r>
        <w:rPr>
          <w:rFonts w:ascii="Times New Roman" w:hAnsi="Times New Roman"/>
          <w:szCs w:val="24"/>
        </w:rPr>
        <w:t>s</w:t>
      </w:r>
      <w:r w:rsidR="002A22F0">
        <w:rPr>
          <w:rFonts w:ascii="Times New Roman" w:hAnsi="Times New Roman"/>
          <w:szCs w:val="24"/>
        </w:rPr>
        <w:t>,</w:t>
      </w:r>
      <w:r>
        <w:rPr>
          <w:rFonts w:ascii="Times New Roman" w:hAnsi="Times New Roman"/>
          <w:szCs w:val="24"/>
        </w:rPr>
        <w:t xml:space="preserve"> </w:t>
      </w:r>
      <w:r w:rsidR="005734EF">
        <w:rPr>
          <w:rFonts w:ascii="Times New Roman" w:hAnsi="Times New Roman"/>
          <w:szCs w:val="24"/>
        </w:rPr>
        <w:t>leading</w:t>
      </w:r>
      <w:r>
        <w:rPr>
          <w:rFonts w:ascii="Times New Roman" w:hAnsi="Times New Roman"/>
          <w:szCs w:val="24"/>
        </w:rPr>
        <w:t xml:space="preserve"> to secondary victimisation. </w:t>
      </w:r>
      <w:r w:rsidR="004D5736" w:rsidRPr="00087E50">
        <w:rPr>
          <w:rFonts w:ascii="Times New Roman" w:hAnsi="Times New Roman"/>
          <w:szCs w:val="24"/>
        </w:rPr>
        <w:t xml:space="preserve"> </w:t>
      </w:r>
      <w:r w:rsidR="00AC71AD">
        <w:rPr>
          <w:rFonts w:ascii="Times New Roman" w:hAnsi="Times New Roman"/>
          <w:szCs w:val="24"/>
        </w:rPr>
        <w:t xml:space="preserve">While </w:t>
      </w:r>
      <w:r w:rsidR="004D5736" w:rsidRPr="00087E50">
        <w:rPr>
          <w:rFonts w:ascii="Times New Roman" w:hAnsi="Times New Roman"/>
          <w:szCs w:val="24"/>
        </w:rPr>
        <w:t xml:space="preserve">Courts are not therapeutic </w:t>
      </w:r>
      <w:r w:rsidR="00AC71AD">
        <w:rPr>
          <w:rFonts w:ascii="Times New Roman" w:hAnsi="Times New Roman"/>
          <w:szCs w:val="24"/>
        </w:rPr>
        <w:t>centres, they are not expected to carry out therapeutic functions; t</w:t>
      </w:r>
      <w:r w:rsidR="004D5736" w:rsidRPr="00087E50">
        <w:rPr>
          <w:rFonts w:ascii="Times New Roman" w:hAnsi="Times New Roman"/>
          <w:szCs w:val="24"/>
        </w:rPr>
        <w:t xml:space="preserve">heir primary function is to prosecute criminal and administer justice. </w:t>
      </w:r>
      <w:r>
        <w:rPr>
          <w:rFonts w:ascii="Times New Roman" w:hAnsi="Times New Roman"/>
          <w:szCs w:val="24"/>
        </w:rPr>
        <w:t xml:space="preserve"> Naturally, the settings of the court are</w:t>
      </w:r>
      <w:r w:rsidR="004D5736" w:rsidRPr="00087E50">
        <w:rPr>
          <w:rFonts w:ascii="Times New Roman" w:hAnsi="Times New Roman"/>
          <w:szCs w:val="24"/>
        </w:rPr>
        <w:t xml:space="preserve"> not victim-</w:t>
      </w:r>
      <w:r w:rsidR="004D5736" w:rsidRPr="00087E50">
        <w:rPr>
          <w:rFonts w:ascii="Times New Roman" w:hAnsi="Times New Roman"/>
          <w:szCs w:val="24"/>
        </w:rPr>
        <w:lastRenderedPageBreak/>
        <w:t xml:space="preserve">centred or focused. </w:t>
      </w:r>
      <w:r w:rsidR="004D5736" w:rsidRPr="007F0C9B">
        <w:rPr>
          <w:rFonts w:ascii="Times New Roman" w:hAnsi="Times New Roman"/>
          <w:szCs w:val="24"/>
        </w:rPr>
        <w:t xml:space="preserve">On the other hand, </w:t>
      </w:r>
      <w:r w:rsidR="00F042BE">
        <w:rPr>
          <w:rFonts w:ascii="Times New Roman" w:hAnsi="Times New Roman"/>
          <w:szCs w:val="24"/>
        </w:rPr>
        <w:t>restorative justice parameters</w:t>
      </w:r>
      <w:r w:rsidR="004D5736" w:rsidRPr="007F0C9B">
        <w:rPr>
          <w:rFonts w:ascii="Times New Roman" w:hAnsi="Times New Roman"/>
          <w:szCs w:val="24"/>
        </w:rPr>
        <w:t xml:space="preserve"> </w:t>
      </w:r>
      <w:r>
        <w:rPr>
          <w:rFonts w:ascii="Times New Roman" w:hAnsi="Times New Roman"/>
          <w:szCs w:val="24"/>
        </w:rPr>
        <w:t>are</w:t>
      </w:r>
      <w:r w:rsidR="004D5736" w:rsidRPr="007F0C9B">
        <w:rPr>
          <w:rFonts w:ascii="Times New Roman" w:hAnsi="Times New Roman"/>
          <w:szCs w:val="24"/>
        </w:rPr>
        <w:t xml:space="preserve"> more relaxed and </w:t>
      </w:r>
      <w:r>
        <w:rPr>
          <w:rFonts w:ascii="Times New Roman" w:hAnsi="Times New Roman"/>
          <w:szCs w:val="24"/>
        </w:rPr>
        <w:t xml:space="preserve">could </w:t>
      </w:r>
      <w:r w:rsidR="004D5736" w:rsidRPr="007F0C9B">
        <w:rPr>
          <w:rFonts w:ascii="Times New Roman" w:hAnsi="Times New Roman"/>
          <w:szCs w:val="24"/>
        </w:rPr>
        <w:t xml:space="preserve">foster genuine communication between the offender and the victims. </w:t>
      </w:r>
    </w:p>
    <w:p w14:paraId="56F0DF6C" w14:textId="4BFBAA0D" w:rsidR="004D5736" w:rsidRPr="007F0C9B" w:rsidRDefault="006964C4" w:rsidP="001B6656">
      <w:pPr>
        <w:spacing w:line="480" w:lineRule="auto"/>
        <w:jc w:val="both"/>
        <w:rPr>
          <w:rFonts w:ascii="Times New Roman" w:hAnsi="Times New Roman"/>
          <w:szCs w:val="24"/>
        </w:rPr>
      </w:pPr>
      <w:r>
        <w:rPr>
          <w:rFonts w:ascii="Times New Roman" w:hAnsi="Times New Roman"/>
          <w:szCs w:val="24"/>
        </w:rPr>
        <w:t>We should bear in mind</w:t>
      </w:r>
      <w:r w:rsidR="004D5736" w:rsidRPr="007F0C9B">
        <w:rPr>
          <w:rFonts w:ascii="Times New Roman" w:hAnsi="Times New Roman"/>
          <w:szCs w:val="24"/>
        </w:rPr>
        <w:t xml:space="preserve"> that the dialogue for restorative justice does not operate within the context of adversarial settings. It involves victims, offenders and other affected individuals or participants.</w:t>
      </w:r>
      <w:r w:rsidR="004D5736" w:rsidRPr="007F0C9B">
        <w:rPr>
          <w:rStyle w:val="FootnoteReference"/>
          <w:rFonts w:ascii="Times New Roman" w:hAnsi="Times New Roman"/>
          <w:szCs w:val="24"/>
        </w:rPr>
        <w:footnoteReference w:id="929"/>
      </w:r>
      <w:r w:rsidR="004D5736" w:rsidRPr="007F0C9B">
        <w:rPr>
          <w:rFonts w:ascii="Times New Roman" w:hAnsi="Times New Roman"/>
          <w:szCs w:val="24"/>
        </w:rPr>
        <w:t>The amends here could in</w:t>
      </w:r>
      <w:r>
        <w:rPr>
          <w:rFonts w:ascii="Times New Roman" w:hAnsi="Times New Roman"/>
          <w:szCs w:val="24"/>
        </w:rPr>
        <w:t>clud</w:t>
      </w:r>
      <w:r w:rsidR="004D5736" w:rsidRPr="007F0C9B">
        <w:rPr>
          <w:rFonts w:ascii="Times New Roman" w:hAnsi="Times New Roman"/>
          <w:szCs w:val="24"/>
        </w:rPr>
        <w:t xml:space="preserve">e individual or collective measures. The individual measures may be in </w:t>
      </w:r>
      <w:r>
        <w:rPr>
          <w:rFonts w:ascii="Times New Roman" w:hAnsi="Times New Roman"/>
          <w:szCs w:val="24"/>
        </w:rPr>
        <w:t xml:space="preserve">the </w:t>
      </w:r>
      <w:r w:rsidR="004D5736" w:rsidRPr="007F0C9B">
        <w:rPr>
          <w:rFonts w:ascii="Times New Roman" w:hAnsi="Times New Roman"/>
          <w:szCs w:val="24"/>
        </w:rPr>
        <w:t xml:space="preserve">form of victim-offender mediation, here, the offender tender apologies to the victims. The victims ask the offenders questions and also narrate the </w:t>
      </w:r>
      <w:r>
        <w:rPr>
          <w:rFonts w:ascii="Times New Roman" w:hAnsi="Times New Roman"/>
          <w:szCs w:val="24"/>
        </w:rPr>
        <w:t>real</w:t>
      </w:r>
      <w:r w:rsidR="004D5736" w:rsidRPr="007F0C9B">
        <w:rPr>
          <w:rFonts w:ascii="Times New Roman" w:hAnsi="Times New Roman"/>
          <w:szCs w:val="24"/>
        </w:rPr>
        <w:t xml:space="preserve"> impact of the crime against them.</w:t>
      </w:r>
      <w:r w:rsidR="004D5736" w:rsidRPr="007F0C9B">
        <w:rPr>
          <w:rStyle w:val="FootnoteReference"/>
          <w:rFonts w:ascii="Times New Roman" w:hAnsi="Times New Roman"/>
          <w:szCs w:val="24"/>
        </w:rPr>
        <w:footnoteReference w:id="930"/>
      </w:r>
      <w:r w:rsidR="004D5736" w:rsidRPr="007F0C9B">
        <w:rPr>
          <w:rFonts w:ascii="Times New Roman" w:hAnsi="Times New Roman"/>
          <w:szCs w:val="24"/>
        </w:rPr>
        <w:t xml:space="preserve">On the other hand, </w:t>
      </w:r>
      <w:r w:rsidR="00F042BE">
        <w:rPr>
          <w:rFonts w:ascii="Times New Roman" w:hAnsi="Times New Roman"/>
          <w:szCs w:val="24"/>
        </w:rPr>
        <w:t>RJ's collective measures</w:t>
      </w:r>
      <w:r w:rsidR="004D5736" w:rsidRPr="007F0C9B">
        <w:rPr>
          <w:rFonts w:ascii="Times New Roman" w:hAnsi="Times New Roman"/>
          <w:szCs w:val="24"/>
        </w:rPr>
        <w:t xml:space="preserve"> are truth commission and other forms of justice aimed at disclosing the truth regarding the commission of the crime and acknowledging the </w:t>
      </w:r>
      <w:r>
        <w:rPr>
          <w:rFonts w:ascii="Times New Roman" w:hAnsi="Times New Roman"/>
          <w:szCs w:val="24"/>
        </w:rPr>
        <w:t>wrongdoing</w:t>
      </w:r>
      <w:r w:rsidR="004D5736" w:rsidRPr="007F0C9B">
        <w:rPr>
          <w:rFonts w:ascii="Times New Roman" w:hAnsi="Times New Roman"/>
          <w:szCs w:val="24"/>
        </w:rPr>
        <w:t xml:space="preserve"> to the victims.</w:t>
      </w:r>
      <w:r w:rsidR="004D5736" w:rsidRPr="007F0C9B">
        <w:rPr>
          <w:rStyle w:val="FootnoteReference"/>
          <w:rFonts w:ascii="Times New Roman" w:hAnsi="Times New Roman"/>
          <w:szCs w:val="24"/>
        </w:rPr>
        <w:footnoteReference w:id="931"/>
      </w:r>
    </w:p>
    <w:p w14:paraId="71B80AA6" w14:textId="77777777" w:rsidR="004D5736" w:rsidRPr="007F0C9B" w:rsidRDefault="006964C4" w:rsidP="001B6656">
      <w:pPr>
        <w:spacing w:line="480" w:lineRule="auto"/>
        <w:jc w:val="both"/>
        <w:rPr>
          <w:rFonts w:ascii="Times New Roman" w:hAnsi="Times New Roman"/>
          <w:szCs w:val="24"/>
        </w:rPr>
      </w:pPr>
      <w:r>
        <w:rPr>
          <w:rFonts w:ascii="Times New Roman" w:hAnsi="Times New Roman"/>
          <w:szCs w:val="24"/>
        </w:rPr>
        <w:t>This part has analysed amends within the context of restorative justice.</w:t>
      </w:r>
      <w:r w:rsidR="00C00E17">
        <w:rPr>
          <w:rFonts w:ascii="Times New Roman" w:hAnsi="Times New Roman"/>
          <w:szCs w:val="24"/>
        </w:rPr>
        <w:t xml:space="preserve"> </w:t>
      </w:r>
      <w:r>
        <w:rPr>
          <w:rFonts w:ascii="Times New Roman" w:hAnsi="Times New Roman"/>
          <w:szCs w:val="24"/>
        </w:rPr>
        <w:t>It is now necessary to explain re-integration as the last pillar of restorative justice.</w:t>
      </w:r>
    </w:p>
    <w:p w14:paraId="3C7D6908" w14:textId="77777777" w:rsidR="004D5736" w:rsidRPr="007F0C9B" w:rsidRDefault="006964C4" w:rsidP="00DF5C01">
      <w:pPr>
        <w:pStyle w:val="Heading3"/>
      </w:pPr>
      <w:bookmarkStart w:id="61" w:name="_Toc60235831"/>
      <w:r>
        <w:t>4.2.3</w:t>
      </w:r>
      <w:r w:rsidR="00C00E17">
        <w:t xml:space="preserve"> </w:t>
      </w:r>
      <w:r w:rsidR="004D5736" w:rsidRPr="007F0C9B">
        <w:t>Re-inte</w:t>
      </w:r>
      <w:r w:rsidR="00017176">
        <w:t>gration</w:t>
      </w:r>
      <w:bookmarkEnd w:id="61"/>
    </w:p>
    <w:p w14:paraId="323332F2" w14:textId="6CAE5E70" w:rsidR="004D5736" w:rsidRPr="00C00E17" w:rsidRDefault="00017176" w:rsidP="001B6656">
      <w:pPr>
        <w:spacing w:line="480" w:lineRule="auto"/>
        <w:jc w:val="both"/>
        <w:rPr>
          <w:rFonts w:ascii="Times New Roman" w:hAnsi="Times New Roman"/>
          <w:szCs w:val="24"/>
        </w:rPr>
      </w:pPr>
      <w:r>
        <w:rPr>
          <w:rFonts w:ascii="Times New Roman" w:hAnsi="Times New Roman"/>
          <w:szCs w:val="24"/>
        </w:rPr>
        <w:t>Christie writes</w:t>
      </w:r>
      <w:r w:rsidR="004D5736" w:rsidRPr="00C00E17">
        <w:rPr>
          <w:rFonts w:ascii="Times New Roman" w:hAnsi="Times New Roman"/>
          <w:szCs w:val="24"/>
        </w:rPr>
        <w:t xml:space="preserve"> that conflic</w:t>
      </w:r>
      <w:r>
        <w:rPr>
          <w:rFonts w:ascii="Times New Roman" w:hAnsi="Times New Roman"/>
          <w:szCs w:val="24"/>
        </w:rPr>
        <w:t>ts are valuable commodities which</w:t>
      </w:r>
      <w:r w:rsidR="004D5736" w:rsidRPr="00C00E17">
        <w:rPr>
          <w:rFonts w:ascii="Times New Roman" w:hAnsi="Times New Roman"/>
          <w:szCs w:val="24"/>
        </w:rPr>
        <w:t xml:space="preserve"> have been taken away from their rightful owners(victims, offenders and communities) and given to </w:t>
      </w:r>
      <w:r w:rsidR="004D5736" w:rsidRPr="00C00E17">
        <w:rPr>
          <w:rFonts w:ascii="Times New Roman" w:hAnsi="Times New Roman"/>
          <w:szCs w:val="24"/>
        </w:rPr>
        <w:lastRenderedPageBreak/>
        <w:t>professional thieves-lawyers, prosecutors and the criminal justice system.</w:t>
      </w:r>
      <w:r w:rsidR="004D5736" w:rsidRPr="00C00E17">
        <w:rPr>
          <w:rStyle w:val="FootnoteReference"/>
          <w:rFonts w:ascii="Times New Roman" w:hAnsi="Times New Roman"/>
          <w:szCs w:val="24"/>
        </w:rPr>
        <w:footnoteReference w:id="932"/>
      </w:r>
      <w:r w:rsidR="004D5736" w:rsidRPr="00C00E17">
        <w:rPr>
          <w:rFonts w:ascii="Times New Roman" w:hAnsi="Times New Roman"/>
          <w:szCs w:val="24"/>
        </w:rPr>
        <w:t>He submits that, ‘the bigger loser is us-to the extent that society is us. The loss is first and foremost</w:t>
      </w:r>
      <w:r>
        <w:rPr>
          <w:rFonts w:ascii="Times New Roman" w:hAnsi="Times New Roman"/>
          <w:szCs w:val="24"/>
        </w:rPr>
        <w:t>,</w:t>
      </w:r>
      <w:r w:rsidR="004D5736" w:rsidRPr="00C00E17">
        <w:rPr>
          <w:rFonts w:ascii="Times New Roman" w:hAnsi="Times New Roman"/>
          <w:szCs w:val="24"/>
        </w:rPr>
        <w:t xml:space="preserve"> a loss in opportunities for norm-clarification.’</w:t>
      </w:r>
      <w:r w:rsidR="004D5736" w:rsidRPr="00C00E17">
        <w:rPr>
          <w:rStyle w:val="FootnoteReference"/>
          <w:rFonts w:ascii="Times New Roman" w:hAnsi="Times New Roman"/>
          <w:szCs w:val="24"/>
        </w:rPr>
        <w:footnoteReference w:id="933"/>
      </w:r>
      <w:r w:rsidR="00F042BE">
        <w:rPr>
          <w:rFonts w:ascii="Times New Roman" w:hAnsi="Times New Roman"/>
          <w:szCs w:val="24"/>
        </w:rPr>
        <w:t>If properly managed, conflict, he believes</w:t>
      </w:r>
      <w:r>
        <w:rPr>
          <w:rFonts w:ascii="Times New Roman" w:hAnsi="Times New Roman"/>
          <w:szCs w:val="24"/>
        </w:rPr>
        <w:t>,</w:t>
      </w:r>
      <w:r w:rsidR="004D5736" w:rsidRPr="00C00E17">
        <w:rPr>
          <w:rFonts w:ascii="Times New Roman" w:hAnsi="Times New Roman"/>
          <w:szCs w:val="24"/>
        </w:rPr>
        <w:t xml:space="preserve"> could give rise to a crucial opportunity for community development. The question that arises is, ‘is re-integration also a property.’ It is noteworthy that both the victims and offenders need re-integration within the context of the community.</w:t>
      </w:r>
    </w:p>
    <w:p w14:paraId="71363BFD" w14:textId="6538EA8B" w:rsidR="004D5736" w:rsidRPr="001341E3" w:rsidRDefault="004D5736" w:rsidP="001B6656">
      <w:pPr>
        <w:spacing w:line="480" w:lineRule="auto"/>
        <w:jc w:val="both"/>
        <w:rPr>
          <w:rFonts w:ascii="Times New Roman" w:hAnsi="Times New Roman"/>
          <w:szCs w:val="24"/>
        </w:rPr>
      </w:pPr>
      <w:r w:rsidRPr="00C00E17">
        <w:rPr>
          <w:rFonts w:ascii="Times New Roman" w:hAnsi="Times New Roman"/>
          <w:szCs w:val="24"/>
        </w:rPr>
        <w:t>Van Ness and Strong define reintegration as the re-entry into community life as a whole, contributing, productive person.</w:t>
      </w:r>
      <w:r w:rsidRPr="00C00E17">
        <w:rPr>
          <w:rStyle w:val="FootnoteReference"/>
          <w:rFonts w:ascii="Times New Roman" w:hAnsi="Times New Roman"/>
          <w:szCs w:val="24"/>
        </w:rPr>
        <w:footnoteReference w:id="934"/>
      </w:r>
      <w:r w:rsidRPr="00C00E17">
        <w:rPr>
          <w:rFonts w:ascii="Times New Roman" w:hAnsi="Times New Roman"/>
          <w:szCs w:val="24"/>
        </w:rPr>
        <w:t xml:space="preserve">  For offenders, re</w:t>
      </w:r>
      <w:r w:rsidR="00017176">
        <w:rPr>
          <w:rFonts w:ascii="Times New Roman" w:hAnsi="Times New Roman"/>
          <w:szCs w:val="24"/>
        </w:rPr>
        <w:t>-</w:t>
      </w:r>
      <w:r w:rsidRPr="00C00E17">
        <w:rPr>
          <w:rFonts w:ascii="Times New Roman" w:hAnsi="Times New Roman"/>
          <w:szCs w:val="24"/>
        </w:rPr>
        <w:t>integration includes rehabilitation into the community. Stigmatisation is an indispensable occurrence for the aftermath</w:t>
      </w:r>
      <w:r w:rsidR="00017176">
        <w:rPr>
          <w:rFonts w:ascii="Times New Roman" w:hAnsi="Times New Roman"/>
          <w:szCs w:val="24"/>
        </w:rPr>
        <w:t xml:space="preserve"> of crime. Consequently, it may cause the </w:t>
      </w:r>
      <w:proofErr w:type="spellStart"/>
      <w:r w:rsidR="00017176">
        <w:rPr>
          <w:rFonts w:ascii="Times New Roman" w:hAnsi="Times New Roman"/>
          <w:szCs w:val="24"/>
        </w:rPr>
        <w:t>ostracisation</w:t>
      </w:r>
      <w:proofErr w:type="spellEnd"/>
      <w:r w:rsidR="00017176">
        <w:rPr>
          <w:rFonts w:ascii="Times New Roman" w:hAnsi="Times New Roman"/>
          <w:szCs w:val="24"/>
        </w:rPr>
        <w:t xml:space="preserve"> or exclusion of the offender from </w:t>
      </w:r>
      <w:r w:rsidR="002A22F0">
        <w:rPr>
          <w:rFonts w:ascii="Times New Roman" w:hAnsi="Times New Roman"/>
          <w:szCs w:val="24"/>
        </w:rPr>
        <w:t xml:space="preserve">the </w:t>
      </w:r>
      <w:r w:rsidR="00017176">
        <w:rPr>
          <w:rFonts w:ascii="Times New Roman" w:hAnsi="Times New Roman"/>
          <w:szCs w:val="24"/>
        </w:rPr>
        <w:t>community or fami</w:t>
      </w:r>
      <w:r w:rsidR="00BD19F2">
        <w:rPr>
          <w:rFonts w:ascii="Times New Roman" w:hAnsi="Times New Roman"/>
          <w:szCs w:val="24"/>
        </w:rPr>
        <w:t>ly relationship.</w:t>
      </w:r>
      <w:r w:rsidR="002A22F0">
        <w:rPr>
          <w:rFonts w:ascii="Times New Roman" w:hAnsi="Times New Roman"/>
          <w:szCs w:val="24"/>
        </w:rPr>
        <w:t xml:space="preserve"> </w:t>
      </w:r>
      <w:r w:rsidR="00BD19F2">
        <w:rPr>
          <w:rFonts w:ascii="Times New Roman" w:hAnsi="Times New Roman"/>
          <w:szCs w:val="24"/>
        </w:rPr>
        <w:t xml:space="preserve">Through reintegration, restorative justice </w:t>
      </w:r>
      <w:r w:rsidRPr="00C00E17">
        <w:rPr>
          <w:rFonts w:ascii="Times New Roman" w:hAnsi="Times New Roman"/>
          <w:szCs w:val="24"/>
        </w:rPr>
        <w:t>intends to ‘build or rebuild relationships between offenders and their communities</w:t>
      </w:r>
      <w:r w:rsidR="003E2D38">
        <w:rPr>
          <w:rFonts w:ascii="Times New Roman" w:hAnsi="Times New Roman"/>
          <w:szCs w:val="24"/>
        </w:rPr>
        <w:t>.</w:t>
      </w:r>
      <w:r w:rsidRPr="00C00E17">
        <w:rPr>
          <w:rFonts w:ascii="Times New Roman" w:hAnsi="Times New Roman"/>
          <w:szCs w:val="24"/>
        </w:rPr>
        <w:t>’</w:t>
      </w:r>
      <w:r w:rsidRPr="00C00E17">
        <w:rPr>
          <w:rStyle w:val="FootnoteReference"/>
          <w:rFonts w:ascii="Times New Roman" w:hAnsi="Times New Roman"/>
          <w:szCs w:val="24"/>
        </w:rPr>
        <w:footnoteReference w:id="935"/>
      </w:r>
      <w:r w:rsidRPr="00C00E17">
        <w:rPr>
          <w:rFonts w:ascii="Times New Roman" w:hAnsi="Times New Roman"/>
          <w:szCs w:val="24"/>
        </w:rPr>
        <w:t xml:space="preserve"> This include</w:t>
      </w:r>
      <w:r w:rsidR="00BD19F2">
        <w:rPr>
          <w:rFonts w:ascii="Times New Roman" w:hAnsi="Times New Roman"/>
          <w:szCs w:val="24"/>
        </w:rPr>
        <w:t>s</w:t>
      </w:r>
      <w:r w:rsidRPr="00C00E17">
        <w:rPr>
          <w:rFonts w:ascii="Times New Roman" w:hAnsi="Times New Roman"/>
          <w:szCs w:val="24"/>
        </w:rPr>
        <w:t xml:space="preserve"> but not limited to </w:t>
      </w:r>
      <w:r w:rsidR="003E2D38">
        <w:rPr>
          <w:rFonts w:ascii="Times New Roman" w:hAnsi="Times New Roman"/>
          <w:szCs w:val="24"/>
        </w:rPr>
        <w:t>reinforcing</w:t>
      </w:r>
      <w:r w:rsidRPr="00C00E17">
        <w:rPr>
          <w:rFonts w:ascii="Times New Roman" w:hAnsi="Times New Roman"/>
          <w:szCs w:val="24"/>
        </w:rPr>
        <w:t xml:space="preserve"> the offender’s ties</w:t>
      </w:r>
      <w:r w:rsidR="003E2D38">
        <w:rPr>
          <w:rFonts w:ascii="Times New Roman" w:hAnsi="Times New Roman"/>
          <w:szCs w:val="24"/>
        </w:rPr>
        <w:t xml:space="preserve"> with</w:t>
      </w:r>
      <w:r w:rsidRPr="00C00E17">
        <w:rPr>
          <w:rFonts w:ascii="Times New Roman" w:hAnsi="Times New Roman"/>
          <w:szCs w:val="24"/>
        </w:rPr>
        <w:t xml:space="preserve"> adults and peers and changing the offenders’ </w:t>
      </w:r>
      <w:r w:rsidRPr="001341E3">
        <w:rPr>
          <w:rFonts w:ascii="Times New Roman" w:hAnsi="Times New Roman"/>
          <w:szCs w:val="24"/>
        </w:rPr>
        <w:t>view of law-abiding citizens and community</w:t>
      </w:r>
      <w:r w:rsidR="003E2D38">
        <w:rPr>
          <w:rFonts w:ascii="Times New Roman" w:hAnsi="Times New Roman"/>
          <w:szCs w:val="24"/>
        </w:rPr>
        <w:t>.</w:t>
      </w:r>
      <w:r w:rsidRPr="001341E3">
        <w:rPr>
          <w:rFonts w:ascii="Times New Roman" w:hAnsi="Times New Roman"/>
          <w:szCs w:val="24"/>
        </w:rPr>
        <w:t>’</w:t>
      </w:r>
      <w:r w:rsidRPr="001341E3">
        <w:rPr>
          <w:rStyle w:val="FootnoteReference"/>
          <w:rFonts w:ascii="Times New Roman" w:hAnsi="Times New Roman"/>
          <w:szCs w:val="24"/>
        </w:rPr>
        <w:footnoteReference w:id="936"/>
      </w:r>
      <w:r w:rsidRPr="001341E3">
        <w:rPr>
          <w:rFonts w:ascii="Times New Roman" w:hAnsi="Times New Roman"/>
          <w:szCs w:val="24"/>
        </w:rPr>
        <w:t xml:space="preserve"> Therefore, the channels of socialisation need to be involved in the policies and strategies for re</w:t>
      </w:r>
      <w:r w:rsidR="00BD19F2">
        <w:rPr>
          <w:rFonts w:ascii="Times New Roman" w:hAnsi="Times New Roman"/>
          <w:szCs w:val="24"/>
        </w:rPr>
        <w:t>-</w:t>
      </w:r>
      <w:r w:rsidRPr="001341E3">
        <w:rPr>
          <w:rFonts w:ascii="Times New Roman" w:hAnsi="Times New Roman"/>
          <w:szCs w:val="24"/>
        </w:rPr>
        <w:t>integration.</w:t>
      </w:r>
    </w:p>
    <w:p w14:paraId="48A83D17" w14:textId="31DAC08B" w:rsidR="006D38BC" w:rsidRDefault="00FF0301" w:rsidP="001B6656">
      <w:pPr>
        <w:spacing w:line="480" w:lineRule="auto"/>
        <w:jc w:val="both"/>
        <w:rPr>
          <w:rFonts w:ascii="Times New Roman" w:hAnsi="Times New Roman"/>
          <w:szCs w:val="24"/>
        </w:rPr>
      </w:pPr>
      <w:r w:rsidRPr="001341E3">
        <w:rPr>
          <w:rFonts w:ascii="Times New Roman" w:hAnsi="Times New Roman"/>
          <w:szCs w:val="24"/>
        </w:rPr>
        <w:t xml:space="preserve">Set against this background, it is almost </w:t>
      </w:r>
      <w:r w:rsidR="00BD19F2">
        <w:rPr>
          <w:rFonts w:ascii="Times New Roman" w:hAnsi="Times New Roman"/>
          <w:szCs w:val="24"/>
        </w:rPr>
        <w:t>sure</w:t>
      </w:r>
      <w:r w:rsidRPr="001341E3">
        <w:rPr>
          <w:rFonts w:ascii="Times New Roman" w:hAnsi="Times New Roman"/>
          <w:szCs w:val="24"/>
        </w:rPr>
        <w:t xml:space="preserve"> that some </w:t>
      </w:r>
      <w:r w:rsidR="00F042BE">
        <w:rPr>
          <w:rFonts w:ascii="Times New Roman" w:hAnsi="Times New Roman"/>
          <w:szCs w:val="24"/>
        </w:rPr>
        <w:t>restorative justice elements</w:t>
      </w:r>
      <w:r w:rsidRPr="001341E3">
        <w:rPr>
          <w:rFonts w:ascii="Times New Roman" w:hAnsi="Times New Roman"/>
          <w:szCs w:val="24"/>
        </w:rPr>
        <w:t xml:space="preserve"> could enhance </w:t>
      </w:r>
      <w:r w:rsidR="00B15FB7">
        <w:rPr>
          <w:rFonts w:ascii="Times New Roman" w:hAnsi="Times New Roman"/>
          <w:szCs w:val="24"/>
        </w:rPr>
        <w:t>victims' involvement</w:t>
      </w:r>
      <w:r w:rsidRPr="001341E3">
        <w:rPr>
          <w:rFonts w:ascii="Times New Roman" w:hAnsi="Times New Roman"/>
          <w:szCs w:val="24"/>
        </w:rPr>
        <w:t xml:space="preserve"> in the sentencing stage. Such could include </w:t>
      </w:r>
      <w:r w:rsidRPr="001341E3">
        <w:rPr>
          <w:rFonts w:ascii="Times New Roman" w:hAnsi="Times New Roman"/>
          <w:szCs w:val="24"/>
        </w:rPr>
        <w:lastRenderedPageBreak/>
        <w:t>consultation with victims on how the crime has affected them</w:t>
      </w:r>
      <w:r w:rsidR="008376A1">
        <w:rPr>
          <w:rFonts w:ascii="Times New Roman" w:hAnsi="Times New Roman"/>
          <w:szCs w:val="24"/>
        </w:rPr>
        <w:t>;</w:t>
      </w:r>
      <w:r w:rsidRPr="001341E3">
        <w:rPr>
          <w:rFonts w:ascii="Times New Roman" w:hAnsi="Times New Roman"/>
          <w:szCs w:val="24"/>
        </w:rPr>
        <w:t xml:space="preserve"> this may be in </w:t>
      </w:r>
      <w:r w:rsidR="008376A1">
        <w:rPr>
          <w:rFonts w:ascii="Times New Roman" w:hAnsi="Times New Roman"/>
          <w:szCs w:val="24"/>
        </w:rPr>
        <w:t xml:space="preserve">the </w:t>
      </w:r>
      <w:r w:rsidRPr="001341E3">
        <w:rPr>
          <w:rFonts w:ascii="Times New Roman" w:hAnsi="Times New Roman"/>
          <w:szCs w:val="24"/>
        </w:rPr>
        <w:t>form of VIS</w:t>
      </w:r>
      <w:r w:rsidR="00761648" w:rsidRPr="001341E3">
        <w:rPr>
          <w:rFonts w:ascii="Times New Roman" w:hAnsi="Times New Roman"/>
          <w:szCs w:val="24"/>
        </w:rPr>
        <w:t>.</w:t>
      </w:r>
      <w:r w:rsidR="008376A1">
        <w:rPr>
          <w:rFonts w:ascii="Times New Roman" w:hAnsi="Times New Roman"/>
          <w:szCs w:val="24"/>
        </w:rPr>
        <w:t xml:space="preserve"> </w:t>
      </w:r>
      <w:r w:rsidRPr="001341E3">
        <w:rPr>
          <w:rFonts w:ascii="Times New Roman" w:hAnsi="Times New Roman"/>
          <w:szCs w:val="24"/>
        </w:rPr>
        <w:t xml:space="preserve">It could also </w:t>
      </w:r>
      <w:r w:rsidR="00253187">
        <w:rPr>
          <w:rFonts w:ascii="Times New Roman" w:hAnsi="Times New Roman"/>
          <w:szCs w:val="24"/>
        </w:rPr>
        <w:t xml:space="preserve">be an </w:t>
      </w:r>
      <w:r w:rsidRPr="001341E3">
        <w:rPr>
          <w:rFonts w:ascii="Times New Roman" w:hAnsi="Times New Roman"/>
          <w:szCs w:val="24"/>
        </w:rPr>
        <w:t xml:space="preserve">encounter between the victim and the offender,  </w:t>
      </w:r>
      <w:r w:rsidR="00253187">
        <w:rPr>
          <w:rFonts w:ascii="Times New Roman" w:hAnsi="Times New Roman"/>
          <w:szCs w:val="24"/>
        </w:rPr>
        <w:t xml:space="preserve">remorse, public apology, </w:t>
      </w:r>
      <w:r w:rsidR="006D38BC">
        <w:rPr>
          <w:rFonts w:ascii="Times New Roman" w:hAnsi="Times New Roman"/>
          <w:szCs w:val="24"/>
        </w:rPr>
        <w:t>acknowledging the crime</w:t>
      </w:r>
      <w:r w:rsidR="00253187">
        <w:rPr>
          <w:rFonts w:ascii="Times New Roman" w:hAnsi="Times New Roman"/>
          <w:szCs w:val="24"/>
        </w:rPr>
        <w:t>, admission of guilt</w:t>
      </w:r>
      <w:r w:rsidR="00F042BE">
        <w:rPr>
          <w:rFonts w:ascii="Times New Roman" w:hAnsi="Times New Roman"/>
          <w:szCs w:val="24"/>
        </w:rPr>
        <w:t>, and</w:t>
      </w:r>
      <w:r w:rsidR="006D38BC">
        <w:rPr>
          <w:rFonts w:ascii="Times New Roman" w:hAnsi="Times New Roman"/>
          <w:szCs w:val="24"/>
        </w:rPr>
        <w:t xml:space="preserve"> efforts to address the harm done</w:t>
      </w:r>
      <w:r w:rsidRPr="001341E3">
        <w:rPr>
          <w:rFonts w:ascii="Times New Roman" w:hAnsi="Times New Roman"/>
          <w:szCs w:val="24"/>
        </w:rPr>
        <w:t>. Since sentencing is</w:t>
      </w:r>
      <w:r w:rsidR="00253187">
        <w:rPr>
          <w:rFonts w:ascii="Times New Roman" w:hAnsi="Times New Roman"/>
          <w:szCs w:val="24"/>
        </w:rPr>
        <w:t xml:space="preserve"> also</w:t>
      </w:r>
      <w:r w:rsidRPr="001341E3">
        <w:rPr>
          <w:rFonts w:ascii="Times New Roman" w:hAnsi="Times New Roman"/>
          <w:szCs w:val="24"/>
        </w:rPr>
        <w:t xml:space="preserve"> a process,</w:t>
      </w:r>
      <w:r w:rsidR="006D38BC">
        <w:rPr>
          <w:rFonts w:ascii="Times New Roman" w:hAnsi="Times New Roman"/>
          <w:szCs w:val="24"/>
        </w:rPr>
        <w:t xml:space="preserve"> </w:t>
      </w:r>
      <w:r w:rsidRPr="001341E3">
        <w:rPr>
          <w:rFonts w:ascii="Times New Roman" w:hAnsi="Times New Roman"/>
          <w:szCs w:val="24"/>
        </w:rPr>
        <w:t xml:space="preserve">some </w:t>
      </w:r>
      <w:r w:rsidR="006D38BC">
        <w:rPr>
          <w:rFonts w:ascii="Times New Roman" w:hAnsi="Times New Roman"/>
          <w:szCs w:val="24"/>
        </w:rPr>
        <w:t xml:space="preserve">of the </w:t>
      </w:r>
      <w:r w:rsidR="00F042BE">
        <w:rPr>
          <w:rFonts w:ascii="Times New Roman" w:hAnsi="Times New Roman"/>
          <w:szCs w:val="24"/>
        </w:rPr>
        <w:t>restorative justice elements</w:t>
      </w:r>
      <w:r w:rsidR="006D38BC">
        <w:rPr>
          <w:rFonts w:ascii="Times New Roman" w:hAnsi="Times New Roman"/>
          <w:szCs w:val="24"/>
        </w:rPr>
        <w:t xml:space="preserve"> could be incorporated to enhance the process and outcome for the victims.</w:t>
      </w:r>
      <w:r w:rsidRPr="001341E3">
        <w:rPr>
          <w:rFonts w:ascii="Times New Roman" w:hAnsi="Times New Roman"/>
          <w:szCs w:val="24"/>
        </w:rPr>
        <w:t xml:space="preserve"> </w:t>
      </w:r>
    </w:p>
    <w:p w14:paraId="793C6FA6" w14:textId="56215F29" w:rsidR="00FF0301" w:rsidRPr="001341E3" w:rsidRDefault="006D38BC" w:rsidP="001B6656">
      <w:pPr>
        <w:spacing w:line="480" w:lineRule="auto"/>
        <w:jc w:val="both"/>
        <w:rPr>
          <w:rFonts w:ascii="Times New Roman" w:hAnsi="Times New Roman"/>
          <w:szCs w:val="24"/>
        </w:rPr>
      </w:pPr>
      <w:r>
        <w:rPr>
          <w:rFonts w:ascii="Times New Roman" w:hAnsi="Times New Roman"/>
          <w:szCs w:val="24"/>
        </w:rPr>
        <w:t xml:space="preserve">Before </w:t>
      </w:r>
      <w:r w:rsidR="00F042BE">
        <w:rPr>
          <w:rFonts w:ascii="Times New Roman" w:hAnsi="Times New Roman"/>
          <w:szCs w:val="24"/>
        </w:rPr>
        <w:t>examining</w:t>
      </w:r>
      <w:r>
        <w:rPr>
          <w:rFonts w:ascii="Times New Roman" w:hAnsi="Times New Roman"/>
          <w:szCs w:val="24"/>
        </w:rPr>
        <w:t xml:space="preserve"> the </w:t>
      </w:r>
      <w:r w:rsidR="00B15FB7">
        <w:rPr>
          <w:rFonts w:ascii="Times New Roman" w:hAnsi="Times New Roman"/>
          <w:szCs w:val="24"/>
        </w:rPr>
        <w:t>Lubanga and Katanga cases' sentencing</w:t>
      </w:r>
      <w:r w:rsidR="002A22F0">
        <w:rPr>
          <w:rFonts w:ascii="Times New Roman" w:hAnsi="Times New Roman"/>
          <w:szCs w:val="24"/>
        </w:rPr>
        <w:t>, t</w:t>
      </w:r>
      <w:r w:rsidR="00AA0AF9" w:rsidRPr="001341E3">
        <w:rPr>
          <w:rFonts w:ascii="Times New Roman" w:hAnsi="Times New Roman"/>
          <w:szCs w:val="24"/>
        </w:rPr>
        <w:t>h</w:t>
      </w:r>
      <w:r>
        <w:rPr>
          <w:rFonts w:ascii="Times New Roman" w:hAnsi="Times New Roman"/>
          <w:szCs w:val="24"/>
        </w:rPr>
        <w:t>e following section shall discuss</w:t>
      </w:r>
      <w:r w:rsidR="00AA0AF9" w:rsidRPr="001341E3">
        <w:rPr>
          <w:rFonts w:ascii="Times New Roman" w:hAnsi="Times New Roman"/>
          <w:szCs w:val="24"/>
        </w:rPr>
        <w:t xml:space="preserve"> if there is a relationship between retributive justice and restorative justice.</w:t>
      </w:r>
    </w:p>
    <w:p w14:paraId="1E941A69" w14:textId="77777777" w:rsidR="00761648" w:rsidRPr="001341E3" w:rsidRDefault="006D38BC" w:rsidP="00364EC8">
      <w:pPr>
        <w:pStyle w:val="Heading2"/>
      </w:pPr>
      <w:bookmarkStart w:id="62" w:name="_Toc60235832"/>
      <w:r>
        <w:t>4.3.0</w:t>
      </w:r>
      <w:r w:rsidR="00AA0AF9" w:rsidRPr="001341E3">
        <w:t xml:space="preserve"> Retributive justice and restorative justice: Two sides of a coin?</w:t>
      </w:r>
      <w:bookmarkEnd w:id="62"/>
    </w:p>
    <w:p w14:paraId="32C5DF39" w14:textId="5C2332B7" w:rsidR="004D5736" w:rsidRPr="00B91122" w:rsidRDefault="006D38BC" w:rsidP="001B6656">
      <w:pPr>
        <w:spacing w:line="480" w:lineRule="auto"/>
        <w:jc w:val="both"/>
        <w:rPr>
          <w:rFonts w:ascii="Times New Roman" w:hAnsi="Times New Roman"/>
          <w:szCs w:val="24"/>
        </w:rPr>
      </w:pPr>
      <w:r>
        <w:rPr>
          <w:rFonts w:ascii="Times New Roman" w:hAnsi="Times New Roman"/>
          <w:szCs w:val="24"/>
        </w:rPr>
        <w:t>The previous sections have focused on the theories of retributive and restorative justice. It is now necessary to explain if there is any relationship between these theories. This part would make a comparison</w:t>
      </w:r>
      <w:r w:rsidR="004D5736" w:rsidRPr="006D38BC">
        <w:rPr>
          <w:rFonts w:ascii="Times New Roman" w:hAnsi="Times New Roman"/>
          <w:szCs w:val="24"/>
        </w:rPr>
        <w:t xml:space="preserve"> </w:t>
      </w:r>
      <w:r>
        <w:rPr>
          <w:rFonts w:ascii="Times New Roman" w:hAnsi="Times New Roman"/>
          <w:szCs w:val="24"/>
        </w:rPr>
        <w:t>between the two approaches to assess their compatibility within the context of sentencing.</w:t>
      </w:r>
      <w:r w:rsidR="000903C2">
        <w:rPr>
          <w:rFonts w:ascii="Times New Roman" w:hAnsi="Times New Roman"/>
          <w:szCs w:val="24"/>
        </w:rPr>
        <w:t xml:space="preserve"> </w:t>
      </w:r>
      <w:r>
        <w:rPr>
          <w:rFonts w:ascii="Times New Roman" w:hAnsi="Times New Roman"/>
          <w:szCs w:val="24"/>
        </w:rPr>
        <w:t xml:space="preserve">In  </w:t>
      </w:r>
      <w:proofErr w:type="spellStart"/>
      <w:r>
        <w:rPr>
          <w:rFonts w:ascii="Times New Roman" w:hAnsi="Times New Roman"/>
          <w:szCs w:val="24"/>
        </w:rPr>
        <w:t>Zehr’s</w:t>
      </w:r>
      <w:proofErr w:type="spellEnd"/>
      <w:r>
        <w:rPr>
          <w:rFonts w:ascii="Times New Roman" w:hAnsi="Times New Roman"/>
          <w:szCs w:val="24"/>
        </w:rPr>
        <w:t xml:space="preserve"> observation, retributive justice is not the opposite of restorative justice.</w:t>
      </w:r>
      <w:r w:rsidR="000903C2">
        <w:rPr>
          <w:rStyle w:val="FootnoteReference"/>
          <w:rFonts w:ascii="Times New Roman" w:hAnsi="Times New Roman"/>
          <w:szCs w:val="24"/>
        </w:rPr>
        <w:footnoteReference w:id="937"/>
      </w:r>
      <w:r w:rsidR="004D5736" w:rsidRPr="006D38BC">
        <w:rPr>
          <w:rFonts w:ascii="Times New Roman" w:hAnsi="Times New Roman"/>
          <w:szCs w:val="24"/>
        </w:rPr>
        <w:t xml:space="preserve"> </w:t>
      </w:r>
      <w:r w:rsidR="000903C2">
        <w:rPr>
          <w:rFonts w:ascii="Times New Roman" w:hAnsi="Times New Roman"/>
          <w:szCs w:val="24"/>
        </w:rPr>
        <w:t>They are not irreconcilable. Instead</w:t>
      </w:r>
      <w:r w:rsidR="004D5736" w:rsidRPr="006D38BC">
        <w:rPr>
          <w:rFonts w:ascii="Times New Roman" w:hAnsi="Times New Roman"/>
          <w:szCs w:val="24"/>
        </w:rPr>
        <w:t xml:space="preserve">, </w:t>
      </w:r>
      <w:r w:rsidR="000903C2">
        <w:rPr>
          <w:rFonts w:ascii="Times New Roman" w:hAnsi="Times New Roman"/>
          <w:szCs w:val="24"/>
        </w:rPr>
        <w:t>their approach</w:t>
      </w:r>
      <w:r w:rsidR="00596548">
        <w:rPr>
          <w:rFonts w:ascii="Times New Roman" w:hAnsi="Times New Roman"/>
          <w:szCs w:val="24"/>
        </w:rPr>
        <w:t xml:space="preserve">es </w:t>
      </w:r>
      <w:r w:rsidR="000903C2">
        <w:rPr>
          <w:rFonts w:ascii="Times New Roman" w:hAnsi="Times New Roman"/>
          <w:szCs w:val="24"/>
        </w:rPr>
        <w:t>address the imbalance caused by the wrongdoing</w:t>
      </w:r>
      <w:r w:rsidR="002373C1">
        <w:rPr>
          <w:rFonts w:ascii="Times New Roman" w:hAnsi="Times New Roman"/>
          <w:szCs w:val="24"/>
        </w:rPr>
        <w:t>.</w:t>
      </w:r>
      <w:r w:rsidR="004D5736" w:rsidRPr="006D38BC">
        <w:rPr>
          <w:rFonts w:ascii="Times New Roman" w:hAnsi="Times New Roman"/>
          <w:szCs w:val="24"/>
        </w:rPr>
        <w:t xml:space="preserve"> </w:t>
      </w:r>
    </w:p>
    <w:p w14:paraId="6C116692" w14:textId="6953015C" w:rsidR="004D5736" w:rsidRPr="00F72FE4" w:rsidRDefault="004D5736" w:rsidP="001B6656">
      <w:pPr>
        <w:spacing w:line="480" w:lineRule="auto"/>
        <w:jc w:val="both"/>
        <w:rPr>
          <w:rFonts w:ascii="Times New Roman" w:hAnsi="Times New Roman"/>
          <w:szCs w:val="24"/>
        </w:rPr>
      </w:pPr>
      <w:r w:rsidRPr="00B91122">
        <w:rPr>
          <w:rFonts w:ascii="Times New Roman" w:hAnsi="Times New Roman"/>
          <w:szCs w:val="24"/>
        </w:rPr>
        <w:t xml:space="preserve">Similarly, </w:t>
      </w:r>
      <w:proofErr w:type="spellStart"/>
      <w:r w:rsidRPr="00B91122">
        <w:rPr>
          <w:rFonts w:ascii="Times New Roman" w:hAnsi="Times New Roman"/>
          <w:szCs w:val="24"/>
        </w:rPr>
        <w:t>Zehr</w:t>
      </w:r>
      <w:proofErr w:type="spellEnd"/>
      <w:r w:rsidRPr="00B91122">
        <w:rPr>
          <w:rFonts w:ascii="Times New Roman" w:hAnsi="Times New Roman"/>
          <w:szCs w:val="24"/>
        </w:rPr>
        <w:t xml:space="preserve"> also submit</w:t>
      </w:r>
      <w:r w:rsidR="00B91122">
        <w:rPr>
          <w:rFonts w:ascii="Times New Roman" w:hAnsi="Times New Roman"/>
          <w:szCs w:val="24"/>
        </w:rPr>
        <w:t>s</w:t>
      </w:r>
      <w:r w:rsidRPr="00B91122">
        <w:rPr>
          <w:rFonts w:ascii="Times New Roman" w:hAnsi="Times New Roman"/>
          <w:szCs w:val="24"/>
        </w:rPr>
        <w:t xml:space="preserve"> that restorative justice is not a replacement for legal system nor an alternative to prison.</w:t>
      </w:r>
      <w:r w:rsidRPr="00B91122">
        <w:rPr>
          <w:rStyle w:val="FootnoteReference"/>
          <w:rFonts w:ascii="Times New Roman" w:hAnsi="Times New Roman"/>
          <w:szCs w:val="24"/>
        </w:rPr>
        <w:footnoteReference w:id="938"/>
      </w:r>
      <w:r w:rsidR="004C287D" w:rsidRPr="00B91122">
        <w:rPr>
          <w:rFonts w:ascii="Times New Roman" w:hAnsi="Times New Roman"/>
          <w:szCs w:val="24"/>
        </w:rPr>
        <w:t>It is believed that restorative justice runs parallel to retributive justice.</w:t>
      </w:r>
      <w:r w:rsidR="00B91122">
        <w:rPr>
          <w:rFonts w:ascii="Times New Roman" w:hAnsi="Times New Roman"/>
          <w:szCs w:val="24"/>
        </w:rPr>
        <w:t xml:space="preserve"> </w:t>
      </w:r>
      <w:r w:rsidR="004C287D" w:rsidRPr="00B91122">
        <w:rPr>
          <w:rFonts w:ascii="Times New Roman" w:hAnsi="Times New Roman"/>
          <w:szCs w:val="24"/>
        </w:rPr>
        <w:t>It seems the elements of these theories are opposites</w:t>
      </w:r>
      <w:r w:rsidR="00FF0301" w:rsidRPr="00B91122">
        <w:rPr>
          <w:rFonts w:ascii="Times New Roman" w:hAnsi="Times New Roman"/>
          <w:szCs w:val="24"/>
        </w:rPr>
        <w:t xml:space="preserve">. However, these theories can be applied </w:t>
      </w:r>
      <w:r w:rsidR="00B15FB7">
        <w:rPr>
          <w:rFonts w:ascii="Times New Roman" w:hAnsi="Times New Roman"/>
          <w:szCs w:val="24"/>
        </w:rPr>
        <w:t>to</w:t>
      </w:r>
      <w:r w:rsidR="00FF0301" w:rsidRPr="00B91122">
        <w:rPr>
          <w:rFonts w:ascii="Times New Roman" w:hAnsi="Times New Roman"/>
          <w:szCs w:val="24"/>
        </w:rPr>
        <w:t xml:space="preserve"> complement each other</w:t>
      </w:r>
      <w:r w:rsidR="002373C1">
        <w:rPr>
          <w:rFonts w:ascii="Times New Roman" w:hAnsi="Times New Roman"/>
          <w:szCs w:val="24"/>
        </w:rPr>
        <w:t xml:space="preserve"> </w:t>
      </w:r>
      <w:r w:rsidR="002373C1" w:rsidRPr="00B91122">
        <w:rPr>
          <w:rFonts w:ascii="Times New Roman" w:hAnsi="Times New Roman"/>
          <w:szCs w:val="24"/>
        </w:rPr>
        <w:t>because it recognises the harm suffered by the victims</w:t>
      </w:r>
      <w:r w:rsidR="002373C1">
        <w:rPr>
          <w:rFonts w:ascii="Times New Roman" w:hAnsi="Times New Roman"/>
          <w:szCs w:val="24"/>
        </w:rPr>
        <w:t>. In contrast,</w:t>
      </w:r>
      <w:r w:rsidR="002373C1" w:rsidRPr="00B91122">
        <w:rPr>
          <w:rFonts w:ascii="Times New Roman" w:hAnsi="Times New Roman"/>
          <w:szCs w:val="24"/>
        </w:rPr>
        <w:t xml:space="preserve"> retributive justice recognises the wrong committed</w:t>
      </w:r>
      <w:r w:rsidR="002373C1">
        <w:rPr>
          <w:rFonts w:ascii="Times New Roman" w:hAnsi="Times New Roman"/>
          <w:szCs w:val="24"/>
        </w:rPr>
        <w:t>.</w:t>
      </w:r>
      <w:r w:rsidR="00F752D3" w:rsidRPr="00B91122">
        <w:rPr>
          <w:rFonts w:ascii="Times New Roman" w:hAnsi="Times New Roman"/>
          <w:szCs w:val="24"/>
        </w:rPr>
        <w:t xml:space="preserve"> </w:t>
      </w:r>
      <w:r w:rsidR="00FF0301" w:rsidRPr="00B91122">
        <w:rPr>
          <w:rFonts w:ascii="Times New Roman" w:hAnsi="Times New Roman"/>
          <w:szCs w:val="24"/>
        </w:rPr>
        <w:lastRenderedPageBreak/>
        <w:t>The focus of retributive justice is criminal punishment.</w:t>
      </w:r>
      <w:r w:rsidR="00FF0301" w:rsidRPr="00B91122">
        <w:rPr>
          <w:rStyle w:val="FootnoteReference"/>
          <w:rFonts w:ascii="Times New Roman" w:hAnsi="Times New Roman"/>
          <w:szCs w:val="24"/>
        </w:rPr>
        <w:footnoteReference w:id="939"/>
      </w:r>
      <w:r w:rsidR="00FF0301" w:rsidRPr="00B91122">
        <w:rPr>
          <w:rFonts w:ascii="Times New Roman" w:hAnsi="Times New Roman"/>
          <w:szCs w:val="24"/>
        </w:rPr>
        <w:t xml:space="preserve"> </w:t>
      </w:r>
      <w:r w:rsidR="004C287D" w:rsidRPr="00B91122">
        <w:rPr>
          <w:rFonts w:ascii="Times New Roman" w:hAnsi="Times New Roman"/>
          <w:szCs w:val="24"/>
        </w:rPr>
        <w:t xml:space="preserve"> </w:t>
      </w:r>
      <w:r w:rsidRPr="00B91122">
        <w:rPr>
          <w:rFonts w:ascii="Times New Roman" w:hAnsi="Times New Roman"/>
          <w:szCs w:val="24"/>
        </w:rPr>
        <w:t>Most advocates of restorative justice agree that crime has both a public dimension and private dimension</w:t>
      </w:r>
      <w:r w:rsidR="006A6784" w:rsidRPr="00B91122">
        <w:rPr>
          <w:rFonts w:ascii="Times New Roman" w:hAnsi="Times New Roman"/>
          <w:szCs w:val="24"/>
        </w:rPr>
        <w:t>.</w:t>
      </w:r>
      <w:r w:rsidR="006A6784" w:rsidRPr="00B91122">
        <w:rPr>
          <w:rStyle w:val="FootnoteReference"/>
          <w:rFonts w:ascii="Times New Roman" w:hAnsi="Times New Roman"/>
          <w:szCs w:val="24"/>
        </w:rPr>
        <w:footnoteReference w:id="940"/>
      </w:r>
      <w:r w:rsidRPr="00B91122">
        <w:rPr>
          <w:rFonts w:ascii="Times New Roman" w:hAnsi="Times New Roman"/>
          <w:szCs w:val="24"/>
        </w:rPr>
        <w:t xml:space="preserve"> </w:t>
      </w:r>
      <w:proofErr w:type="spellStart"/>
      <w:r w:rsidRPr="00B91122">
        <w:rPr>
          <w:rFonts w:ascii="Times New Roman" w:hAnsi="Times New Roman"/>
          <w:szCs w:val="24"/>
        </w:rPr>
        <w:t>Zehr</w:t>
      </w:r>
      <w:proofErr w:type="spellEnd"/>
      <w:r w:rsidRPr="00B91122">
        <w:rPr>
          <w:rFonts w:ascii="Times New Roman" w:hAnsi="Times New Roman"/>
          <w:szCs w:val="24"/>
        </w:rPr>
        <w:t xml:space="preserve"> opines that crime has a societal dimension, as well as a more local and personal</w:t>
      </w:r>
      <w:r w:rsidR="00596548">
        <w:rPr>
          <w:rFonts w:ascii="Times New Roman" w:hAnsi="Times New Roman"/>
          <w:szCs w:val="24"/>
        </w:rPr>
        <w:t xml:space="preserve"> aspect</w:t>
      </w:r>
      <w:r w:rsidRPr="00B91122">
        <w:rPr>
          <w:rFonts w:ascii="Times New Roman" w:hAnsi="Times New Roman"/>
          <w:szCs w:val="24"/>
        </w:rPr>
        <w:t xml:space="preserve">. He argues that the legal system focuses on the public dimension vis-à-vis society’s interests and obligations as represented by the State. Nevertheless, the emphasis on the </w:t>
      </w:r>
      <w:r w:rsidR="00596548">
        <w:rPr>
          <w:rFonts w:ascii="Times New Roman" w:hAnsi="Times New Roman"/>
          <w:szCs w:val="24"/>
        </w:rPr>
        <w:t xml:space="preserve">collective </w:t>
      </w:r>
      <w:r w:rsidRPr="00B91122">
        <w:rPr>
          <w:rFonts w:ascii="Times New Roman" w:hAnsi="Times New Roman"/>
          <w:szCs w:val="24"/>
        </w:rPr>
        <w:t>dimension relegates the personal and interpersonal aspects of crime.</w:t>
      </w:r>
      <w:r w:rsidRPr="00B91122">
        <w:rPr>
          <w:rStyle w:val="FootnoteReference"/>
          <w:rFonts w:ascii="Times New Roman" w:hAnsi="Times New Roman"/>
          <w:szCs w:val="24"/>
        </w:rPr>
        <w:footnoteReference w:id="941"/>
      </w:r>
      <w:r w:rsidR="006A6784" w:rsidRPr="00F72FE4">
        <w:rPr>
          <w:rFonts w:ascii="Times New Roman" w:hAnsi="Times New Roman"/>
          <w:szCs w:val="24"/>
        </w:rPr>
        <w:t xml:space="preserve">Sentencing as an integral part of the criminal justice system is </w:t>
      </w:r>
      <w:r w:rsidR="00596548">
        <w:rPr>
          <w:rFonts w:ascii="Times New Roman" w:hAnsi="Times New Roman"/>
          <w:szCs w:val="24"/>
        </w:rPr>
        <w:t>situated</w:t>
      </w:r>
      <w:r w:rsidR="006A6784" w:rsidRPr="00F72FE4">
        <w:rPr>
          <w:rFonts w:ascii="Times New Roman" w:hAnsi="Times New Roman"/>
          <w:szCs w:val="24"/>
        </w:rPr>
        <w:t xml:space="preserve"> within </w:t>
      </w:r>
      <w:r w:rsidR="00F72FE4">
        <w:rPr>
          <w:rFonts w:ascii="Times New Roman" w:hAnsi="Times New Roman"/>
          <w:szCs w:val="24"/>
        </w:rPr>
        <w:t xml:space="preserve">the </w:t>
      </w:r>
      <w:r w:rsidR="00596548">
        <w:rPr>
          <w:rFonts w:ascii="Times New Roman" w:hAnsi="Times New Roman"/>
          <w:szCs w:val="24"/>
        </w:rPr>
        <w:t>common</w:t>
      </w:r>
      <w:r w:rsidR="006A6784" w:rsidRPr="00F72FE4">
        <w:rPr>
          <w:rFonts w:ascii="Times New Roman" w:hAnsi="Times New Roman"/>
          <w:szCs w:val="24"/>
        </w:rPr>
        <w:t xml:space="preserve"> </w:t>
      </w:r>
      <w:r w:rsidR="00596548">
        <w:rPr>
          <w:rFonts w:ascii="Times New Roman" w:hAnsi="Times New Roman"/>
          <w:szCs w:val="24"/>
        </w:rPr>
        <w:t>facet</w:t>
      </w:r>
      <w:r w:rsidR="006A6784" w:rsidRPr="00F72FE4">
        <w:rPr>
          <w:rFonts w:ascii="Times New Roman" w:hAnsi="Times New Roman"/>
          <w:szCs w:val="24"/>
        </w:rPr>
        <w:t xml:space="preserve"> of addressing crime.</w:t>
      </w:r>
    </w:p>
    <w:p w14:paraId="7298D936" w14:textId="57D6CA26" w:rsidR="00FF0301" w:rsidRPr="00F72FE4" w:rsidRDefault="00D20C37" w:rsidP="001B6656">
      <w:pPr>
        <w:spacing w:line="480" w:lineRule="auto"/>
        <w:jc w:val="both"/>
        <w:rPr>
          <w:rFonts w:ascii="Times New Roman" w:hAnsi="Times New Roman"/>
          <w:szCs w:val="24"/>
        </w:rPr>
      </w:pPr>
      <w:r>
        <w:rPr>
          <w:rFonts w:ascii="Times New Roman" w:hAnsi="Times New Roman"/>
          <w:szCs w:val="24"/>
        </w:rPr>
        <w:t>Also</w:t>
      </w:r>
      <w:r w:rsidR="00F72FE4">
        <w:rPr>
          <w:rFonts w:ascii="Times New Roman" w:hAnsi="Times New Roman"/>
          <w:szCs w:val="24"/>
        </w:rPr>
        <w:t>, it is though</w:t>
      </w:r>
      <w:r w:rsidR="00FF0301" w:rsidRPr="00F72FE4">
        <w:rPr>
          <w:rFonts w:ascii="Times New Roman" w:hAnsi="Times New Roman"/>
          <w:szCs w:val="24"/>
        </w:rPr>
        <w:t>t</w:t>
      </w:r>
      <w:r w:rsidR="00F72FE4">
        <w:rPr>
          <w:rFonts w:ascii="Times New Roman" w:hAnsi="Times New Roman"/>
          <w:szCs w:val="24"/>
        </w:rPr>
        <w:t xml:space="preserve"> t</w:t>
      </w:r>
      <w:r w:rsidR="00FF0301" w:rsidRPr="00F72FE4">
        <w:rPr>
          <w:rFonts w:ascii="Times New Roman" w:hAnsi="Times New Roman"/>
          <w:szCs w:val="24"/>
        </w:rPr>
        <w:t>hat restorative justice method is more holistic when compared to retributive justice.</w:t>
      </w:r>
      <w:r w:rsidR="00FF0301" w:rsidRPr="00F72FE4">
        <w:rPr>
          <w:rStyle w:val="FootnoteReference"/>
          <w:rFonts w:ascii="Times New Roman" w:hAnsi="Times New Roman"/>
          <w:szCs w:val="24"/>
        </w:rPr>
        <w:footnoteReference w:id="942"/>
      </w:r>
      <w:r w:rsidR="00FF0301" w:rsidRPr="00F72FE4">
        <w:rPr>
          <w:rFonts w:ascii="Times New Roman" w:hAnsi="Times New Roman"/>
          <w:szCs w:val="24"/>
        </w:rPr>
        <w:t xml:space="preserve"> It is argued that both theories do not have to be alternatives in criminal trials. Findlay and </w:t>
      </w:r>
      <w:proofErr w:type="spellStart"/>
      <w:r w:rsidR="00FF0301" w:rsidRPr="00F72FE4">
        <w:rPr>
          <w:rFonts w:ascii="Times New Roman" w:hAnsi="Times New Roman"/>
          <w:szCs w:val="24"/>
        </w:rPr>
        <w:t>Henham</w:t>
      </w:r>
      <w:proofErr w:type="spellEnd"/>
      <w:r w:rsidR="00FF0301" w:rsidRPr="00F72FE4">
        <w:rPr>
          <w:rFonts w:ascii="Times New Roman" w:hAnsi="Times New Roman"/>
          <w:szCs w:val="24"/>
        </w:rPr>
        <w:t xml:space="preserve"> argue that both paradigms of justice share common qualities despite ‘</w:t>
      </w:r>
      <w:r w:rsidR="00FF0301" w:rsidRPr="00F72FE4">
        <w:rPr>
          <w:rFonts w:ascii="Times New Roman" w:hAnsi="Times New Roman"/>
          <w:i/>
          <w:szCs w:val="24"/>
        </w:rPr>
        <w:t>distinct differences</w:t>
      </w:r>
      <w:r w:rsidR="002373C1">
        <w:rPr>
          <w:rFonts w:ascii="Times New Roman" w:hAnsi="Times New Roman"/>
          <w:i/>
          <w:szCs w:val="24"/>
        </w:rPr>
        <w:t>.</w:t>
      </w:r>
      <w:r w:rsidR="00FF0301" w:rsidRPr="00F72FE4">
        <w:rPr>
          <w:rFonts w:ascii="Times New Roman" w:hAnsi="Times New Roman"/>
          <w:i/>
          <w:szCs w:val="24"/>
        </w:rPr>
        <w:t>’</w:t>
      </w:r>
      <w:r w:rsidR="00FF0301" w:rsidRPr="00F72FE4">
        <w:rPr>
          <w:rStyle w:val="FootnoteReference"/>
          <w:rFonts w:ascii="Times New Roman" w:hAnsi="Times New Roman"/>
          <w:szCs w:val="24"/>
        </w:rPr>
        <w:footnoteReference w:id="943"/>
      </w:r>
      <w:r w:rsidR="00FF0301" w:rsidRPr="00F72FE4">
        <w:rPr>
          <w:rFonts w:ascii="Times New Roman" w:hAnsi="Times New Roman"/>
          <w:szCs w:val="24"/>
        </w:rPr>
        <w:t xml:space="preserve"> As such, both paradigms can be used within the context of criminal trials, without relegating the status of restorative justice to an option or using it for symbolic function.</w:t>
      </w:r>
      <w:r w:rsidR="00FF0301" w:rsidRPr="00F72FE4">
        <w:rPr>
          <w:rStyle w:val="FootnoteReference"/>
          <w:rFonts w:ascii="Times New Roman" w:hAnsi="Times New Roman"/>
          <w:szCs w:val="24"/>
        </w:rPr>
        <w:footnoteReference w:id="944"/>
      </w:r>
      <w:r w:rsidR="00FF0301" w:rsidRPr="00F72FE4">
        <w:rPr>
          <w:rFonts w:ascii="Times New Roman" w:hAnsi="Times New Roman"/>
          <w:szCs w:val="24"/>
        </w:rPr>
        <w:t xml:space="preserve"> </w:t>
      </w:r>
    </w:p>
    <w:p w14:paraId="6CD1D54A" w14:textId="19DF127C" w:rsidR="00FF0301" w:rsidRPr="001C253B" w:rsidRDefault="00FF0301" w:rsidP="00355C6D">
      <w:pPr>
        <w:spacing w:line="480" w:lineRule="auto"/>
        <w:jc w:val="both"/>
        <w:rPr>
          <w:rFonts w:ascii="Times New Roman" w:hAnsi="Times New Roman"/>
          <w:szCs w:val="24"/>
        </w:rPr>
      </w:pPr>
      <w:proofErr w:type="spellStart"/>
      <w:r w:rsidRPr="001C253B">
        <w:rPr>
          <w:rFonts w:ascii="Times New Roman" w:hAnsi="Times New Roman"/>
          <w:szCs w:val="24"/>
        </w:rPr>
        <w:t>Christodoulidis</w:t>
      </w:r>
      <w:proofErr w:type="spellEnd"/>
      <w:r w:rsidRPr="001C253B">
        <w:rPr>
          <w:rFonts w:ascii="Times New Roman" w:hAnsi="Times New Roman"/>
          <w:szCs w:val="24"/>
        </w:rPr>
        <w:t xml:space="preserve"> is sceptical about the ability of trials and punishment to obtain restorative functions in conflict resolution.</w:t>
      </w:r>
      <w:r w:rsidRPr="001C253B">
        <w:rPr>
          <w:rStyle w:val="FootnoteReference"/>
          <w:rFonts w:ascii="Times New Roman" w:hAnsi="Times New Roman"/>
          <w:szCs w:val="24"/>
        </w:rPr>
        <w:footnoteReference w:id="945"/>
      </w:r>
      <w:r w:rsidRPr="001C253B">
        <w:rPr>
          <w:rFonts w:ascii="Times New Roman" w:hAnsi="Times New Roman"/>
          <w:szCs w:val="24"/>
        </w:rPr>
        <w:t xml:space="preserve">  Retributive expectations from trials are </w:t>
      </w:r>
      <w:r w:rsidRPr="001C253B">
        <w:rPr>
          <w:rFonts w:ascii="Times New Roman" w:hAnsi="Times New Roman"/>
          <w:szCs w:val="24"/>
        </w:rPr>
        <w:lastRenderedPageBreak/>
        <w:t>mainly just deserts and punitive outcomes.</w:t>
      </w:r>
      <w:r w:rsidRPr="001C253B">
        <w:rPr>
          <w:rStyle w:val="FootnoteReference"/>
          <w:rFonts w:ascii="Times New Roman" w:hAnsi="Times New Roman"/>
          <w:szCs w:val="24"/>
        </w:rPr>
        <w:footnoteReference w:id="946"/>
      </w:r>
      <w:r w:rsidRPr="001C253B">
        <w:rPr>
          <w:rFonts w:ascii="Times New Roman" w:hAnsi="Times New Roman"/>
          <w:szCs w:val="24"/>
        </w:rPr>
        <w:t xml:space="preserve"> </w:t>
      </w:r>
      <w:proofErr w:type="spellStart"/>
      <w:r w:rsidRPr="001C253B">
        <w:rPr>
          <w:rFonts w:ascii="Times New Roman" w:hAnsi="Times New Roman"/>
          <w:szCs w:val="24"/>
        </w:rPr>
        <w:t>Shapland</w:t>
      </w:r>
      <w:proofErr w:type="spellEnd"/>
      <w:r w:rsidRPr="001C253B">
        <w:rPr>
          <w:rFonts w:ascii="Times New Roman" w:hAnsi="Times New Roman"/>
          <w:szCs w:val="24"/>
        </w:rPr>
        <w:t xml:space="preserve"> et al</w:t>
      </w:r>
      <w:r w:rsidR="00F72FE4">
        <w:rPr>
          <w:rFonts w:ascii="Times New Roman" w:hAnsi="Times New Roman"/>
          <w:szCs w:val="24"/>
        </w:rPr>
        <w:t>.</w:t>
      </w:r>
      <w:r w:rsidRPr="001C253B">
        <w:rPr>
          <w:rFonts w:ascii="Times New Roman" w:hAnsi="Times New Roman"/>
          <w:szCs w:val="24"/>
        </w:rPr>
        <w:t xml:space="preserve"> also argue that it is almost not certain if restorative justice can co-exist with retributive justice in the criminal justice system.</w:t>
      </w:r>
      <w:r w:rsidRPr="001C253B">
        <w:rPr>
          <w:rStyle w:val="FootnoteReference"/>
          <w:rFonts w:ascii="Times New Roman" w:hAnsi="Times New Roman"/>
          <w:szCs w:val="24"/>
        </w:rPr>
        <w:footnoteReference w:id="947"/>
      </w:r>
      <w:r w:rsidRPr="001C253B">
        <w:rPr>
          <w:rFonts w:ascii="Times New Roman" w:hAnsi="Times New Roman"/>
          <w:szCs w:val="24"/>
        </w:rPr>
        <w:t xml:space="preserve"> These authors </w:t>
      </w:r>
      <w:r w:rsidR="00596548">
        <w:rPr>
          <w:rFonts w:ascii="Times New Roman" w:hAnsi="Times New Roman"/>
          <w:szCs w:val="24"/>
        </w:rPr>
        <w:t>believe</w:t>
      </w:r>
      <w:r w:rsidRPr="001C253B">
        <w:rPr>
          <w:rFonts w:ascii="Times New Roman" w:hAnsi="Times New Roman"/>
          <w:szCs w:val="24"/>
        </w:rPr>
        <w:t xml:space="preserve"> that restorative justice cannot have a predominant role within the criminal justice system. They submit that it may operate  </w:t>
      </w:r>
      <w:r w:rsidRPr="001C253B">
        <w:rPr>
          <w:rFonts w:ascii="Times New Roman" w:hAnsi="Times New Roman"/>
          <w:i/>
          <w:szCs w:val="24"/>
        </w:rPr>
        <w:t>‘in the shadow of criminal justice</w:t>
      </w:r>
      <w:r w:rsidRPr="001C253B">
        <w:rPr>
          <w:rFonts w:ascii="Times New Roman" w:hAnsi="Times New Roman"/>
          <w:szCs w:val="24"/>
        </w:rPr>
        <w:t>’</w:t>
      </w:r>
      <w:r w:rsidRPr="001C253B">
        <w:rPr>
          <w:rStyle w:val="FootnoteReference"/>
          <w:rFonts w:ascii="Times New Roman" w:hAnsi="Times New Roman"/>
          <w:szCs w:val="24"/>
        </w:rPr>
        <w:footnoteReference w:id="948"/>
      </w:r>
      <w:r w:rsidRPr="001C253B">
        <w:rPr>
          <w:rFonts w:ascii="Times New Roman" w:hAnsi="Times New Roman"/>
          <w:szCs w:val="24"/>
        </w:rPr>
        <w:t xml:space="preserve"> Nevertheless,</w:t>
      </w:r>
      <w:r w:rsidR="00D32FDC" w:rsidRPr="001C253B">
        <w:rPr>
          <w:rFonts w:ascii="Times New Roman" w:hAnsi="Times New Roman"/>
          <w:szCs w:val="24"/>
        </w:rPr>
        <w:t xml:space="preserve"> restorative justice may perform background function.</w:t>
      </w:r>
      <w:r w:rsidRPr="001C253B">
        <w:rPr>
          <w:rStyle w:val="FootnoteReference"/>
          <w:rFonts w:ascii="Times New Roman" w:hAnsi="Times New Roman"/>
          <w:szCs w:val="24"/>
        </w:rPr>
        <w:footnoteReference w:id="949"/>
      </w:r>
      <w:r w:rsidRPr="001C253B">
        <w:rPr>
          <w:rFonts w:ascii="Times New Roman" w:hAnsi="Times New Roman"/>
          <w:szCs w:val="24"/>
        </w:rPr>
        <w:t xml:space="preserve">From their studies, it appears that restorative justice cannot have a direct impact on criminal justice. </w:t>
      </w:r>
      <w:r w:rsidR="00447B53">
        <w:rPr>
          <w:rFonts w:ascii="Times New Roman" w:hAnsi="Times New Roman"/>
          <w:szCs w:val="24"/>
        </w:rPr>
        <w:t>However</w:t>
      </w:r>
      <w:r w:rsidRPr="001C253B">
        <w:rPr>
          <w:rFonts w:ascii="Times New Roman" w:hAnsi="Times New Roman"/>
          <w:szCs w:val="24"/>
        </w:rPr>
        <w:t xml:space="preserve">, </w:t>
      </w:r>
      <w:r w:rsidR="00D32FDC" w:rsidRPr="001C253B">
        <w:rPr>
          <w:rFonts w:ascii="Times New Roman" w:hAnsi="Times New Roman"/>
          <w:szCs w:val="24"/>
        </w:rPr>
        <w:t xml:space="preserve">there is a possibility </w:t>
      </w:r>
      <w:r w:rsidRPr="001C253B">
        <w:rPr>
          <w:rFonts w:ascii="Times New Roman" w:hAnsi="Times New Roman"/>
          <w:szCs w:val="24"/>
        </w:rPr>
        <w:t xml:space="preserve">that some elements of restorative justice would be useful in criminal justice. </w:t>
      </w:r>
    </w:p>
    <w:p w14:paraId="48F06EA5" w14:textId="5E1DE083" w:rsidR="00FF0301" w:rsidRDefault="00F72FE4" w:rsidP="00355C6D">
      <w:pPr>
        <w:spacing w:line="480" w:lineRule="auto"/>
        <w:jc w:val="both"/>
        <w:rPr>
          <w:rFonts w:ascii="Times New Roman" w:hAnsi="Times New Roman"/>
          <w:szCs w:val="24"/>
        </w:rPr>
      </w:pPr>
      <w:r>
        <w:rPr>
          <w:rFonts w:ascii="Times New Roman" w:hAnsi="Times New Roman"/>
          <w:szCs w:val="24"/>
        </w:rPr>
        <w:t>This section</w:t>
      </w:r>
      <w:r w:rsidR="006E0CDD" w:rsidRPr="001C253B">
        <w:rPr>
          <w:rFonts w:ascii="Times New Roman" w:hAnsi="Times New Roman"/>
          <w:szCs w:val="24"/>
        </w:rPr>
        <w:t xml:space="preserve"> ha</w:t>
      </w:r>
      <w:r>
        <w:rPr>
          <w:rFonts w:ascii="Times New Roman" w:hAnsi="Times New Roman"/>
          <w:szCs w:val="24"/>
        </w:rPr>
        <w:t>s</w:t>
      </w:r>
      <w:r w:rsidR="006E0CDD" w:rsidRPr="001C253B">
        <w:rPr>
          <w:rFonts w:ascii="Times New Roman" w:hAnsi="Times New Roman"/>
          <w:szCs w:val="24"/>
        </w:rPr>
        <w:t xml:space="preserve"> </w:t>
      </w:r>
      <w:r>
        <w:rPr>
          <w:rFonts w:ascii="Times New Roman" w:hAnsi="Times New Roman"/>
          <w:szCs w:val="24"/>
        </w:rPr>
        <w:t xml:space="preserve">evaluated the relationship between </w:t>
      </w:r>
      <w:r w:rsidR="006E0CDD" w:rsidRPr="001C253B">
        <w:rPr>
          <w:rFonts w:ascii="Times New Roman" w:hAnsi="Times New Roman"/>
          <w:szCs w:val="24"/>
        </w:rPr>
        <w:t>the theories of retributive and restorative justice.</w:t>
      </w:r>
      <w:r>
        <w:rPr>
          <w:rFonts w:ascii="Times New Roman" w:hAnsi="Times New Roman"/>
          <w:szCs w:val="24"/>
        </w:rPr>
        <w:t xml:space="preserve"> </w:t>
      </w:r>
      <w:r w:rsidR="006E0CDD" w:rsidRPr="001C253B">
        <w:rPr>
          <w:rFonts w:ascii="Times New Roman" w:hAnsi="Times New Roman"/>
          <w:szCs w:val="24"/>
        </w:rPr>
        <w:t xml:space="preserve">Let us now consider the role of </w:t>
      </w:r>
      <w:r w:rsidR="00A53C46" w:rsidRPr="001C253B">
        <w:rPr>
          <w:rFonts w:ascii="Times New Roman" w:hAnsi="Times New Roman"/>
          <w:szCs w:val="24"/>
        </w:rPr>
        <w:t>victims in sentencing.</w:t>
      </w:r>
      <w:r>
        <w:rPr>
          <w:rFonts w:ascii="Times New Roman" w:hAnsi="Times New Roman"/>
          <w:szCs w:val="24"/>
        </w:rPr>
        <w:t xml:space="preserve"> </w:t>
      </w:r>
      <w:r w:rsidR="00A53C46" w:rsidRPr="001C253B">
        <w:rPr>
          <w:rFonts w:ascii="Times New Roman" w:hAnsi="Times New Roman"/>
          <w:szCs w:val="24"/>
        </w:rPr>
        <w:t xml:space="preserve">This assessment shall be made based on </w:t>
      </w:r>
      <w:r>
        <w:rPr>
          <w:rFonts w:ascii="Times New Roman" w:hAnsi="Times New Roman"/>
          <w:szCs w:val="24"/>
        </w:rPr>
        <w:t xml:space="preserve">the </w:t>
      </w:r>
      <w:r w:rsidR="00A53C46" w:rsidRPr="001C253B">
        <w:rPr>
          <w:rFonts w:ascii="Times New Roman" w:hAnsi="Times New Roman"/>
          <w:szCs w:val="24"/>
        </w:rPr>
        <w:t>decided cases approach</w:t>
      </w:r>
      <w:r w:rsidR="0016017D" w:rsidRPr="001C253B">
        <w:rPr>
          <w:rFonts w:ascii="Times New Roman" w:hAnsi="Times New Roman"/>
          <w:szCs w:val="24"/>
        </w:rPr>
        <w:t>;</w:t>
      </w:r>
      <w:r>
        <w:rPr>
          <w:rFonts w:ascii="Times New Roman" w:hAnsi="Times New Roman"/>
          <w:szCs w:val="24"/>
        </w:rPr>
        <w:t xml:space="preserve"> </w:t>
      </w:r>
      <w:r w:rsidR="0016017D" w:rsidRPr="001C253B">
        <w:rPr>
          <w:rFonts w:ascii="Times New Roman" w:hAnsi="Times New Roman"/>
          <w:szCs w:val="24"/>
        </w:rPr>
        <w:t xml:space="preserve">an analysis of </w:t>
      </w:r>
      <w:r w:rsidR="00F042BE" w:rsidRPr="00447B53">
        <w:rPr>
          <w:rFonts w:ascii="Times New Roman" w:hAnsi="Times New Roman"/>
          <w:i/>
          <w:iCs/>
          <w:szCs w:val="24"/>
        </w:rPr>
        <w:t xml:space="preserve">Lubanga </w:t>
      </w:r>
      <w:r w:rsidR="00F042BE">
        <w:rPr>
          <w:rFonts w:ascii="Times New Roman" w:hAnsi="Times New Roman"/>
          <w:szCs w:val="24"/>
        </w:rPr>
        <w:t xml:space="preserve">and </w:t>
      </w:r>
      <w:r w:rsidR="00F042BE" w:rsidRPr="00447B53">
        <w:rPr>
          <w:rFonts w:ascii="Times New Roman" w:hAnsi="Times New Roman"/>
          <w:i/>
          <w:iCs/>
          <w:szCs w:val="24"/>
        </w:rPr>
        <w:t>Katanga</w:t>
      </w:r>
      <w:r w:rsidR="00F042BE">
        <w:rPr>
          <w:rFonts w:ascii="Times New Roman" w:hAnsi="Times New Roman"/>
          <w:szCs w:val="24"/>
        </w:rPr>
        <w:t xml:space="preserve"> cases' transcript</w:t>
      </w:r>
      <w:r w:rsidR="0016017D" w:rsidRPr="001C253B">
        <w:rPr>
          <w:rFonts w:ascii="Times New Roman" w:hAnsi="Times New Roman"/>
          <w:szCs w:val="24"/>
        </w:rPr>
        <w:t>s.</w:t>
      </w:r>
      <w:r>
        <w:rPr>
          <w:rFonts w:ascii="Times New Roman" w:hAnsi="Times New Roman"/>
          <w:szCs w:val="24"/>
        </w:rPr>
        <w:t xml:space="preserve"> </w:t>
      </w:r>
      <w:r w:rsidR="0016017D" w:rsidRPr="001C253B">
        <w:rPr>
          <w:rFonts w:ascii="Times New Roman" w:hAnsi="Times New Roman"/>
          <w:szCs w:val="24"/>
        </w:rPr>
        <w:t>This</w:t>
      </w:r>
      <w:r>
        <w:rPr>
          <w:rFonts w:ascii="Times New Roman" w:hAnsi="Times New Roman"/>
          <w:szCs w:val="24"/>
        </w:rPr>
        <w:t xml:space="preserve"> approach</w:t>
      </w:r>
      <w:r w:rsidR="0016017D" w:rsidRPr="001C253B">
        <w:rPr>
          <w:rFonts w:ascii="Times New Roman" w:hAnsi="Times New Roman"/>
          <w:szCs w:val="24"/>
        </w:rPr>
        <w:t xml:space="preserve"> is required to evaluate the impact of victims on sentencing.</w:t>
      </w:r>
    </w:p>
    <w:p w14:paraId="630001FB" w14:textId="77777777" w:rsidR="00361EE5" w:rsidRPr="006E622A" w:rsidRDefault="00361EE5" w:rsidP="00F3559B">
      <w:pPr>
        <w:spacing w:after="0" w:line="480" w:lineRule="auto"/>
        <w:jc w:val="both"/>
        <w:rPr>
          <w:rFonts w:ascii="Times New Roman" w:eastAsia="Cambria" w:hAnsi="Times New Roman"/>
          <w:szCs w:val="24"/>
          <w:lang w:eastAsia="ja-JP"/>
        </w:rPr>
      </w:pPr>
    </w:p>
    <w:p w14:paraId="4AD18609" w14:textId="28B3312A" w:rsidR="008D27B0" w:rsidRDefault="00F72FE4" w:rsidP="00364EC8">
      <w:pPr>
        <w:pStyle w:val="Heading2"/>
      </w:pPr>
      <w:bookmarkStart w:id="63" w:name="_Toc60235833"/>
      <w:r>
        <w:lastRenderedPageBreak/>
        <w:t>4.4</w:t>
      </w:r>
      <w:r w:rsidR="008D27B0">
        <w:t>.0</w:t>
      </w:r>
      <w:r w:rsidR="004D5736" w:rsidRPr="00A41538">
        <w:t xml:space="preserve"> </w:t>
      </w:r>
      <w:r w:rsidR="00DA3909">
        <w:t>V</w:t>
      </w:r>
      <w:r w:rsidR="004D5736" w:rsidRPr="00A41538">
        <w:t>ictims in sentencing-The Prosecutor v.</w:t>
      </w:r>
      <w:r w:rsidR="0048587F">
        <w:t xml:space="preserve"> </w:t>
      </w:r>
      <w:r w:rsidR="004D5736" w:rsidRPr="00A41538">
        <w:t>Lubanga</w:t>
      </w:r>
      <w:bookmarkEnd w:id="63"/>
      <w:r w:rsidR="004D5736" w:rsidRPr="00A41538">
        <w:t xml:space="preserve"> </w:t>
      </w:r>
    </w:p>
    <w:p w14:paraId="630FD5CB" w14:textId="77777777" w:rsidR="004D5736" w:rsidRDefault="00F72FE4" w:rsidP="00364EC8">
      <w:pPr>
        <w:pStyle w:val="Heading3"/>
      </w:pPr>
      <w:bookmarkStart w:id="64" w:name="_Toc60235834"/>
      <w:r>
        <w:t>4.4</w:t>
      </w:r>
      <w:r w:rsidR="008D27B0">
        <w:t>.1</w:t>
      </w:r>
      <w:r w:rsidR="004D5736" w:rsidRPr="00A41538">
        <w:t>.O</w:t>
      </w:r>
      <w:r w:rsidR="008D27B0">
        <w:t>verview of the Lubanga judgment</w:t>
      </w:r>
      <w:bookmarkEnd w:id="64"/>
      <w:r w:rsidR="008D27B0">
        <w:t xml:space="preserve"> </w:t>
      </w:r>
    </w:p>
    <w:p w14:paraId="7189B45F" w14:textId="2020DBD4" w:rsidR="00C150F8" w:rsidRPr="001C253B" w:rsidRDefault="00C150F8" w:rsidP="00355C6D">
      <w:pPr>
        <w:spacing w:line="480" w:lineRule="auto"/>
        <w:rPr>
          <w:rFonts w:ascii="Times New Roman" w:hAnsi="Times New Roman"/>
        </w:rPr>
      </w:pPr>
      <w:r w:rsidRPr="001C253B">
        <w:rPr>
          <w:rFonts w:ascii="Times New Roman" w:hAnsi="Times New Roman"/>
        </w:rPr>
        <w:t>T</w:t>
      </w:r>
      <w:r w:rsidR="00CF64DA">
        <w:rPr>
          <w:rFonts w:ascii="Times New Roman" w:hAnsi="Times New Roman"/>
        </w:rPr>
        <w:t>his section intends to investigate victims' role during the sentencing hearings to Lubanga's sentencing analysi</w:t>
      </w:r>
      <w:r w:rsidRPr="001C253B">
        <w:rPr>
          <w:rFonts w:ascii="Times New Roman" w:hAnsi="Times New Roman"/>
        </w:rPr>
        <w:t>s</w:t>
      </w:r>
      <w:r w:rsidR="00596548">
        <w:rPr>
          <w:rFonts w:ascii="Times New Roman" w:hAnsi="Times New Roman"/>
        </w:rPr>
        <w:t>.</w:t>
      </w:r>
      <w:r w:rsidRPr="001C253B">
        <w:rPr>
          <w:rFonts w:ascii="Times New Roman" w:hAnsi="Times New Roman"/>
        </w:rPr>
        <w:t xml:space="preserve"> </w:t>
      </w:r>
    </w:p>
    <w:p w14:paraId="4AD9825E" w14:textId="6A7AEDE8" w:rsidR="004D5736" w:rsidRPr="001C253B" w:rsidRDefault="005E050C" w:rsidP="00355C6D">
      <w:pPr>
        <w:spacing w:line="480" w:lineRule="auto"/>
        <w:jc w:val="both"/>
        <w:rPr>
          <w:rFonts w:ascii="Times New Roman" w:hAnsi="Times New Roman"/>
          <w:szCs w:val="24"/>
        </w:rPr>
      </w:pPr>
      <w:r>
        <w:rPr>
          <w:rFonts w:ascii="Times New Roman" w:hAnsi="Times New Roman"/>
          <w:szCs w:val="24"/>
        </w:rPr>
        <w:t xml:space="preserve">On 14 March 2012, the chamber ruled that Thomas Lubanga was guilty as a co-perpetrator </w:t>
      </w:r>
      <w:r w:rsidRPr="001C253B">
        <w:rPr>
          <w:rFonts w:ascii="Times New Roman" w:hAnsi="Times New Roman"/>
          <w:szCs w:val="24"/>
        </w:rPr>
        <w:t xml:space="preserve">of conscripting and enlisting children under the age of fifteen years into </w:t>
      </w:r>
      <w:r>
        <w:rPr>
          <w:rFonts w:ascii="Times New Roman" w:hAnsi="Times New Roman"/>
          <w:szCs w:val="24"/>
        </w:rPr>
        <w:t xml:space="preserve">an </w:t>
      </w:r>
      <w:r w:rsidRPr="001C253B">
        <w:rPr>
          <w:rFonts w:ascii="Times New Roman" w:hAnsi="Times New Roman"/>
          <w:szCs w:val="24"/>
        </w:rPr>
        <w:t xml:space="preserve">armed group(UPC/FLPC) and using them to participate actively in hostilities in </w:t>
      </w:r>
      <w:proofErr w:type="spellStart"/>
      <w:r w:rsidRPr="001C253B">
        <w:rPr>
          <w:rFonts w:ascii="Times New Roman" w:hAnsi="Times New Roman"/>
          <w:szCs w:val="24"/>
        </w:rPr>
        <w:t>Ituri</w:t>
      </w:r>
      <w:proofErr w:type="spellEnd"/>
      <w:r w:rsidRPr="001C253B">
        <w:rPr>
          <w:rFonts w:ascii="Times New Roman" w:hAnsi="Times New Roman"/>
          <w:szCs w:val="24"/>
        </w:rPr>
        <w:t xml:space="preserve"> region of the DRC.</w:t>
      </w:r>
      <w:r w:rsidRPr="001C253B">
        <w:rPr>
          <w:rStyle w:val="FootnoteReference"/>
          <w:rFonts w:ascii="Times New Roman" w:hAnsi="Times New Roman"/>
          <w:szCs w:val="24"/>
        </w:rPr>
        <w:footnoteReference w:id="950"/>
      </w:r>
      <w:r>
        <w:rPr>
          <w:rFonts w:ascii="Times New Roman" w:hAnsi="Times New Roman"/>
          <w:szCs w:val="24"/>
        </w:rPr>
        <w:t xml:space="preserve"> Subsequently, t</w:t>
      </w:r>
      <w:r w:rsidR="004D5736" w:rsidRPr="001C253B">
        <w:rPr>
          <w:rFonts w:ascii="Times New Roman" w:hAnsi="Times New Roman"/>
          <w:szCs w:val="24"/>
        </w:rPr>
        <w:t>he sentenc</w:t>
      </w:r>
      <w:r w:rsidR="00F72FE4">
        <w:rPr>
          <w:rFonts w:ascii="Times New Roman" w:hAnsi="Times New Roman"/>
          <w:szCs w:val="24"/>
        </w:rPr>
        <w:t>ing</w:t>
      </w:r>
      <w:r w:rsidR="004D5736" w:rsidRPr="001C253B">
        <w:rPr>
          <w:rFonts w:ascii="Times New Roman" w:hAnsi="Times New Roman"/>
          <w:szCs w:val="24"/>
        </w:rPr>
        <w:t xml:space="preserve"> hearing</w:t>
      </w:r>
      <w:r>
        <w:rPr>
          <w:rFonts w:ascii="Times New Roman" w:hAnsi="Times New Roman"/>
          <w:szCs w:val="24"/>
        </w:rPr>
        <w:t xml:space="preserve"> commenced.</w:t>
      </w:r>
      <w:r w:rsidR="004D5736" w:rsidRPr="001C253B">
        <w:rPr>
          <w:rFonts w:ascii="Times New Roman" w:hAnsi="Times New Roman"/>
          <w:szCs w:val="24"/>
        </w:rPr>
        <w:t xml:space="preserve"> </w:t>
      </w:r>
    </w:p>
    <w:p w14:paraId="156B32AF" w14:textId="6675867C" w:rsidR="004D5736" w:rsidRPr="00A41538" w:rsidRDefault="004D5736" w:rsidP="00355C6D">
      <w:pPr>
        <w:spacing w:line="480" w:lineRule="auto"/>
        <w:jc w:val="both"/>
        <w:rPr>
          <w:szCs w:val="24"/>
        </w:rPr>
      </w:pPr>
      <w:r w:rsidRPr="001C253B">
        <w:rPr>
          <w:rFonts w:ascii="Times New Roman" w:hAnsi="Times New Roman"/>
          <w:szCs w:val="24"/>
        </w:rPr>
        <w:t>In the determination of the judgment, the chamber resorted to documentary video evidence and evidence a former UPC soldier who was over 15 years when he joined the UPC, testimonies of P-38 and P-10.</w:t>
      </w:r>
      <w:r w:rsidRPr="001C253B">
        <w:rPr>
          <w:rStyle w:val="FootnoteReference"/>
          <w:rFonts w:ascii="Times New Roman" w:hAnsi="Times New Roman"/>
          <w:szCs w:val="24"/>
        </w:rPr>
        <w:footnoteReference w:id="951"/>
      </w:r>
      <w:r w:rsidRPr="001C253B">
        <w:rPr>
          <w:rFonts w:ascii="Times New Roman" w:hAnsi="Times New Roman"/>
          <w:szCs w:val="24"/>
        </w:rPr>
        <w:t xml:space="preserve"> Th</w:t>
      </w:r>
      <w:r w:rsidR="00F042BE">
        <w:rPr>
          <w:rFonts w:ascii="Times New Roman" w:hAnsi="Times New Roman"/>
          <w:szCs w:val="24"/>
        </w:rPr>
        <w:t>is chapter aim</w:t>
      </w:r>
      <w:r w:rsidRPr="001C253B">
        <w:rPr>
          <w:rFonts w:ascii="Times New Roman" w:hAnsi="Times New Roman"/>
          <w:szCs w:val="24"/>
        </w:rPr>
        <w:t>s not to address the judgment of Lubanga</w:t>
      </w:r>
      <w:r w:rsidR="00F72FE4">
        <w:rPr>
          <w:rFonts w:ascii="Times New Roman" w:hAnsi="Times New Roman"/>
          <w:szCs w:val="24"/>
        </w:rPr>
        <w:t>;</w:t>
      </w:r>
      <w:r w:rsidRPr="001C253B">
        <w:rPr>
          <w:rFonts w:ascii="Times New Roman" w:hAnsi="Times New Roman"/>
          <w:szCs w:val="24"/>
        </w:rPr>
        <w:t xml:space="preserve"> some scholars have discussed the fairness of the </w:t>
      </w:r>
      <w:r w:rsidR="00596548">
        <w:rPr>
          <w:rFonts w:ascii="Times New Roman" w:hAnsi="Times New Roman"/>
          <w:szCs w:val="24"/>
        </w:rPr>
        <w:t>decision</w:t>
      </w:r>
      <w:r w:rsidRPr="001C253B">
        <w:rPr>
          <w:rFonts w:ascii="Times New Roman" w:hAnsi="Times New Roman"/>
          <w:szCs w:val="24"/>
        </w:rPr>
        <w:t>.</w:t>
      </w:r>
      <w:r w:rsidRPr="001C253B">
        <w:rPr>
          <w:rStyle w:val="FootnoteReference"/>
          <w:rFonts w:ascii="Times New Roman" w:hAnsi="Times New Roman"/>
          <w:szCs w:val="24"/>
        </w:rPr>
        <w:footnoteReference w:id="952"/>
      </w:r>
      <w:r w:rsidRPr="001C253B">
        <w:rPr>
          <w:rFonts w:ascii="Times New Roman" w:hAnsi="Times New Roman"/>
          <w:szCs w:val="24"/>
        </w:rPr>
        <w:t xml:space="preserve"> </w:t>
      </w:r>
      <w:r w:rsidRPr="00F72FE4">
        <w:rPr>
          <w:rFonts w:ascii="Times New Roman" w:hAnsi="Times New Roman"/>
          <w:szCs w:val="24"/>
        </w:rPr>
        <w:t>Nevertheless, one could infer that victims</w:t>
      </w:r>
      <w:r w:rsidR="00F042BE">
        <w:rPr>
          <w:rFonts w:ascii="Times New Roman" w:hAnsi="Times New Roman"/>
          <w:szCs w:val="24"/>
        </w:rPr>
        <w:t>' role in the trial, mainly concerning victim-witnesses was not fully realised because of witness tampering and unsupervised intermediaries' activit</w:t>
      </w:r>
      <w:r w:rsidRPr="00F72FE4">
        <w:rPr>
          <w:rFonts w:ascii="Times New Roman" w:hAnsi="Times New Roman"/>
          <w:szCs w:val="24"/>
        </w:rPr>
        <w:t>ies.</w:t>
      </w:r>
      <w:r w:rsidRPr="00A41538">
        <w:rPr>
          <w:szCs w:val="24"/>
        </w:rPr>
        <w:t xml:space="preserve"> </w:t>
      </w:r>
    </w:p>
    <w:p w14:paraId="4C841194" w14:textId="5463711F" w:rsidR="004D5736" w:rsidRPr="00F72FE4" w:rsidRDefault="00F52AF8" w:rsidP="00355C6D">
      <w:pPr>
        <w:spacing w:line="480" w:lineRule="auto"/>
        <w:jc w:val="both"/>
        <w:rPr>
          <w:rFonts w:ascii="Times New Roman" w:hAnsi="Times New Roman"/>
          <w:szCs w:val="24"/>
        </w:rPr>
      </w:pPr>
      <w:r w:rsidRPr="00F72FE4">
        <w:rPr>
          <w:rFonts w:ascii="Times New Roman" w:hAnsi="Times New Roman"/>
          <w:szCs w:val="24"/>
        </w:rPr>
        <w:t>That being said,</w:t>
      </w:r>
      <w:r w:rsidR="004D5736" w:rsidRPr="00F72FE4">
        <w:rPr>
          <w:rFonts w:ascii="Times New Roman" w:hAnsi="Times New Roman"/>
          <w:szCs w:val="24"/>
        </w:rPr>
        <w:t xml:space="preserve"> it is evident from the ICC transcripts that victims </w:t>
      </w:r>
      <w:r w:rsidR="005E050C">
        <w:rPr>
          <w:rFonts w:ascii="Times New Roman" w:hAnsi="Times New Roman"/>
          <w:szCs w:val="24"/>
        </w:rPr>
        <w:t>participated through their LRVs</w:t>
      </w:r>
      <w:r w:rsidR="004D5736" w:rsidRPr="00F72FE4">
        <w:rPr>
          <w:rFonts w:ascii="Times New Roman" w:hAnsi="Times New Roman"/>
          <w:szCs w:val="24"/>
        </w:rPr>
        <w:t xml:space="preserve"> during the sentenc</w:t>
      </w:r>
      <w:r w:rsidR="00F72FE4">
        <w:rPr>
          <w:rFonts w:ascii="Times New Roman" w:hAnsi="Times New Roman"/>
          <w:szCs w:val="24"/>
        </w:rPr>
        <w:t>ing</w:t>
      </w:r>
      <w:r w:rsidR="004D5736" w:rsidRPr="00F72FE4">
        <w:rPr>
          <w:rFonts w:ascii="Times New Roman" w:hAnsi="Times New Roman"/>
          <w:szCs w:val="24"/>
        </w:rPr>
        <w:t xml:space="preserve"> hearing via written observations</w:t>
      </w:r>
      <w:r w:rsidRPr="00F72FE4">
        <w:rPr>
          <w:rFonts w:ascii="Times New Roman" w:hAnsi="Times New Roman"/>
          <w:szCs w:val="24"/>
        </w:rPr>
        <w:t>/submissions</w:t>
      </w:r>
      <w:r w:rsidR="004D5736" w:rsidRPr="00F72FE4">
        <w:rPr>
          <w:rFonts w:ascii="Times New Roman" w:hAnsi="Times New Roman"/>
          <w:szCs w:val="24"/>
        </w:rPr>
        <w:t xml:space="preserve"> in </w:t>
      </w:r>
      <w:r w:rsidR="004D5736" w:rsidRPr="00F72FE4">
        <w:rPr>
          <w:rFonts w:ascii="Times New Roman" w:hAnsi="Times New Roman"/>
          <w:szCs w:val="24"/>
        </w:rPr>
        <w:lastRenderedPageBreak/>
        <w:t>sentence hearings.</w:t>
      </w:r>
      <w:r w:rsidRPr="00F72FE4">
        <w:rPr>
          <w:rStyle w:val="FootnoteReference"/>
          <w:rFonts w:ascii="Times New Roman" w:hAnsi="Times New Roman"/>
          <w:szCs w:val="24"/>
        </w:rPr>
        <w:footnoteReference w:id="953"/>
      </w:r>
      <w:r w:rsidR="004D5736" w:rsidRPr="00F72FE4">
        <w:rPr>
          <w:rFonts w:ascii="Times New Roman" w:hAnsi="Times New Roman"/>
          <w:szCs w:val="24"/>
        </w:rPr>
        <w:t xml:space="preserve">However, what is not yet clear is if these written observations/submissions have a significant role or influence </w:t>
      </w:r>
      <w:r w:rsidR="008D27B0" w:rsidRPr="00F72FE4">
        <w:rPr>
          <w:rFonts w:ascii="Times New Roman" w:hAnsi="Times New Roman"/>
          <w:szCs w:val="24"/>
        </w:rPr>
        <w:t xml:space="preserve">in </w:t>
      </w:r>
      <w:r w:rsidR="004D5736" w:rsidRPr="00F72FE4">
        <w:rPr>
          <w:rFonts w:ascii="Times New Roman" w:hAnsi="Times New Roman"/>
          <w:szCs w:val="24"/>
        </w:rPr>
        <w:t xml:space="preserve">the </w:t>
      </w:r>
      <w:r w:rsidR="00F042BE">
        <w:rPr>
          <w:rFonts w:ascii="Times New Roman" w:hAnsi="Times New Roman"/>
          <w:szCs w:val="24"/>
        </w:rPr>
        <w:t>ICC's sentencing decision</w:t>
      </w:r>
      <w:r w:rsidR="00F72FE4">
        <w:rPr>
          <w:rFonts w:ascii="Times New Roman" w:hAnsi="Times New Roman"/>
          <w:szCs w:val="24"/>
        </w:rPr>
        <w:t xml:space="preserve">. With this background, </w:t>
      </w:r>
      <w:r w:rsidR="004D5736" w:rsidRPr="00F72FE4">
        <w:rPr>
          <w:rFonts w:ascii="Times New Roman" w:hAnsi="Times New Roman"/>
          <w:szCs w:val="24"/>
        </w:rPr>
        <w:t xml:space="preserve"> the following section will assess victims’ observations in the Lubanga case.</w:t>
      </w:r>
    </w:p>
    <w:p w14:paraId="01A348D7" w14:textId="77777777" w:rsidR="004D5736" w:rsidRPr="00F72FE4" w:rsidRDefault="00F72FE4" w:rsidP="00364EC8">
      <w:pPr>
        <w:pStyle w:val="Heading4"/>
      </w:pPr>
      <w:bookmarkStart w:id="65" w:name="_Toc60235835"/>
      <w:r>
        <w:t>4.4</w:t>
      </w:r>
      <w:r w:rsidR="004D5736" w:rsidRPr="00F72FE4">
        <w:t>.2.</w:t>
      </w:r>
      <w:r w:rsidR="001027D5">
        <w:t>0</w:t>
      </w:r>
      <w:r w:rsidR="004D5736" w:rsidRPr="00F72FE4">
        <w:t>The Sentencing Hearing</w:t>
      </w:r>
      <w:bookmarkEnd w:id="65"/>
    </w:p>
    <w:p w14:paraId="702E0D0F" w14:textId="6E8755CC" w:rsidR="004D5736" w:rsidRPr="00F72FE4" w:rsidRDefault="00596548" w:rsidP="00355C6D">
      <w:pPr>
        <w:spacing w:line="480" w:lineRule="auto"/>
        <w:jc w:val="both"/>
        <w:rPr>
          <w:rFonts w:ascii="Times New Roman" w:hAnsi="Times New Roman"/>
          <w:szCs w:val="24"/>
        </w:rPr>
      </w:pPr>
      <w:r>
        <w:rPr>
          <w:rFonts w:ascii="Times New Roman" w:hAnsi="Times New Roman"/>
          <w:szCs w:val="24"/>
        </w:rPr>
        <w:t>The Trial Chamber is responsible for the determination of the appropriate sentence on the accused person’s conviction</w:t>
      </w:r>
      <w:r w:rsidR="004D5736" w:rsidRPr="00F72FE4">
        <w:rPr>
          <w:rFonts w:ascii="Times New Roman" w:hAnsi="Times New Roman"/>
          <w:szCs w:val="24"/>
        </w:rPr>
        <w:t>.</w:t>
      </w:r>
      <w:r w:rsidR="004D5736" w:rsidRPr="00F72FE4">
        <w:rPr>
          <w:rStyle w:val="FootnoteReference"/>
          <w:rFonts w:ascii="Times New Roman" w:hAnsi="Times New Roman"/>
          <w:szCs w:val="24"/>
        </w:rPr>
        <w:footnoteReference w:id="954"/>
      </w:r>
      <w:r w:rsidR="004D5736" w:rsidRPr="00F72FE4">
        <w:rPr>
          <w:rFonts w:ascii="Times New Roman" w:hAnsi="Times New Roman"/>
          <w:szCs w:val="24"/>
        </w:rPr>
        <w:t xml:space="preserve"> </w:t>
      </w:r>
      <w:r>
        <w:rPr>
          <w:rFonts w:ascii="Times New Roman" w:hAnsi="Times New Roman"/>
          <w:szCs w:val="24"/>
        </w:rPr>
        <w:t xml:space="preserve">A </w:t>
      </w:r>
      <w:r w:rsidR="004D5736" w:rsidRPr="00F72FE4">
        <w:rPr>
          <w:rFonts w:ascii="Times New Roman" w:hAnsi="Times New Roman"/>
          <w:szCs w:val="24"/>
        </w:rPr>
        <w:t>hearing will hold to hear additional evidence or submissions relevant to the sentence.</w:t>
      </w:r>
      <w:r w:rsidR="004D5736" w:rsidRPr="00F72FE4">
        <w:rPr>
          <w:rStyle w:val="FootnoteReference"/>
          <w:rFonts w:ascii="Times New Roman" w:hAnsi="Times New Roman"/>
          <w:szCs w:val="24"/>
        </w:rPr>
        <w:footnoteReference w:id="955"/>
      </w:r>
      <w:r w:rsidR="004D5736" w:rsidRPr="00F72FE4">
        <w:rPr>
          <w:rFonts w:ascii="Times New Roman" w:hAnsi="Times New Roman"/>
          <w:szCs w:val="24"/>
        </w:rPr>
        <w:t xml:space="preserve"> </w:t>
      </w:r>
    </w:p>
    <w:p w14:paraId="79B3FCFC" w14:textId="77777777" w:rsidR="004D5736" w:rsidRPr="00AE55D6" w:rsidRDefault="00AE55D6" w:rsidP="00364EC8">
      <w:pPr>
        <w:pStyle w:val="Heading4"/>
      </w:pPr>
      <w:bookmarkStart w:id="66" w:name="_Toc60235836"/>
      <w:r w:rsidRPr="00AE55D6">
        <w:t>4.4</w:t>
      </w:r>
      <w:r w:rsidR="00A32F8A" w:rsidRPr="00AE55D6">
        <w:t>.</w:t>
      </w:r>
      <w:r w:rsidR="001027D5">
        <w:t>2.1</w:t>
      </w:r>
      <w:r w:rsidR="00A32F8A" w:rsidRPr="00AE55D6">
        <w:t xml:space="preserve"> </w:t>
      </w:r>
      <w:r w:rsidR="004D5736" w:rsidRPr="00AE55D6">
        <w:t>Victims’ Observations</w:t>
      </w:r>
      <w:bookmarkEnd w:id="66"/>
    </w:p>
    <w:p w14:paraId="08FD4FD4" w14:textId="77777777" w:rsidR="004D5736" w:rsidRPr="00AE55D6" w:rsidRDefault="004D5736" w:rsidP="00355C6D">
      <w:pPr>
        <w:spacing w:line="480" w:lineRule="auto"/>
        <w:jc w:val="both"/>
        <w:rPr>
          <w:rFonts w:ascii="Times New Roman" w:hAnsi="Times New Roman"/>
          <w:szCs w:val="24"/>
        </w:rPr>
      </w:pPr>
      <w:r w:rsidRPr="00AE55D6">
        <w:rPr>
          <w:rFonts w:ascii="Times New Roman" w:hAnsi="Times New Roman"/>
          <w:szCs w:val="24"/>
        </w:rPr>
        <w:t>In determining the sentence, the Chamber considered five relevant factors.</w:t>
      </w:r>
      <w:r w:rsidR="00D751FB">
        <w:rPr>
          <w:rFonts w:ascii="Times New Roman" w:hAnsi="Times New Roman"/>
          <w:szCs w:val="24"/>
        </w:rPr>
        <w:t xml:space="preserve"> </w:t>
      </w:r>
      <w:r w:rsidR="00CD1C83" w:rsidRPr="00AE55D6">
        <w:rPr>
          <w:rFonts w:ascii="Times New Roman" w:hAnsi="Times New Roman"/>
          <w:szCs w:val="24"/>
        </w:rPr>
        <w:t>These factors were</w:t>
      </w:r>
      <w:r w:rsidRPr="00AE55D6">
        <w:rPr>
          <w:rFonts w:ascii="Times New Roman" w:hAnsi="Times New Roman"/>
          <w:szCs w:val="24"/>
        </w:rPr>
        <w:t xml:space="preserve"> :</w:t>
      </w:r>
    </w:p>
    <w:p w14:paraId="78EC2A4A" w14:textId="77777777" w:rsidR="004D5736" w:rsidRPr="00AE55D6" w:rsidRDefault="00D751FB" w:rsidP="00355C6D">
      <w:pPr>
        <w:pStyle w:val="ListParagraph"/>
        <w:numPr>
          <w:ilvl w:val="0"/>
          <w:numId w:val="5"/>
        </w:numPr>
        <w:spacing w:line="480" w:lineRule="auto"/>
        <w:jc w:val="both"/>
        <w:rPr>
          <w:rFonts w:ascii="Times New Roman" w:hAnsi="Times New Roman"/>
          <w:szCs w:val="24"/>
        </w:rPr>
      </w:pPr>
      <w:r>
        <w:rPr>
          <w:rFonts w:ascii="Times New Roman" w:hAnsi="Times New Roman"/>
          <w:szCs w:val="24"/>
        </w:rPr>
        <w:t>The g</w:t>
      </w:r>
      <w:r w:rsidR="004D5736" w:rsidRPr="00AE55D6">
        <w:rPr>
          <w:rFonts w:ascii="Times New Roman" w:hAnsi="Times New Roman"/>
          <w:szCs w:val="24"/>
        </w:rPr>
        <w:t>ravity of the crime,</w:t>
      </w:r>
    </w:p>
    <w:p w14:paraId="171F5484" w14:textId="77777777" w:rsidR="004D5736" w:rsidRPr="00AE55D6" w:rsidRDefault="004D5736" w:rsidP="00355C6D">
      <w:pPr>
        <w:pStyle w:val="ListParagraph"/>
        <w:numPr>
          <w:ilvl w:val="0"/>
          <w:numId w:val="5"/>
        </w:numPr>
        <w:spacing w:line="480" w:lineRule="auto"/>
        <w:jc w:val="both"/>
        <w:rPr>
          <w:rFonts w:ascii="Times New Roman" w:hAnsi="Times New Roman"/>
          <w:szCs w:val="24"/>
        </w:rPr>
      </w:pPr>
      <w:r w:rsidRPr="00AE55D6">
        <w:rPr>
          <w:rFonts w:ascii="Times New Roman" w:hAnsi="Times New Roman"/>
          <w:szCs w:val="24"/>
        </w:rPr>
        <w:t xml:space="preserve">The large and widespread nature of the crimes committed, </w:t>
      </w:r>
    </w:p>
    <w:p w14:paraId="27FA1AB4" w14:textId="77777777" w:rsidR="004D5736" w:rsidRPr="00AE55D6" w:rsidRDefault="004D5736" w:rsidP="00355C6D">
      <w:pPr>
        <w:pStyle w:val="ListParagraph"/>
        <w:numPr>
          <w:ilvl w:val="0"/>
          <w:numId w:val="5"/>
        </w:numPr>
        <w:spacing w:line="480" w:lineRule="auto"/>
        <w:jc w:val="both"/>
        <w:rPr>
          <w:rFonts w:ascii="Times New Roman" w:hAnsi="Times New Roman"/>
          <w:szCs w:val="24"/>
        </w:rPr>
      </w:pPr>
      <w:r w:rsidRPr="00AE55D6">
        <w:rPr>
          <w:rFonts w:ascii="Times New Roman" w:hAnsi="Times New Roman"/>
          <w:szCs w:val="24"/>
        </w:rPr>
        <w:t xml:space="preserve">The degree of participation and intent of Thomas Lubanga </w:t>
      </w:r>
      <w:proofErr w:type="spellStart"/>
      <w:r w:rsidRPr="00AE55D6">
        <w:rPr>
          <w:rFonts w:ascii="Times New Roman" w:hAnsi="Times New Roman"/>
          <w:szCs w:val="24"/>
        </w:rPr>
        <w:t>Dyilo</w:t>
      </w:r>
      <w:proofErr w:type="spellEnd"/>
      <w:r w:rsidRPr="00AE55D6">
        <w:rPr>
          <w:rFonts w:ascii="Times New Roman" w:hAnsi="Times New Roman"/>
          <w:szCs w:val="24"/>
        </w:rPr>
        <w:t>,</w:t>
      </w:r>
    </w:p>
    <w:p w14:paraId="40DF418F" w14:textId="77777777" w:rsidR="004D5736" w:rsidRPr="00AE55D6" w:rsidRDefault="004D5736" w:rsidP="00355C6D">
      <w:pPr>
        <w:pStyle w:val="ListParagraph"/>
        <w:numPr>
          <w:ilvl w:val="0"/>
          <w:numId w:val="5"/>
        </w:numPr>
        <w:spacing w:line="480" w:lineRule="auto"/>
        <w:jc w:val="both"/>
        <w:rPr>
          <w:rFonts w:ascii="Times New Roman" w:hAnsi="Times New Roman"/>
          <w:szCs w:val="24"/>
        </w:rPr>
      </w:pPr>
      <w:r w:rsidRPr="00AE55D6">
        <w:rPr>
          <w:rFonts w:ascii="Times New Roman" w:hAnsi="Times New Roman"/>
          <w:szCs w:val="24"/>
        </w:rPr>
        <w:t>The aggravating circumstances  and,</w:t>
      </w:r>
    </w:p>
    <w:p w14:paraId="4FE2E071" w14:textId="77777777" w:rsidR="004D5736" w:rsidRPr="00AE55D6" w:rsidRDefault="004D5736" w:rsidP="00355C6D">
      <w:pPr>
        <w:pStyle w:val="ListParagraph"/>
        <w:numPr>
          <w:ilvl w:val="0"/>
          <w:numId w:val="5"/>
        </w:numPr>
        <w:spacing w:line="480" w:lineRule="auto"/>
        <w:jc w:val="both"/>
        <w:rPr>
          <w:rFonts w:ascii="Times New Roman" w:hAnsi="Times New Roman"/>
          <w:szCs w:val="24"/>
        </w:rPr>
      </w:pPr>
      <w:r w:rsidRPr="00AE55D6">
        <w:rPr>
          <w:rFonts w:ascii="Times New Roman" w:hAnsi="Times New Roman"/>
          <w:szCs w:val="24"/>
        </w:rPr>
        <w:t>The mitigating circumstances.</w:t>
      </w:r>
    </w:p>
    <w:p w14:paraId="738D57C8" w14:textId="38DBB547" w:rsidR="0097641B" w:rsidRPr="0097641B" w:rsidRDefault="0097641B" w:rsidP="00355C6D">
      <w:pPr>
        <w:spacing w:line="480" w:lineRule="auto"/>
        <w:jc w:val="both"/>
        <w:rPr>
          <w:rFonts w:ascii="Times New Roman" w:hAnsi="Times New Roman"/>
          <w:szCs w:val="24"/>
        </w:rPr>
      </w:pPr>
      <w:r w:rsidRPr="0097641B">
        <w:rPr>
          <w:rFonts w:ascii="Times New Roman" w:hAnsi="Times New Roman"/>
          <w:szCs w:val="24"/>
        </w:rPr>
        <w:t>In determining the gravity of the crime, the Chamber re</w:t>
      </w:r>
      <w:r w:rsidR="00B0037B">
        <w:rPr>
          <w:rFonts w:ascii="Times New Roman" w:hAnsi="Times New Roman"/>
          <w:szCs w:val="24"/>
        </w:rPr>
        <w:t>ferred</w:t>
      </w:r>
      <w:r w:rsidRPr="0097641B">
        <w:rPr>
          <w:rFonts w:ascii="Times New Roman" w:hAnsi="Times New Roman"/>
          <w:szCs w:val="24"/>
        </w:rPr>
        <w:t xml:space="preserve"> to the evidence of  Ms Radhika Coomaraswamy the United Nations Special Representatives of the Secretary</w:t>
      </w:r>
      <w:r w:rsidR="00B0037B">
        <w:rPr>
          <w:rFonts w:ascii="Times New Roman" w:hAnsi="Times New Roman"/>
          <w:szCs w:val="24"/>
        </w:rPr>
        <w:t>-</w:t>
      </w:r>
      <w:r w:rsidRPr="0097641B">
        <w:rPr>
          <w:rFonts w:ascii="Times New Roman" w:hAnsi="Times New Roman"/>
          <w:szCs w:val="24"/>
        </w:rPr>
        <w:lastRenderedPageBreak/>
        <w:t>General on Children and Armed Conflict and the opinion of expert witness Ms Schauer.</w:t>
      </w:r>
      <w:r w:rsidRPr="0097641B">
        <w:rPr>
          <w:rStyle w:val="FootnoteReference"/>
          <w:rFonts w:ascii="Times New Roman" w:hAnsi="Times New Roman"/>
          <w:szCs w:val="24"/>
        </w:rPr>
        <w:footnoteReference w:id="956"/>
      </w:r>
    </w:p>
    <w:p w14:paraId="568EF383" w14:textId="065BE0E3" w:rsidR="004D5736" w:rsidRPr="00AE55D6" w:rsidRDefault="004D5736" w:rsidP="00355C6D">
      <w:pPr>
        <w:spacing w:line="480" w:lineRule="auto"/>
        <w:jc w:val="both"/>
        <w:rPr>
          <w:rFonts w:ascii="Times New Roman" w:hAnsi="Times New Roman"/>
          <w:szCs w:val="24"/>
        </w:rPr>
      </w:pPr>
      <w:r w:rsidRPr="00AE55D6">
        <w:rPr>
          <w:rFonts w:ascii="Times New Roman" w:hAnsi="Times New Roman"/>
          <w:szCs w:val="24"/>
        </w:rPr>
        <w:t>On the 24 Apri</w:t>
      </w:r>
      <w:r w:rsidR="00CD1C83" w:rsidRPr="00AE55D6">
        <w:rPr>
          <w:rFonts w:ascii="Times New Roman" w:hAnsi="Times New Roman"/>
          <w:szCs w:val="24"/>
        </w:rPr>
        <w:t>l 2012, the Trial Chamber ordered</w:t>
      </w:r>
      <w:r w:rsidRPr="00AE55D6">
        <w:rPr>
          <w:rFonts w:ascii="Times New Roman" w:hAnsi="Times New Roman"/>
          <w:szCs w:val="24"/>
        </w:rPr>
        <w:t xml:space="preserve"> the </w:t>
      </w:r>
      <w:r w:rsidR="00F042BE">
        <w:rPr>
          <w:rFonts w:ascii="Times New Roman" w:hAnsi="Times New Roman"/>
          <w:szCs w:val="24"/>
        </w:rPr>
        <w:t>victims' legal representative</w:t>
      </w:r>
      <w:r w:rsidR="00D751FB">
        <w:rPr>
          <w:rFonts w:ascii="Times New Roman" w:hAnsi="Times New Roman"/>
          <w:szCs w:val="24"/>
        </w:rPr>
        <w:t xml:space="preserve">s to submit their views on </w:t>
      </w:r>
      <w:r w:rsidRPr="00AE55D6">
        <w:rPr>
          <w:rFonts w:ascii="Times New Roman" w:hAnsi="Times New Roman"/>
          <w:szCs w:val="24"/>
        </w:rPr>
        <w:t>all evidence discussed during the trial.</w:t>
      </w:r>
      <w:r w:rsidRPr="00AE55D6">
        <w:rPr>
          <w:rStyle w:val="FootnoteReference"/>
          <w:rFonts w:ascii="Times New Roman" w:hAnsi="Times New Roman"/>
          <w:szCs w:val="24"/>
        </w:rPr>
        <w:footnoteReference w:id="957"/>
      </w:r>
      <w:r w:rsidRPr="00AE55D6">
        <w:rPr>
          <w:rFonts w:ascii="Times New Roman" w:hAnsi="Times New Roman"/>
          <w:szCs w:val="24"/>
        </w:rPr>
        <w:t xml:space="preserve"> In response to the Trial Chamber 1’s order,</w:t>
      </w:r>
      <w:r w:rsidR="00D751FB">
        <w:rPr>
          <w:rFonts w:ascii="Times New Roman" w:hAnsi="Times New Roman"/>
          <w:szCs w:val="24"/>
        </w:rPr>
        <w:t xml:space="preserve"> </w:t>
      </w:r>
      <w:r w:rsidRPr="00AE55D6">
        <w:rPr>
          <w:rFonts w:ascii="Times New Roman" w:hAnsi="Times New Roman"/>
          <w:szCs w:val="24"/>
        </w:rPr>
        <w:t xml:space="preserve">the LRVs </w:t>
      </w:r>
      <w:r w:rsidR="00D751FB">
        <w:rPr>
          <w:rFonts w:ascii="Times New Roman" w:hAnsi="Times New Roman"/>
          <w:szCs w:val="24"/>
        </w:rPr>
        <w:t>provid</w:t>
      </w:r>
      <w:r w:rsidR="00CD1C83" w:rsidRPr="00AE55D6">
        <w:rPr>
          <w:rFonts w:ascii="Times New Roman" w:hAnsi="Times New Roman"/>
          <w:szCs w:val="24"/>
        </w:rPr>
        <w:t>ed</w:t>
      </w:r>
      <w:r w:rsidRPr="00AE55D6">
        <w:rPr>
          <w:rFonts w:ascii="Times New Roman" w:hAnsi="Times New Roman"/>
          <w:szCs w:val="24"/>
        </w:rPr>
        <w:t xml:space="preserve"> evidence </w:t>
      </w:r>
      <w:r w:rsidR="00D751FB">
        <w:rPr>
          <w:rFonts w:ascii="Times New Roman" w:hAnsi="Times New Roman"/>
          <w:szCs w:val="24"/>
        </w:rPr>
        <w:t>examin</w:t>
      </w:r>
      <w:r w:rsidRPr="00AE55D6">
        <w:rPr>
          <w:rFonts w:ascii="Times New Roman" w:hAnsi="Times New Roman"/>
          <w:szCs w:val="24"/>
        </w:rPr>
        <w:t xml:space="preserve">ed during the </w:t>
      </w:r>
      <w:r w:rsidR="00596548">
        <w:rPr>
          <w:rFonts w:ascii="Times New Roman" w:hAnsi="Times New Roman"/>
          <w:szCs w:val="24"/>
        </w:rPr>
        <w:t>proceedings</w:t>
      </w:r>
      <w:r w:rsidRPr="00AE55D6">
        <w:rPr>
          <w:rFonts w:ascii="Times New Roman" w:hAnsi="Times New Roman"/>
          <w:szCs w:val="24"/>
        </w:rPr>
        <w:t xml:space="preserve"> to establish aggravating and mitigating circumstances for the convicted person. In the determination of sentencing, the le</w:t>
      </w:r>
      <w:r w:rsidR="00CD1C83" w:rsidRPr="00AE55D6">
        <w:rPr>
          <w:rFonts w:ascii="Times New Roman" w:hAnsi="Times New Roman"/>
          <w:szCs w:val="24"/>
        </w:rPr>
        <w:t xml:space="preserve">gal representatives were </w:t>
      </w:r>
      <w:r w:rsidR="00D751FB">
        <w:rPr>
          <w:rFonts w:ascii="Times New Roman" w:hAnsi="Times New Roman"/>
          <w:szCs w:val="24"/>
        </w:rPr>
        <w:t>allowed</w:t>
      </w:r>
      <w:r w:rsidRPr="00AE55D6">
        <w:rPr>
          <w:rFonts w:ascii="Times New Roman" w:hAnsi="Times New Roman"/>
          <w:szCs w:val="24"/>
        </w:rPr>
        <w:t xml:space="preserve"> to make oral and written submissions in the event of sentence hearing.</w:t>
      </w:r>
      <w:r w:rsidR="00B0037B">
        <w:rPr>
          <w:rFonts w:ascii="Times New Roman" w:hAnsi="Times New Roman"/>
          <w:szCs w:val="24"/>
        </w:rPr>
        <w:t xml:space="preserve"> </w:t>
      </w:r>
      <w:r w:rsidRPr="00AE55D6">
        <w:rPr>
          <w:rFonts w:ascii="Times New Roman" w:hAnsi="Times New Roman"/>
          <w:szCs w:val="24"/>
        </w:rPr>
        <w:t>In their written observations, the LRV submit</w:t>
      </w:r>
      <w:r w:rsidR="00471DB3" w:rsidRPr="00AE55D6">
        <w:rPr>
          <w:rFonts w:ascii="Times New Roman" w:hAnsi="Times New Roman"/>
          <w:szCs w:val="24"/>
        </w:rPr>
        <w:t>ted three aggravating evidence, with no</w:t>
      </w:r>
      <w:r w:rsidRPr="00AE55D6">
        <w:rPr>
          <w:rFonts w:ascii="Times New Roman" w:hAnsi="Times New Roman"/>
          <w:szCs w:val="24"/>
        </w:rPr>
        <w:t xml:space="preserve"> mitigating evidence.</w:t>
      </w:r>
    </w:p>
    <w:p w14:paraId="4520D6E2" w14:textId="5B31F126" w:rsidR="004D5736" w:rsidRPr="00D751FB" w:rsidRDefault="005C7182" w:rsidP="00355C6D">
      <w:pPr>
        <w:spacing w:line="480" w:lineRule="auto"/>
        <w:jc w:val="both"/>
        <w:rPr>
          <w:rFonts w:ascii="Times New Roman" w:hAnsi="Times New Roman"/>
          <w:szCs w:val="24"/>
        </w:rPr>
      </w:pPr>
      <w:r>
        <w:rPr>
          <w:rFonts w:ascii="Times New Roman" w:hAnsi="Times New Roman"/>
          <w:szCs w:val="24"/>
        </w:rPr>
        <w:t xml:space="preserve">At this stage, </w:t>
      </w:r>
      <w:r w:rsidR="004D5736" w:rsidRPr="00D751FB">
        <w:rPr>
          <w:rFonts w:ascii="Times New Roman" w:hAnsi="Times New Roman"/>
          <w:szCs w:val="24"/>
        </w:rPr>
        <w:t>it is necessary to examine the meaning of aggravating circumstances.</w:t>
      </w:r>
    </w:p>
    <w:p w14:paraId="02577A71" w14:textId="78F8CEAD" w:rsidR="00992AF5" w:rsidRPr="00355C6D" w:rsidRDefault="001027D5" w:rsidP="00364EC8">
      <w:pPr>
        <w:pStyle w:val="Heading4"/>
      </w:pPr>
      <w:bookmarkStart w:id="67" w:name="_Toc60235837"/>
      <w:r w:rsidRPr="00355C6D">
        <w:t>4.4.2</w:t>
      </w:r>
      <w:r w:rsidR="00297A54" w:rsidRPr="00355C6D">
        <w:t>.2</w:t>
      </w:r>
      <w:r w:rsidR="00992AF5" w:rsidRPr="00355C6D">
        <w:t>The Prosecutor’s request</w:t>
      </w:r>
      <w:r w:rsidR="00B0037B">
        <w:t>; aggravating circumstances</w:t>
      </w:r>
      <w:bookmarkEnd w:id="67"/>
      <w:r w:rsidR="00B0037B">
        <w:t xml:space="preserve"> </w:t>
      </w:r>
    </w:p>
    <w:p w14:paraId="7100EA7C" w14:textId="38726F33" w:rsidR="00992AF5" w:rsidRPr="00355C6D" w:rsidRDefault="00992AF5" w:rsidP="00355C6D">
      <w:pPr>
        <w:spacing w:line="480" w:lineRule="auto"/>
        <w:jc w:val="both"/>
        <w:rPr>
          <w:rFonts w:ascii="Times New Roman" w:hAnsi="Times New Roman"/>
          <w:szCs w:val="24"/>
        </w:rPr>
      </w:pPr>
      <w:r w:rsidRPr="00355C6D">
        <w:rPr>
          <w:rFonts w:ascii="Times New Roman" w:hAnsi="Times New Roman"/>
          <w:szCs w:val="24"/>
        </w:rPr>
        <w:t>The Prosecution listed the aggravating circumstances as ‘</w:t>
      </w:r>
      <w:r w:rsidRPr="00355C6D">
        <w:rPr>
          <w:rFonts w:ascii="Times New Roman" w:hAnsi="Times New Roman"/>
          <w:i/>
          <w:szCs w:val="24"/>
        </w:rPr>
        <w:t>harsh conditions in the camps’</w:t>
      </w:r>
      <w:r w:rsidRPr="00355C6D">
        <w:rPr>
          <w:rFonts w:ascii="Times New Roman" w:hAnsi="Times New Roman"/>
          <w:szCs w:val="24"/>
        </w:rPr>
        <w:t xml:space="preserve"> and ‘</w:t>
      </w:r>
      <w:r w:rsidRPr="00355C6D">
        <w:rPr>
          <w:rFonts w:ascii="Times New Roman" w:hAnsi="Times New Roman"/>
          <w:i/>
          <w:szCs w:val="24"/>
        </w:rPr>
        <w:t>the brutal treatment of children</w:t>
      </w:r>
      <w:r w:rsidR="00C77584">
        <w:rPr>
          <w:rFonts w:ascii="Times New Roman" w:hAnsi="Times New Roman"/>
          <w:i/>
          <w:szCs w:val="24"/>
        </w:rPr>
        <w:t>.</w:t>
      </w:r>
      <w:r w:rsidRPr="00355C6D">
        <w:rPr>
          <w:rFonts w:ascii="Times New Roman" w:hAnsi="Times New Roman"/>
          <w:i/>
          <w:szCs w:val="24"/>
        </w:rPr>
        <w:t>’</w:t>
      </w:r>
      <w:r w:rsidRPr="00355C6D">
        <w:rPr>
          <w:rStyle w:val="FootnoteReference"/>
          <w:rFonts w:ascii="Times New Roman" w:hAnsi="Times New Roman"/>
          <w:szCs w:val="24"/>
        </w:rPr>
        <w:footnoteReference w:id="958"/>
      </w:r>
      <w:r w:rsidRPr="00355C6D">
        <w:rPr>
          <w:rFonts w:ascii="Times New Roman" w:hAnsi="Times New Roman"/>
          <w:szCs w:val="24"/>
        </w:rPr>
        <w:t xml:space="preserve"> The Prosecution had requested the Chamber to consider sexual violence as an aggravating factor.</w:t>
      </w:r>
      <w:r w:rsidRPr="00355C6D">
        <w:rPr>
          <w:rStyle w:val="FootnoteReference"/>
          <w:rFonts w:ascii="Times New Roman" w:hAnsi="Times New Roman"/>
          <w:szCs w:val="24"/>
        </w:rPr>
        <w:footnoteReference w:id="959"/>
      </w:r>
      <w:r w:rsidRPr="00355C6D">
        <w:rPr>
          <w:rFonts w:ascii="Times New Roman" w:hAnsi="Times New Roman"/>
          <w:szCs w:val="24"/>
        </w:rPr>
        <w:t xml:space="preserve"> However, the Chamber rejected the evidence</w:t>
      </w:r>
      <w:r w:rsidR="00596548">
        <w:rPr>
          <w:rFonts w:ascii="Times New Roman" w:hAnsi="Times New Roman"/>
          <w:szCs w:val="24"/>
        </w:rPr>
        <w:t>; it found the evidence insufficient</w:t>
      </w:r>
      <w:r w:rsidRPr="00355C6D">
        <w:rPr>
          <w:rFonts w:ascii="Times New Roman" w:hAnsi="Times New Roman"/>
          <w:szCs w:val="24"/>
        </w:rPr>
        <w:t xml:space="preserve"> </w:t>
      </w:r>
      <w:r w:rsidR="00596548">
        <w:rPr>
          <w:rFonts w:ascii="Times New Roman" w:hAnsi="Times New Roman"/>
          <w:szCs w:val="24"/>
        </w:rPr>
        <w:t>because</w:t>
      </w:r>
      <w:r w:rsidRPr="00355C6D">
        <w:rPr>
          <w:rFonts w:ascii="Times New Roman" w:hAnsi="Times New Roman"/>
          <w:szCs w:val="24"/>
        </w:rPr>
        <w:t xml:space="preserve"> it was in</w:t>
      </w:r>
      <w:r w:rsidR="00596548">
        <w:rPr>
          <w:rFonts w:ascii="Times New Roman" w:hAnsi="Times New Roman"/>
          <w:szCs w:val="24"/>
        </w:rPr>
        <w:t>adequate</w:t>
      </w:r>
      <w:r w:rsidRPr="00355C6D">
        <w:rPr>
          <w:rFonts w:ascii="Times New Roman" w:hAnsi="Times New Roman"/>
          <w:szCs w:val="24"/>
        </w:rPr>
        <w:t xml:space="preserve"> to establish a conclusion beyond </w:t>
      </w:r>
      <w:r w:rsidR="00297A54" w:rsidRPr="00355C6D">
        <w:rPr>
          <w:rFonts w:ascii="Times New Roman" w:hAnsi="Times New Roman"/>
          <w:szCs w:val="24"/>
        </w:rPr>
        <w:t xml:space="preserve">a </w:t>
      </w:r>
      <w:r w:rsidRPr="00355C6D">
        <w:rPr>
          <w:rFonts w:ascii="Times New Roman" w:hAnsi="Times New Roman"/>
          <w:szCs w:val="24"/>
        </w:rPr>
        <w:t xml:space="preserve">reasonable doubt that the punishment of children under the age of </w:t>
      </w:r>
      <w:r w:rsidRPr="00355C6D">
        <w:rPr>
          <w:rFonts w:ascii="Times New Roman" w:hAnsi="Times New Roman"/>
          <w:szCs w:val="24"/>
        </w:rPr>
        <w:lastRenderedPageBreak/>
        <w:t xml:space="preserve">15 years of age occurred in the ordinary course of the crime for which the </w:t>
      </w:r>
      <w:r w:rsidR="00596548">
        <w:rPr>
          <w:rFonts w:ascii="Times New Roman" w:hAnsi="Times New Roman"/>
          <w:szCs w:val="24"/>
        </w:rPr>
        <w:t xml:space="preserve">chamber convicted the </w:t>
      </w:r>
      <w:r w:rsidRPr="00355C6D">
        <w:rPr>
          <w:rFonts w:ascii="Times New Roman" w:hAnsi="Times New Roman"/>
          <w:szCs w:val="24"/>
        </w:rPr>
        <w:t>accuse</w:t>
      </w:r>
      <w:r w:rsidR="00596548">
        <w:rPr>
          <w:rFonts w:ascii="Times New Roman" w:hAnsi="Times New Roman"/>
          <w:szCs w:val="24"/>
        </w:rPr>
        <w:t>d</w:t>
      </w:r>
      <w:r w:rsidRPr="00355C6D">
        <w:rPr>
          <w:rFonts w:ascii="Times New Roman" w:hAnsi="Times New Roman"/>
          <w:szCs w:val="24"/>
        </w:rPr>
        <w:t>.</w:t>
      </w:r>
      <w:r w:rsidRPr="00355C6D">
        <w:rPr>
          <w:rStyle w:val="FootnoteReference"/>
          <w:rFonts w:ascii="Times New Roman" w:hAnsi="Times New Roman"/>
          <w:szCs w:val="24"/>
        </w:rPr>
        <w:footnoteReference w:id="960"/>
      </w:r>
      <w:r w:rsidR="00297A54" w:rsidRPr="00355C6D">
        <w:rPr>
          <w:rFonts w:ascii="Times New Roman" w:hAnsi="Times New Roman"/>
          <w:szCs w:val="24"/>
        </w:rPr>
        <w:t xml:space="preserve"> The prosecutor’s arguments were insufficient to</w:t>
      </w:r>
      <w:r w:rsidR="00E81873" w:rsidRPr="00355C6D">
        <w:rPr>
          <w:rFonts w:ascii="Times New Roman" w:hAnsi="Times New Roman"/>
          <w:szCs w:val="24"/>
        </w:rPr>
        <w:t xml:space="preserve"> hold Lubanga responsible for cruel treatment.</w:t>
      </w:r>
      <w:r w:rsidR="00297A54" w:rsidRPr="00355C6D">
        <w:rPr>
          <w:rFonts w:ascii="Times New Roman" w:hAnsi="Times New Roman"/>
          <w:szCs w:val="24"/>
        </w:rPr>
        <w:t xml:space="preserve"> </w:t>
      </w:r>
    </w:p>
    <w:p w14:paraId="4B30820C" w14:textId="5BED74B2" w:rsidR="00992AF5" w:rsidRPr="00355C6D" w:rsidRDefault="00992AF5" w:rsidP="00355C6D">
      <w:pPr>
        <w:spacing w:line="480" w:lineRule="auto"/>
        <w:jc w:val="both"/>
        <w:rPr>
          <w:rFonts w:ascii="Times New Roman" w:hAnsi="Times New Roman"/>
          <w:szCs w:val="24"/>
        </w:rPr>
      </w:pPr>
      <w:r w:rsidRPr="00355C6D">
        <w:rPr>
          <w:rFonts w:ascii="Times New Roman" w:hAnsi="Times New Roman"/>
          <w:szCs w:val="24"/>
        </w:rPr>
        <w:t xml:space="preserve">Furthermore, the prosecution </w:t>
      </w:r>
      <w:r w:rsidR="00C34B7F" w:rsidRPr="00355C6D">
        <w:rPr>
          <w:rFonts w:ascii="Times New Roman" w:hAnsi="Times New Roman"/>
          <w:szCs w:val="24"/>
        </w:rPr>
        <w:t>requested</w:t>
      </w:r>
      <w:r w:rsidRPr="00355C6D">
        <w:rPr>
          <w:rFonts w:ascii="Times New Roman" w:hAnsi="Times New Roman"/>
          <w:szCs w:val="24"/>
        </w:rPr>
        <w:t xml:space="preserve"> </w:t>
      </w:r>
      <w:r w:rsidR="00C34B7F" w:rsidRPr="00355C6D">
        <w:rPr>
          <w:rFonts w:ascii="Times New Roman" w:hAnsi="Times New Roman"/>
          <w:szCs w:val="24"/>
        </w:rPr>
        <w:t xml:space="preserve">the </w:t>
      </w:r>
      <w:r w:rsidRPr="00355C6D">
        <w:rPr>
          <w:rFonts w:ascii="Times New Roman" w:hAnsi="Times New Roman"/>
          <w:szCs w:val="24"/>
        </w:rPr>
        <w:t>imposition of a 30-year sentence on Lubanga.</w:t>
      </w:r>
      <w:r w:rsidRPr="00355C6D">
        <w:rPr>
          <w:rStyle w:val="FootnoteReference"/>
          <w:rFonts w:ascii="Times New Roman" w:hAnsi="Times New Roman"/>
          <w:szCs w:val="24"/>
        </w:rPr>
        <w:footnoteReference w:id="961"/>
      </w:r>
      <w:r w:rsidRPr="00355C6D">
        <w:rPr>
          <w:rFonts w:ascii="Times New Roman" w:hAnsi="Times New Roman"/>
          <w:szCs w:val="24"/>
        </w:rPr>
        <w:t xml:space="preserve"> </w:t>
      </w:r>
      <w:r w:rsidR="00C34B7F" w:rsidRPr="00355C6D">
        <w:rPr>
          <w:rFonts w:ascii="Times New Roman" w:hAnsi="Times New Roman"/>
          <w:szCs w:val="24"/>
        </w:rPr>
        <w:t>Thirty</w:t>
      </w:r>
      <w:r w:rsidRPr="00355C6D">
        <w:rPr>
          <w:rFonts w:ascii="Times New Roman" w:hAnsi="Times New Roman"/>
          <w:szCs w:val="24"/>
        </w:rPr>
        <w:t xml:space="preserve"> years is the maximum term of imprisonment under the Rome Stat</w:t>
      </w:r>
      <w:r w:rsidR="00C34B7F" w:rsidRPr="00355C6D">
        <w:rPr>
          <w:rFonts w:ascii="Times New Roman" w:hAnsi="Times New Roman"/>
          <w:szCs w:val="24"/>
        </w:rPr>
        <w:t>ute. He arrived at this request</w:t>
      </w:r>
      <w:r w:rsidRPr="00355C6D">
        <w:rPr>
          <w:rFonts w:ascii="Times New Roman" w:hAnsi="Times New Roman"/>
          <w:szCs w:val="24"/>
        </w:rPr>
        <w:t xml:space="preserve"> by drawing on a mathematical formula.</w:t>
      </w:r>
      <w:r w:rsidRPr="00355C6D">
        <w:rPr>
          <w:rStyle w:val="FootnoteReference"/>
          <w:rFonts w:ascii="Times New Roman" w:hAnsi="Times New Roman"/>
          <w:szCs w:val="24"/>
        </w:rPr>
        <w:footnoteReference w:id="962"/>
      </w:r>
      <w:r w:rsidRPr="00355C6D">
        <w:rPr>
          <w:rFonts w:ascii="Times New Roman" w:hAnsi="Times New Roman"/>
          <w:szCs w:val="24"/>
        </w:rPr>
        <w:t xml:space="preserve">The Prosecutor supported his </w:t>
      </w:r>
      <w:r w:rsidR="00C34B7F" w:rsidRPr="00355C6D">
        <w:rPr>
          <w:rFonts w:ascii="Times New Roman" w:hAnsi="Times New Roman"/>
          <w:szCs w:val="24"/>
        </w:rPr>
        <w:t>claim</w:t>
      </w:r>
      <w:r w:rsidRPr="00355C6D">
        <w:rPr>
          <w:rFonts w:ascii="Times New Roman" w:hAnsi="Times New Roman"/>
          <w:szCs w:val="24"/>
        </w:rPr>
        <w:t xml:space="preserve"> by </w:t>
      </w:r>
      <w:r w:rsidR="00C34B7F" w:rsidRPr="00355C6D">
        <w:rPr>
          <w:rFonts w:ascii="Times New Roman" w:hAnsi="Times New Roman"/>
          <w:szCs w:val="24"/>
        </w:rPr>
        <w:t>referring</w:t>
      </w:r>
      <w:r w:rsidRPr="00355C6D">
        <w:rPr>
          <w:rFonts w:ascii="Times New Roman" w:hAnsi="Times New Roman"/>
          <w:szCs w:val="24"/>
        </w:rPr>
        <w:t xml:space="preserve"> to the </w:t>
      </w:r>
      <w:r w:rsidR="00F042BE">
        <w:rPr>
          <w:rFonts w:ascii="Times New Roman" w:hAnsi="Times New Roman"/>
          <w:szCs w:val="24"/>
        </w:rPr>
        <w:t>Special Court's precedents for Sierra Leone, where sentences for similar offences fell</w:t>
      </w:r>
      <w:r w:rsidRPr="00355C6D">
        <w:rPr>
          <w:rFonts w:ascii="Times New Roman" w:hAnsi="Times New Roman"/>
          <w:szCs w:val="24"/>
        </w:rPr>
        <w:t xml:space="preserve"> within seven to fifty years.</w:t>
      </w:r>
      <w:r w:rsidRPr="00355C6D">
        <w:rPr>
          <w:rStyle w:val="FootnoteReference"/>
          <w:rFonts w:ascii="Times New Roman" w:hAnsi="Times New Roman"/>
          <w:szCs w:val="24"/>
        </w:rPr>
        <w:footnoteReference w:id="963"/>
      </w:r>
      <w:r w:rsidRPr="00355C6D">
        <w:rPr>
          <w:rFonts w:ascii="Times New Roman" w:hAnsi="Times New Roman"/>
          <w:szCs w:val="24"/>
        </w:rPr>
        <w:t xml:space="preserve"> Initially, the Prosecution </w:t>
      </w:r>
      <w:r w:rsidR="00596548">
        <w:rPr>
          <w:rFonts w:ascii="Times New Roman" w:hAnsi="Times New Roman"/>
          <w:szCs w:val="24"/>
        </w:rPr>
        <w:t>requested</w:t>
      </w:r>
      <w:r w:rsidRPr="00355C6D">
        <w:rPr>
          <w:rFonts w:ascii="Times New Roman" w:hAnsi="Times New Roman"/>
          <w:szCs w:val="24"/>
        </w:rPr>
        <w:t xml:space="preserve"> a ‘severe sentence’ of 30 years… </w:t>
      </w:r>
      <w:r w:rsidRPr="00355C6D">
        <w:rPr>
          <w:rFonts w:ascii="Times New Roman" w:hAnsi="Times New Roman"/>
          <w:i/>
          <w:szCs w:val="24"/>
        </w:rPr>
        <w:t>‘in the name of each child recruited,</w:t>
      </w:r>
      <w:r w:rsidR="00C34B7F" w:rsidRPr="00355C6D">
        <w:rPr>
          <w:rFonts w:ascii="Times New Roman" w:hAnsi="Times New Roman"/>
          <w:i/>
          <w:szCs w:val="24"/>
        </w:rPr>
        <w:t xml:space="preserve"> </w:t>
      </w:r>
      <w:r w:rsidRPr="00355C6D">
        <w:rPr>
          <w:rFonts w:ascii="Times New Roman" w:hAnsi="Times New Roman"/>
          <w:i/>
          <w:szCs w:val="24"/>
        </w:rPr>
        <w:t xml:space="preserve">in the name of </w:t>
      </w:r>
      <w:proofErr w:type="spellStart"/>
      <w:r w:rsidRPr="00355C6D">
        <w:rPr>
          <w:rFonts w:ascii="Times New Roman" w:hAnsi="Times New Roman"/>
          <w:i/>
          <w:szCs w:val="24"/>
        </w:rPr>
        <w:t>Ituri</w:t>
      </w:r>
      <w:proofErr w:type="spellEnd"/>
      <w:r w:rsidRPr="00355C6D">
        <w:rPr>
          <w:rFonts w:ascii="Times New Roman" w:hAnsi="Times New Roman"/>
          <w:i/>
          <w:szCs w:val="24"/>
        </w:rPr>
        <w:t xml:space="preserve"> region’</w:t>
      </w:r>
      <w:r w:rsidRPr="00355C6D">
        <w:rPr>
          <w:rStyle w:val="FootnoteReference"/>
          <w:rFonts w:ascii="Times New Roman" w:hAnsi="Times New Roman"/>
          <w:szCs w:val="24"/>
        </w:rPr>
        <w:footnoteReference w:id="964"/>
      </w:r>
      <w:r w:rsidRPr="00355C6D">
        <w:rPr>
          <w:rFonts w:ascii="Times New Roman" w:hAnsi="Times New Roman"/>
          <w:szCs w:val="24"/>
        </w:rPr>
        <w:t>Subsequently</w:t>
      </w:r>
      <w:r w:rsidR="00C34B7F" w:rsidRPr="00355C6D">
        <w:rPr>
          <w:rFonts w:ascii="Times New Roman" w:hAnsi="Times New Roman"/>
          <w:szCs w:val="24"/>
        </w:rPr>
        <w:t>,</w:t>
      </w:r>
      <w:r w:rsidRPr="00355C6D">
        <w:rPr>
          <w:rFonts w:ascii="Times New Roman" w:hAnsi="Times New Roman"/>
          <w:szCs w:val="24"/>
        </w:rPr>
        <w:t xml:space="preserve"> the Prosecution submitted that it would reduce the sentence from 30 years to 20 years, provided that Lubanga offers ‘a genuine apology’ to victims of the crimes.</w:t>
      </w:r>
      <w:r w:rsidRPr="00355C6D">
        <w:rPr>
          <w:rStyle w:val="FootnoteReference"/>
          <w:rFonts w:ascii="Times New Roman" w:hAnsi="Times New Roman"/>
          <w:szCs w:val="24"/>
        </w:rPr>
        <w:footnoteReference w:id="965"/>
      </w:r>
      <w:r w:rsidRPr="00355C6D">
        <w:rPr>
          <w:rFonts w:ascii="Times New Roman" w:hAnsi="Times New Roman"/>
          <w:szCs w:val="24"/>
        </w:rPr>
        <w:t xml:space="preserve"> It is believed that this </w:t>
      </w:r>
      <w:r w:rsidR="00596548">
        <w:rPr>
          <w:rFonts w:ascii="Times New Roman" w:hAnsi="Times New Roman"/>
          <w:szCs w:val="24"/>
        </w:rPr>
        <w:t>sincer</w:t>
      </w:r>
      <w:r w:rsidRPr="00355C6D">
        <w:rPr>
          <w:rFonts w:ascii="Times New Roman" w:hAnsi="Times New Roman"/>
          <w:szCs w:val="24"/>
        </w:rPr>
        <w:t>e apology is a demonstration of acknowledgement of the offence and remorse from the perpetrator.</w:t>
      </w:r>
    </w:p>
    <w:p w14:paraId="7303D73B" w14:textId="77777777" w:rsidR="004D5736" w:rsidRPr="00355C6D" w:rsidRDefault="001027D5" w:rsidP="00364EC8">
      <w:pPr>
        <w:pStyle w:val="Heading4"/>
      </w:pPr>
      <w:bookmarkStart w:id="68" w:name="_Toc60235838"/>
      <w:r w:rsidRPr="00355C6D">
        <w:t>4.4.2</w:t>
      </w:r>
      <w:r w:rsidR="00C34B7F" w:rsidRPr="00355C6D">
        <w:t xml:space="preserve">.3 </w:t>
      </w:r>
      <w:r w:rsidR="004D5736" w:rsidRPr="00355C6D">
        <w:t>Victims’ Aggravating Circumstances</w:t>
      </w:r>
      <w:bookmarkEnd w:id="68"/>
    </w:p>
    <w:p w14:paraId="7564ECCA" w14:textId="626A9AE2" w:rsidR="004D5736" w:rsidRPr="00355C6D" w:rsidRDefault="00596548" w:rsidP="00355C6D">
      <w:pPr>
        <w:spacing w:line="480" w:lineRule="auto"/>
        <w:jc w:val="both"/>
        <w:rPr>
          <w:rFonts w:ascii="Times New Roman" w:hAnsi="Times New Roman"/>
          <w:szCs w:val="24"/>
        </w:rPr>
      </w:pPr>
      <w:r>
        <w:rPr>
          <w:rFonts w:ascii="Times New Roman" w:hAnsi="Times New Roman"/>
          <w:szCs w:val="24"/>
        </w:rPr>
        <w:t xml:space="preserve">In their written observations, the </w:t>
      </w:r>
      <w:r w:rsidR="004D5736" w:rsidRPr="00355C6D">
        <w:rPr>
          <w:rFonts w:ascii="Times New Roman" w:hAnsi="Times New Roman"/>
          <w:szCs w:val="24"/>
        </w:rPr>
        <w:t xml:space="preserve"> LRVs urge</w:t>
      </w:r>
      <w:r>
        <w:rPr>
          <w:rFonts w:ascii="Times New Roman" w:hAnsi="Times New Roman"/>
          <w:szCs w:val="24"/>
        </w:rPr>
        <w:t>d</w:t>
      </w:r>
      <w:r w:rsidR="004D5736" w:rsidRPr="00355C6D">
        <w:rPr>
          <w:rFonts w:ascii="Times New Roman" w:hAnsi="Times New Roman"/>
          <w:szCs w:val="24"/>
        </w:rPr>
        <w:t xml:space="preserve"> the Chamber to </w:t>
      </w:r>
      <w:r>
        <w:rPr>
          <w:rFonts w:ascii="Times New Roman" w:hAnsi="Times New Roman"/>
          <w:szCs w:val="24"/>
        </w:rPr>
        <w:t xml:space="preserve">consider </w:t>
      </w:r>
      <w:r w:rsidR="004D5736" w:rsidRPr="00355C6D">
        <w:rPr>
          <w:rFonts w:ascii="Times New Roman" w:hAnsi="Times New Roman"/>
          <w:szCs w:val="24"/>
        </w:rPr>
        <w:t xml:space="preserve">the aggravating factors such as the abuse of the official functions by Lubanga, the particular </w:t>
      </w:r>
      <w:r w:rsidR="004D5736" w:rsidRPr="00355C6D">
        <w:rPr>
          <w:rFonts w:ascii="Times New Roman" w:hAnsi="Times New Roman"/>
          <w:szCs w:val="24"/>
        </w:rPr>
        <w:lastRenderedPageBreak/>
        <w:t>vulnerability of the victims and the motive for the discriminatory aspect.</w:t>
      </w:r>
      <w:r w:rsidR="004D5736" w:rsidRPr="00355C6D">
        <w:rPr>
          <w:rStyle w:val="FootnoteReference"/>
          <w:rFonts w:ascii="Times New Roman" w:hAnsi="Times New Roman"/>
          <w:szCs w:val="24"/>
        </w:rPr>
        <w:footnoteReference w:id="966"/>
      </w:r>
      <w:r w:rsidR="004D5736" w:rsidRPr="00355C6D">
        <w:rPr>
          <w:rFonts w:ascii="Times New Roman" w:hAnsi="Times New Roman"/>
          <w:szCs w:val="24"/>
        </w:rPr>
        <w:t>They argue</w:t>
      </w:r>
      <w:r w:rsidR="003448DC" w:rsidRPr="00355C6D">
        <w:rPr>
          <w:rFonts w:ascii="Times New Roman" w:hAnsi="Times New Roman"/>
          <w:szCs w:val="24"/>
        </w:rPr>
        <w:t>d</w:t>
      </w:r>
      <w:r w:rsidR="004D5736" w:rsidRPr="00355C6D">
        <w:rPr>
          <w:rFonts w:ascii="Times New Roman" w:hAnsi="Times New Roman"/>
          <w:szCs w:val="24"/>
        </w:rPr>
        <w:t xml:space="preserve"> that Lubanga as the president of the UPC and commander –in –chief of the FLPC</w:t>
      </w:r>
      <w:r w:rsidR="003448DC" w:rsidRPr="00355C6D">
        <w:rPr>
          <w:rFonts w:ascii="Times New Roman" w:hAnsi="Times New Roman"/>
          <w:szCs w:val="24"/>
        </w:rPr>
        <w:t>,</w:t>
      </w:r>
      <w:r w:rsidR="004D5736" w:rsidRPr="00355C6D">
        <w:rPr>
          <w:rFonts w:ascii="Times New Roman" w:hAnsi="Times New Roman"/>
          <w:szCs w:val="24"/>
        </w:rPr>
        <w:t xml:space="preserve"> abused his role and position to </w:t>
      </w:r>
      <w:r w:rsidR="005C7182">
        <w:rPr>
          <w:rFonts w:ascii="Times New Roman" w:hAnsi="Times New Roman"/>
          <w:szCs w:val="24"/>
        </w:rPr>
        <w:t xml:space="preserve">recruit </w:t>
      </w:r>
      <w:r w:rsidR="004D5736" w:rsidRPr="00355C6D">
        <w:rPr>
          <w:rFonts w:ascii="Times New Roman" w:hAnsi="Times New Roman"/>
          <w:szCs w:val="24"/>
        </w:rPr>
        <w:t>children under the age of 15 and use them to participate actively in hostilities.</w:t>
      </w:r>
      <w:r w:rsidR="004D5736" w:rsidRPr="00355C6D">
        <w:rPr>
          <w:rStyle w:val="FootnoteReference"/>
          <w:rFonts w:ascii="Times New Roman" w:hAnsi="Times New Roman"/>
          <w:szCs w:val="24"/>
        </w:rPr>
        <w:footnoteReference w:id="967"/>
      </w:r>
      <w:r w:rsidR="004D5736" w:rsidRPr="00355C6D">
        <w:rPr>
          <w:rFonts w:ascii="Times New Roman" w:hAnsi="Times New Roman"/>
          <w:szCs w:val="24"/>
        </w:rPr>
        <w:t xml:space="preserve">They presented </w:t>
      </w:r>
      <w:r w:rsidR="003448DC" w:rsidRPr="00355C6D">
        <w:rPr>
          <w:rFonts w:ascii="Times New Roman" w:hAnsi="Times New Roman"/>
          <w:szCs w:val="24"/>
        </w:rPr>
        <w:t>evidence of experts opinion which</w:t>
      </w:r>
      <w:r w:rsidR="004D5736" w:rsidRPr="00355C6D">
        <w:rPr>
          <w:rFonts w:ascii="Times New Roman" w:hAnsi="Times New Roman"/>
          <w:szCs w:val="24"/>
        </w:rPr>
        <w:t xml:space="preserve"> corroborate</w:t>
      </w:r>
      <w:r w:rsidR="003448DC" w:rsidRPr="00355C6D">
        <w:rPr>
          <w:rFonts w:ascii="Times New Roman" w:hAnsi="Times New Roman"/>
          <w:szCs w:val="24"/>
        </w:rPr>
        <w:t>d</w:t>
      </w:r>
      <w:r w:rsidR="004D5736" w:rsidRPr="00355C6D">
        <w:rPr>
          <w:rFonts w:ascii="Times New Roman" w:hAnsi="Times New Roman"/>
          <w:szCs w:val="24"/>
        </w:rPr>
        <w:t xml:space="preserve"> their </w:t>
      </w:r>
      <w:r w:rsidR="00C34B7F" w:rsidRPr="00355C6D">
        <w:rPr>
          <w:rFonts w:ascii="Times New Roman" w:hAnsi="Times New Roman"/>
          <w:szCs w:val="24"/>
        </w:rPr>
        <w:t>proof</w:t>
      </w:r>
      <w:r w:rsidR="004D5736" w:rsidRPr="00355C6D">
        <w:rPr>
          <w:rFonts w:ascii="Times New Roman" w:hAnsi="Times New Roman"/>
          <w:szCs w:val="24"/>
        </w:rPr>
        <w:t xml:space="preserve">. </w:t>
      </w:r>
      <w:r w:rsidR="00C34B7F" w:rsidRPr="00355C6D">
        <w:rPr>
          <w:rFonts w:ascii="Times New Roman" w:hAnsi="Times New Roman"/>
          <w:szCs w:val="24"/>
        </w:rPr>
        <w:t>Also, t</w:t>
      </w:r>
      <w:r w:rsidR="004D5736" w:rsidRPr="00355C6D">
        <w:rPr>
          <w:rFonts w:ascii="Times New Roman" w:hAnsi="Times New Roman"/>
          <w:szCs w:val="24"/>
        </w:rPr>
        <w:t>heir observations reveal</w:t>
      </w:r>
      <w:r w:rsidR="003448DC" w:rsidRPr="00355C6D">
        <w:rPr>
          <w:rFonts w:ascii="Times New Roman" w:hAnsi="Times New Roman"/>
          <w:szCs w:val="24"/>
        </w:rPr>
        <w:t xml:space="preserve">ed </w:t>
      </w:r>
      <w:r>
        <w:rPr>
          <w:rFonts w:ascii="Times New Roman" w:hAnsi="Times New Roman"/>
          <w:szCs w:val="24"/>
        </w:rPr>
        <w:t xml:space="preserve">how the soldiers </w:t>
      </w:r>
      <w:r w:rsidR="003448DC" w:rsidRPr="00355C6D">
        <w:rPr>
          <w:rFonts w:ascii="Times New Roman" w:hAnsi="Times New Roman"/>
          <w:szCs w:val="24"/>
        </w:rPr>
        <w:t>th</w:t>
      </w:r>
      <w:r>
        <w:rPr>
          <w:rFonts w:ascii="Times New Roman" w:hAnsi="Times New Roman"/>
          <w:szCs w:val="24"/>
        </w:rPr>
        <w:t>reatened and raped</w:t>
      </w:r>
      <w:r w:rsidR="003448DC" w:rsidRPr="00355C6D">
        <w:rPr>
          <w:rFonts w:ascii="Times New Roman" w:hAnsi="Times New Roman"/>
          <w:szCs w:val="24"/>
        </w:rPr>
        <w:t xml:space="preserve"> </w:t>
      </w:r>
      <w:r w:rsidR="004D5736" w:rsidRPr="00355C6D">
        <w:rPr>
          <w:rFonts w:ascii="Times New Roman" w:hAnsi="Times New Roman"/>
          <w:szCs w:val="24"/>
        </w:rPr>
        <w:t>women and girls.</w:t>
      </w:r>
      <w:r w:rsidR="004D5736" w:rsidRPr="00355C6D">
        <w:rPr>
          <w:rStyle w:val="FootnoteReference"/>
          <w:rFonts w:ascii="Times New Roman" w:hAnsi="Times New Roman"/>
          <w:szCs w:val="24"/>
        </w:rPr>
        <w:footnoteReference w:id="968"/>
      </w:r>
      <w:r w:rsidR="004D5736" w:rsidRPr="00355C6D">
        <w:rPr>
          <w:rFonts w:ascii="Times New Roman" w:hAnsi="Times New Roman"/>
          <w:szCs w:val="24"/>
        </w:rPr>
        <w:t>Th</w:t>
      </w:r>
      <w:r w:rsidR="00C34B7F" w:rsidRPr="00355C6D">
        <w:rPr>
          <w:rFonts w:ascii="Times New Roman" w:hAnsi="Times New Roman"/>
          <w:szCs w:val="24"/>
        </w:rPr>
        <w:t>e</w:t>
      </w:r>
      <w:r>
        <w:rPr>
          <w:rFonts w:ascii="Times New Roman" w:hAnsi="Times New Roman"/>
          <w:szCs w:val="24"/>
        </w:rPr>
        <w:t xml:space="preserve"> LRVs supported the</w:t>
      </w:r>
      <w:r w:rsidR="004D5736" w:rsidRPr="00355C6D">
        <w:rPr>
          <w:rFonts w:ascii="Times New Roman" w:hAnsi="Times New Roman"/>
          <w:szCs w:val="24"/>
        </w:rPr>
        <w:t xml:space="preserve"> </w:t>
      </w:r>
      <w:r>
        <w:rPr>
          <w:rFonts w:ascii="Times New Roman" w:hAnsi="Times New Roman"/>
          <w:szCs w:val="24"/>
        </w:rPr>
        <w:t>statement</w:t>
      </w:r>
      <w:r w:rsidR="004D5736" w:rsidRPr="00355C6D">
        <w:rPr>
          <w:rFonts w:ascii="Times New Roman" w:hAnsi="Times New Roman"/>
          <w:szCs w:val="24"/>
        </w:rPr>
        <w:t>s</w:t>
      </w:r>
      <w:r>
        <w:rPr>
          <w:rFonts w:ascii="Times New Roman" w:hAnsi="Times New Roman"/>
          <w:szCs w:val="24"/>
        </w:rPr>
        <w:t xml:space="preserve"> with</w:t>
      </w:r>
      <w:r w:rsidR="004D5736" w:rsidRPr="00355C6D">
        <w:rPr>
          <w:rFonts w:ascii="Times New Roman" w:hAnsi="Times New Roman"/>
          <w:szCs w:val="24"/>
        </w:rPr>
        <w:t xml:space="preserve"> the testimonies and evidence of witnesses and victims</w:t>
      </w:r>
      <w:r w:rsidR="003448DC" w:rsidRPr="00355C6D">
        <w:rPr>
          <w:rFonts w:ascii="Times New Roman" w:hAnsi="Times New Roman"/>
          <w:szCs w:val="24"/>
        </w:rPr>
        <w:t>.</w:t>
      </w:r>
      <w:r w:rsidR="004D5736" w:rsidRPr="00355C6D">
        <w:rPr>
          <w:rStyle w:val="FootnoteReference"/>
          <w:rFonts w:ascii="Times New Roman" w:hAnsi="Times New Roman"/>
          <w:szCs w:val="24"/>
        </w:rPr>
        <w:footnoteReference w:id="969"/>
      </w:r>
      <w:r w:rsidR="004D5736" w:rsidRPr="00355C6D">
        <w:rPr>
          <w:rFonts w:ascii="Times New Roman" w:hAnsi="Times New Roman"/>
          <w:szCs w:val="24"/>
        </w:rPr>
        <w:t>The observations also contain</w:t>
      </w:r>
      <w:r w:rsidR="00C34B7F" w:rsidRPr="00355C6D">
        <w:rPr>
          <w:rFonts w:ascii="Times New Roman" w:hAnsi="Times New Roman"/>
          <w:szCs w:val="24"/>
        </w:rPr>
        <w:t>ed</w:t>
      </w:r>
      <w:r w:rsidR="004D5736" w:rsidRPr="00355C6D">
        <w:rPr>
          <w:rFonts w:ascii="Times New Roman" w:hAnsi="Times New Roman"/>
          <w:szCs w:val="24"/>
        </w:rPr>
        <w:t xml:space="preserve"> </w:t>
      </w:r>
      <w:r w:rsidR="00C34B7F" w:rsidRPr="00355C6D">
        <w:rPr>
          <w:rFonts w:ascii="Times New Roman" w:hAnsi="Times New Roman"/>
          <w:szCs w:val="24"/>
        </w:rPr>
        <w:t xml:space="preserve">a </w:t>
      </w:r>
      <w:r w:rsidR="004D5736" w:rsidRPr="00355C6D">
        <w:rPr>
          <w:rFonts w:ascii="Times New Roman" w:hAnsi="Times New Roman"/>
          <w:szCs w:val="24"/>
        </w:rPr>
        <w:t>list of commanders and soldiers supervising the child sol</w:t>
      </w:r>
      <w:r w:rsidR="003448DC" w:rsidRPr="00355C6D">
        <w:rPr>
          <w:rFonts w:ascii="Times New Roman" w:hAnsi="Times New Roman"/>
          <w:szCs w:val="24"/>
        </w:rPr>
        <w:t>diers(victims).</w:t>
      </w:r>
      <w:r w:rsidR="00C34B7F" w:rsidRPr="00355C6D">
        <w:rPr>
          <w:rFonts w:ascii="Times New Roman" w:hAnsi="Times New Roman"/>
          <w:szCs w:val="24"/>
        </w:rPr>
        <w:t xml:space="preserve"> </w:t>
      </w:r>
      <w:r w:rsidR="003448DC" w:rsidRPr="00355C6D">
        <w:rPr>
          <w:rFonts w:ascii="Times New Roman" w:hAnsi="Times New Roman"/>
          <w:szCs w:val="24"/>
        </w:rPr>
        <w:t>The victims submit</w:t>
      </w:r>
      <w:r w:rsidR="004D5736" w:rsidRPr="00355C6D">
        <w:rPr>
          <w:rFonts w:ascii="Times New Roman" w:hAnsi="Times New Roman"/>
          <w:szCs w:val="24"/>
        </w:rPr>
        <w:t>t</w:t>
      </w:r>
      <w:r w:rsidR="003448DC" w:rsidRPr="00355C6D">
        <w:rPr>
          <w:rFonts w:ascii="Times New Roman" w:hAnsi="Times New Roman"/>
          <w:szCs w:val="24"/>
        </w:rPr>
        <w:t xml:space="preserve">ed that </w:t>
      </w:r>
      <w:r w:rsidR="004D5736" w:rsidRPr="00355C6D">
        <w:rPr>
          <w:rFonts w:ascii="Times New Roman" w:hAnsi="Times New Roman"/>
          <w:szCs w:val="24"/>
        </w:rPr>
        <w:t>the convict ha</w:t>
      </w:r>
      <w:r w:rsidR="00C34B7F" w:rsidRPr="00355C6D">
        <w:rPr>
          <w:rFonts w:ascii="Times New Roman" w:hAnsi="Times New Roman"/>
          <w:szCs w:val="24"/>
        </w:rPr>
        <w:t xml:space="preserve">s a discriminatory motive </w:t>
      </w:r>
      <w:r w:rsidR="00F042BE">
        <w:rPr>
          <w:rFonts w:ascii="Times New Roman" w:hAnsi="Times New Roman"/>
          <w:szCs w:val="24"/>
        </w:rPr>
        <w:t>that instigated him to commit crimes which led to soldiers'</w:t>
      </w:r>
      <w:r w:rsidR="00C34B7F" w:rsidRPr="00355C6D">
        <w:rPr>
          <w:rFonts w:ascii="Times New Roman" w:hAnsi="Times New Roman"/>
          <w:szCs w:val="24"/>
        </w:rPr>
        <w:t xml:space="preserve"> sexually abuse female child soldi</w:t>
      </w:r>
      <w:r w:rsidR="004D5736" w:rsidRPr="00355C6D">
        <w:rPr>
          <w:rFonts w:ascii="Times New Roman" w:hAnsi="Times New Roman"/>
          <w:szCs w:val="24"/>
        </w:rPr>
        <w:t>ers.</w:t>
      </w:r>
      <w:r w:rsidR="004D5736" w:rsidRPr="00355C6D">
        <w:rPr>
          <w:rStyle w:val="FootnoteReference"/>
          <w:rFonts w:ascii="Times New Roman" w:hAnsi="Times New Roman"/>
          <w:szCs w:val="24"/>
        </w:rPr>
        <w:footnoteReference w:id="970"/>
      </w:r>
    </w:p>
    <w:p w14:paraId="3BDCF30D" w14:textId="77777777" w:rsidR="00992AF5" w:rsidRPr="00355C6D" w:rsidRDefault="00992AF5" w:rsidP="00355C6D">
      <w:pPr>
        <w:spacing w:line="480" w:lineRule="auto"/>
        <w:jc w:val="both"/>
        <w:rPr>
          <w:rFonts w:ascii="Times New Roman" w:hAnsi="Times New Roman"/>
          <w:szCs w:val="24"/>
        </w:rPr>
      </w:pPr>
      <w:r w:rsidRPr="00355C6D">
        <w:rPr>
          <w:rFonts w:ascii="Times New Roman" w:hAnsi="Times New Roman"/>
          <w:szCs w:val="24"/>
        </w:rPr>
        <w:t xml:space="preserve">The following </w:t>
      </w:r>
      <w:r w:rsidR="00D2300B" w:rsidRPr="00355C6D">
        <w:rPr>
          <w:rFonts w:ascii="Times New Roman" w:hAnsi="Times New Roman"/>
          <w:szCs w:val="24"/>
        </w:rPr>
        <w:t>shall describe the mitigation circumstances and the court’s ruling on it.</w:t>
      </w:r>
    </w:p>
    <w:p w14:paraId="26650254" w14:textId="7473D6F8" w:rsidR="004D5736" w:rsidRDefault="00C34B7F" w:rsidP="00364EC8">
      <w:pPr>
        <w:pStyle w:val="Heading4"/>
      </w:pPr>
      <w:bookmarkStart w:id="69" w:name="_Toc60235839"/>
      <w:r>
        <w:t>4.4</w:t>
      </w:r>
      <w:r w:rsidR="001027D5">
        <w:t>.2</w:t>
      </w:r>
      <w:r w:rsidR="00601006">
        <w:t>.4</w:t>
      </w:r>
      <w:r w:rsidR="004D5736" w:rsidRPr="00A41538">
        <w:t>.Mitigating Circumstances</w:t>
      </w:r>
      <w:bookmarkEnd w:id="69"/>
    </w:p>
    <w:p w14:paraId="1B0AE5FA" w14:textId="77777777" w:rsidR="00B0037B" w:rsidRPr="00B0037B" w:rsidRDefault="00B0037B" w:rsidP="00B0037B"/>
    <w:p w14:paraId="0C172ABC" w14:textId="77777777" w:rsidR="004D5736" w:rsidRPr="00A41538" w:rsidRDefault="004D5736" w:rsidP="00355C6D">
      <w:pPr>
        <w:jc w:val="center"/>
        <w:rPr>
          <w:rStyle w:val="Emphasis"/>
          <w:i w:val="0"/>
          <w:szCs w:val="24"/>
        </w:rPr>
      </w:pPr>
      <w:r w:rsidRPr="00A41538">
        <w:rPr>
          <w:rStyle w:val="QuoteChar"/>
          <w:szCs w:val="24"/>
        </w:rPr>
        <w:t>“</w:t>
      </w:r>
      <w:r w:rsidRPr="00355C6D">
        <w:rPr>
          <w:rStyle w:val="QuoteChar"/>
          <w:rFonts w:ascii="Times New Roman" w:hAnsi="Times New Roman"/>
          <w:szCs w:val="24"/>
        </w:rPr>
        <w:t xml:space="preserve">All these factors can only be considered on the basis of the submissions and evidence presented primarily by the Office of the Prosecutor, but  also on the basis of the Registry report specifically on the personal circumstances of the convicted  person </w:t>
      </w:r>
      <w:r w:rsidRPr="00355C6D">
        <w:rPr>
          <w:rStyle w:val="Emphasis"/>
          <w:rFonts w:ascii="Times New Roman" w:hAnsi="Times New Roman"/>
          <w:szCs w:val="24"/>
          <w:u w:val="single"/>
        </w:rPr>
        <w:lastRenderedPageBreak/>
        <w:t>and the victims’ submissions,</w:t>
      </w:r>
      <w:r w:rsidR="00C34B7F" w:rsidRPr="00355C6D">
        <w:rPr>
          <w:rStyle w:val="Emphasis"/>
          <w:rFonts w:ascii="Times New Roman" w:hAnsi="Times New Roman"/>
          <w:szCs w:val="24"/>
          <w:u w:val="single"/>
        </w:rPr>
        <w:t xml:space="preserve"> </w:t>
      </w:r>
      <w:r w:rsidRPr="00355C6D">
        <w:rPr>
          <w:rStyle w:val="Emphasis"/>
          <w:rFonts w:ascii="Times New Roman" w:hAnsi="Times New Roman"/>
          <w:szCs w:val="24"/>
          <w:u w:val="single"/>
        </w:rPr>
        <w:t>especially with regard  to the scope and extent of the harm they and their family members suffered</w:t>
      </w:r>
      <w:r w:rsidRPr="00A41538">
        <w:rPr>
          <w:rStyle w:val="Emphasis"/>
          <w:szCs w:val="24"/>
          <w:u w:val="single"/>
        </w:rPr>
        <w:t>.”</w:t>
      </w:r>
      <w:r w:rsidRPr="00A41538">
        <w:rPr>
          <w:rStyle w:val="FootnoteReference"/>
          <w:iCs/>
          <w:szCs w:val="24"/>
          <w:u w:val="single"/>
        </w:rPr>
        <w:footnoteReference w:id="971"/>
      </w:r>
    </w:p>
    <w:p w14:paraId="6FCF1615" w14:textId="25E3703F" w:rsidR="004D5736" w:rsidRPr="00AC09CA" w:rsidRDefault="00BE5D52" w:rsidP="00355C6D">
      <w:pPr>
        <w:spacing w:line="480" w:lineRule="auto"/>
        <w:jc w:val="both"/>
        <w:rPr>
          <w:rFonts w:ascii="Times New Roman" w:hAnsi="Times New Roman"/>
          <w:szCs w:val="24"/>
        </w:rPr>
      </w:pPr>
      <w:r>
        <w:rPr>
          <w:rFonts w:ascii="Times New Roman" w:hAnsi="Times New Roman"/>
          <w:szCs w:val="24"/>
        </w:rPr>
        <w:t xml:space="preserve">Mitigating </w:t>
      </w:r>
      <w:r w:rsidR="004D5736" w:rsidRPr="00AC09CA">
        <w:rPr>
          <w:rFonts w:ascii="Times New Roman" w:hAnsi="Times New Roman"/>
          <w:szCs w:val="24"/>
        </w:rPr>
        <w:t>circumstances are factors that could reduce the convict</w:t>
      </w:r>
      <w:r>
        <w:rPr>
          <w:rFonts w:ascii="Times New Roman" w:hAnsi="Times New Roman"/>
          <w:szCs w:val="24"/>
        </w:rPr>
        <w:t>ed</w:t>
      </w:r>
      <w:r w:rsidR="004D5736" w:rsidRPr="00AC09CA">
        <w:rPr>
          <w:rFonts w:ascii="Times New Roman" w:hAnsi="Times New Roman"/>
          <w:szCs w:val="24"/>
        </w:rPr>
        <w:t xml:space="preserve"> person’s term of imprisonment. It is more beneficial to the convict because these are facts or situations that do not relate to the defendant’s guilt, but these circumstances support </w:t>
      </w:r>
      <w:r>
        <w:rPr>
          <w:rFonts w:ascii="Times New Roman" w:hAnsi="Times New Roman"/>
          <w:szCs w:val="24"/>
        </w:rPr>
        <w:t xml:space="preserve">the </w:t>
      </w:r>
      <w:r w:rsidR="004D5736" w:rsidRPr="00AC09CA">
        <w:rPr>
          <w:rFonts w:ascii="Times New Roman" w:hAnsi="Times New Roman"/>
          <w:szCs w:val="24"/>
        </w:rPr>
        <w:t xml:space="preserve">leniency of </w:t>
      </w:r>
      <w:r>
        <w:rPr>
          <w:rFonts w:ascii="Times New Roman" w:hAnsi="Times New Roman"/>
          <w:szCs w:val="24"/>
        </w:rPr>
        <w:t xml:space="preserve">the </w:t>
      </w:r>
      <w:r w:rsidR="004D5736" w:rsidRPr="00AC09CA">
        <w:rPr>
          <w:rFonts w:ascii="Times New Roman" w:hAnsi="Times New Roman"/>
          <w:szCs w:val="24"/>
        </w:rPr>
        <w:t>sentence.</w:t>
      </w:r>
      <w:r>
        <w:rPr>
          <w:rStyle w:val="FootnoteReference"/>
          <w:rFonts w:ascii="Times New Roman" w:hAnsi="Times New Roman"/>
          <w:szCs w:val="24"/>
        </w:rPr>
        <w:footnoteReference w:id="972"/>
      </w:r>
      <w:r w:rsidR="004D5736" w:rsidRPr="00AC09CA">
        <w:rPr>
          <w:rFonts w:ascii="Times New Roman" w:hAnsi="Times New Roman"/>
          <w:szCs w:val="24"/>
        </w:rPr>
        <w:t xml:space="preserve"> For instance, the defendant’s cooperation with the ICC is perceived as a mitigating factor because it expedites the </w:t>
      </w:r>
      <w:r w:rsidR="00F042BE">
        <w:rPr>
          <w:rFonts w:ascii="Times New Roman" w:hAnsi="Times New Roman"/>
          <w:szCs w:val="24"/>
        </w:rPr>
        <w:t>ICC's work</w:t>
      </w:r>
      <w:r w:rsidR="004D5736" w:rsidRPr="00AC09CA">
        <w:rPr>
          <w:rFonts w:ascii="Times New Roman" w:hAnsi="Times New Roman"/>
          <w:szCs w:val="24"/>
        </w:rPr>
        <w:t>.</w:t>
      </w:r>
      <w:r w:rsidR="004D5736" w:rsidRPr="00AC09CA">
        <w:rPr>
          <w:rStyle w:val="FootnoteReference"/>
          <w:rFonts w:ascii="Times New Roman" w:hAnsi="Times New Roman"/>
          <w:szCs w:val="24"/>
        </w:rPr>
        <w:footnoteReference w:id="973"/>
      </w:r>
      <w:r w:rsidR="004D5736" w:rsidRPr="00AC09CA">
        <w:rPr>
          <w:rFonts w:ascii="Times New Roman" w:hAnsi="Times New Roman"/>
          <w:szCs w:val="24"/>
        </w:rPr>
        <w:t xml:space="preserve">Glickman cautions that the mitigation for surrender may undermine the </w:t>
      </w:r>
      <w:r w:rsidR="00F042BE">
        <w:rPr>
          <w:rFonts w:ascii="Times New Roman" w:hAnsi="Times New Roman"/>
          <w:szCs w:val="24"/>
        </w:rPr>
        <w:t>court's role</w:t>
      </w:r>
      <w:r w:rsidR="004D5736" w:rsidRPr="00AC09CA">
        <w:rPr>
          <w:rFonts w:ascii="Times New Roman" w:hAnsi="Times New Roman"/>
          <w:szCs w:val="24"/>
        </w:rPr>
        <w:t xml:space="preserve"> in fostering general deterrence, but rather, e</w:t>
      </w:r>
      <w:r>
        <w:rPr>
          <w:rFonts w:ascii="Times New Roman" w:hAnsi="Times New Roman"/>
          <w:szCs w:val="24"/>
        </w:rPr>
        <w:t>ntrench special deterrence. His submission</w:t>
      </w:r>
      <w:r w:rsidR="004D5736" w:rsidRPr="00AC09CA">
        <w:rPr>
          <w:rFonts w:ascii="Times New Roman" w:hAnsi="Times New Roman"/>
          <w:szCs w:val="24"/>
        </w:rPr>
        <w:t xml:space="preserve"> confirms that the </w:t>
      </w:r>
      <w:r w:rsidR="00F042BE">
        <w:rPr>
          <w:rFonts w:ascii="Times New Roman" w:hAnsi="Times New Roman"/>
          <w:szCs w:val="24"/>
        </w:rPr>
        <w:t>court's objective</w:t>
      </w:r>
      <w:r w:rsidR="004D5736" w:rsidRPr="00AC09CA">
        <w:rPr>
          <w:rFonts w:ascii="Times New Roman" w:hAnsi="Times New Roman"/>
          <w:szCs w:val="24"/>
        </w:rPr>
        <w:t xml:space="preserve"> is to deter future offenders from committin</w:t>
      </w:r>
      <w:r>
        <w:rPr>
          <w:rFonts w:ascii="Times New Roman" w:hAnsi="Times New Roman"/>
          <w:szCs w:val="24"/>
        </w:rPr>
        <w:t>g similar crimes, instead of special deterrence for</w:t>
      </w:r>
      <w:r w:rsidR="004D5736" w:rsidRPr="00AC09CA">
        <w:rPr>
          <w:rFonts w:ascii="Times New Roman" w:hAnsi="Times New Roman"/>
          <w:szCs w:val="24"/>
        </w:rPr>
        <w:t xml:space="preserve"> </w:t>
      </w:r>
      <w:r>
        <w:rPr>
          <w:rFonts w:ascii="Times New Roman" w:hAnsi="Times New Roman"/>
          <w:szCs w:val="24"/>
        </w:rPr>
        <w:t xml:space="preserve">a </w:t>
      </w:r>
      <w:r w:rsidR="004D5736" w:rsidRPr="00AC09CA">
        <w:rPr>
          <w:rFonts w:ascii="Times New Roman" w:hAnsi="Times New Roman"/>
          <w:szCs w:val="24"/>
        </w:rPr>
        <w:t>convict.</w:t>
      </w:r>
      <w:r w:rsidR="005C7182">
        <w:rPr>
          <w:rStyle w:val="FootnoteReference"/>
          <w:rFonts w:ascii="Times New Roman" w:hAnsi="Times New Roman"/>
          <w:szCs w:val="24"/>
        </w:rPr>
        <w:footnoteReference w:id="974"/>
      </w:r>
      <w:r w:rsidR="00992AF5" w:rsidRPr="00AC09CA">
        <w:rPr>
          <w:rFonts w:ascii="Times New Roman" w:hAnsi="Times New Roman"/>
          <w:szCs w:val="24"/>
        </w:rPr>
        <w:t xml:space="preserve"> </w:t>
      </w:r>
      <w:r>
        <w:rPr>
          <w:rFonts w:ascii="Times New Roman" w:hAnsi="Times New Roman"/>
          <w:szCs w:val="24"/>
        </w:rPr>
        <w:t>It appears t</w:t>
      </w:r>
      <w:r w:rsidR="00992AF5" w:rsidRPr="00AC09CA">
        <w:rPr>
          <w:rFonts w:ascii="Times New Roman" w:hAnsi="Times New Roman"/>
          <w:szCs w:val="24"/>
        </w:rPr>
        <w:t>he ICC is not under any obligation to consider local practices in the determination of sentences.</w:t>
      </w:r>
    </w:p>
    <w:p w14:paraId="768F0EC6" w14:textId="3528217C" w:rsidR="004D5736" w:rsidRPr="00AC09CA" w:rsidRDefault="004D5736" w:rsidP="00355C6D">
      <w:pPr>
        <w:spacing w:line="480" w:lineRule="auto"/>
        <w:jc w:val="both"/>
        <w:rPr>
          <w:rFonts w:ascii="Times New Roman" w:hAnsi="Times New Roman"/>
          <w:szCs w:val="24"/>
        </w:rPr>
      </w:pPr>
      <w:r w:rsidRPr="00AC09CA">
        <w:rPr>
          <w:rFonts w:ascii="Times New Roman" w:hAnsi="Times New Roman"/>
          <w:szCs w:val="24"/>
        </w:rPr>
        <w:t xml:space="preserve">The </w:t>
      </w:r>
      <w:r w:rsidR="00596548">
        <w:rPr>
          <w:rFonts w:ascii="Times New Roman" w:hAnsi="Times New Roman"/>
          <w:szCs w:val="24"/>
        </w:rPr>
        <w:t xml:space="preserve">convict’s </w:t>
      </w:r>
      <w:r w:rsidRPr="00AC09CA">
        <w:rPr>
          <w:rFonts w:ascii="Times New Roman" w:hAnsi="Times New Roman"/>
          <w:szCs w:val="24"/>
        </w:rPr>
        <w:t>expression of remorse, acknowledg</w:t>
      </w:r>
      <w:r w:rsidR="00C70A13">
        <w:rPr>
          <w:rFonts w:ascii="Times New Roman" w:hAnsi="Times New Roman"/>
          <w:szCs w:val="24"/>
        </w:rPr>
        <w:t>ement</w:t>
      </w:r>
      <w:r w:rsidRPr="00AC09CA">
        <w:rPr>
          <w:rFonts w:ascii="Times New Roman" w:hAnsi="Times New Roman"/>
          <w:szCs w:val="24"/>
        </w:rPr>
        <w:t xml:space="preserve"> of the offence</w:t>
      </w:r>
      <w:r w:rsidR="00F042BE">
        <w:rPr>
          <w:rFonts w:ascii="Times New Roman" w:hAnsi="Times New Roman"/>
          <w:szCs w:val="24"/>
        </w:rPr>
        <w:t>, and the effect of guilt admission</w:t>
      </w:r>
      <w:r w:rsidRPr="00AC09CA">
        <w:rPr>
          <w:rFonts w:ascii="Times New Roman" w:hAnsi="Times New Roman"/>
          <w:szCs w:val="24"/>
        </w:rPr>
        <w:t xml:space="preserve"> are the </w:t>
      </w:r>
      <w:r w:rsidR="00C70A13">
        <w:rPr>
          <w:rFonts w:ascii="Times New Roman" w:hAnsi="Times New Roman"/>
          <w:szCs w:val="24"/>
        </w:rPr>
        <w:t>crucial</w:t>
      </w:r>
      <w:r w:rsidRPr="00AC09CA">
        <w:rPr>
          <w:rFonts w:ascii="Times New Roman" w:hAnsi="Times New Roman"/>
          <w:szCs w:val="24"/>
        </w:rPr>
        <w:t xml:space="preserve"> factors to be considered.</w:t>
      </w:r>
      <w:r w:rsidR="00992AF5" w:rsidRPr="00AC09CA">
        <w:rPr>
          <w:rStyle w:val="FootnoteReference"/>
          <w:rFonts w:ascii="Times New Roman" w:hAnsi="Times New Roman"/>
          <w:szCs w:val="24"/>
        </w:rPr>
        <w:footnoteReference w:id="975"/>
      </w:r>
      <w:r w:rsidRPr="00AC09CA">
        <w:rPr>
          <w:rFonts w:ascii="Times New Roman" w:hAnsi="Times New Roman"/>
          <w:szCs w:val="24"/>
        </w:rPr>
        <w:t xml:space="preserve"> Arguably, the convict’s expression of remorse, </w:t>
      </w:r>
      <w:r w:rsidR="00C70A13">
        <w:rPr>
          <w:rFonts w:ascii="Times New Roman" w:hAnsi="Times New Roman"/>
          <w:szCs w:val="24"/>
        </w:rPr>
        <w:t>recognition</w:t>
      </w:r>
      <w:r w:rsidRPr="00AC09CA">
        <w:rPr>
          <w:rFonts w:ascii="Times New Roman" w:hAnsi="Times New Roman"/>
          <w:szCs w:val="24"/>
        </w:rPr>
        <w:t xml:space="preserve"> of the </w:t>
      </w:r>
      <w:r w:rsidR="00C70A13">
        <w:rPr>
          <w:rFonts w:ascii="Times New Roman" w:hAnsi="Times New Roman"/>
          <w:szCs w:val="24"/>
        </w:rPr>
        <w:t>crim</w:t>
      </w:r>
      <w:r w:rsidRPr="00AC09CA">
        <w:rPr>
          <w:rFonts w:ascii="Times New Roman" w:hAnsi="Times New Roman"/>
          <w:szCs w:val="24"/>
        </w:rPr>
        <w:t>e, admission of guilt and apology can promote restorative process, provided the victims ac</w:t>
      </w:r>
      <w:r w:rsidR="00B0037B">
        <w:rPr>
          <w:rFonts w:ascii="Times New Roman" w:hAnsi="Times New Roman"/>
          <w:szCs w:val="24"/>
        </w:rPr>
        <w:t>knowledged</w:t>
      </w:r>
      <w:r w:rsidRPr="00AC09CA">
        <w:rPr>
          <w:rFonts w:ascii="Times New Roman" w:hAnsi="Times New Roman"/>
          <w:szCs w:val="24"/>
        </w:rPr>
        <w:t xml:space="preserve"> the apologies and </w:t>
      </w:r>
      <w:r w:rsidR="00596548">
        <w:rPr>
          <w:rFonts w:ascii="Times New Roman" w:hAnsi="Times New Roman"/>
          <w:szCs w:val="24"/>
        </w:rPr>
        <w:t>articulation</w:t>
      </w:r>
      <w:r w:rsidR="00C70A13">
        <w:rPr>
          <w:rFonts w:ascii="Times New Roman" w:hAnsi="Times New Roman"/>
          <w:szCs w:val="24"/>
        </w:rPr>
        <w:t xml:space="preserve"> of remorse</w:t>
      </w:r>
      <w:r w:rsidR="00596548">
        <w:rPr>
          <w:rFonts w:ascii="Times New Roman" w:hAnsi="Times New Roman"/>
          <w:szCs w:val="24"/>
        </w:rPr>
        <w:t xml:space="preserve"> which</w:t>
      </w:r>
      <w:r w:rsidR="00C70A13">
        <w:rPr>
          <w:rFonts w:ascii="Times New Roman" w:hAnsi="Times New Roman"/>
          <w:szCs w:val="24"/>
        </w:rPr>
        <w:t xml:space="preserve"> may accelerate the healing process of the victims and repair</w:t>
      </w:r>
      <w:r w:rsidRPr="00AC09CA">
        <w:rPr>
          <w:rFonts w:ascii="Times New Roman" w:hAnsi="Times New Roman"/>
          <w:szCs w:val="24"/>
        </w:rPr>
        <w:t xml:space="preserve"> the relationship between the victims and the offender/convict. An apology by the </w:t>
      </w:r>
      <w:r w:rsidRPr="00AC09CA">
        <w:rPr>
          <w:rFonts w:ascii="Times New Roman" w:hAnsi="Times New Roman"/>
          <w:szCs w:val="24"/>
        </w:rPr>
        <w:lastRenderedPageBreak/>
        <w:t>offender/convict demonstrates the expression of responsibility and acknowledg</w:t>
      </w:r>
      <w:r w:rsidR="00C70A13">
        <w:rPr>
          <w:rFonts w:ascii="Times New Roman" w:hAnsi="Times New Roman"/>
          <w:szCs w:val="24"/>
        </w:rPr>
        <w:t>e</w:t>
      </w:r>
      <w:r w:rsidRPr="00AC09CA">
        <w:rPr>
          <w:rFonts w:ascii="Times New Roman" w:hAnsi="Times New Roman"/>
          <w:szCs w:val="24"/>
        </w:rPr>
        <w:t>ment of the harm done.</w:t>
      </w:r>
    </w:p>
    <w:p w14:paraId="6936B88A" w14:textId="1B345BFE" w:rsidR="001B05AC" w:rsidRPr="00C70A13" w:rsidRDefault="001B05AC" w:rsidP="00355C6D">
      <w:pPr>
        <w:spacing w:line="480" w:lineRule="auto"/>
        <w:jc w:val="both"/>
        <w:rPr>
          <w:rFonts w:ascii="Times New Roman" w:hAnsi="Times New Roman"/>
          <w:szCs w:val="24"/>
        </w:rPr>
      </w:pPr>
      <w:r w:rsidRPr="00C70A13">
        <w:rPr>
          <w:rFonts w:ascii="Times New Roman" w:hAnsi="Times New Roman"/>
          <w:szCs w:val="24"/>
        </w:rPr>
        <w:t>Mitigating factors is very significant because if considered, it may decrease the term of sentence. Perhaps, the most se</w:t>
      </w:r>
      <w:r w:rsidR="00113D6B">
        <w:rPr>
          <w:rFonts w:ascii="Times New Roman" w:hAnsi="Times New Roman"/>
          <w:szCs w:val="24"/>
        </w:rPr>
        <w:t>vere</w:t>
      </w:r>
      <w:r w:rsidRPr="00C70A13">
        <w:rPr>
          <w:rFonts w:ascii="Times New Roman" w:hAnsi="Times New Roman"/>
          <w:szCs w:val="24"/>
        </w:rPr>
        <w:t xml:space="preserve"> disadvantage of the rule on mitigating circumstances is that it requires proof- </w:t>
      </w:r>
      <w:r w:rsidR="00113D6B">
        <w:rPr>
          <w:rFonts w:ascii="Times New Roman" w:hAnsi="Times New Roman"/>
          <w:szCs w:val="24"/>
        </w:rPr>
        <w:t xml:space="preserve">a </w:t>
      </w:r>
      <w:r w:rsidRPr="00C70A13">
        <w:rPr>
          <w:rFonts w:ascii="Times New Roman" w:hAnsi="Times New Roman"/>
          <w:szCs w:val="24"/>
        </w:rPr>
        <w:t>balance of probabilities- as opposed to the aggravating factors. Balance of probabilities is also known as preponderance of the evidence. It does not require a</w:t>
      </w:r>
      <w:r w:rsidR="00113D6B">
        <w:rPr>
          <w:rFonts w:ascii="Times New Roman" w:hAnsi="Times New Roman"/>
          <w:szCs w:val="24"/>
        </w:rPr>
        <w:t xml:space="preserve"> piece of overwhelming evidence—a</w:t>
      </w:r>
      <w:r w:rsidRPr="00C70A13">
        <w:rPr>
          <w:rFonts w:ascii="Times New Roman" w:hAnsi="Times New Roman"/>
          <w:szCs w:val="24"/>
        </w:rPr>
        <w:t xml:space="preserve"> reflection of what is applicable in the jurisprudence of the ICTY.</w:t>
      </w:r>
      <w:r w:rsidRPr="00C70A13">
        <w:rPr>
          <w:rStyle w:val="FootnoteReference"/>
          <w:rFonts w:ascii="Times New Roman" w:hAnsi="Times New Roman"/>
          <w:szCs w:val="24"/>
        </w:rPr>
        <w:footnoteReference w:id="976"/>
      </w:r>
      <w:r w:rsidRPr="00C70A13">
        <w:rPr>
          <w:rFonts w:ascii="Times New Roman" w:hAnsi="Times New Roman"/>
          <w:szCs w:val="24"/>
        </w:rPr>
        <w:t xml:space="preserve"> Hence, the</w:t>
      </w:r>
      <w:r w:rsidR="00113D6B">
        <w:rPr>
          <w:rFonts w:ascii="Times New Roman" w:hAnsi="Times New Roman"/>
          <w:szCs w:val="24"/>
        </w:rPr>
        <w:t xml:space="preserve"> threshold is lower for </w:t>
      </w:r>
      <w:r w:rsidR="006B7795">
        <w:rPr>
          <w:rFonts w:ascii="Times New Roman" w:hAnsi="Times New Roman"/>
          <w:szCs w:val="24"/>
        </w:rPr>
        <w:t xml:space="preserve">the </w:t>
      </w:r>
      <w:r w:rsidR="00113D6B">
        <w:rPr>
          <w:rFonts w:ascii="Times New Roman" w:hAnsi="Times New Roman"/>
          <w:szCs w:val="24"/>
        </w:rPr>
        <w:t>balance</w:t>
      </w:r>
      <w:r w:rsidR="006B7795">
        <w:rPr>
          <w:rFonts w:ascii="Times New Roman" w:hAnsi="Times New Roman"/>
          <w:szCs w:val="24"/>
        </w:rPr>
        <w:t xml:space="preserve"> of probabilities. For instance, in the Lubanga case, the implication of mitigating factors is that it resulted in a </w:t>
      </w:r>
      <w:r w:rsidRPr="00C70A13">
        <w:rPr>
          <w:rFonts w:ascii="Times New Roman" w:hAnsi="Times New Roman"/>
          <w:szCs w:val="24"/>
        </w:rPr>
        <w:t>lenient sentence of 12 year</w:t>
      </w:r>
      <w:r w:rsidR="006B7795">
        <w:rPr>
          <w:rFonts w:ascii="Times New Roman" w:hAnsi="Times New Roman"/>
          <w:szCs w:val="24"/>
        </w:rPr>
        <w:t>s imprisonment for the convict.</w:t>
      </w:r>
      <w:r w:rsidRPr="00C70A13">
        <w:rPr>
          <w:rFonts w:ascii="Times New Roman" w:hAnsi="Times New Roman"/>
          <w:szCs w:val="24"/>
        </w:rPr>
        <w:t xml:space="preserve"> As a result of the lower threshold for mitigating circumstances, one may deduce that from the ICC’s Statute and RPE, the </w:t>
      </w:r>
      <w:r w:rsidR="00F042BE">
        <w:rPr>
          <w:rFonts w:ascii="Times New Roman" w:hAnsi="Times New Roman"/>
          <w:szCs w:val="24"/>
        </w:rPr>
        <w:t>ICC rules' intention</w:t>
      </w:r>
      <w:r w:rsidRPr="00C70A13">
        <w:rPr>
          <w:rFonts w:ascii="Times New Roman" w:hAnsi="Times New Roman"/>
          <w:szCs w:val="24"/>
        </w:rPr>
        <w:t xml:space="preserve"> makes it easier for mitigating circumstances to lessen a sentence</w:t>
      </w:r>
      <w:r w:rsidR="002603E0">
        <w:rPr>
          <w:rFonts w:ascii="Times New Roman" w:hAnsi="Times New Roman"/>
          <w:szCs w:val="24"/>
        </w:rPr>
        <w:t>. In comparison,</w:t>
      </w:r>
      <w:r w:rsidRPr="00C70A13">
        <w:rPr>
          <w:rFonts w:ascii="Times New Roman" w:hAnsi="Times New Roman"/>
          <w:szCs w:val="24"/>
        </w:rPr>
        <w:t xml:space="preserve"> the aggravating circumstances require a higher threshold to get an increased sentence.</w:t>
      </w:r>
    </w:p>
    <w:p w14:paraId="735274A6" w14:textId="4E60B82F" w:rsidR="004D5736" w:rsidRPr="002603E0" w:rsidRDefault="002603E0" w:rsidP="00355C6D">
      <w:pPr>
        <w:spacing w:line="480" w:lineRule="auto"/>
        <w:jc w:val="both"/>
        <w:rPr>
          <w:rFonts w:ascii="Times New Roman" w:hAnsi="Times New Roman"/>
          <w:szCs w:val="24"/>
        </w:rPr>
      </w:pPr>
      <w:r>
        <w:rPr>
          <w:rFonts w:ascii="Times New Roman" w:hAnsi="Times New Roman"/>
          <w:szCs w:val="24"/>
        </w:rPr>
        <w:t>T</w:t>
      </w:r>
      <w:r w:rsidR="004D5736" w:rsidRPr="002603E0">
        <w:rPr>
          <w:rFonts w:ascii="Times New Roman" w:hAnsi="Times New Roman"/>
          <w:szCs w:val="24"/>
        </w:rPr>
        <w:t>he LRVs submit</w:t>
      </w:r>
      <w:r w:rsidR="00D2300B" w:rsidRPr="002603E0">
        <w:rPr>
          <w:rFonts w:ascii="Times New Roman" w:hAnsi="Times New Roman"/>
          <w:szCs w:val="24"/>
        </w:rPr>
        <w:t>ted</w:t>
      </w:r>
      <w:r w:rsidR="00B15FB7">
        <w:rPr>
          <w:rFonts w:ascii="Times New Roman" w:hAnsi="Times New Roman"/>
          <w:szCs w:val="24"/>
        </w:rPr>
        <w:t xml:space="preserve"> that there was</w:t>
      </w:r>
      <w:r>
        <w:rPr>
          <w:rFonts w:ascii="Times New Roman" w:hAnsi="Times New Roman"/>
          <w:szCs w:val="24"/>
        </w:rPr>
        <w:t xml:space="preserve"> no</w:t>
      </w:r>
      <w:r w:rsidR="004D5736" w:rsidRPr="002603E0">
        <w:rPr>
          <w:rFonts w:ascii="Times New Roman" w:hAnsi="Times New Roman"/>
          <w:szCs w:val="24"/>
        </w:rPr>
        <w:t xml:space="preserve"> circumstance on the </w:t>
      </w:r>
      <w:r w:rsidR="00F042BE">
        <w:rPr>
          <w:rFonts w:ascii="Times New Roman" w:hAnsi="Times New Roman"/>
          <w:szCs w:val="24"/>
        </w:rPr>
        <w:t>convicted person who</w:t>
      </w:r>
      <w:r w:rsidR="004D5736" w:rsidRPr="002603E0">
        <w:rPr>
          <w:rFonts w:ascii="Times New Roman" w:hAnsi="Times New Roman"/>
          <w:szCs w:val="24"/>
        </w:rPr>
        <w:t xml:space="preserve"> could exonerate him from his criminal responsibility.</w:t>
      </w:r>
      <w:r w:rsidR="004D5736" w:rsidRPr="002603E0">
        <w:rPr>
          <w:rStyle w:val="FootnoteReference"/>
          <w:rFonts w:ascii="Times New Roman" w:hAnsi="Times New Roman"/>
          <w:szCs w:val="24"/>
        </w:rPr>
        <w:footnoteReference w:id="977"/>
      </w:r>
      <w:r w:rsidR="00D2300B" w:rsidRPr="002603E0">
        <w:rPr>
          <w:rFonts w:ascii="Times New Roman" w:hAnsi="Times New Roman"/>
          <w:szCs w:val="24"/>
        </w:rPr>
        <w:t xml:space="preserve"> </w:t>
      </w:r>
      <w:r w:rsidR="004D5736" w:rsidRPr="002603E0">
        <w:rPr>
          <w:rFonts w:ascii="Times New Roman" w:hAnsi="Times New Roman"/>
          <w:szCs w:val="24"/>
        </w:rPr>
        <w:t>These taken together, the LRVs prayed the Chamber to retain the aggravating circumstances in the c</w:t>
      </w:r>
      <w:r w:rsidR="00F042BE">
        <w:rPr>
          <w:rFonts w:ascii="Times New Roman" w:hAnsi="Times New Roman"/>
          <w:szCs w:val="24"/>
        </w:rPr>
        <w:t>onvicted person's case</w:t>
      </w:r>
      <w:r w:rsidR="004D5736" w:rsidRPr="002603E0">
        <w:rPr>
          <w:rFonts w:ascii="Times New Roman" w:hAnsi="Times New Roman"/>
          <w:szCs w:val="24"/>
        </w:rPr>
        <w:t>.</w:t>
      </w:r>
    </w:p>
    <w:p w14:paraId="3D52016F" w14:textId="1F1FF8F9" w:rsidR="001B05AC" w:rsidRPr="002603E0" w:rsidRDefault="001B05AC" w:rsidP="00355C6D">
      <w:pPr>
        <w:spacing w:line="480" w:lineRule="auto"/>
        <w:jc w:val="both"/>
        <w:rPr>
          <w:rFonts w:ascii="Times New Roman" w:hAnsi="Times New Roman"/>
          <w:szCs w:val="24"/>
        </w:rPr>
      </w:pPr>
      <w:r w:rsidRPr="002603E0">
        <w:rPr>
          <w:rFonts w:ascii="Times New Roman" w:hAnsi="Times New Roman"/>
          <w:szCs w:val="24"/>
        </w:rPr>
        <w:lastRenderedPageBreak/>
        <w:t>The prosecution and the legal representatives (V01 an</w:t>
      </w:r>
      <w:r w:rsidR="009B641F">
        <w:rPr>
          <w:rFonts w:ascii="Times New Roman" w:hAnsi="Times New Roman"/>
          <w:szCs w:val="24"/>
        </w:rPr>
        <w:t>d</w:t>
      </w:r>
      <w:r w:rsidRPr="002603E0">
        <w:rPr>
          <w:rFonts w:ascii="Times New Roman" w:hAnsi="Times New Roman"/>
          <w:szCs w:val="24"/>
        </w:rPr>
        <w:t xml:space="preserve"> V02) note</w:t>
      </w:r>
      <w:r w:rsidR="009B641F">
        <w:rPr>
          <w:rFonts w:ascii="Times New Roman" w:hAnsi="Times New Roman"/>
          <w:szCs w:val="24"/>
        </w:rPr>
        <w:t>d</w:t>
      </w:r>
      <w:r w:rsidRPr="002603E0">
        <w:rPr>
          <w:rFonts w:ascii="Times New Roman" w:hAnsi="Times New Roman"/>
          <w:szCs w:val="24"/>
        </w:rPr>
        <w:t xml:space="preserve"> no mitigating circumstances in the case.</w:t>
      </w:r>
      <w:r w:rsidRPr="002603E0">
        <w:rPr>
          <w:rStyle w:val="FootnoteReference"/>
          <w:rFonts w:ascii="Times New Roman" w:hAnsi="Times New Roman"/>
          <w:szCs w:val="24"/>
        </w:rPr>
        <w:footnoteReference w:id="978"/>
      </w:r>
      <w:r w:rsidRPr="002603E0">
        <w:rPr>
          <w:rFonts w:ascii="Times New Roman" w:hAnsi="Times New Roman"/>
          <w:szCs w:val="24"/>
        </w:rPr>
        <w:t xml:space="preserve"> On the other hand, the defence </w:t>
      </w:r>
      <w:r w:rsidR="00596548">
        <w:rPr>
          <w:rFonts w:ascii="Times New Roman" w:hAnsi="Times New Roman"/>
          <w:szCs w:val="24"/>
        </w:rPr>
        <w:t xml:space="preserve">tendered </w:t>
      </w:r>
      <w:r w:rsidR="009B641F">
        <w:rPr>
          <w:rFonts w:ascii="Times New Roman" w:hAnsi="Times New Roman"/>
          <w:szCs w:val="24"/>
        </w:rPr>
        <w:t>several</w:t>
      </w:r>
      <w:r w:rsidRPr="002603E0">
        <w:rPr>
          <w:rFonts w:ascii="Times New Roman" w:hAnsi="Times New Roman"/>
          <w:szCs w:val="24"/>
        </w:rPr>
        <w:t xml:space="preserve"> </w:t>
      </w:r>
      <w:r w:rsidR="009B641F">
        <w:rPr>
          <w:rFonts w:ascii="Times New Roman" w:hAnsi="Times New Roman"/>
          <w:szCs w:val="24"/>
        </w:rPr>
        <w:t>extenu</w:t>
      </w:r>
      <w:r w:rsidRPr="002603E0">
        <w:rPr>
          <w:rFonts w:ascii="Times New Roman" w:hAnsi="Times New Roman"/>
          <w:szCs w:val="24"/>
        </w:rPr>
        <w:t>ating circumstances.</w:t>
      </w:r>
      <w:r w:rsidRPr="002603E0">
        <w:rPr>
          <w:rStyle w:val="FootnoteReference"/>
          <w:rFonts w:ascii="Times New Roman" w:hAnsi="Times New Roman"/>
          <w:szCs w:val="24"/>
        </w:rPr>
        <w:footnoteReference w:id="979"/>
      </w:r>
      <w:r w:rsidR="009B641F">
        <w:rPr>
          <w:rFonts w:ascii="Times New Roman" w:hAnsi="Times New Roman"/>
          <w:szCs w:val="24"/>
        </w:rPr>
        <w:t xml:space="preserve">The </w:t>
      </w:r>
      <w:r w:rsidR="00596548">
        <w:rPr>
          <w:rFonts w:ascii="Times New Roman" w:hAnsi="Times New Roman"/>
          <w:szCs w:val="24"/>
        </w:rPr>
        <w:t>factors</w:t>
      </w:r>
      <w:r w:rsidRPr="002603E0">
        <w:rPr>
          <w:rFonts w:ascii="Times New Roman" w:hAnsi="Times New Roman"/>
          <w:szCs w:val="24"/>
        </w:rPr>
        <w:t xml:space="preserve"> include</w:t>
      </w:r>
      <w:r w:rsidR="009B641F">
        <w:rPr>
          <w:rFonts w:ascii="Times New Roman" w:hAnsi="Times New Roman"/>
          <w:szCs w:val="24"/>
        </w:rPr>
        <w:t>d</w:t>
      </w:r>
      <w:r w:rsidRPr="002603E0">
        <w:rPr>
          <w:rFonts w:ascii="Times New Roman" w:hAnsi="Times New Roman"/>
          <w:szCs w:val="24"/>
        </w:rPr>
        <w:t xml:space="preserve"> necessity, peaceful motives and demobilisation orders, cooperation with the Court.</w:t>
      </w:r>
      <w:r w:rsidRPr="002603E0">
        <w:rPr>
          <w:rStyle w:val="FootnoteReference"/>
          <w:rFonts w:ascii="Times New Roman" w:hAnsi="Times New Roman"/>
          <w:szCs w:val="24"/>
        </w:rPr>
        <w:footnoteReference w:id="980"/>
      </w:r>
      <w:r w:rsidRPr="002603E0">
        <w:rPr>
          <w:rFonts w:ascii="Times New Roman" w:hAnsi="Times New Roman"/>
          <w:szCs w:val="24"/>
        </w:rPr>
        <w:t xml:space="preserve">  </w:t>
      </w:r>
    </w:p>
    <w:p w14:paraId="0E0DE65B" w14:textId="5F225AC3" w:rsidR="004D5736" w:rsidRPr="002603E0" w:rsidRDefault="00D2300B" w:rsidP="00355C6D">
      <w:pPr>
        <w:spacing w:line="480" w:lineRule="auto"/>
        <w:jc w:val="both"/>
        <w:rPr>
          <w:rFonts w:ascii="Times New Roman" w:hAnsi="Times New Roman"/>
          <w:szCs w:val="24"/>
        </w:rPr>
      </w:pPr>
      <w:r w:rsidRPr="002603E0">
        <w:rPr>
          <w:rFonts w:ascii="Times New Roman" w:hAnsi="Times New Roman"/>
          <w:szCs w:val="24"/>
        </w:rPr>
        <w:t>In addressing the mitigating circumstances,</w:t>
      </w:r>
      <w:r w:rsidR="009B641F">
        <w:rPr>
          <w:rFonts w:ascii="Times New Roman" w:hAnsi="Times New Roman"/>
          <w:szCs w:val="24"/>
        </w:rPr>
        <w:t xml:space="preserve"> </w:t>
      </w:r>
      <w:r w:rsidRPr="002603E0">
        <w:rPr>
          <w:rFonts w:ascii="Times New Roman" w:hAnsi="Times New Roman"/>
          <w:szCs w:val="24"/>
        </w:rPr>
        <w:t>the defence</w:t>
      </w:r>
      <w:r w:rsidR="004D5736" w:rsidRPr="002603E0">
        <w:rPr>
          <w:rFonts w:ascii="Times New Roman" w:hAnsi="Times New Roman"/>
          <w:szCs w:val="24"/>
        </w:rPr>
        <w:t xml:space="preserve"> request</w:t>
      </w:r>
      <w:r w:rsidRPr="002603E0">
        <w:rPr>
          <w:rFonts w:ascii="Times New Roman" w:hAnsi="Times New Roman"/>
          <w:szCs w:val="24"/>
        </w:rPr>
        <w:t>ed the Chamber to deduct</w:t>
      </w:r>
      <w:r w:rsidR="004D5736" w:rsidRPr="002603E0">
        <w:rPr>
          <w:rFonts w:ascii="Times New Roman" w:hAnsi="Times New Roman"/>
          <w:szCs w:val="24"/>
        </w:rPr>
        <w:t xml:space="preserve"> the period of Mr Lubanga’s domestic detention from his total sentence </w:t>
      </w:r>
      <w:r w:rsidR="009B641F">
        <w:rPr>
          <w:rFonts w:ascii="Times New Roman" w:hAnsi="Times New Roman"/>
          <w:szCs w:val="24"/>
        </w:rPr>
        <w:t>because</w:t>
      </w:r>
      <w:r w:rsidR="004D5736" w:rsidRPr="002603E0">
        <w:rPr>
          <w:rFonts w:ascii="Times New Roman" w:hAnsi="Times New Roman"/>
          <w:szCs w:val="24"/>
        </w:rPr>
        <w:t xml:space="preserve"> his initial </w:t>
      </w:r>
      <w:r w:rsidR="00596548">
        <w:rPr>
          <w:rFonts w:ascii="Times New Roman" w:hAnsi="Times New Roman"/>
          <w:szCs w:val="24"/>
        </w:rPr>
        <w:t>incarceration</w:t>
      </w:r>
      <w:r w:rsidR="004D5736" w:rsidRPr="002603E0">
        <w:rPr>
          <w:rFonts w:ascii="Times New Roman" w:hAnsi="Times New Roman"/>
          <w:szCs w:val="24"/>
        </w:rPr>
        <w:t xml:space="preserve"> by the DRC authorities between 2003 and 2006 resulted from the same crimes.</w:t>
      </w:r>
      <w:r w:rsidRPr="002603E0">
        <w:rPr>
          <w:rStyle w:val="FootnoteReference"/>
          <w:rFonts w:ascii="Times New Roman" w:hAnsi="Times New Roman"/>
          <w:szCs w:val="24"/>
        </w:rPr>
        <w:footnoteReference w:id="981"/>
      </w:r>
    </w:p>
    <w:p w14:paraId="40C6DD9B" w14:textId="7FC721A4" w:rsidR="004D5736" w:rsidRPr="00A04A07" w:rsidRDefault="009B641F" w:rsidP="00364EC8">
      <w:pPr>
        <w:pStyle w:val="Heading4"/>
      </w:pPr>
      <w:bookmarkStart w:id="70" w:name="_Toc60235840"/>
      <w:r>
        <w:t>4.4</w:t>
      </w:r>
      <w:r w:rsidR="001027D5">
        <w:t>.2</w:t>
      </w:r>
      <w:r w:rsidR="00165907">
        <w:t>.5</w:t>
      </w:r>
      <w:r w:rsidR="004D5736" w:rsidRPr="00A41538">
        <w:t>.</w:t>
      </w:r>
      <w:r w:rsidR="004D5736" w:rsidRPr="00A04A07">
        <w:t>The Chamber’s response to the aggravating circumstances</w:t>
      </w:r>
      <w:bookmarkEnd w:id="70"/>
    </w:p>
    <w:p w14:paraId="28306D1C" w14:textId="7AD7334E" w:rsidR="004D5736" w:rsidRPr="00A04A07" w:rsidRDefault="004D5736" w:rsidP="00355C6D">
      <w:pPr>
        <w:spacing w:line="480" w:lineRule="auto"/>
        <w:jc w:val="both"/>
        <w:rPr>
          <w:rFonts w:ascii="Times New Roman" w:hAnsi="Times New Roman"/>
          <w:b/>
          <w:szCs w:val="24"/>
        </w:rPr>
      </w:pPr>
      <w:r w:rsidRPr="00A04A07">
        <w:rPr>
          <w:rFonts w:ascii="Times New Roman" w:hAnsi="Times New Roman"/>
          <w:szCs w:val="24"/>
        </w:rPr>
        <w:t>In determining the gravity of the crime, the Chamber</w:t>
      </w:r>
      <w:r w:rsidR="00596548">
        <w:rPr>
          <w:rFonts w:ascii="Times New Roman" w:hAnsi="Times New Roman"/>
          <w:szCs w:val="24"/>
        </w:rPr>
        <w:t xml:space="preserve"> examined</w:t>
      </w:r>
      <w:r w:rsidRPr="00A04A07">
        <w:rPr>
          <w:rFonts w:ascii="Times New Roman" w:hAnsi="Times New Roman"/>
          <w:szCs w:val="24"/>
        </w:rPr>
        <w:t xml:space="preserve"> the evidence of  Ms Radhika Coomaraswamy the United Nations Special Representatives of the Secretary</w:t>
      </w:r>
      <w:r w:rsidR="00A04A07">
        <w:rPr>
          <w:rFonts w:ascii="Times New Roman" w:hAnsi="Times New Roman"/>
          <w:szCs w:val="24"/>
        </w:rPr>
        <w:t>-</w:t>
      </w:r>
      <w:r w:rsidRPr="00A04A07">
        <w:rPr>
          <w:rFonts w:ascii="Times New Roman" w:hAnsi="Times New Roman"/>
          <w:szCs w:val="24"/>
        </w:rPr>
        <w:t xml:space="preserve">General on Children and Armed Conflict and </w:t>
      </w:r>
      <w:r w:rsidR="00F042BE">
        <w:rPr>
          <w:rFonts w:ascii="Times New Roman" w:hAnsi="Times New Roman"/>
          <w:szCs w:val="24"/>
        </w:rPr>
        <w:t>expert opinion</w:t>
      </w:r>
      <w:r w:rsidRPr="00A04A07">
        <w:rPr>
          <w:rFonts w:ascii="Times New Roman" w:hAnsi="Times New Roman"/>
          <w:szCs w:val="24"/>
        </w:rPr>
        <w:t xml:space="preserve"> witness Ms Schauer.</w:t>
      </w:r>
      <w:r w:rsidRPr="00A04A07">
        <w:rPr>
          <w:rStyle w:val="FootnoteReference"/>
          <w:rFonts w:ascii="Times New Roman" w:hAnsi="Times New Roman"/>
          <w:szCs w:val="24"/>
        </w:rPr>
        <w:footnoteReference w:id="982"/>
      </w:r>
    </w:p>
    <w:p w14:paraId="64D690EE" w14:textId="7AEC1C80" w:rsidR="004D5736" w:rsidRPr="00A04A07" w:rsidRDefault="004D5736" w:rsidP="00355C6D">
      <w:pPr>
        <w:spacing w:line="480" w:lineRule="auto"/>
        <w:jc w:val="both"/>
        <w:rPr>
          <w:rFonts w:ascii="Times New Roman" w:hAnsi="Times New Roman"/>
          <w:szCs w:val="24"/>
        </w:rPr>
      </w:pPr>
      <w:r w:rsidRPr="00A04A07">
        <w:rPr>
          <w:rFonts w:ascii="Times New Roman" w:hAnsi="Times New Roman"/>
          <w:szCs w:val="24"/>
        </w:rPr>
        <w:t>Furthermore, the Chamber rejected the Prosecution’s su</w:t>
      </w:r>
      <w:r w:rsidR="00AA70BF" w:rsidRPr="00A04A07">
        <w:rPr>
          <w:rFonts w:ascii="Times New Roman" w:hAnsi="Times New Roman"/>
          <w:szCs w:val="24"/>
        </w:rPr>
        <w:t xml:space="preserve">bmissions that sexual violence </w:t>
      </w:r>
      <w:r w:rsidRPr="00A04A07">
        <w:rPr>
          <w:rFonts w:ascii="Times New Roman" w:hAnsi="Times New Roman"/>
          <w:szCs w:val="24"/>
        </w:rPr>
        <w:t>and rape should be considered a</w:t>
      </w:r>
      <w:r w:rsidR="00F042BE">
        <w:rPr>
          <w:rFonts w:ascii="Times New Roman" w:hAnsi="Times New Roman"/>
          <w:szCs w:val="24"/>
        </w:rPr>
        <w:t>n aggravating factor because there was no relevant evidence to link Mr Lubanga to sexual violence in the ordinary recruitment course</w:t>
      </w:r>
      <w:r w:rsidRPr="00A04A07">
        <w:rPr>
          <w:rFonts w:ascii="Times New Roman" w:hAnsi="Times New Roman"/>
          <w:szCs w:val="24"/>
        </w:rPr>
        <w:t>. The</w:t>
      </w:r>
      <w:r w:rsidR="00596548">
        <w:rPr>
          <w:rFonts w:ascii="Times New Roman" w:hAnsi="Times New Roman"/>
          <w:szCs w:val="24"/>
        </w:rPr>
        <w:t xml:space="preserve"> </w:t>
      </w:r>
      <w:r w:rsidR="00596548">
        <w:rPr>
          <w:rFonts w:ascii="Times New Roman" w:hAnsi="Times New Roman"/>
          <w:szCs w:val="24"/>
        </w:rPr>
        <w:lastRenderedPageBreak/>
        <w:t xml:space="preserve">Prosecution failed to prove </w:t>
      </w:r>
      <w:r w:rsidRPr="00A04A07">
        <w:rPr>
          <w:rFonts w:ascii="Times New Roman" w:hAnsi="Times New Roman"/>
          <w:szCs w:val="24"/>
        </w:rPr>
        <w:t xml:space="preserve">beyond </w:t>
      </w:r>
      <w:r w:rsidR="00A04A07">
        <w:rPr>
          <w:rFonts w:ascii="Times New Roman" w:hAnsi="Times New Roman"/>
          <w:szCs w:val="24"/>
        </w:rPr>
        <w:t xml:space="preserve">a </w:t>
      </w:r>
      <w:r w:rsidRPr="00A04A07">
        <w:rPr>
          <w:rFonts w:ascii="Times New Roman" w:hAnsi="Times New Roman"/>
          <w:szCs w:val="24"/>
        </w:rPr>
        <w:t xml:space="preserve">reasonable doubt. Therefore, this factor </w:t>
      </w:r>
      <w:r w:rsidR="005C7182">
        <w:rPr>
          <w:rFonts w:ascii="Times New Roman" w:hAnsi="Times New Roman"/>
          <w:szCs w:val="24"/>
        </w:rPr>
        <w:t xml:space="preserve">did </w:t>
      </w:r>
      <w:r w:rsidRPr="00A04A07">
        <w:rPr>
          <w:rFonts w:ascii="Times New Roman" w:hAnsi="Times New Roman"/>
          <w:szCs w:val="24"/>
        </w:rPr>
        <w:t xml:space="preserve">not reflect his culpability for </w:t>
      </w:r>
      <w:r w:rsidR="005C7182">
        <w:rPr>
          <w:rFonts w:ascii="Times New Roman" w:hAnsi="Times New Roman"/>
          <w:szCs w:val="24"/>
        </w:rPr>
        <w:t xml:space="preserve">the </w:t>
      </w:r>
      <w:r w:rsidRPr="00A04A07">
        <w:rPr>
          <w:rFonts w:ascii="Times New Roman" w:hAnsi="Times New Roman"/>
          <w:szCs w:val="24"/>
        </w:rPr>
        <w:t>sentence.</w:t>
      </w:r>
      <w:r w:rsidRPr="00A04A07">
        <w:rPr>
          <w:rStyle w:val="FootnoteReference"/>
          <w:rFonts w:ascii="Times New Roman" w:hAnsi="Times New Roman"/>
          <w:szCs w:val="24"/>
        </w:rPr>
        <w:footnoteReference w:id="983"/>
      </w:r>
    </w:p>
    <w:p w14:paraId="1682D86D" w14:textId="4F0E5E86" w:rsidR="004D5736" w:rsidRPr="00A04A07" w:rsidRDefault="00596548" w:rsidP="00355C6D">
      <w:pPr>
        <w:spacing w:line="480" w:lineRule="auto"/>
        <w:jc w:val="both"/>
        <w:rPr>
          <w:rFonts w:ascii="Times New Roman" w:hAnsi="Times New Roman"/>
          <w:szCs w:val="24"/>
        </w:rPr>
      </w:pPr>
      <w:r>
        <w:rPr>
          <w:rFonts w:ascii="Times New Roman" w:hAnsi="Times New Roman"/>
          <w:szCs w:val="24"/>
        </w:rPr>
        <w:t>Besides</w:t>
      </w:r>
      <w:r w:rsidR="00AA70BF" w:rsidRPr="00A04A07">
        <w:rPr>
          <w:rFonts w:ascii="Times New Roman" w:hAnsi="Times New Roman"/>
          <w:szCs w:val="24"/>
        </w:rPr>
        <w:t>, the</w:t>
      </w:r>
      <w:r w:rsidR="004D5736" w:rsidRPr="00A04A07">
        <w:rPr>
          <w:rFonts w:ascii="Times New Roman" w:hAnsi="Times New Roman"/>
          <w:szCs w:val="24"/>
        </w:rPr>
        <w:t xml:space="preserve"> Chamber reje</w:t>
      </w:r>
      <w:r w:rsidR="00A04A07">
        <w:rPr>
          <w:rFonts w:ascii="Times New Roman" w:hAnsi="Times New Roman"/>
          <w:szCs w:val="24"/>
        </w:rPr>
        <w:t>cted the Prosecution’s request</w:t>
      </w:r>
      <w:r>
        <w:rPr>
          <w:rFonts w:ascii="Times New Roman" w:hAnsi="Times New Roman"/>
          <w:szCs w:val="24"/>
        </w:rPr>
        <w:t xml:space="preserve"> on life sentence</w:t>
      </w:r>
      <w:r w:rsidR="00A04A07">
        <w:rPr>
          <w:rFonts w:ascii="Times New Roman" w:hAnsi="Times New Roman"/>
          <w:szCs w:val="24"/>
        </w:rPr>
        <w:t>; t</w:t>
      </w:r>
      <w:r w:rsidR="004D5736" w:rsidRPr="00A04A07">
        <w:rPr>
          <w:rFonts w:ascii="Times New Roman" w:hAnsi="Times New Roman"/>
          <w:szCs w:val="24"/>
        </w:rPr>
        <w:t>he Chamber opined that life imprisonment wo</w:t>
      </w:r>
      <w:r w:rsidR="00AA70BF" w:rsidRPr="00A04A07">
        <w:rPr>
          <w:rFonts w:ascii="Times New Roman" w:hAnsi="Times New Roman"/>
          <w:szCs w:val="24"/>
        </w:rPr>
        <w:t xml:space="preserve">uld be inappropriate because </w:t>
      </w:r>
      <w:r w:rsidR="004D5736" w:rsidRPr="00A04A07">
        <w:rPr>
          <w:rFonts w:ascii="Times New Roman" w:hAnsi="Times New Roman"/>
          <w:szCs w:val="24"/>
        </w:rPr>
        <w:t xml:space="preserve"> it is </w:t>
      </w:r>
      <w:r w:rsidR="00355C6D">
        <w:rPr>
          <w:rFonts w:ascii="Times New Roman" w:hAnsi="Times New Roman"/>
          <w:szCs w:val="24"/>
        </w:rPr>
        <w:t>“</w:t>
      </w:r>
      <w:r w:rsidR="004D5736" w:rsidRPr="00355C6D">
        <w:rPr>
          <w:rFonts w:ascii="Times New Roman" w:hAnsi="Times New Roman"/>
          <w:szCs w:val="24"/>
        </w:rPr>
        <w:t>justified by the extreme  gravity of the crime and the individual circumstances of the convicted person, as evidenced by the existence of one or more aggravating circumstances</w:t>
      </w:r>
      <w:r w:rsidR="004D5736" w:rsidRPr="00A04A07">
        <w:rPr>
          <w:rFonts w:ascii="Times New Roman" w:hAnsi="Times New Roman"/>
          <w:szCs w:val="24"/>
        </w:rPr>
        <w:t>.</w:t>
      </w:r>
      <w:r w:rsidR="00355C6D">
        <w:rPr>
          <w:rFonts w:ascii="Times New Roman" w:hAnsi="Times New Roman"/>
          <w:szCs w:val="24"/>
        </w:rPr>
        <w:t>”</w:t>
      </w:r>
      <w:r w:rsidR="004D5736" w:rsidRPr="00A04A07">
        <w:rPr>
          <w:rStyle w:val="FootnoteReference"/>
          <w:rFonts w:ascii="Times New Roman" w:hAnsi="Times New Roman"/>
          <w:szCs w:val="24"/>
        </w:rPr>
        <w:footnoteReference w:id="984"/>
      </w:r>
      <w:r w:rsidR="00AA70BF" w:rsidRPr="00A04A07">
        <w:rPr>
          <w:rFonts w:ascii="Times New Roman" w:hAnsi="Times New Roman"/>
          <w:szCs w:val="24"/>
        </w:rPr>
        <w:t xml:space="preserve"> The Chamber submitted</w:t>
      </w:r>
      <w:r w:rsidR="004D5736" w:rsidRPr="00A04A07">
        <w:rPr>
          <w:rFonts w:ascii="Times New Roman" w:hAnsi="Times New Roman"/>
          <w:szCs w:val="24"/>
        </w:rPr>
        <w:t xml:space="preserve"> that it would be ‘</w:t>
      </w:r>
      <w:r w:rsidR="004D5736" w:rsidRPr="00A04A07">
        <w:rPr>
          <w:rFonts w:ascii="Times New Roman" w:hAnsi="Times New Roman"/>
          <w:i/>
          <w:szCs w:val="24"/>
        </w:rPr>
        <w:t>inappropriate</w:t>
      </w:r>
      <w:r w:rsidR="004D5736" w:rsidRPr="00A04A07">
        <w:rPr>
          <w:rFonts w:ascii="Times New Roman" w:hAnsi="Times New Roman"/>
          <w:szCs w:val="24"/>
        </w:rPr>
        <w:t>’ to sentence the convicted person-Mr Lubanga- to life imprisonment because it has not found any aggravating factors in this case.</w:t>
      </w:r>
      <w:r w:rsidR="004D5736" w:rsidRPr="00A04A07">
        <w:rPr>
          <w:rStyle w:val="FootnoteReference"/>
          <w:rFonts w:ascii="Times New Roman" w:hAnsi="Times New Roman"/>
          <w:szCs w:val="24"/>
        </w:rPr>
        <w:footnoteReference w:id="985"/>
      </w:r>
      <w:r w:rsidR="004D5736" w:rsidRPr="00A04A07">
        <w:rPr>
          <w:rFonts w:ascii="Times New Roman" w:hAnsi="Times New Roman"/>
          <w:szCs w:val="24"/>
        </w:rPr>
        <w:t>In his</w:t>
      </w:r>
      <w:r w:rsidR="00AA70BF" w:rsidRPr="00A04A07">
        <w:rPr>
          <w:rFonts w:ascii="Times New Roman" w:hAnsi="Times New Roman"/>
          <w:szCs w:val="24"/>
        </w:rPr>
        <w:t xml:space="preserve"> observations, the Chamber noted</w:t>
      </w:r>
      <w:r w:rsidR="004D5736" w:rsidRPr="00A04A07">
        <w:rPr>
          <w:rFonts w:ascii="Times New Roman" w:hAnsi="Times New Roman"/>
          <w:szCs w:val="24"/>
        </w:rPr>
        <w:t xml:space="preserve"> that it would consider other evidence necessary to determine an ‘appropriate’ sentence. This ‘appropriate’ sentence should be proportionate to the offen</w:t>
      </w:r>
      <w:r w:rsidR="00A04A07">
        <w:rPr>
          <w:rFonts w:ascii="Times New Roman" w:hAnsi="Times New Roman"/>
          <w:szCs w:val="24"/>
        </w:rPr>
        <w:t>c</w:t>
      </w:r>
      <w:r w:rsidR="004D5736" w:rsidRPr="00A04A07">
        <w:rPr>
          <w:rFonts w:ascii="Times New Roman" w:hAnsi="Times New Roman"/>
          <w:szCs w:val="24"/>
        </w:rPr>
        <w:t>e</w:t>
      </w:r>
      <w:r w:rsidR="00A04A07">
        <w:rPr>
          <w:rFonts w:ascii="Times New Roman" w:hAnsi="Times New Roman"/>
          <w:szCs w:val="24"/>
        </w:rPr>
        <w:t>.</w:t>
      </w:r>
      <w:r w:rsidR="004D5736" w:rsidRPr="00A04A07">
        <w:rPr>
          <w:rFonts w:ascii="Times New Roman" w:hAnsi="Times New Roman"/>
          <w:szCs w:val="24"/>
        </w:rPr>
        <w:t xml:space="preserve"> The proportionality is determined by balancing all the relevant factors.</w:t>
      </w:r>
      <w:r w:rsidR="004D5736" w:rsidRPr="00A04A07">
        <w:rPr>
          <w:rStyle w:val="FootnoteReference"/>
          <w:rFonts w:ascii="Times New Roman" w:hAnsi="Times New Roman"/>
          <w:szCs w:val="24"/>
        </w:rPr>
        <w:footnoteReference w:id="986"/>
      </w:r>
      <w:r w:rsidR="004D5736" w:rsidRPr="00A04A07">
        <w:rPr>
          <w:rFonts w:ascii="Times New Roman" w:hAnsi="Times New Roman"/>
          <w:szCs w:val="24"/>
        </w:rPr>
        <w:t xml:space="preserve"> </w:t>
      </w:r>
    </w:p>
    <w:p w14:paraId="34B57888" w14:textId="20FCE61D" w:rsidR="00A04A07" w:rsidRDefault="00AA70BF" w:rsidP="00355C6D">
      <w:pPr>
        <w:spacing w:line="480" w:lineRule="auto"/>
        <w:jc w:val="both"/>
        <w:rPr>
          <w:rStyle w:val="FootnoteReference"/>
          <w:rFonts w:ascii="Times New Roman" w:hAnsi="Times New Roman"/>
          <w:szCs w:val="24"/>
        </w:rPr>
      </w:pPr>
      <w:r w:rsidRPr="00A04A07">
        <w:rPr>
          <w:rFonts w:ascii="Times New Roman" w:hAnsi="Times New Roman"/>
          <w:szCs w:val="24"/>
        </w:rPr>
        <w:t xml:space="preserve">The Chamber did not accede to </w:t>
      </w:r>
      <w:r w:rsidR="004D5736" w:rsidRPr="00A04A07">
        <w:rPr>
          <w:rFonts w:ascii="Times New Roman" w:hAnsi="Times New Roman"/>
          <w:szCs w:val="24"/>
        </w:rPr>
        <w:t>the aggravating factors presente</w:t>
      </w:r>
      <w:r w:rsidR="00A04A07">
        <w:rPr>
          <w:rFonts w:ascii="Times New Roman" w:hAnsi="Times New Roman"/>
          <w:szCs w:val="24"/>
        </w:rPr>
        <w:t>d by the Prosecutor and the LRV;</w:t>
      </w:r>
      <w:r w:rsidR="004D5736" w:rsidRPr="00A04A07">
        <w:rPr>
          <w:rFonts w:ascii="Times New Roman" w:hAnsi="Times New Roman"/>
          <w:szCs w:val="24"/>
        </w:rPr>
        <w:t xml:space="preserve"> it ruled that the evidence was insufficient to establish beyond </w:t>
      </w:r>
      <w:r w:rsidR="00A04A07">
        <w:rPr>
          <w:rFonts w:ascii="Times New Roman" w:hAnsi="Times New Roman"/>
          <w:szCs w:val="24"/>
        </w:rPr>
        <w:t xml:space="preserve">a </w:t>
      </w:r>
      <w:r w:rsidR="004D5736" w:rsidRPr="00A04A07">
        <w:rPr>
          <w:rFonts w:ascii="Times New Roman" w:hAnsi="Times New Roman"/>
          <w:szCs w:val="24"/>
        </w:rPr>
        <w:t xml:space="preserve">reasonable doubt that child soldiers under the age of 15 years were subject to punishments such as </w:t>
      </w:r>
      <w:r w:rsidRPr="00A04A07">
        <w:rPr>
          <w:rFonts w:ascii="Times New Roman" w:hAnsi="Times New Roman"/>
          <w:szCs w:val="24"/>
        </w:rPr>
        <w:t>‘</w:t>
      </w:r>
      <w:r w:rsidR="004D5736" w:rsidRPr="00A04A07">
        <w:rPr>
          <w:rFonts w:ascii="Times New Roman" w:hAnsi="Times New Roman"/>
          <w:szCs w:val="24"/>
        </w:rPr>
        <w:t>whippings and canings’ in the ordinary course’</w:t>
      </w:r>
      <w:r w:rsidRPr="00A04A07">
        <w:rPr>
          <w:rFonts w:ascii="Times New Roman" w:hAnsi="Times New Roman"/>
          <w:szCs w:val="24"/>
        </w:rPr>
        <w:t xml:space="preserve"> of the conflict.</w:t>
      </w:r>
      <w:r w:rsidRPr="00A04A07">
        <w:rPr>
          <w:rStyle w:val="FootnoteReference"/>
          <w:rFonts w:ascii="Times New Roman" w:hAnsi="Times New Roman"/>
          <w:szCs w:val="24"/>
        </w:rPr>
        <w:footnoteReference w:id="987"/>
      </w:r>
      <w:r w:rsidR="00A04A07">
        <w:rPr>
          <w:rFonts w:ascii="Times New Roman" w:hAnsi="Times New Roman"/>
          <w:szCs w:val="24"/>
        </w:rPr>
        <w:t xml:space="preserve"> The Chamber </w:t>
      </w:r>
      <w:r w:rsidR="00A04A07">
        <w:rPr>
          <w:rFonts w:ascii="Times New Roman" w:hAnsi="Times New Roman"/>
          <w:szCs w:val="24"/>
        </w:rPr>
        <w:lastRenderedPageBreak/>
        <w:t>reiterated</w:t>
      </w:r>
      <w:r w:rsidRPr="00A04A07">
        <w:rPr>
          <w:rFonts w:ascii="Times New Roman" w:hAnsi="Times New Roman"/>
          <w:szCs w:val="24"/>
        </w:rPr>
        <w:t xml:space="preserve"> that</w:t>
      </w:r>
      <w:r w:rsidR="004D5736" w:rsidRPr="00A04A07">
        <w:rPr>
          <w:rFonts w:ascii="Times New Roman" w:hAnsi="Times New Roman"/>
          <w:szCs w:val="24"/>
        </w:rPr>
        <w:t xml:space="preserve"> the convict had not ‘ordered or encouraged’ the infliction of these punishments.</w:t>
      </w:r>
    </w:p>
    <w:p w14:paraId="30DDD652" w14:textId="2969805E" w:rsidR="004D5736" w:rsidRPr="00A04A07" w:rsidRDefault="005C7182" w:rsidP="00355C6D">
      <w:pPr>
        <w:spacing w:line="480" w:lineRule="auto"/>
        <w:jc w:val="both"/>
        <w:rPr>
          <w:rFonts w:ascii="Times New Roman" w:hAnsi="Times New Roman"/>
          <w:szCs w:val="24"/>
        </w:rPr>
      </w:pPr>
      <w:r>
        <w:rPr>
          <w:rFonts w:ascii="Times New Roman" w:hAnsi="Times New Roman"/>
          <w:szCs w:val="24"/>
        </w:rPr>
        <w:t>T</w:t>
      </w:r>
      <w:r w:rsidR="004D5736" w:rsidRPr="00A04A07">
        <w:rPr>
          <w:rFonts w:ascii="Times New Roman" w:hAnsi="Times New Roman"/>
          <w:szCs w:val="24"/>
        </w:rPr>
        <w:t xml:space="preserve">he Chamber </w:t>
      </w:r>
      <w:r w:rsidR="00A04A07">
        <w:rPr>
          <w:rFonts w:ascii="Times New Roman" w:hAnsi="Times New Roman"/>
          <w:szCs w:val="24"/>
        </w:rPr>
        <w:t>pointed out the prosecutor's failure</w:t>
      </w:r>
      <w:r w:rsidR="004D5736" w:rsidRPr="00A04A07">
        <w:rPr>
          <w:rFonts w:ascii="Times New Roman" w:hAnsi="Times New Roman"/>
          <w:szCs w:val="24"/>
        </w:rPr>
        <w:t xml:space="preserve"> include sexual violence in the charges, and his </w:t>
      </w:r>
      <w:r w:rsidR="00A04A07">
        <w:rPr>
          <w:rFonts w:ascii="Times New Roman" w:hAnsi="Times New Roman"/>
          <w:szCs w:val="24"/>
        </w:rPr>
        <w:t>inability</w:t>
      </w:r>
      <w:r w:rsidR="004D5736" w:rsidRPr="00A04A07">
        <w:rPr>
          <w:rFonts w:ascii="Times New Roman" w:hAnsi="Times New Roman"/>
          <w:szCs w:val="24"/>
        </w:rPr>
        <w:t xml:space="preserve"> to introduce new evidence of gender-based violence during the sentencing phase.</w:t>
      </w:r>
      <w:r w:rsidR="004D5736" w:rsidRPr="00A04A07">
        <w:rPr>
          <w:rStyle w:val="FootnoteReference"/>
          <w:rFonts w:ascii="Times New Roman" w:hAnsi="Times New Roman"/>
          <w:szCs w:val="24"/>
        </w:rPr>
        <w:footnoteReference w:id="988"/>
      </w:r>
      <w:r w:rsidR="004D5736" w:rsidRPr="00A04A07">
        <w:rPr>
          <w:rFonts w:ascii="Times New Roman" w:hAnsi="Times New Roman"/>
          <w:szCs w:val="24"/>
        </w:rPr>
        <w:t xml:space="preserve"> In the same vein, the Chamber rejected the </w:t>
      </w:r>
      <w:r w:rsidR="00F042BE">
        <w:rPr>
          <w:rFonts w:ascii="Times New Roman" w:hAnsi="Times New Roman"/>
          <w:szCs w:val="24"/>
        </w:rPr>
        <w:t>children's vulnerability</w:t>
      </w:r>
      <w:r w:rsidR="004D5736" w:rsidRPr="00A04A07">
        <w:rPr>
          <w:rFonts w:ascii="Times New Roman" w:hAnsi="Times New Roman"/>
          <w:szCs w:val="24"/>
        </w:rPr>
        <w:t xml:space="preserve"> and discriminatory motives as aggravating factors. While the former was </w:t>
      </w:r>
      <w:r w:rsidR="00A04A07">
        <w:rPr>
          <w:rFonts w:ascii="Times New Roman" w:hAnsi="Times New Roman"/>
          <w:szCs w:val="24"/>
        </w:rPr>
        <w:t>deni</w:t>
      </w:r>
      <w:r w:rsidR="004D5736" w:rsidRPr="00A04A07">
        <w:rPr>
          <w:rFonts w:ascii="Times New Roman" w:hAnsi="Times New Roman"/>
          <w:szCs w:val="24"/>
        </w:rPr>
        <w:t>ed based on the facts that it qualifies a</w:t>
      </w:r>
      <w:r w:rsidR="00A04A07">
        <w:rPr>
          <w:rFonts w:ascii="Times New Roman" w:hAnsi="Times New Roman"/>
          <w:szCs w:val="24"/>
        </w:rPr>
        <w:t xml:space="preserve">s a </w:t>
      </w:r>
      <w:r w:rsidR="004D5736" w:rsidRPr="00A04A07">
        <w:rPr>
          <w:rFonts w:ascii="Times New Roman" w:hAnsi="Times New Roman"/>
          <w:szCs w:val="24"/>
        </w:rPr>
        <w:t xml:space="preserve"> double count, the Chamber rejected the latter because there was no sufficient evidence to prove that Lubanga ‘</w:t>
      </w:r>
      <w:r w:rsidR="004D5736" w:rsidRPr="00A04A07">
        <w:rPr>
          <w:rFonts w:ascii="Times New Roman" w:hAnsi="Times New Roman"/>
          <w:i/>
          <w:szCs w:val="24"/>
        </w:rPr>
        <w:t>deliberately discriminated against women, given that his commanders sexually abused female soldiers</w:t>
      </w:r>
      <w:r w:rsidR="004D5736" w:rsidRPr="00A04A07">
        <w:rPr>
          <w:rFonts w:ascii="Times New Roman" w:hAnsi="Times New Roman"/>
          <w:szCs w:val="24"/>
        </w:rPr>
        <w:t>.’</w:t>
      </w:r>
      <w:r w:rsidR="004D5736" w:rsidRPr="00A04A07">
        <w:rPr>
          <w:rStyle w:val="FootnoteReference"/>
          <w:rFonts w:ascii="Times New Roman" w:hAnsi="Times New Roman"/>
          <w:szCs w:val="24"/>
        </w:rPr>
        <w:footnoteReference w:id="989"/>
      </w:r>
      <w:r w:rsidR="00596548">
        <w:rPr>
          <w:rFonts w:ascii="Times New Roman" w:hAnsi="Times New Roman"/>
          <w:szCs w:val="24"/>
        </w:rPr>
        <w:t>Therefore, the Chamber found no aggravating factors.</w:t>
      </w:r>
    </w:p>
    <w:p w14:paraId="2FB16C25" w14:textId="77777777" w:rsidR="004D5736" w:rsidRPr="00A41538" w:rsidRDefault="00E374B1" w:rsidP="00364EC8">
      <w:pPr>
        <w:pStyle w:val="Heading4"/>
      </w:pPr>
      <w:bookmarkStart w:id="71" w:name="_Toc60235841"/>
      <w:r>
        <w:t>4.4</w:t>
      </w:r>
      <w:r w:rsidR="001027D5">
        <w:t>.2</w:t>
      </w:r>
      <w:r w:rsidR="00165907">
        <w:t>.6</w:t>
      </w:r>
      <w:r w:rsidR="004D5736" w:rsidRPr="00A41538">
        <w:t>.The Chamber’s response to mitigating circumstances</w:t>
      </w:r>
      <w:bookmarkEnd w:id="71"/>
      <w:r w:rsidR="004D5736" w:rsidRPr="00A41538">
        <w:t xml:space="preserve"> </w:t>
      </w:r>
    </w:p>
    <w:p w14:paraId="448E9C56" w14:textId="5AB40F9E" w:rsidR="004D5736" w:rsidRPr="00E374B1" w:rsidRDefault="00610F2F" w:rsidP="00355C6D">
      <w:pPr>
        <w:spacing w:line="480" w:lineRule="auto"/>
        <w:jc w:val="both"/>
        <w:rPr>
          <w:rFonts w:ascii="Times New Roman" w:hAnsi="Times New Roman"/>
          <w:szCs w:val="24"/>
        </w:rPr>
      </w:pPr>
      <w:r>
        <w:rPr>
          <w:rFonts w:ascii="Times New Roman" w:hAnsi="Times New Roman"/>
          <w:szCs w:val="24"/>
        </w:rPr>
        <w:t>T</w:t>
      </w:r>
      <w:r w:rsidR="00165907" w:rsidRPr="00E374B1">
        <w:rPr>
          <w:rFonts w:ascii="Times New Roman" w:hAnsi="Times New Roman"/>
          <w:szCs w:val="24"/>
        </w:rPr>
        <w:t>he Chamber considered</w:t>
      </w:r>
      <w:r w:rsidR="004D5736" w:rsidRPr="00E374B1">
        <w:rPr>
          <w:rFonts w:ascii="Times New Roman" w:hAnsi="Times New Roman"/>
          <w:szCs w:val="24"/>
        </w:rPr>
        <w:t xml:space="preserve"> the co</w:t>
      </w:r>
      <w:r w:rsidR="00F042BE">
        <w:rPr>
          <w:rFonts w:ascii="Times New Roman" w:hAnsi="Times New Roman"/>
          <w:szCs w:val="24"/>
        </w:rPr>
        <w:t>nvicted person's cooperati</w:t>
      </w:r>
      <w:r w:rsidR="004D5736" w:rsidRPr="00E374B1">
        <w:rPr>
          <w:rFonts w:ascii="Times New Roman" w:hAnsi="Times New Roman"/>
          <w:szCs w:val="24"/>
        </w:rPr>
        <w:t>on with the Court during the proceedings as a mitigat</w:t>
      </w:r>
      <w:r w:rsidR="00D10A85">
        <w:rPr>
          <w:rFonts w:ascii="Times New Roman" w:hAnsi="Times New Roman"/>
          <w:szCs w:val="24"/>
        </w:rPr>
        <w:t xml:space="preserve">ing factor. The Chamber factored in </w:t>
      </w:r>
      <w:r w:rsidR="004D5736" w:rsidRPr="00E374B1">
        <w:rPr>
          <w:rFonts w:ascii="Times New Roman" w:hAnsi="Times New Roman"/>
          <w:szCs w:val="24"/>
        </w:rPr>
        <w:t xml:space="preserve"> Lubanga’s ‘</w:t>
      </w:r>
      <w:r w:rsidR="004D5736" w:rsidRPr="00E374B1">
        <w:rPr>
          <w:rFonts w:ascii="Times New Roman" w:hAnsi="Times New Roman"/>
          <w:i/>
          <w:szCs w:val="24"/>
        </w:rPr>
        <w:t xml:space="preserve">notable cooperation’ </w:t>
      </w:r>
      <w:r w:rsidR="004D5736" w:rsidRPr="00E374B1">
        <w:rPr>
          <w:rFonts w:ascii="Times New Roman" w:hAnsi="Times New Roman"/>
          <w:szCs w:val="24"/>
        </w:rPr>
        <w:t>and commented on the prosecution’s refusal to disclose</w:t>
      </w:r>
      <w:r w:rsidR="00D10A85">
        <w:rPr>
          <w:rFonts w:ascii="Times New Roman" w:hAnsi="Times New Roman"/>
          <w:szCs w:val="24"/>
        </w:rPr>
        <w:t xml:space="preserve"> evidence with its</w:t>
      </w:r>
      <w:r w:rsidR="004D5736" w:rsidRPr="00E374B1">
        <w:rPr>
          <w:rFonts w:ascii="Times New Roman" w:hAnsi="Times New Roman"/>
          <w:szCs w:val="24"/>
        </w:rPr>
        <w:t xml:space="preserve"> consequent delays.</w:t>
      </w:r>
      <w:r w:rsidR="004D5736" w:rsidRPr="00E374B1">
        <w:rPr>
          <w:rStyle w:val="FootnoteReference"/>
          <w:rFonts w:ascii="Times New Roman" w:hAnsi="Times New Roman"/>
          <w:szCs w:val="24"/>
        </w:rPr>
        <w:footnoteReference w:id="990"/>
      </w:r>
      <w:r w:rsidR="00D10A85">
        <w:rPr>
          <w:rFonts w:ascii="Times New Roman" w:hAnsi="Times New Roman"/>
          <w:szCs w:val="24"/>
        </w:rPr>
        <w:t xml:space="preserve"> By inference, </w:t>
      </w:r>
      <w:r w:rsidR="004D5736" w:rsidRPr="00E374B1">
        <w:rPr>
          <w:rFonts w:ascii="Times New Roman" w:hAnsi="Times New Roman"/>
          <w:szCs w:val="24"/>
        </w:rPr>
        <w:t>the rea</w:t>
      </w:r>
      <w:r w:rsidR="00D10A85">
        <w:rPr>
          <w:rFonts w:ascii="Times New Roman" w:hAnsi="Times New Roman"/>
          <w:szCs w:val="24"/>
        </w:rPr>
        <w:t xml:space="preserve">soning behind this decision shows an </w:t>
      </w:r>
      <w:r w:rsidR="004D5736" w:rsidRPr="00E374B1">
        <w:rPr>
          <w:rFonts w:ascii="Times New Roman" w:hAnsi="Times New Roman"/>
          <w:szCs w:val="24"/>
        </w:rPr>
        <w:t>offender-centred appro</w:t>
      </w:r>
      <w:r w:rsidR="00D10A85">
        <w:rPr>
          <w:rFonts w:ascii="Times New Roman" w:hAnsi="Times New Roman"/>
          <w:szCs w:val="24"/>
        </w:rPr>
        <w:t xml:space="preserve">ach. </w:t>
      </w:r>
    </w:p>
    <w:p w14:paraId="2E10615D" w14:textId="77777777" w:rsidR="00C912BF" w:rsidRDefault="00E374B1" w:rsidP="00364EC8">
      <w:pPr>
        <w:pStyle w:val="Heading4"/>
      </w:pPr>
      <w:bookmarkStart w:id="72" w:name="_Toc60235842"/>
      <w:r w:rsidRPr="00E374B1">
        <w:t xml:space="preserve">4.4 </w:t>
      </w:r>
      <w:r w:rsidR="001027D5">
        <w:t>2</w:t>
      </w:r>
      <w:r w:rsidR="000B1DF4" w:rsidRPr="00E374B1">
        <w:t>.7</w:t>
      </w:r>
      <w:r w:rsidR="004D5736" w:rsidRPr="00E374B1">
        <w:t>.The Sentenc</w:t>
      </w:r>
      <w:r w:rsidR="00C912BF">
        <w:t>e</w:t>
      </w:r>
      <w:bookmarkEnd w:id="72"/>
      <w:r w:rsidR="00C912BF">
        <w:t xml:space="preserve">                                                              </w:t>
      </w:r>
    </w:p>
    <w:p w14:paraId="0FA1F4A1" w14:textId="2D36C834" w:rsidR="004E1618" w:rsidRDefault="00C912BF" w:rsidP="00355C6D">
      <w:pPr>
        <w:pStyle w:val="NoSpacing"/>
        <w:spacing w:line="480" w:lineRule="auto"/>
        <w:jc w:val="both"/>
        <w:rPr>
          <w:rFonts w:ascii="Times New Roman" w:hAnsi="Times New Roman"/>
          <w:szCs w:val="24"/>
        </w:rPr>
      </w:pPr>
      <w:r>
        <w:rPr>
          <w:rFonts w:ascii="Times New Roman" w:hAnsi="Times New Roman"/>
        </w:rPr>
        <w:t xml:space="preserve">In determining the declared sentence, </w:t>
      </w:r>
      <w:r w:rsidR="00323D0C" w:rsidRPr="00C912BF">
        <w:rPr>
          <w:rFonts w:ascii="Times New Roman" w:hAnsi="Times New Roman"/>
        </w:rPr>
        <w:t>it is revealed that th</w:t>
      </w:r>
      <w:r w:rsidR="001027D5" w:rsidRPr="00C912BF">
        <w:rPr>
          <w:rFonts w:ascii="Times New Roman" w:hAnsi="Times New Roman"/>
        </w:rPr>
        <w:t>e majority of the Chambers took</w:t>
      </w:r>
      <w:r w:rsidR="00323D0C" w:rsidRPr="00C912BF">
        <w:rPr>
          <w:rFonts w:ascii="Times New Roman" w:hAnsi="Times New Roman"/>
        </w:rPr>
        <w:t xml:space="preserve"> into account</w:t>
      </w:r>
      <w:r w:rsidR="001027D5" w:rsidRPr="00C912BF">
        <w:rPr>
          <w:rFonts w:ascii="Times New Roman" w:hAnsi="Times New Roman"/>
        </w:rPr>
        <w:t xml:space="preserve">: </w:t>
      </w:r>
      <w:r w:rsidR="00323D0C" w:rsidRPr="00C912BF">
        <w:rPr>
          <w:rFonts w:ascii="Times New Roman" w:hAnsi="Times New Roman"/>
        </w:rPr>
        <w:t xml:space="preserve">the widespread use of child soldiers during the time frame of the </w:t>
      </w:r>
      <w:r w:rsidR="00323D0C" w:rsidRPr="00C912BF">
        <w:rPr>
          <w:rFonts w:ascii="Times New Roman" w:hAnsi="Times New Roman"/>
        </w:rPr>
        <w:lastRenderedPageBreak/>
        <w:t>charges,  the influential position of Mr Lubanga within the UPC/FLPC and his capacity by virtu</w:t>
      </w:r>
      <w:r w:rsidR="001027D5" w:rsidRPr="00C912BF">
        <w:rPr>
          <w:rFonts w:ascii="Times New Roman" w:hAnsi="Times New Roman"/>
        </w:rPr>
        <w:t>e of his position of authority</w:t>
      </w:r>
      <w:r w:rsidR="00596548">
        <w:rPr>
          <w:rFonts w:ascii="Times New Roman" w:hAnsi="Times New Roman"/>
        </w:rPr>
        <w:t xml:space="preserve"> to supervise the foot soldiers</w:t>
      </w:r>
      <w:r w:rsidR="00323D0C" w:rsidRPr="00C912BF">
        <w:rPr>
          <w:rFonts w:ascii="Times New Roman" w:hAnsi="Times New Roman"/>
        </w:rPr>
        <w:t xml:space="preserve">. </w:t>
      </w:r>
      <w:r w:rsidR="001027D5" w:rsidRPr="00C912BF">
        <w:rPr>
          <w:rFonts w:ascii="Times New Roman" w:hAnsi="Times New Roman"/>
        </w:rPr>
        <w:t>Besides</w:t>
      </w:r>
      <w:r w:rsidR="00323D0C" w:rsidRPr="00C912BF">
        <w:rPr>
          <w:rFonts w:ascii="Times New Roman" w:hAnsi="Times New Roman"/>
        </w:rPr>
        <w:t>, the majority of the Chamber</w:t>
      </w:r>
      <w:r w:rsidR="00610F2F">
        <w:rPr>
          <w:rFonts w:ascii="Times New Roman" w:hAnsi="Times New Roman"/>
        </w:rPr>
        <w:t xml:space="preserve"> dismissed</w:t>
      </w:r>
      <w:r w:rsidR="00926F02">
        <w:rPr>
          <w:rFonts w:ascii="Times New Roman" w:hAnsi="Times New Roman"/>
        </w:rPr>
        <w:t xml:space="preserve"> the </w:t>
      </w:r>
      <w:r w:rsidR="00323D0C" w:rsidRPr="00C912BF">
        <w:rPr>
          <w:rFonts w:ascii="Times New Roman" w:hAnsi="Times New Roman"/>
        </w:rPr>
        <w:t>aggravating</w:t>
      </w:r>
      <w:r w:rsidR="00323D0C" w:rsidRPr="00C912BF">
        <w:rPr>
          <w:rFonts w:ascii="Times New Roman" w:hAnsi="Times New Roman"/>
          <w:szCs w:val="24"/>
        </w:rPr>
        <w:t xml:space="preserve"> circumst</w:t>
      </w:r>
      <w:r w:rsidR="004E1618">
        <w:rPr>
          <w:rFonts w:ascii="Times New Roman" w:hAnsi="Times New Roman"/>
          <w:szCs w:val="24"/>
        </w:rPr>
        <w:t>ances(as presented by the LRVs)</w:t>
      </w:r>
      <w:r w:rsidR="00926F02">
        <w:rPr>
          <w:rFonts w:ascii="Times New Roman" w:hAnsi="Times New Roman"/>
          <w:szCs w:val="24"/>
        </w:rPr>
        <w:t>.</w:t>
      </w:r>
      <w:r w:rsidR="004E1618">
        <w:rPr>
          <w:rFonts w:ascii="Times New Roman" w:hAnsi="Times New Roman"/>
          <w:szCs w:val="24"/>
        </w:rPr>
        <w:t xml:space="preserve"> T</w:t>
      </w:r>
      <w:r w:rsidR="00926F02">
        <w:rPr>
          <w:rFonts w:ascii="Times New Roman" w:hAnsi="Times New Roman"/>
          <w:szCs w:val="24"/>
        </w:rPr>
        <w:t>he Chamber’s reasoning</w:t>
      </w:r>
      <w:r w:rsidR="00610F2F">
        <w:rPr>
          <w:rFonts w:ascii="Times New Roman" w:hAnsi="Times New Roman"/>
          <w:szCs w:val="24"/>
        </w:rPr>
        <w:t>,</w:t>
      </w:r>
      <w:r w:rsidR="004E1618">
        <w:rPr>
          <w:rFonts w:ascii="Times New Roman" w:hAnsi="Times New Roman"/>
          <w:szCs w:val="24"/>
        </w:rPr>
        <w:t xml:space="preserve"> the aggravating factors were insufficient </w:t>
      </w:r>
      <w:r w:rsidR="00323D0C" w:rsidRPr="00C912BF">
        <w:rPr>
          <w:rFonts w:ascii="Times New Roman" w:hAnsi="Times New Roman"/>
          <w:szCs w:val="24"/>
        </w:rPr>
        <w:t>to warrant an influence on the sentence, as they submit</w:t>
      </w:r>
      <w:r w:rsidR="001027D5" w:rsidRPr="00C912BF">
        <w:rPr>
          <w:rFonts w:ascii="Times New Roman" w:hAnsi="Times New Roman"/>
          <w:szCs w:val="24"/>
        </w:rPr>
        <w:t>ted</w:t>
      </w:r>
      <w:r w:rsidR="004E1618">
        <w:rPr>
          <w:rFonts w:ascii="Times New Roman" w:hAnsi="Times New Roman"/>
          <w:szCs w:val="24"/>
        </w:rPr>
        <w:t xml:space="preserve"> that they found</w:t>
      </w:r>
      <w:r w:rsidR="00323D0C" w:rsidRPr="00C912BF">
        <w:rPr>
          <w:rFonts w:ascii="Times New Roman" w:hAnsi="Times New Roman"/>
          <w:szCs w:val="24"/>
        </w:rPr>
        <w:t xml:space="preserve"> no aggravating circumstances</w:t>
      </w:r>
      <w:r w:rsidR="00AC4FD0">
        <w:rPr>
          <w:rFonts w:ascii="Times New Roman" w:hAnsi="Times New Roman"/>
          <w:szCs w:val="24"/>
        </w:rPr>
        <w:t xml:space="preserve"> in the LRVs submissions</w:t>
      </w:r>
      <w:r w:rsidR="00596548">
        <w:rPr>
          <w:rFonts w:ascii="Times New Roman" w:hAnsi="Times New Roman"/>
          <w:szCs w:val="24"/>
        </w:rPr>
        <w:t>.</w:t>
      </w:r>
    </w:p>
    <w:p w14:paraId="57C87299" w14:textId="77777777" w:rsidR="00596548" w:rsidRPr="00C912BF" w:rsidRDefault="00596548" w:rsidP="00355C6D">
      <w:pPr>
        <w:pStyle w:val="NoSpacing"/>
        <w:spacing w:line="480" w:lineRule="auto"/>
        <w:jc w:val="both"/>
        <w:rPr>
          <w:rFonts w:ascii="Times New Roman" w:hAnsi="Times New Roman"/>
          <w:szCs w:val="24"/>
        </w:rPr>
      </w:pPr>
    </w:p>
    <w:p w14:paraId="506AE4D6" w14:textId="77777777" w:rsidR="004D5736" w:rsidRPr="00355C6D" w:rsidRDefault="00F21D3A" w:rsidP="00355C6D">
      <w:pPr>
        <w:spacing w:line="480" w:lineRule="auto"/>
        <w:jc w:val="both"/>
        <w:rPr>
          <w:rFonts w:ascii="Times New Roman" w:hAnsi="Times New Roman"/>
          <w:b/>
          <w:szCs w:val="24"/>
        </w:rPr>
      </w:pPr>
      <w:r w:rsidRPr="00355C6D">
        <w:rPr>
          <w:rFonts w:ascii="Times New Roman" w:hAnsi="Times New Roman"/>
          <w:szCs w:val="24"/>
        </w:rPr>
        <w:t xml:space="preserve">The </w:t>
      </w:r>
      <w:r w:rsidR="00D7797A" w:rsidRPr="00355C6D">
        <w:rPr>
          <w:rFonts w:ascii="Times New Roman" w:hAnsi="Times New Roman"/>
          <w:szCs w:val="24"/>
        </w:rPr>
        <w:t xml:space="preserve"> chamber outline the </w:t>
      </w:r>
      <w:r w:rsidRPr="00355C6D">
        <w:rPr>
          <w:rFonts w:ascii="Times New Roman" w:hAnsi="Times New Roman"/>
          <w:szCs w:val="24"/>
        </w:rPr>
        <w:t>declared sentence is as follows:</w:t>
      </w:r>
    </w:p>
    <w:p w14:paraId="2FD9BE15" w14:textId="77777777" w:rsidR="004D5736" w:rsidRPr="00355C6D" w:rsidRDefault="00F21D3A" w:rsidP="00355C6D">
      <w:pPr>
        <w:spacing w:line="480" w:lineRule="auto"/>
        <w:ind w:left="360"/>
        <w:jc w:val="both"/>
        <w:rPr>
          <w:rFonts w:ascii="Times New Roman" w:hAnsi="Times New Roman"/>
          <w:szCs w:val="24"/>
        </w:rPr>
      </w:pPr>
      <w:r w:rsidRPr="00355C6D">
        <w:rPr>
          <w:rFonts w:ascii="Times New Roman" w:hAnsi="Times New Roman"/>
          <w:szCs w:val="24"/>
        </w:rPr>
        <w:t>“</w:t>
      </w:r>
      <w:r w:rsidR="004D5736" w:rsidRPr="00355C6D">
        <w:rPr>
          <w:rFonts w:ascii="Times New Roman" w:hAnsi="Times New Roman"/>
          <w:szCs w:val="24"/>
        </w:rPr>
        <w:t>In considering these factors, the majority chamber meted a separate sentence for each of the three crimes for which Lubanga had been convicted. The following is the crime and the corresponding sentence:</w:t>
      </w:r>
    </w:p>
    <w:p w14:paraId="4F5E0B63" w14:textId="29AB50ED" w:rsidR="004D5736" w:rsidRPr="00355C6D" w:rsidRDefault="004D5736" w:rsidP="00355C6D">
      <w:pPr>
        <w:pStyle w:val="ListParagraph"/>
        <w:numPr>
          <w:ilvl w:val="0"/>
          <w:numId w:val="6"/>
        </w:numPr>
        <w:spacing w:line="480" w:lineRule="auto"/>
        <w:jc w:val="both"/>
        <w:rPr>
          <w:rFonts w:ascii="Times New Roman" w:hAnsi="Times New Roman"/>
          <w:szCs w:val="24"/>
        </w:rPr>
      </w:pPr>
      <w:r w:rsidRPr="00355C6D">
        <w:rPr>
          <w:rFonts w:ascii="Times New Roman" w:hAnsi="Times New Roman"/>
          <w:szCs w:val="24"/>
        </w:rPr>
        <w:t>Conscription of children under 15 years old-13 years imprisonment;</w:t>
      </w:r>
    </w:p>
    <w:p w14:paraId="65E7B40C" w14:textId="77777777" w:rsidR="004D5736" w:rsidRPr="00355C6D" w:rsidRDefault="004D5736" w:rsidP="00355C6D">
      <w:pPr>
        <w:pStyle w:val="ListParagraph"/>
        <w:numPr>
          <w:ilvl w:val="0"/>
          <w:numId w:val="6"/>
        </w:numPr>
        <w:spacing w:line="480" w:lineRule="auto"/>
        <w:jc w:val="both"/>
        <w:rPr>
          <w:rFonts w:ascii="Times New Roman" w:hAnsi="Times New Roman"/>
          <w:szCs w:val="24"/>
        </w:rPr>
      </w:pPr>
      <w:r w:rsidRPr="00355C6D">
        <w:rPr>
          <w:rFonts w:ascii="Times New Roman" w:hAnsi="Times New Roman"/>
          <w:szCs w:val="24"/>
        </w:rPr>
        <w:t xml:space="preserve">Enlistment of children under 15 years old-12 years imprisonment; and </w:t>
      </w:r>
    </w:p>
    <w:p w14:paraId="04F31D75" w14:textId="77777777" w:rsidR="004D5736" w:rsidRPr="00355C6D" w:rsidRDefault="004D5736" w:rsidP="00355C6D">
      <w:pPr>
        <w:pStyle w:val="ListParagraph"/>
        <w:numPr>
          <w:ilvl w:val="0"/>
          <w:numId w:val="6"/>
        </w:numPr>
        <w:spacing w:line="480" w:lineRule="auto"/>
        <w:jc w:val="both"/>
        <w:rPr>
          <w:rFonts w:ascii="Times New Roman" w:hAnsi="Times New Roman"/>
          <w:szCs w:val="24"/>
        </w:rPr>
      </w:pPr>
      <w:r w:rsidRPr="00355C6D">
        <w:rPr>
          <w:rFonts w:ascii="Times New Roman" w:hAnsi="Times New Roman"/>
          <w:szCs w:val="24"/>
        </w:rPr>
        <w:t>The use of children under 15 years to participate actively in hostilities-14 years imprisonment.</w:t>
      </w:r>
    </w:p>
    <w:p w14:paraId="7DBDD6F6" w14:textId="5E2C93C1" w:rsidR="004D5736" w:rsidRDefault="00710923" w:rsidP="00355C6D">
      <w:pPr>
        <w:spacing w:line="480" w:lineRule="auto"/>
        <w:jc w:val="both"/>
        <w:rPr>
          <w:rFonts w:ascii="Times New Roman" w:hAnsi="Times New Roman"/>
          <w:szCs w:val="24"/>
        </w:rPr>
      </w:pPr>
      <w:r w:rsidRPr="00355C6D">
        <w:rPr>
          <w:rFonts w:ascii="Times New Roman" w:hAnsi="Times New Roman"/>
          <w:szCs w:val="24"/>
        </w:rPr>
        <w:t>Fu</w:t>
      </w:r>
      <w:r w:rsidR="00D7797A" w:rsidRPr="00355C6D">
        <w:rPr>
          <w:rFonts w:ascii="Times New Roman" w:hAnsi="Times New Roman"/>
          <w:szCs w:val="24"/>
        </w:rPr>
        <w:t>r</w:t>
      </w:r>
      <w:r w:rsidRPr="00355C6D">
        <w:rPr>
          <w:rFonts w:ascii="Times New Roman" w:hAnsi="Times New Roman"/>
          <w:szCs w:val="24"/>
        </w:rPr>
        <w:t xml:space="preserve">thermore, </w:t>
      </w:r>
      <w:r w:rsidR="004D5736" w:rsidRPr="00355C6D">
        <w:rPr>
          <w:rFonts w:ascii="Times New Roman" w:hAnsi="Times New Roman"/>
          <w:szCs w:val="24"/>
        </w:rPr>
        <w:t xml:space="preserve">the Chamber pronounced a joint sentence of </w:t>
      </w:r>
      <w:r w:rsidR="00D7797A" w:rsidRPr="00355C6D">
        <w:rPr>
          <w:rFonts w:ascii="Times New Roman" w:hAnsi="Times New Roman"/>
          <w:szCs w:val="24"/>
        </w:rPr>
        <w:t xml:space="preserve">a </w:t>
      </w:r>
      <w:r w:rsidR="004D5736" w:rsidRPr="00355C6D">
        <w:rPr>
          <w:rFonts w:ascii="Times New Roman" w:hAnsi="Times New Roman"/>
          <w:szCs w:val="24"/>
        </w:rPr>
        <w:t>total period of imprisonment as 14 years.</w:t>
      </w:r>
      <w:r w:rsidR="004D5736" w:rsidRPr="00355C6D">
        <w:rPr>
          <w:rStyle w:val="FootnoteReference"/>
          <w:rFonts w:ascii="Times New Roman" w:hAnsi="Times New Roman"/>
          <w:szCs w:val="24"/>
        </w:rPr>
        <w:footnoteReference w:id="991"/>
      </w:r>
    </w:p>
    <w:p w14:paraId="32E32129" w14:textId="39F791EC" w:rsidR="00596548" w:rsidRPr="00A04A07" w:rsidRDefault="00596548" w:rsidP="00596548">
      <w:pPr>
        <w:spacing w:line="480" w:lineRule="auto"/>
        <w:jc w:val="both"/>
        <w:rPr>
          <w:rFonts w:ascii="Times New Roman" w:hAnsi="Times New Roman"/>
          <w:szCs w:val="24"/>
        </w:rPr>
      </w:pPr>
      <w:r w:rsidRPr="00A04A07">
        <w:rPr>
          <w:rFonts w:ascii="Times New Roman" w:hAnsi="Times New Roman"/>
          <w:szCs w:val="24"/>
        </w:rPr>
        <w:t xml:space="preserve">However, </w:t>
      </w:r>
      <w:r w:rsidR="00F042BE">
        <w:rPr>
          <w:rFonts w:ascii="Times New Roman" w:hAnsi="Times New Roman"/>
          <w:szCs w:val="24"/>
        </w:rPr>
        <w:t xml:space="preserve">in her dissenting opinion, Judge </w:t>
      </w:r>
      <w:proofErr w:type="spellStart"/>
      <w:r w:rsidR="00F042BE">
        <w:rPr>
          <w:rFonts w:ascii="Times New Roman" w:hAnsi="Times New Roman"/>
          <w:szCs w:val="24"/>
        </w:rPr>
        <w:t>Odio</w:t>
      </w:r>
      <w:proofErr w:type="spellEnd"/>
      <w:r w:rsidR="00F042BE">
        <w:rPr>
          <w:rFonts w:ascii="Times New Roman" w:hAnsi="Times New Roman"/>
          <w:szCs w:val="24"/>
        </w:rPr>
        <w:t xml:space="preserve"> suggested that ‘punishment and ‘sexual violence’ should have been considered</w:t>
      </w:r>
      <w:r w:rsidRPr="00A04A07">
        <w:rPr>
          <w:rFonts w:ascii="Times New Roman" w:hAnsi="Times New Roman"/>
          <w:szCs w:val="24"/>
        </w:rPr>
        <w:t xml:space="preserve"> aggravating factors in the determination of </w:t>
      </w:r>
      <w:r w:rsidRPr="00A04A07">
        <w:rPr>
          <w:rFonts w:ascii="Times New Roman" w:hAnsi="Times New Roman"/>
          <w:szCs w:val="24"/>
        </w:rPr>
        <w:lastRenderedPageBreak/>
        <w:t>sentence because they resulted in se</w:t>
      </w:r>
      <w:r>
        <w:rPr>
          <w:rFonts w:ascii="Times New Roman" w:hAnsi="Times New Roman"/>
          <w:szCs w:val="24"/>
        </w:rPr>
        <w:t>vere</w:t>
      </w:r>
      <w:r w:rsidRPr="00A04A07">
        <w:rPr>
          <w:rFonts w:ascii="Times New Roman" w:hAnsi="Times New Roman"/>
          <w:szCs w:val="24"/>
        </w:rPr>
        <w:t xml:space="preserve"> and often irreparable harm to the victims and their families.</w:t>
      </w:r>
      <w:r w:rsidRPr="00A04A07">
        <w:rPr>
          <w:rStyle w:val="FootnoteReference"/>
          <w:rFonts w:ascii="Times New Roman" w:hAnsi="Times New Roman"/>
          <w:szCs w:val="24"/>
        </w:rPr>
        <w:footnoteReference w:id="992"/>
      </w:r>
      <w:r w:rsidRPr="00A04A07">
        <w:rPr>
          <w:rFonts w:ascii="Times New Roman" w:hAnsi="Times New Roman"/>
          <w:szCs w:val="24"/>
        </w:rPr>
        <w:t xml:space="preserve"> </w:t>
      </w:r>
      <w:r w:rsidR="00610F2F">
        <w:rPr>
          <w:rFonts w:ascii="Times New Roman" w:hAnsi="Times New Roman"/>
          <w:szCs w:val="24"/>
        </w:rPr>
        <w:t>The learned judge</w:t>
      </w:r>
      <w:r w:rsidRPr="00A04A07">
        <w:rPr>
          <w:rFonts w:ascii="Times New Roman" w:hAnsi="Times New Roman"/>
          <w:szCs w:val="24"/>
        </w:rPr>
        <w:t xml:space="preserve"> noted that it would have considered evidence of sexual violence, had it been introduced during the sentencing stage. Therefore, the Chamber found no aggravating factors.</w:t>
      </w:r>
      <w:r w:rsidRPr="00A04A07">
        <w:rPr>
          <w:rStyle w:val="FootnoteReference"/>
          <w:rFonts w:ascii="Times New Roman" w:hAnsi="Times New Roman"/>
          <w:szCs w:val="24"/>
        </w:rPr>
        <w:footnoteReference w:id="993"/>
      </w:r>
    </w:p>
    <w:p w14:paraId="76EC83D0" w14:textId="7A28E022" w:rsidR="00542B19" w:rsidRDefault="00610F2F" w:rsidP="00355C6D">
      <w:pPr>
        <w:spacing w:line="480" w:lineRule="auto"/>
        <w:jc w:val="both"/>
        <w:rPr>
          <w:rFonts w:ascii="Times New Roman" w:hAnsi="Times New Roman"/>
          <w:szCs w:val="24"/>
        </w:rPr>
      </w:pPr>
      <w:r>
        <w:rPr>
          <w:rFonts w:ascii="Times New Roman" w:hAnsi="Times New Roman"/>
          <w:szCs w:val="24"/>
        </w:rPr>
        <w:t xml:space="preserve">On the same point, </w:t>
      </w:r>
      <w:r w:rsidR="00AB049B" w:rsidRPr="00355C6D">
        <w:rPr>
          <w:rFonts w:ascii="Times New Roman" w:hAnsi="Times New Roman"/>
          <w:szCs w:val="24"/>
        </w:rPr>
        <w:t xml:space="preserve">Judge </w:t>
      </w:r>
      <w:proofErr w:type="spellStart"/>
      <w:r w:rsidR="00AB049B" w:rsidRPr="00355C6D">
        <w:rPr>
          <w:rFonts w:ascii="Times New Roman" w:hAnsi="Times New Roman"/>
          <w:szCs w:val="24"/>
        </w:rPr>
        <w:t>Odio</w:t>
      </w:r>
      <w:proofErr w:type="spellEnd"/>
      <w:r w:rsidR="00AB049B" w:rsidRPr="00355C6D">
        <w:rPr>
          <w:rFonts w:ascii="Times New Roman" w:hAnsi="Times New Roman"/>
          <w:szCs w:val="24"/>
        </w:rPr>
        <w:t xml:space="preserve"> buttressed the gravity of the suffering of child soldiers with the expert opinion of Ms Schauer and evidence of Ms Radhika </w:t>
      </w:r>
      <w:proofErr w:type="spellStart"/>
      <w:r w:rsidR="00AB049B" w:rsidRPr="00355C6D">
        <w:rPr>
          <w:rFonts w:ascii="Times New Roman" w:hAnsi="Times New Roman"/>
          <w:szCs w:val="24"/>
        </w:rPr>
        <w:t>Coomarasway</w:t>
      </w:r>
      <w:proofErr w:type="spellEnd"/>
      <w:r w:rsidR="00AB049B" w:rsidRPr="00355C6D">
        <w:rPr>
          <w:rFonts w:ascii="Times New Roman" w:hAnsi="Times New Roman"/>
          <w:szCs w:val="24"/>
        </w:rPr>
        <w:t>. They both testified to the negative impact on their(child soldiers) education psychological development</w:t>
      </w:r>
      <w:r w:rsidR="00F042BE">
        <w:rPr>
          <w:rFonts w:ascii="Times New Roman" w:hAnsi="Times New Roman"/>
          <w:szCs w:val="24"/>
        </w:rPr>
        <w:t xml:space="preserve"> and</w:t>
      </w:r>
      <w:r w:rsidR="00AB049B" w:rsidRPr="00355C6D">
        <w:rPr>
          <w:rFonts w:ascii="Times New Roman" w:hAnsi="Times New Roman"/>
          <w:szCs w:val="24"/>
        </w:rPr>
        <w:t xml:space="preserve"> the girl child soldiers </w:t>
      </w:r>
      <w:r w:rsidR="00696301">
        <w:rPr>
          <w:rFonts w:ascii="Times New Roman" w:hAnsi="Times New Roman"/>
          <w:szCs w:val="24"/>
        </w:rPr>
        <w:t>subjected</w:t>
      </w:r>
      <w:r w:rsidR="00AB049B" w:rsidRPr="00355C6D">
        <w:rPr>
          <w:rFonts w:ascii="Times New Roman" w:hAnsi="Times New Roman"/>
          <w:szCs w:val="24"/>
        </w:rPr>
        <w:t xml:space="preserve"> to sexual violence.</w:t>
      </w:r>
      <w:r w:rsidR="00AB049B" w:rsidRPr="00355C6D">
        <w:rPr>
          <w:rStyle w:val="FootnoteReference"/>
          <w:rFonts w:ascii="Times New Roman" w:hAnsi="Times New Roman"/>
          <w:szCs w:val="24"/>
        </w:rPr>
        <w:footnoteReference w:id="994"/>
      </w:r>
      <w:r w:rsidR="00AB049B" w:rsidRPr="00355C6D">
        <w:rPr>
          <w:rFonts w:ascii="Times New Roman" w:hAnsi="Times New Roman"/>
          <w:szCs w:val="24"/>
        </w:rPr>
        <w:t xml:space="preserve"> The witness reported that the children narrated an account of systematic sexual violence in the camps</w:t>
      </w:r>
      <w:r w:rsidR="00B0037B">
        <w:rPr>
          <w:rFonts w:ascii="Times New Roman" w:hAnsi="Times New Roman"/>
          <w:szCs w:val="24"/>
        </w:rPr>
        <w:t>—t</w:t>
      </w:r>
      <w:r w:rsidR="00AB049B" w:rsidRPr="00355C6D">
        <w:rPr>
          <w:rFonts w:ascii="Times New Roman" w:hAnsi="Times New Roman"/>
          <w:szCs w:val="24"/>
        </w:rPr>
        <w:t xml:space="preserve">he incidences of pregnancies and abortions, and the subsequent expulsion of the pregnant girls. </w:t>
      </w:r>
      <w:r w:rsidR="00550716" w:rsidRPr="00355C6D">
        <w:rPr>
          <w:rFonts w:ascii="Times New Roman" w:hAnsi="Times New Roman"/>
          <w:szCs w:val="24"/>
        </w:rPr>
        <w:t xml:space="preserve">The learned judge opined that the Majority disregarded the damage caused to the </w:t>
      </w:r>
      <w:r w:rsidR="00D7797A" w:rsidRPr="00355C6D">
        <w:rPr>
          <w:rFonts w:ascii="Times New Roman" w:hAnsi="Times New Roman"/>
          <w:szCs w:val="24"/>
        </w:rPr>
        <w:t>victims and their families.</w:t>
      </w:r>
      <w:r w:rsidR="00542B19" w:rsidRPr="00355C6D">
        <w:rPr>
          <w:rFonts w:ascii="Times New Roman" w:hAnsi="Times New Roman"/>
          <w:szCs w:val="24"/>
        </w:rPr>
        <w:t xml:space="preserve"> However, she </w:t>
      </w:r>
      <w:r>
        <w:rPr>
          <w:rFonts w:ascii="Times New Roman" w:hAnsi="Times New Roman"/>
          <w:szCs w:val="24"/>
        </w:rPr>
        <w:t>reasoned</w:t>
      </w:r>
      <w:r w:rsidR="00542B19" w:rsidRPr="00355C6D">
        <w:rPr>
          <w:rFonts w:ascii="Times New Roman" w:hAnsi="Times New Roman"/>
          <w:szCs w:val="24"/>
        </w:rPr>
        <w:t xml:space="preserve"> that ‘punishment and ‘sexual violence’ should have been considered as aggravating factors</w:t>
      </w:r>
      <w:r w:rsidR="00696301">
        <w:rPr>
          <w:rFonts w:ascii="Times New Roman" w:hAnsi="Times New Roman"/>
          <w:szCs w:val="24"/>
        </w:rPr>
        <w:t xml:space="preserve">. Because they </w:t>
      </w:r>
      <w:r w:rsidR="00542B19" w:rsidRPr="00355C6D">
        <w:rPr>
          <w:rFonts w:ascii="Times New Roman" w:hAnsi="Times New Roman"/>
          <w:szCs w:val="24"/>
        </w:rPr>
        <w:t>resulted in se</w:t>
      </w:r>
      <w:r w:rsidR="00596548">
        <w:rPr>
          <w:rFonts w:ascii="Times New Roman" w:hAnsi="Times New Roman"/>
          <w:szCs w:val="24"/>
        </w:rPr>
        <w:t>vere</w:t>
      </w:r>
      <w:r w:rsidR="00542B19" w:rsidRPr="00355C6D">
        <w:rPr>
          <w:rFonts w:ascii="Times New Roman" w:hAnsi="Times New Roman"/>
          <w:szCs w:val="24"/>
        </w:rPr>
        <w:t xml:space="preserve"> and often irreparable harm to the victims and their families</w:t>
      </w:r>
      <w:r w:rsidR="00596548">
        <w:rPr>
          <w:rFonts w:ascii="Times New Roman" w:hAnsi="Times New Roman"/>
          <w:szCs w:val="24"/>
        </w:rPr>
        <w:t>; which puts them</w:t>
      </w:r>
      <w:r w:rsidR="00596548" w:rsidRPr="00596548">
        <w:rPr>
          <w:rFonts w:ascii="Times New Roman" w:hAnsi="Times New Roman"/>
          <w:szCs w:val="24"/>
        </w:rPr>
        <w:t xml:space="preserve"> </w:t>
      </w:r>
      <w:r w:rsidR="00596548" w:rsidRPr="001027D5">
        <w:rPr>
          <w:rFonts w:ascii="Times New Roman" w:hAnsi="Times New Roman"/>
          <w:i/>
          <w:szCs w:val="24"/>
        </w:rPr>
        <w:t>at risk of severe physical and emotional harm’ and death</w:t>
      </w:r>
      <w:r>
        <w:rPr>
          <w:rFonts w:ascii="Times New Roman" w:hAnsi="Times New Roman"/>
          <w:i/>
          <w:szCs w:val="24"/>
        </w:rPr>
        <w:t>.</w:t>
      </w:r>
      <w:r w:rsidR="00596548" w:rsidRPr="001027D5">
        <w:rPr>
          <w:rFonts w:ascii="Times New Roman" w:hAnsi="Times New Roman"/>
          <w:i/>
          <w:szCs w:val="24"/>
        </w:rPr>
        <w:t>’</w:t>
      </w:r>
      <w:r w:rsidR="00596548" w:rsidRPr="001027D5">
        <w:rPr>
          <w:rStyle w:val="FootnoteReference"/>
          <w:rFonts w:ascii="Times New Roman" w:hAnsi="Times New Roman"/>
          <w:szCs w:val="24"/>
        </w:rPr>
        <w:footnoteReference w:id="995"/>
      </w:r>
      <w:r w:rsidR="00542B19" w:rsidRPr="00355C6D">
        <w:rPr>
          <w:rFonts w:ascii="Times New Roman" w:hAnsi="Times New Roman"/>
          <w:szCs w:val="24"/>
        </w:rPr>
        <w:t xml:space="preserve">. </w:t>
      </w:r>
      <w:r w:rsidR="00D7797A" w:rsidRPr="00355C6D">
        <w:rPr>
          <w:rFonts w:ascii="Times New Roman" w:hAnsi="Times New Roman"/>
          <w:szCs w:val="24"/>
        </w:rPr>
        <w:t>She</w:t>
      </w:r>
      <w:r w:rsidR="00550716" w:rsidRPr="00355C6D">
        <w:rPr>
          <w:rFonts w:ascii="Times New Roman" w:hAnsi="Times New Roman"/>
          <w:szCs w:val="24"/>
        </w:rPr>
        <w:t xml:space="preserve"> stressed the </w:t>
      </w:r>
      <w:r w:rsidR="00F042BE">
        <w:rPr>
          <w:rFonts w:ascii="Times New Roman" w:hAnsi="Times New Roman"/>
          <w:szCs w:val="24"/>
        </w:rPr>
        <w:t>Majority's indifference</w:t>
      </w:r>
      <w:r w:rsidR="00D7797A" w:rsidRPr="00355C6D">
        <w:rPr>
          <w:rFonts w:ascii="Times New Roman" w:hAnsi="Times New Roman"/>
          <w:szCs w:val="24"/>
        </w:rPr>
        <w:t xml:space="preserve"> to </w:t>
      </w:r>
      <w:r w:rsidR="00477879">
        <w:rPr>
          <w:rFonts w:ascii="Times New Roman" w:hAnsi="Times New Roman"/>
          <w:szCs w:val="24"/>
        </w:rPr>
        <w:t>victims' los</w:t>
      </w:r>
      <w:r w:rsidR="00550716" w:rsidRPr="00355C6D">
        <w:rPr>
          <w:rFonts w:ascii="Times New Roman" w:hAnsi="Times New Roman"/>
          <w:szCs w:val="24"/>
        </w:rPr>
        <w:t xml:space="preserve">s </w:t>
      </w:r>
      <w:r w:rsidR="00696301">
        <w:rPr>
          <w:rFonts w:ascii="Times New Roman" w:hAnsi="Times New Roman"/>
          <w:szCs w:val="24"/>
        </w:rPr>
        <w:t>due to</w:t>
      </w:r>
      <w:r w:rsidR="00550716" w:rsidRPr="00355C6D">
        <w:rPr>
          <w:rFonts w:ascii="Times New Roman" w:hAnsi="Times New Roman"/>
          <w:szCs w:val="24"/>
        </w:rPr>
        <w:t xml:space="preserve"> harsh punishments and sexual violence.</w:t>
      </w:r>
      <w:r w:rsidR="00550716" w:rsidRPr="00355C6D">
        <w:rPr>
          <w:rStyle w:val="FootnoteReference"/>
          <w:rFonts w:ascii="Times New Roman" w:hAnsi="Times New Roman"/>
          <w:szCs w:val="24"/>
        </w:rPr>
        <w:footnoteReference w:id="996"/>
      </w:r>
      <w:r w:rsidR="00D7797A" w:rsidRPr="00355C6D">
        <w:rPr>
          <w:rFonts w:ascii="Times New Roman" w:hAnsi="Times New Roman"/>
          <w:szCs w:val="24"/>
        </w:rPr>
        <w:t xml:space="preserve"> Sh</w:t>
      </w:r>
      <w:r w:rsidR="00542B19" w:rsidRPr="00355C6D">
        <w:rPr>
          <w:rFonts w:ascii="Times New Roman" w:hAnsi="Times New Roman"/>
          <w:szCs w:val="24"/>
        </w:rPr>
        <w:t>e argued</w:t>
      </w:r>
      <w:r w:rsidR="00550716" w:rsidRPr="00355C6D">
        <w:rPr>
          <w:rFonts w:ascii="Times New Roman" w:hAnsi="Times New Roman"/>
          <w:szCs w:val="24"/>
        </w:rPr>
        <w:t xml:space="preserve"> that the Majority of Chamber considered;</w:t>
      </w:r>
      <w:r w:rsidR="00D7797A" w:rsidRPr="00355C6D">
        <w:rPr>
          <w:rFonts w:ascii="Times New Roman" w:hAnsi="Times New Roman"/>
          <w:szCs w:val="24"/>
        </w:rPr>
        <w:t xml:space="preserve"> </w:t>
      </w:r>
      <w:r w:rsidR="00550716" w:rsidRPr="00355C6D">
        <w:rPr>
          <w:rFonts w:ascii="Times New Roman" w:hAnsi="Times New Roman"/>
          <w:szCs w:val="24"/>
        </w:rPr>
        <w:t xml:space="preserve">a)the large and widespread nature of the crimes </w:t>
      </w:r>
      <w:proofErr w:type="spellStart"/>
      <w:r w:rsidR="00550716" w:rsidRPr="00355C6D">
        <w:rPr>
          <w:rFonts w:ascii="Times New Roman" w:hAnsi="Times New Roman"/>
          <w:szCs w:val="24"/>
        </w:rPr>
        <w:t>committed;b</w:t>
      </w:r>
      <w:proofErr w:type="spellEnd"/>
      <w:r w:rsidR="00550716" w:rsidRPr="00355C6D">
        <w:rPr>
          <w:rFonts w:ascii="Times New Roman" w:hAnsi="Times New Roman"/>
          <w:szCs w:val="24"/>
        </w:rPr>
        <w:t xml:space="preserve">) the degree of participation and intent of </w:t>
      </w:r>
      <w:r w:rsidR="00550716" w:rsidRPr="00355C6D">
        <w:rPr>
          <w:rFonts w:ascii="Times New Roman" w:hAnsi="Times New Roman"/>
          <w:szCs w:val="24"/>
        </w:rPr>
        <w:lastRenderedPageBreak/>
        <w:t xml:space="preserve">the convicted person; and c) the </w:t>
      </w:r>
      <w:r w:rsidR="00F042BE">
        <w:rPr>
          <w:rFonts w:ascii="Times New Roman" w:hAnsi="Times New Roman"/>
          <w:szCs w:val="24"/>
        </w:rPr>
        <w:t>convicted person's individual circumstances</w:t>
      </w:r>
      <w:r w:rsidR="00550716" w:rsidRPr="00355C6D">
        <w:rPr>
          <w:rFonts w:ascii="Times New Roman" w:hAnsi="Times New Roman"/>
          <w:szCs w:val="24"/>
        </w:rPr>
        <w:t xml:space="preserve"> as the ‘fundamental factors</w:t>
      </w:r>
      <w:r>
        <w:rPr>
          <w:rFonts w:ascii="Times New Roman" w:hAnsi="Times New Roman"/>
          <w:szCs w:val="24"/>
        </w:rPr>
        <w:t>.</w:t>
      </w:r>
      <w:r w:rsidR="00550716" w:rsidRPr="00355C6D">
        <w:rPr>
          <w:rFonts w:ascii="Times New Roman" w:hAnsi="Times New Roman"/>
          <w:szCs w:val="24"/>
        </w:rPr>
        <w:t>’</w:t>
      </w:r>
      <w:r w:rsidR="00550716" w:rsidRPr="00355C6D">
        <w:rPr>
          <w:rStyle w:val="FootnoteReference"/>
          <w:rFonts w:ascii="Times New Roman" w:hAnsi="Times New Roman"/>
          <w:szCs w:val="24"/>
        </w:rPr>
        <w:footnoteReference w:id="997"/>
      </w:r>
      <w:r w:rsidR="00550716" w:rsidRPr="00355C6D">
        <w:rPr>
          <w:rFonts w:ascii="Times New Roman" w:hAnsi="Times New Roman"/>
          <w:szCs w:val="24"/>
        </w:rPr>
        <w:t>Initially,</w:t>
      </w:r>
      <w:r w:rsidR="00B0037B">
        <w:rPr>
          <w:rFonts w:ascii="Times New Roman" w:hAnsi="Times New Roman"/>
          <w:szCs w:val="24"/>
        </w:rPr>
        <w:t xml:space="preserve"> </w:t>
      </w:r>
      <w:r w:rsidR="00550716" w:rsidRPr="00355C6D">
        <w:rPr>
          <w:rFonts w:ascii="Times New Roman" w:hAnsi="Times New Roman"/>
          <w:szCs w:val="24"/>
        </w:rPr>
        <w:t>the Chamber acknowledged ‘the harm caused to victims and their families as a factor of gravity pursuant to Rule 145(1) © of the Rules.</w:t>
      </w:r>
      <w:r w:rsidR="00550716" w:rsidRPr="00355C6D">
        <w:rPr>
          <w:rStyle w:val="FootnoteReference"/>
          <w:rFonts w:ascii="Times New Roman" w:hAnsi="Times New Roman"/>
          <w:szCs w:val="24"/>
        </w:rPr>
        <w:footnoteReference w:id="998"/>
      </w:r>
      <w:r w:rsidR="00550716" w:rsidRPr="00355C6D">
        <w:rPr>
          <w:rFonts w:ascii="Times New Roman" w:hAnsi="Times New Roman"/>
          <w:szCs w:val="24"/>
        </w:rPr>
        <w:t xml:space="preserve">Subsequently, it disregarded this item as a factor of gravity. </w:t>
      </w:r>
      <w:r w:rsidR="00D7797A" w:rsidRPr="00355C6D">
        <w:rPr>
          <w:rFonts w:ascii="Times New Roman" w:hAnsi="Times New Roman"/>
          <w:szCs w:val="24"/>
        </w:rPr>
        <w:t>S</w:t>
      </w:r>
      <w:r w:rsidR="00550716" w:rsidRPr="00355C6D">
        <w:rPr>
          <w:rFonts w:ascii="Times New Roman" w:hAnsi="Times New Roman"/>
          <w:szCs w:val="24"/>
        </w:rPr>
        <w:t>he emphasised that the Chamber received sufficient evidence to establish the punishments,</w:t>
      </w:r>
      <w:r w:rsidR="00730306" w:rsidRPr="00355C6D">
        <w:rPr>
          <w:rFonts w:ascii="Times New Roman" w:hAnsi="Times New Roman"/>
          <w:szCs w:val="24"/>
        </w:rPr>
        <w:t xml:space="preserve"> </w:t>
      </w:r>
      <w:r w:rsidR="00550716" w:rsidRPr="00355C6D">
        <w:rPr>
          <w:rFonts w:ascii="Times New Roman" w:hAnsi="Times New Roman"/>
          <w:szCs w:val="24"/>
        </w:rPr>
        <w:t>harsh conditions and sexual violence</w:t>
      </w:r>
      <w:r w:rsidR="00730306" w:rsidRPr="00355C6D">
        <w:rPr>
          <w:rFonts w:ascii="Times New Roman" w:hAnsi="Times New Roman"/>
          <w:szCs w:val="24"/>
        </w:rPr>
        <w:t xml:space="preserve"> </w:t>
      </w:r>
      <w:r w:rsidR="00550716" w:rsidRPr="00355C6D">
        <w:rPr>
          <w:rFonts w:ascii="Times New Roman" w:hAnsi="Times New Roman"/>
          <w:szCs w:val="24"/>
        </w:rPr>
        <w:t xml:space="preserve">suffered by the victims </w:t>
      </w:r>
      <w:r w:rsidR="00F042BE">
        <w:rPr>
          <w:rFonts w:ascii="Times New Roman" w:hAnsi="Times New Roman"/>
          <w:szCs w:val="24"/>
        </w:rPr>
        <w:t>due to</w:t>
      </w:r>
      <w:r w:rsidR="00550716" w:rsidRPr="00355C6D">
        <w:rPr>
          <w:rFonts w:ascii="Times New Roman" w:hAnsi="Times New Roman"/>
          <w:szCs w:val="24"/>
        </w:rPr>
        <w:t xml:space="preserve"> their recruitment in the camps. Therefore, these items should have been factored in when determining the sentence</w:t>
      </w:r>
      <w:r w:rsidR="00550716" w:rsidRPr="001027D5">
        <w:rPr>
          <w:rFonts w:ascii="Times New Roman" w:hAnsi="Times New Roman"/>
          <w:szCs w:val="24"/>
        </w:rPr>
        <w:t xml:space="preserve"> against the convicted person</w:t>
      </w:r>
      <w:r w:rsidR="00AB049B" w:rsidRPr="00AB049B">
        <w:rPr>
          <w:rFonts w:ascii="Times New Roman" w:hAnsi="Times New Roman"/>
          <w:szCs w:val="24"/>
        </w:rPr>
        <w:t xml:space="preserve"> </w:t>
      </w:r>
      <w:r w:rsidR="00AB049B">
        <w:rPr>
          <w:rFonts w:ascii="Times New Roman" w:hAnsi="Times New Roman"/>
          <w:szCs w:val="24"/>
        </w:rPr>
        <w:t>as</w:t>
      </w:r>
      <w:r w:rsidR="00AB049B" w:rsidRPr="001027D5">
        <w:rPr>
          <w:rFonts w:ascii="Times New Roman" w:hAnsi="Times New Roman"/>
          <w:szCs w:val="24"/>
        </w:rPr>
        <w:t xml:space="preserve"> is it precipitates ‘</w:t>
      </w:r>
      <w:r w:rsidR="00AB049B" w:rsidRPr="001027D5">
        <w:rPr>
          <w:rFonts w:ascii="Times New Roman" w:hAnsi="Times New Roman"/>
          <w:i/>
          <w:szCs w:val="24"/>
        </w:rPr>
        <w:t>serious’</w:t>
      </w:r>
      <w:r w:rsidR="00AB049B" w:rsidRPr="001027D5">
        <w:rPr>
          <w:rFonts w:ascii="Times New Roman" w:hAnsi="Times New Roman"/>
          <w:szCs w:val="24"/>
        </w:rPr>
        <w:t xml:space="preserve"> and  ‘</w:t>
      </w:r>
      <w:r w:rsidR="00AB049B" w:rsidRPr="001027D5">
        <w:rPr>
          <w:rFonts w:ascii="Times New Roman" w:hAnsi="Times New Roman"/>
          <w:i/>
          <w:szCs w:val="24"/>
        </w:rPr>
        <w:t>irreparable harm’</w:t>
      </w:r>
      <w:r w:rsidR="00AB049B" w:rsidRPr="001027D5">
        <w:rPr>
          <w:rFonts w:ascii="Times New Roman" w:hAnsi="Times New Roman"/>
          <w:szCs w:val="24"/>
        </w:rPr>
        <w:t xml:space="preserve"> to</w:t>
      </w:r>
      <w:r w:rsidR="00AB049B">
        <w:rPr>
          <w:rFonts w:ascii="Times New Roman" w:hAnsi="Times New Roman"/>
          <w:szCs w:val="24"/>
        </w:rPr>
        <w:t xml:space="preserve"> the victims and their families</w:t>
      </w:r>
      <w:r w:rsidR="00550716" w:rsidRPr="001027D5">
        <w:rPr>
          <w:rFonts w:ascii="Times New Roman" w:hAnsi="Times New Roman"/>
          <w:szCs w:val="24"/>
        </w:rPr>
        <w:t>.</w:t>
      </w:r>
      <w:r w:rsidR="00550716" w:rsidRPr="001027D5">
        <w:rPr>
          <w:rStyle w:val="FootnoteReference"/>
          <w:rFonts w:ascii="Times New Roman" w:hAnsi="Times New Roman"/>
          <w:szCs w:val="24"/>
        </w:rPr>
        <w:footnoteReference w:id="999"/>
      </w:r>
      <w:r w:rsidR="00542B19" w:rsidRPr="00542B19">
        <w:rPr>
          <w:rFonts w:ascii="Times New Roman" w:hAnsi="Times New Roman"/>
          <w:szCs w:val="24"/>
        </w:rPr>
        <w:t xml:space="preserve"> </w:t>
      </w:r>
    </w:p>
    <w:p w14:paraId="6A89CADB" w14:textId="6043FED0" w:rsidR="00AB049B" w:rsidRPr="001027D5" w:rsidRDefault="00AB049B" w:rsidP="00355C6D">
      <w:pPr>
        <w:spacing w:line="480" w:lineRule="auto"/>
        <w:jc w:val="both"/>
        <w:rPr>
          <w:rFonts w:ascii="Times New Roman" w:hAnsi="Times New Roman"/>
          <w:szCs w:val="24"/>
        </w:rPr>
      </w:pPr>
      <w:r w:rsidRPr="001027D5">
        <w:rPr>
          <w:rFonts w:ascii="Times New Roman" w:hAnsi="Times New Roman"/>
          <w:szCs w:val="24"/>
        </w:rPr>
        <w:t xml:space="preserve">Regarding the term of imprisonment, judge </w:t>
      </w:r>
      <w:proofErr w:type="spellStart"/>
      <w:r w:rsidRPr="001027D5">
        <w:rPr>
          <w:rFonts w:ascii="Times New Roman" w:hAnsi="Times New Roman"/>
          <w:szCs w:val="24"/>
        </w:rPr>
        <w:t>Odio</w:t>
      </w:r>
      <w:proofErr w:type="spellEnd"/>
      <w:r w:rsidRPr="001027D5">
        <w:rPr>
          <w:rFonts w:ascii="Times New Roman" w:hAnsi="Times New Roman"/>
          <w:szCs w:val="24"/>
        </w:rPr>
        <w:t xml:space="preserve"> criticised the majority’s decision to impose a lower sentence to the crime of enlistment, 12 years, a higher sentence to the crime of conscription, 13 years and an even </w:t>
      </w:r>
      <w:r w:rsidR="00596548">
        <w:rPr>
          <w:rFonts w:ascii="Times New Roman" w:hAnsi="Times New Roman"/>
          <w:szCs w:val="24"/>
        </w:rPr>
        <w:t>sever</w:t>
      </w:r>
      <w:r w:rsidRPr="001027D5">
        <w:rPr>
          <w:rFonts w:ascii="Times New Roman" w:hAnsi="Times New Roman"/>
          <w:szCs w:val="24"/>
        </w:rPr>
        <w:t xml:space="preserve">er </w:t>
      </w:r>
      <w:r w:rsidR="00596548">
        <w:rPr>
          <w:rFonts w:ascii="Times New Roman" w:hAnsi="Times New Roman"/>
          <w:szCs w:val="24"/>
        </w:rPr>
        <w:t>punishment</w:t>
      </w:r>
      <w:r w:rsidRPr="001027D5">
        <w:rPr>
          <w:rFonts w:ascii="Times New Roman" w:hAnsi="Times New Roman"/>
          <w:szCs w:val="24"/>
        </w:rPr>
        <w:t xml:space="preserve"> to the crime of the use of children to participate in the hostilities, 14 years.</w:t>
      </w:r>
      <w:r w:rsidR="00596548">
        <w:rPr>
          <w:rFonts w:ascii="Times New Roman" w:hAnsi="Times New Roman"/>
          <w:szCs w:val="24"/>
        </w:rPr>
        <w:t xml:space="preserve"> She a</w:t>
      </w:r>
      <w:r w:rsidR="00610F2F">
        <w:rPr>
          <w:rFonts w:ascii="Times New Roman" w:hAnsi="Times New Roman"/>
          <w:szCs w:val="24"/>
        </w:rPr>
        <w:t>sserted</w:t>
      </w:r>
      <w:r w:rsidR="00596548">
        <w:rPr>
          <w:rFonts w:ascii="Times New Roman" w:hAnsi="Times New Roman"/>
          <w:szCs w:val="24"/>
        </w:rPr>
        <w:t xml:space="preserve"> </w:t>
      </w:r>
      <w:r w:rsidRPr="001027D5">
        <w:rPr>
          <w:rFonts w:ascii="Times New Roman" w:hAnsi="Times New Roman"/>
          <w:szCs w:val="24"/>
        </w:rPr>
        <w:t xml:space="preserve">that the distinction in term of imprisonment gives a wrong impression about </w:t>
      </w:r>
      <w:r w:rsidR="00F042BE">
        <w:rPr>
          <w:rFonts w:ascii="Times New Roman" w:hAnsi="Times New Roman"/>
          <w:szCs w:val="24"/>
        </w:rPr>
        <w:t>each crime's consequences</w:t>
      </w:r>
      <w:r w:rsidRPr="001027D5">
        <w:rPr>
          <w:rFonts w:ascii="Times New Roman" w:hAnsi="Times New Roman"/>
          <w:szCs w:val="24"/>
        </w:rPr>
        <w:t xml:space="preserve">. Although the crimes are ‘distinct and separate crimes’, they are </w:t>
      </w:r>
      <w:r>
        <w:rPr>
          <w:rFonts w:ascii="Times New Roman" w:hAnsi="Times New Roman"/>
          <w:szCs w:val="24"/>
        </w:rPr>
        <w:t xml:space="preserve">the </w:t>
      </w:r>
      <w:r w:rsidRPr="001027D5">
        <w:rPr>
          <w:rFonts w:ascii="Times New Roman" w:hAnsi="Times New Roman"/>
          <w:szCs w:val="24"/>
        </w:rPr>
        <w:t>outcome of a common plan implemented by Mr Lubanga.</w:t>
      </w:r>
      <w:r w:rsidRPr="001027D5">
        <w:rPr>
          <w:rStyle w:val="FootnoteReference"/>
          <w:rFonts w:ascii="Times New Roman" w:hAnsi="Times New Roman"/>
          <w:szCs w:val="24"/>
        </w:rPr>
        <w:footnoteReference w:id="1000"/>
      </w:r>
      <w:r w:rsidRPr="001027D5">
        <w:rPr>
          <w:rFonts w:ascii="Times New Roman" w:hAnsi="Times New Roman"/>
          <w:szCs w:val="24"/>
        </w:rPr>
        <w:t xml:space="preserve"> The learned judge opined that Mr Lubanga should be sentenced to 15 years imprisonment for each of the crime of enlistment, conscription and the use of children under the age of 15 years to participate </w:t>
      </w:r>
      <w:r w:rsidRPr="001027D5">
        <w:rPr>
          <w:rFonts w:ascii="Times New Roman" w:hAnsi="Times New Roman"/>
          <w:szCs w:val="24"/>
        </w:rPr>
        <w:lastRenderedPageBreak/>
        <w:t>actively in hostilities.</w:t>
      </w:r>
      <w:r w:rsidRPr="001027D5">
        <w:rPr>
          <w:rStyle w:val="FootnoteReference"/>
          <w:rFonts w:ascii="Times New Roman" w:hAnsi="Times New Roman"/>
          <w:szCs w:val="24"/>
        </w:rPr>
        <w:footnoteReference w:id="1001"/>
      </w:r>
      <w:r w:rsidRPr="001027D5">
        <w:rPr>
          <w:rFonts w:ascii="Times New Roman" w:hAnsi="Times New Roman"/>
          <w:szCs w:val="24"/>
        </w:rPr>
        <w:t>Thus, the joint years of imprisonment should have been 15</w:t>
      </w:r>
      <w:r w:rsidR="00610F2F">
        <w:rPr>
          <w:rFonts w:ascii="Times New Roman" w:hAnsi="Times New Roman"/>
          <w:szCs w:val="24"/>
        </w:rPr>
        <w:t xml:space="preserve"> </w:t>
      </w:r>
      <w:r w:rsidRPr="001027D5">
        <w:rPr>
          <w:rFonts w:ascii="Times New Roman" w:hAnsi="Times New Roman"/>
          <w:szCs w:val="24"/>
        </w:rPr>
        <w:t>years of imprisonment.</w:t>
      </w:r>
      <w:r w:rsidRPr="001027D5">
        <w:rPr>
          <w:rStyle w:val="FootnoteReference"/>
          <w:rFonts w:ascii="Times New Roman" w:hAnsi="Times New Roman"/>
          <w:szCs w:val="24"/>
        </w:rPr>
        <w:footnoteReference w:id="1002"/>
      </w:r>
    </w:p>
    <w:p w14:paraId="5ABCB8D3" w14:textId="362FD63C" w:rsidR="00550716" w:rsidRPr="001027D5" w:rsidRDefault="00550716" w:rsidP="00355C6D">
      <w:pPr>
        <w:spacing w:line="480" w:lineRule="auto"/>
        <w:jc w:val="both"/>
        <w:rPr>
          <w:rFonts w:ascii="Times New Roman" w:hAnsi="Times New Roman"/>
          <w:szCs w:val="24"/>
        </w:rPr>
      </w:pPr>
      <w:r w:rsidRPr="001027D5">
        <w:rPr>
          <w:rFonts w:ascii="Times New Roman" w:hAnsi="Times New Roman"/>
          <w:szCs w:val="24"/>
        </w:rPr>
        <w:t xml:space="preserve">Arguably, </w:t>
      </w:r>
      <w:r w:rsidR="00596548">
        <w:rPr>
          <w:rFonts w:ascii="Times New Roman" w:hAnsi="Times New Roman"/>
          <w:szCs w:val="24"/>
        </w:rPr>
        <w:t xml:space="preserve">the court could have considered the item for </w:t>
      </w:r>
      <w:r w:rsidR="00F042BE">
        <w:rPr>
          <w:rFonts w:ascii="Times New Roman" w:hAnsi="Times New Roman"/>
          <w:szCs w:val="24"/>
        </w:rPr>
        <w:t>recruiting</w:t>
      </w:r>
      <w:r w:rsidR="00596548">
        <w:rPr>
          <w:rFonts w:ascii="Times New Roman" w:hAnsi="Times New Roman"/>
          <w:szCs w:val="24"/>
        </w:rPr>
        <w:t xml:space="preserve"> under 15 children </w:t>
      </w:r>
      <w:r w:rsidR="00730306">
        <w:rPr>
          <w:rFonts w:ascii="Times New Roman" w:hAnsi="Times New Roman"/>
          <w:szCs w:val="24"/>
        </w:rPr>
        <w:t>in the armed conflict. The exclusion</w:t>
      </w:r>
      <w:r w:rsidR="00596548">
        <w:rPr>
          <w:rFonts w:ascii="Times New Roman" w:hAnsi="Times New Roman"/>
          <w:szCs w:val="24"/>
        </w:rPr>
        <w:t xml:space="preserve"> would suggest </w:t>
      </w:r>
      <w:r w:rsidRPr="001027D5">
        <w:rPr>
          <w:rFonts w:ascii="Times New Roman" w:hAnsi="Times New Roman"/>
          <w:szCs w:val="24"/>
        </w:rPr>
        <w:t>that the</w:t>
      </w:r>
      <w:r w:rsidR="00596548">
        <w:rPr>
          <w:rFonts w:ascii="Times New Roman" w:hAnsi="Times New Roman"/>
          <w:szCs w:val="24"/>
        </w:rPr>
        <w:t xml:space="preserve"> children’ suffering was not severe for the gravity of the crime. Also, the Chamber rejected the effects of sexual violence. </w:t>
      </w:r>
      <w:r w:rsidRPr="001027D5">
        <w:rPr>
          <w:rFonts w:ascii="Times New Roman" w:hAnsi="Times New Roman"/>
          <w:szCs w:val="24"/>
        </w:rPr>
        <w:t>One possible explanation for this might be relate</w:t>
      </w:r>
      <w:r w:rsidR="0029422B">
        <w:rPr>
          <w:rFonts w:ascii="Times New Roman" w:hAnsi="Times New Roman"/>
          <w:szCs w:val="24"/>
        </w:rPr>
        <w:t>d to inadequate evidence on these alleged</w:t>
      </w:r>
      <w:r w:rsidRPr="001027D5">
        <w:rPr>
          <w:rFonts w:ascii="Times New Roman" w:hAnsi="Times New Roman"/>
          <w:szCs w:val="24"/>
        </w:rPr>
        <w:t xml:space="preserve"> crimes. Nonetheless, this does not preclude the fact that the offender</w:t>
      </w:r>
      <w:r w:rsidR="0029422B">
        <w:rPr>
          <w:rFonts w:ascii="Times New Roman" w:hAnsi="Times New Roman"/>
          <w:szCs w:val="24"/>
        </w:rPr>
        <w:t xml:space="preserve"> might have been responsible for the commission of </w:t>
      </w:r>
      <w:r w:rsidRPr="001027D5">
        <w:rPr>
          <w:rFonts w:ascii="Times New Roman" w:hAnsi="Times New Roman"/>
          <w:szCs w:val="24"/>
        </w:rPr>
        <w:t>the alleged crimes. It connotes that the evidence was not sufficient enough to warrant ch</w:t>
      </w:r>
      <w:r w:rsidR="0029422B">
        <w:rPr>
          <w:rFonts w:ascii="Times New Roman" w:hAnsi="Times New Roman"/>
          <w:szCs w:val="24"/>
        </w:rPr>
        <w:t>arg</w:t>
      </w:r>
      <w:r w:rsidR="00542B19">
        <w:rPr>
          <w:rFonts w:ascii="Times New Roman" w:hAnsi="Times New Roman"/>
          <w:szCs w:val="24"/>
        </w:rPr>
        <w:t>es and subsequent conviction as well as</w:t>
      </w:r>
      <w:r w:rsidR="0029422B">
        <w:rPr>
          <w:rFonts w:ascii="Times New Roman" w:hAnsi="Times New Roman"/>
          <w:szCs w:val="24"/>
        </w:rPr>
        <w:t xml:space="preserve"> </w:t>
      </w:r>
      <w:r w:rsidR="00542B19">
        <w:rPr>
          <w:rFonts w:ascii="Times New Roman" w:hAnsi="Times New Roman"/>
          <w:szCs w:val="24"/>
        </w:rPr>
        <w:t xml:space="preserve">the </w:t>
      </w:r>
      <w:r w:rsidR="0029422B">
        <w:rPr>
          <w:rFonts w:ascii="Times New Roman" w:hAnsi="Times New Roman"/>
          <w:szCs w:val="24"/>
        </w:rPr>
        <w:t>sentence</w:t>
      </w:r>
      <w:r w:rsidR="00542B19">
        <w:rPr>
          <w:rFonts w:ascii="Times New Roman" w:hAnsi="Times New Roman"/>
          <w:szCs w:val="24"/>
        </w:rPr>
        <w:t>. The declared sentence</w:t>
      </w:r>
      <w:r w:rsidRPr="001027D5">
        <w:rPr>
          <w:rFonts w:ascii="Times New Roman" w:hAnsi="Times New Roman"/>
          <w:szCs w:val="24"/>
        </w:rPr>
        <w:t xml:space="preserve"> </w:t>
      </w:r>
      <w:r w:rsidR="00F042BE">
        <w:rPr>
          <w:rFonts w:ascii="Times New Roman" w:hAnsi="Times New Roman"/>
          <w:szCs w:val="24"/>
        </w:rPr>
        <w:t>shows</w:t>
      </w:r>
      <w:r w:rsidRPr="001027D5">
        <w:rPr>
          <w:rFonts w:ascii="Times New Roman" w:hAnsi="Times New Roman"/>
          <w:szCs w:val="24"/>
        </w:rPr>
        <w:t xml:space="preserve"> th</w:t>
      </w:r>
      <w:r w:rsidR="00696301">
        <w:rPr>
          <w:rFonts w:ascii="Times New Roman" w:hAnsi="Times New Roman"/>
          <w:szCs w:val="24"/>
        </w:rPr>
        <w:t>at the criminal proceedings' outcome</w:t>
      </w:r>
      <w:r w:rsidRPr="001027D5">
        <w:rPr>
          <w:rFonts w:ascii="Times New Roman" w:hAnsi="Times New Roman"/>
          <w:szCs w:val="24"/>
        </w:rPr>
        <w:t xml:space="preserve"> is a product of persuasive or convincing evidence from the parties, r</w:t>
      </w:r>
      <w:r w:rsidR="00542B19">
        <w:rPr>
          <w:rFonts w:ascii="Times New Roman" w:hAnsi="Times New Roman"/>
          <w:szCs w:val="24"/>
        </w:rPr>
        <w:t xml:space="preserve">ather than the stated sentence being victim-focused. </w:t>
      </w:r>
      <w:r w:rsidRPr="001027D5">
        <w:rPr>
          <w:rFonts w:ascii="Times New Roman" w:hAnsi="Times New Roman"/>
          <w:szCs w:val="24"/>
        </w:rPr>
        <w:t xml:space="preserve">Hence, this corroborates the fact that the outcome relies heavily on the preponderance of </w:t>
      </w:r>
      <w:r w:rsidR="00542B19">
        <w:rPr>
          <w:rFonts w:ascii="Times New Roman" w:hAnsi="Times New Roman"/>
          <w:szCs w:val="24"/>
        </w:rPr>
        <w:t xml:space="preserve">the </w:t>
      </w:r>
      <w:r w:rsidRPr="001027D5">
        <w:rPr>
          <w:rFonts w:ascii="Times New Roman" w:hAnsi="Times New Roman"/>
          <w:szCs w:val="24"/>
        </w:rPr>
        <w:t>evidence.</w:t>
      </w:r>
    </w:p>
    <w:p w14:paraId="71D058C4" w14:textId="3DB9298E" w:rsidR="006A7572" w:rsidRPr="00AB049B" w:rsidRDefault="006A7572" w:rsidP="00355C6D">
      <w:pPr>
        <w:spacing w:line="480" w:lineRule="auto"/>
        <w:jc w:val="both"/>
        <w:rPr>
          <w:rFonts w:ascii="Times New Roman" w:hAnsi="Times New Roman"/>
          <w:szCs w:val="24"/>
        </w:rPr>
      </w:pPr>
      <w:r w:rsidRPr="00AB049B">
        <w:rPr>
          <w:rFonts w:ascii="Times New Roman" w:hAnsi="Times New Roman"/>
          <w:szCs w:val="24"/>
        </w:rPr>
        <w:t xml:space="preserve">Following the sentencing, and the appeal </w:t>
      </w:r>
      <w:r w:rsidR="003D5BB8">
        <w:rPr>
          <w:rFonts w:ascii="Times New Roman" w:hAnsi="Times New Roman"/>
          <w:szCs w:val="24"/>
        </w:rPr>
        <w:t>after that</w:t>
      </w:r>
      <w:r w:rsidRPr="00AB049B">
        <w:rPr>
          <w:rFonts w:ascii="Times New Roman" w:hAnsi="Times New Roman"/>
          <w:szCs w:val="24"/>
        </w:rPr>
        <w:t>, Mr Lubanga, filed an action on the possibi</w:t>
      </w:r>
      <w:r w:rsidR="003D5BB8">
        <w:rPr>
          <w:rFonts w:ascii="Times New Roman" w:hAnsi="Times New Roman"/>
          <w:szCs w:val="24"/>
        </w:rPr>
        <w:t>lity of Review of his sentence. It is necessary to examine the role of victims in Mr Lubanga’s sentence review. The next part of this chapter shall outline the reduction/sentence review.</w:t>
      </w:r>
    </w:p>
    <w:p w14:paraId="1681A10D" w14:textId="77777777" w:rsidR="00267783" w:rsidRDefault="00267783" w:rsidP="00364EC8">
      <w:pPr>
        <w:pStyle w:val="Heading2"/>
      </w:pPr>
      <w:bookmarkStart w:id="73" w:name="_Toc60235843"/>
      <w:r w:rsidRPr="000D53A0">
        <w:rPr>
          <w:rStyle w:val="Heading3Char"/>
        </w:rPr>
        <w:lastRenderedPageBreak/>
        <w:t>4.</w:t>
      </w:r>
      <w:r w:rsidR="000D53A0" w:rsidRPr="000D53A0">
        <w:rPr>
          <w:rStyle w:val="Heading3Char"/>
        </w:rPr>
        <w:t>5.0</w:t>
      </w:r>
      <w:r w:rsidRPr="000D53A0">
        <w:rPr>
          <w:rStyle w:val="Heading3Char"/>
        </w:rPr>
        <w:t xml:space="preserve"> The </w:t>
      </w:r>
      <w:r w:rsidR="00936CFC">
        <w:rPr>
          <w:rStyle w:val="Heading3Char"/>
        </w:rPr>
        <w:t xml:space="preserve">first </w:t>
      </w:r>
      <w:r w:rsidRPr="000D53A0">
        <w:rPr>
          <w:rStyle w:val="Heading3Char"/>
        </w:rPr>
        <w:t>sentence review</w:t>
      </w:r>
      <w:bookmarkEnd w:id="73"/>
    </w:p>
    <w:p w14:paraId="060C3735" w14:textId="797FF8CC" w:rsidR="006A7572" w:rsidRPr="00CE0236" w:rsidRDefault="006A7572" w:rsidP="00355C6D">
      <w:pPr>
        <w:spacing w:line="480" w:lineRule="auto"/>
        <w:jc w:val="both"/>
        <w:rPr>
          <w:rFonts w:ascii="Times New Roman" w:hAnsi="Times New Roman"/>
          <w:szCs w:val="24"/>
        </w:rPr>
      </w:pPr>
      <w:r w:rsidRPr="00CE0236">
        <w:rPr>
          <w:rFonts w:ascii="Times New Roman" w:hAnsi="Times New Roman"/>
          <w:szCs w:val="24"/>
        </w:rPr>
        <w:t xml:space="preserve">Having discussed the involvement of victims in </w:t>
      </w:r>
      <w:r w:rsidR="000D53A0">
        <w:rPr>
          <w:rFonts w:ascii="Times New Roman" w:hAnsi="Times New Roman"/>
          <w:szCs w:val="24"/>
        </w:rPr>
        <w:t xml:space="preserve">the </w:t>
      </w:r>
      <w:r w:rsidRPr="00CE0236">
        <w:rPr>
          <w:rFonts w:ascii="Times New Roman" w:hAnsi="Times New Roman"/>
          <w:szCs w:val="24"/>
        </w:rPr>
        <w:t xml:space="preserve">sentencing decision for Lubanga, this part shall assess </w:t>
      </w:r>
      <w:r w:rsidR="00F042BE">
        <w:rPr>
          <w:rFonts w:ascii="Times New Roman" w:hAnsi="Times New Roman"/>
          <w:szCs w:val="24"/>
        </w:rPr>
        <w:t>victims' participation</w:t>
      </w:r>
      <w:r w:rsidRPr="00CE0236">
        <w:rPr>
          <w:rFonts w:ascii="Times New Roman" w:hAnsi="Times New Roman"/>
          <w:szCs w:val="24"/>
        </w:rPr>
        <w:t xml:space="preserve"> in the sentence reduction and if they influenced the review of the sentence</w:t>
      </w:r>
      <w:r w:rsidR="00D34481">
        <w:rPr>
          <w:rFonts w:ascii="Times New Roman" w:hAnsi="Times New Roman"/>
          <w:szCs w:val="24"/>
        </w:rPr>
        <w:t>.</w:t>
      </w:r>
      <w:r w:rsidR="000D53A0">
        <w:rPr>
          <w:rFonts w:ascii="Times New Roman" w:hAnsi="Times New Roman"/>
          <w:szCs w:val="24"/>
        </w:rPr>
        <w:t xml:space="preserve"> </w:t>
      </w:r>
      <w:r w:rsidR="00C30EC7" w:rsidRPr="00CE0236">
        <w:rPr>
          <w:rFonts w:ascii="Times New Roman" w:hAnsi="Times New Roman"/>
          <w:szCs w:val="24"/>
        </w:rPr>
        <w:t>This section follows on from the previous part, which examined the sentenc</w:t>
      </w:r>
      <w:r w:rsidR="000D53A0">
        <w:rPr>
          <w:rFonts w:ascii="Times New Roman" w:hAnsi="Times New Roman"/>
          <w:szCs w:val="24"/>
        </w:rPr>
        <w:t>ing</w:t>
      </w:r>
      <w:r w:rsidR="00C30EC7" w:rsidRPr="00CE0236">
        <w:rPr>
          <w:rFonts w:ascii="Times New Roman" w:hAnsi="Times New Roman"/>
          <w:szCs w:val="24"/>
        </w:rPr>
        <w:t xml:space="preserve"> hearing and the declared sentence.</w:t>
      </w:r>
    </w:p>
    <w:p w14:paraId="1DAEAAAC" w14:textId="77777777" w:rsidR="006A7572" w:rsidRPr="00CE0236" w:rsidRDefault="00CF56A4" w:rsidP="00364EC8">
      <w:pPr>
        <w:pStyle w:val="Heading3"/>
      </w:pPr>
      <w:bookmarkStart w:id="74" w:name="_Toc60235844"/>
      <w:r>
        <w:t>4.5.1</w:t>
      </w:r>
      <w:r w:rsidR="006A7572" w:rsidRPr="00CE0236">
        <w:t xml:space="preserve"> </w:t>
      </w:r>
      <w:r w:rsidR="00660AF5" w:rsidRPr="00CE0236">
        <w:t>Overview of sentence Reduction and its provisions.</w:t>
      </w:r>
      <w:bookmarkEnd w:id="74"/>
      <w:r w:rsidR="006A7572" w:rsidRPr="00CE0236">
        <w:t xml:space="preserve"> </w:t>
      </w:r>
    </w:p>
    <w:p w14:paraId="50D647B9" w14:textId="31172D83" w:rsidR="006A7572" w:rsidRPr="00CE0236" w:rsidRDefault="006A7572" w:rsidP="00355C6D">
      <w:pPr>
        <w:spacing w:line="480" w:lineRule="auto"/>
        <w:jc w:val="both"/>
        <w:rPr>
          <w:rFonts w:ascii="Times New Roman" w:hAnsi="Times New Roman"/>
          <w:szCs w:val="24"/>
        </w:rPr>
      </w:pPr>
      <w:r w:rsidRPr="00CE0236">
        <w:rPr>
          <w:rFonts w:ascii="Times New Roman" w:hAnsi="Times New Roman"/>
          <w:szCs w:val="24"/>
        </w:rPr>
        <w:t xml:space="preserve">Pursuant to Article 110 of the Statute, the Court is empowered to review </w:t>
      </w:r>
      <w:r w:rsidR="00F042BE">
        <w:rPr>
          <w:rFonts w:ascii="Times New Roman" w:hAnsi="Times New Roman"/>
          <w:szCs w:val="24"/>
        </w:rPr>
        <w:t>a convict's sentence</w:t>
      </w:r>
      <w:r w:rsidRPr="00CE0236">
        <w:rPr>
          <w:rFonts w:ascii="Times New Roman" w:hAnsi="Times New Roman"/>
          <w:szCs w:val="24"/>
        </w:rPr>
        <w:t xml:space="preserve"> when he has served two</w:t>
      </w:r>
      <w:r w:rsidR="000C7B6D">
        <w:rPr>
          <w:rFonts w:ascii="Times New Roman" w:hAnsi="Times New Roman"/>
          <w:szCs w:val="24"/>
        </w:rPr>
        <w:t>-</w:t>
      </w:r>
      <w:r w:rsidRPr="00CE0236">
        <w:rPr>
          <w:rFonts w:ascii="Times New Roman" w:hAnsi="Times New Roman"/>
          <w:szCs w:val="24"/>
        </w:rPr>
        <w:t>thirds of the sentence or 25 years imprisonment.</w:t>
      </w:r>
      <w:r w:rsidRPr="00CE0236">
        <w:rPr>
          <w:rStyle w:val="FootnoteReference"/>
          <w:rFonts w:ascii="Times New Roman" w:hAnsi="Times New Roman"/>
          <w:szCs w:val="24"/>
        </w:rPr>
        <w:footnoteReference w:id="1003"/>
      </w:r>
      <w:r w:rsidRPr="00CE0236">
        <w:rPr>
          <w:rFonts w:ascii="Times New Roman" w:hAnsi="Times New Roman"/>
          <w:szCs w:val="24"/>
        </w:rPr>
        <w:t xml:space="preserve">The </w:t>
      </w:r>
      <w:r w:rsidR="00F042BE">
        <w:rPr>
          <w:rFonts w:ascii="Times New Roman" w:hAnsi="Times New Roman"/>
          <w:szCs w:val="24"/>
        </w:rPr>
        <w:t>presiding judge's scheduling Order</w:t>
      </w:r>
      <w:r w:rsidR="00F25AD6" w:rsidRPr="00CE0236">
        <w:rPr>
          <w:rFonts w:ascii="Times New Roman" w:hAnsi="Times New Roman"/>
          <w:szCs w:val="24"/>
        </w:rPr>
        <w:t xml:space="preserve"> </w:t>
      </w:r>
      <w:r w:rsidRPr="00CE0236">
        <w:rPr>
          <w:rFonts w:ascii="Times New Roman" w:hAnsi="Times New Roman"/>
          <w:szCs w:val="24"/>
        </w:rPr>
        <w:t>invited the participating victims to express in written submissions their views and concerns regarding any reduction in the convicted person’s sentence.</w:t>
      </w:r>
      <w:r w:rsidRPr="00CE0236">
        <w:rPr>
          <w:rStyle w:val="FootnoteReference"/>
          <w:rFonts w:ascii="Times New Roman" w:hAnsi="Times New Roman"/>
          <w:szCs w:val="24"/>
        </w:rPr>
        <w:footnoteReference w:id="1004"/>
      </w:r>
      <w:r w:rsidR="000C7B6D">
        <w:rPr>
          <w:rFonts w:ascii="Times New Roman" w:hAnsi="Times New Roman"/>
          <w:szCs w:val="24"/>
        </w:rPr>
        <w:t xml:space="preserve">Furthermore, </w:t>
      </w:r>
      <w:r w:rsidRPr="00CE0236">
        <w:rPr>
          <w:rFonts w:ascii="Times New Roman" w:hAnsi="Times New Roman"/>
          <w:szCs w:val="24"/>
        </w:rPr>
        <w:t xml:space="preserve"> Article 110(4) lists the conditions that the Court must be satisfied with to reduce the offender’s sentence. These conditions include</w:t>
      </w:r>
      <w:r w:rsidR="00F042BE">
        <w:rPr>
          <w:rFonts w:ascii="Times New Roman" w:hAnsi="Times New Roman"/>
          <w:szCs w:val="24"/>
        </w:rPr>
        <w:t xml:space="preserve"> the offender's willingness</w:t>
      </w:r>
      <w:r w:rsidRPr="00CE0236">
        <w:rPr>
          <w:rFonts w:ascii="Times New Roman" w:hAnsi="Times New Roman"/>
          <w:szCs w:val="24"/>
        </w:rPr>
        <w:t xml:space="preserve"> to cooperate with the ICC at the initial stage and subsequently; the offender must have rendered voluntary assistance to the court to enable ease enforcement of the judgments;</w:t>
      </w:r>
      <w:r w:rsidR="000C7B6D">
        <w:rPr>
          <w:rFonts w:ascii="Times New Roman" w:hAnsi="Times New Roman"/>
          <w:szCs w:val="24"/>
        </w:rPr>
        <w:t xml:space="preserve"> </w:t>
      </w:r>
      <w:r w:rsidRPr="00CE0236">
        <w:rPr>
          <w:rFonts w:ascii="Times New Roman" w:hAnsi="Times New Roman"/>
          <w:szCs w:val="24"/>
        </w:rPr>
        <w:t>a clear and significant change in circumstances that warrant a reduction of sentence.</w:t>
      </w:r>
      <w:r w:rsidR="00F25AD6" w:rsidRPr="00CE0236">
        <w:rPr>
          <w:rStyle w:val="FootnoteReference"/>
          <w:rFonts w:ascii="Times New Roman" w:hAnsi="Times New Roman"/>
          <w:szCs w:val="24"/>
        </w:rPr>
        <w:footnoteReference w:id="1005"/>
      </w:r>
    </w:p>
    <w:p w14:paraId="478A69BC" w14:textId="77777777" w:rsidR="006A7572" w:rsidRPr="00CE0236" w:rsidRDefault="006A7572" w:rsidP="00355C6D">
      <w:pPr>
        <w:spacing w:line="480" w:lineRule="auto"/>
        <w:jc w:val="both"/>
        <w:rPr>
          <w:rFonts w:ascii="Times New Roman" w:hAnsi="Times New Roman"/>
          <w:szCs w:val="24"/>
        </w:rPr>
      </w:pPr>
      <w:r w:rsidRPr="00CE0236">
        <w:rPr>
          <w:rFonts w:ascii="Times New Roman" w:hAnsi="Times New Roman"/>
          <w:szCs w:val="24"/>
        </w:rPr>
        <w:t>Furthermore, Rule 223 states other factors that will be considered in sentence review. These factors are:</w:t>
      </w:r>
    </w:p>
    <w:p w14:paraId="24072FDC" w14:textId="77777777" w:rsidR="006A7572" w:rsidRPr="00A41538" w:rsidRDefault="006A7572" w:rsidP="00355C6D">
      <w:pPr>
        <w:pStyle w:val="ListParagraph"/>
        <w:numPr>
          <w:ilvl w:val="0"/>
          <w:numId w:val="8"/>
        </w:numPr>
        <w:spacing w:line="480" w:lineRule="auto"/>
        <w:jc w:val="both"/>
        <w:rPr>
          <w:rFonts w:ascii="Times New Roman" w:hAnsi="Times New Roman"/>
          <w:szCs w:val="24"/>
        </w:rPr>
      </w:pPr>
      <w:r w:rsidRPr="00A41538">
        <w:rPr>
          <w:rFonts w:ascii="Times New Roman" w:hAnsi="Times New Roman"/>
          <w:szCs w:val="24"/>
        </w:rPr>
        <w:lastRenderedPageBreak/>
        <w:t>The conduct of the sentenced person while in detention, which shows a genuine dissociation from his or her crime:</w:t>
      </w:r>
    </w:p>
    <w:p w14:paraId="42C3C73D" w14:textId="77777777" w:rsidR="006A7572" w:rsidRPr="00A41538" w:rsidRDefault="006A7572" w:rsidP="00355C6D">
      <w:pPr>
        <w:pStyle w:val="ListParagraph"/>
        <w:numPr>
          <w:ilvl w:val="0"/>
          <w:numId w:val="8"/>
        </w:numPr>
        <w:spacing w:line="480" w:lineRule="auto"/>
        <w:jc w:val="both"/>
        <w:rPr>
          <w:rFonts w:ascii="Times New Roman" w:hAnsi="Times New Roman"/>
          <w:szCs w:val="24"/>
        </w:rPr>
      </w:pPr>
      <w:r w:rsidRPr="00A41538">
        <w:rPr>
          <w:rFonts w:ascii="Times New Roman" w:hAnsi="Times New Roman"/>
          <w:szCs w:val="24"/>
        </w:rPr>
        <w:t>The prospect of the resocialisation and successful resettlement of the sentenced person;</w:t>
      </w:r>
    </w:p>
    <w:p w14:paraId="6BBF5177" w14:textId="77777777" w:rsidR="006A7572" w:rsidRPr="00A41538" w:rsidRDefault="006A7572" w:rsidP="00355C6D">
      <w:pPr>
        <w:pStyle w:val="ListParagraph"/>
        <w:numPr>
          <w:ilvl w:val="0"/>
          <w:numId w:val="8"/>
        </w:numPr>
        <w:spacing w:line="480" w:lineRule="auto"/>
        <w:jc w:val="both"/>
        <w:rPr>
          <w:rFonts w:ascii="Times New Roman" w:hAnsi="Times New Roman"/>
          <w:szCs w:val="24"/>
        </w:rPr>
      </w:pPr>
      <w:r w:rsidRPr="00A41538">
        <w:rPr>
          <w:rFonts w:ascii="Times New Roman" w:hAnsi="Times New Roman"/>
          <w:szCs w:val="24"/>
        </w:rPr>
        <w:t>Whether the early release of the sentenced person would give rise to significant social instability;</w:t>
      </w:r>
    </w:p>
    <w:p w14:paraId="25A5280F" w14:textId="77777777" w:rsidR="006A7572" w:rsidRPr="00A41538" w:rsidRDefault="006A7572" w:rsidP="00355C6D">
      <w:pPr>
        <w:pStyle w:val="ListParagraph"/>
        <w:numPr>
          <w:ilvl w:val="0"/>
          <w:numId w:val="8"/>
        </w:numPr>
        <w:spacing w:line="480" w:lineRule="auto"/>
        <w:jc w:val="both"/>
        <w:rPr>
          <w:rFonts w:ascii="Times New Roman" w:hAnsi="Times New Roman"/>
          <w:szCs w:val="24"/>
        </w:rPr>
      </w:pPr>
      <w:r w:rsidRPr="00A41538">
        <w:rPr>
          <w:rFonts w:ascii="Times New Roman" w:hAnsi="Times New Roman"/>
          <w:szCs w:val="24"/>
        </w:rPr>
        <w:t>Any significant action taken by the sentenced person for the benefit of the victims as well as any impact on the victims and their families  as a result of the early release;</w:t>
      </w:r>
    </w:p>
    <w:p w14:paraId="4BFE9B98" w14:textId="77777777" w:rsidR="006A7572" w:rsidRPr="00A41538" w:rsidRDefault="006A7572" w:rsidP="00355C6D">
      <w:pPr>
        <w:pStyle w:val="ListParagraph"/>
        <w:numPr>
          <w:ilvl w:val="0"/>
          <w:numId w:val="8"/>
        </w:numPr>
        <w:spacing w:line="480" w:lineRule="auto"/>
        <w:jc w:val="both"/>
        <w:rPr>
          <w:rFonts w:ascii="Times New Roman" w:hAnsi="Times New Roman"/>
          <w:szCs w:val="24"/>
        </w:rPr>
      </w:pPr>
      <w:r w:rsidRPr="00A41538">
        <w:rPr>
          <w:rFonts w:ascii="Times New Roman" w:hAnsi="Times New Roman"/>
          <w:szCs w:val="24"/>
        </w:rPr>
        <w:t>Individual circumstances of the sentenced person, including a worsening state of physical or mental health or advanced age.</w:t>
      </w:r>
    </w:p>
    <w:p w14:paraId="01A3EF63" w14:textId="42DBD421" w:rsidR="00A9693B" w:rsidRDefault="000C7B6D" w:rsidP="00355C6D">
      <w:pPr>
        <w:spacing w:line="480" w:lineRule="auto"/>
        <w:jc w:val="both"/>
        <w:rPr>
          <w:rFonts w:ascii="Times New Roman" w:hAnsi="Times New Roman"/>
          <w:szCs w:val="24"/>
        </w:rPr>
      </w:pPr>
      <w:r>
        <w:rPr>
          <w:rFonts w:ascii="Times New Roman" w:hAnsi="Times New Roman"/>
          <w:szCs w:val="24"/>
        </w:rPr>
        <w:t>It has commonly been assumed</w:t>
      </w:r>
      <w:r w:rsidR="006A7572" w:rsidRPr="00A41538">
        <w:rPr>
          <w:rFonts w:ascii="Times New Roman" w:hAnsi="Times New Roman"/>
          <w:szCs w:val="24"/>
        </w:rPr>
        <w:t xml:space="preserve"> t</w:t>
      </w:r>
      <w:r w:rsidR="006A7572">
        <w:rPr>
          <w:rFonts w:ascii="Times New Roman" w:hAnsi="Times New Roman"/>
          <w:szCs w:val="24"/>
        </w:rPr>
        <w:t xml:space="preserve">hat a </w:t>
      </w:r>
      <w:r w:rsidR="00F042BE">
        <w:rPr>
          <w:rFonts w:ascii="Times New Roman" w:hAnsi="Times New Roman"/>
          <w:szCs w:val="24"/>
        </w:rPr>
        <w:t>sentence reduction</w:t>
      </w:r>
      <w:r w:rsidR="006A7572">
        <w:rPr>
          <w:rFonts w:ascii="Times New Roman" w:hAnsi="Times New Roman"/>
          <w:szCs w:val="24"/>
        </w:rPr>
        <w:t xml:space="preserve"> may be a </w:t>
      </w:r>
      <w:r w:rsidR="006A7572" w:rsidRPr="00A41538">
        <w:rPr>
          <w:rFonts w:ascii="Times New Roman" w:hAnsi="Times New Roman"/>
          <w:szCs w:val="24"/>
        </w:rPr>
        <w:t xml:space="preserve"> remedy for alleged violations of the human rights of the convict, to serve his sentence without risk of physical harm.</w:t>
      </w:r>
      <w:r w:rsidR="006A7572" w:rsidRPr="00A41538">
        <w:rPr>
          <w:rStyle w:val="FootnoteReference"/>
          <w:rFonts w:ascii="Times New Roman" w:hAnsi="Times New Roman"/>
          <w:szCs w:val="24"/>
        </w:rPr>
        <w:footnoteReference w:id="1006"/>
      </w:r>
      <w:r w:rsidR="006A7572" w:rsidRPr="00A41538">
        <w:rPr>
          <w:rFonts w:ascii="Times New Roman" w:hAnsi="Times New Roman"/>
          <w:szCs w:val="24"/>
        </w:rPr>
        <w:t xml:space="preserve"> Moreover, we should bear in mind that </w:t>
      </w:r>
      <w:r w:rsidR="00F042BE">
        <w:rPr>
          <w:rFonts w:ascii="Times New Roman" w:hAnsi="Times New Roman"/>
          <w:szCs w:val="24"/>
        </w:rPr>
        <w:t>reducing</w:t>
      </w:r>
      <w:r w:rsidR="006A7572" w:rsidRPr="00A41538">
        <w:rPr>
          <w:rFonts w:ascii="Times New Roman" w:hAnsi="Times New Roman"/>
          <w:szCs w:val="24"/>
        </w:rPr>
        <w:t xml:space="preserve"> </w:t>
      </w:r>
      <w:r w:rsidR="00816250">
        <w:rPr>
          <w:rFonts w:ascii="Times New Roman" w:hAnsi="Times New Roman"/>
          <w:szCs w:val="24"/>
        </w:rPr>
        <w:t xml:space="preserve">a </w:t>
      </w:r>
      <w:r w:rsidR="006A7572" w:rsidRPr="00A41538">
        <w:rPr>
          <w:rFonts w:ascii="Times New Roman" w:hAnsi="Times New Roman"/>
          <w:szCs w:val="24"/>
        </w:rPr>
        <w:t xml:space="preserve">sentence as a remedy </w:t>
      </w:r>
      <w:r w:rsidR="00816250">
        <w:rPr>
          <w:rFonts w:ascii="Times New Roman" w:hAnsi="Times New Roman"/>
          <w:szCs w:val="24"/>
        </w:rPr>
        <w:t>based on</w:t>
      </w:r>
      <w:r w:rsidR="006A7572" w:rsidRPr="00A41538">
        <w:rPr>
          <w:rFonts w:ascii="Times New Roman" w:hAnsi="Times New Roman"/>
          <w:szCs w:val="24"/>
        </w:rPr>
        <w:t xml:space="preserve"> alleged violations of human rights is not provided for in article 110(4) of the Statute o</w:t>
      </w:r>
      <w:r w:rsidR="00816250">
        <w:rPr>
          <w:rFonts w:ascii="Times New Roman" w:hAnsi="Times New Roman"/>
          <w:szCs w:val="24"/>
        </w:rPr>
        <w:t>r rule 223 of the Rules. Nevertheless</w:t>
      </w:r>
      <w:r w:rsidR="006A7572" w:rsidRPr="00A41538">
        <w:rPr>
          <w:rFonts w:ascii="Times New Roman" w:hAnsi="Times New Roman"/>
          <w:szCs w:val="24"/>
        </w:rPr>
        <w:t>, evidence suggests that some common law jurisdictions do grant review of sentence reduction, not as a remedy to human rights violations,</w:t>
      </w:r>
      <w:r w:rsidR="00816250">
        <w:rPr>
          <w:rFonts w:ascii="Times New Roman" w:hAnsi="Times New Roman"/>
          <w:szCs w:val="24"/>
        </w:rPr>
        <w:t xml:space="preserve"> </w:t>
      </w:r>
      <w:r w:rsidR="006A7572" w:rsidRPr="00A41538">
        <w:rPr>
          <w:rFonts w:ascii="Times New Roman" w:hAnsi="Times New Roman"/>
          <w:szCs w:val="24"/>
        </w:rPr>
        <w:t xml:space="preserve">but as the basis of the convict’s cooperation with the legal authorities, or if a </w:t>
      </w:r>
      <w:r w:rsidR="00816250">
        <w:rPr>
          <w:rFonts w:ascii="Times New Roman" w:hAnsi="Times New Roman"/>
          <w:szCs w:val="24"/>
        </w:rPr>
        <w:t>particular</w:t>
      </w:r>
      <w:r w:rsidR="006A7572" w:rsidRPr="00A41538">
        <w:rPr>
          <w:rFonts w:ascii="Times New Roman" w:hAnsi="Times New Roman"/>
          <w:szCs w:val="24"/>
        </w:rPr>
        <w:t xml:space="preserve"> part of the sentence has been served.</w:t>
      </w:r>
      <w:r w:rsidR="00F25AD6">
        <w:rPr>
          <w:rStyle w:val="FootnoteReference"/>
          <w:rFonts w:ascii="Times New Roman" w:hAnsi="Times New Roman"/>
          <w:szCs w:val="24"/>
        </w:rPr>
        <w:footnoteReference w:id="1007"/>
      </w:r>
      <w:r w:rsidR="00816250">
        <w:rPr>
          <w:rFonts w:ascii="Times New Roman" w:hAnsi="Times New Roman"/>
          <w:szCs w:val="24"/>
        </w:rPr>
        <w:t xml:space="preserve"> Reduction of a </w:t>
      </w:r>
      <w:r w:rsidR="00816250">
        <w:rPr>
          <w:rFonts w:ascii="Times New Roman" w:hAnsi="Times New Roman"/>
          <w:szCs w:val="24"/>
        </w:rPr>
        <w:lastRenderedPageBreak/>
        <w:t>sentence</w:t>
      </w:r>
      <w:r w:rsidR="006A7572" w:rsidRPr="00A41538">
        <w:rPr>
          <w:rFonts w:ascii="Times New Roman" w:hAnsi="Times New Roman"/>
          <w:szCs w:val="24"/>
        </w:rPr>
        <w:t xml:space="preserve"> is not</w:t>
      </w:r>
      <w:r w:rsidR="00F25AD6">
        <w:rPr>
          <w:rFonts w:ascii="Times New Roman" w:hAnsi="Times New Roman"/>
          <w:szCs w:val="24"/>
        </w:rPr>
        <w:t xml:space="preserve"> an </w:t>
      </w:r>
      <w:r w:rsidR="006A7572" w:rsidRPr="00A41538">
        <w:rPr>
          <w:rFonts w:ascii="Times New Roman" w:hAnsi="Times New Roman"/>
          <w:szCs w:val="24"/>
        </w:rPr>
        <w:t>automatic right</w:t>
      </w:r>
      <w:r w:rsidR="00816250">
        <w:rPr>
          <w:rFonts w:ascii="Times New Roman" w:hAnsi="Times New Roman"/>
          <w:szCs w:val="24"/>
        </w:rPr>
        <w:t>;</w:t>
      </w:r>
      <w:r w:rsidR="006A7572" w:rsidRPr="00A41538">
        <w:rPr>
          <w:rFonts w:ascii="Times New Roman" w:hAnsi="Times New Roman"/>
          <w:szCs w:val="24"/>
        </w:rPr>
        <w:t xml:space="preserve"> it is </w:t>
      </w:r>
      <w:r w:rsidR="00816250">
        <w:rPr>
          <w:rFonts w:ascii="Times New Roman" w:hAnsi="Times New Roman"/>
          <w:szCs w:val="24"/>
        </w:rPr>
        <w:t xml:space="preserve">subject to some conditions. </w:t>
      </w:r>
      <w:r w:rsidR="00FD4889">
        <w:rPr>
          <w:rFonts w:ascii="Times New Roman" w:hAnsi="Times New Roman"/>
          <w:szCs w:val="24"/>
        </w:rPr>
        <w:t xml:space="preserve">In addition, it seems the reduction of sentence and review is </w:t>
      </w:r>
      <w:r w:rsidR="00A9693B">
        <w:rPr>
          <w:rFonts w:ascii="Times New Roman" w:hAnsi="Times New Roman"/>
          <w:szCs w:val="24"/>
        </w:rPr>
        <w:t>not new to the criminal justice system; it is prevalent in most national jurisdiction</w:t>
      </w:r>
      <w:r w:rsidR="00CA02E2">
        <w:rPr>
          <w:rFonts w:ascii="Times New Roman" w:hAnsi="Times New Roman"/>
          <w:szCs w:val="24"/>
        </w:rPr>
        <w:t>s</w:t>
      </w:r>
      <w:r w:rsidR="00A9693B">
        <w:rPr>
          <w:rFonts w:ascii="Times New Roman" w:hAnsi="Times New Roman"/>
          <w:szCs w:val="24"/>
        </w:rPr>
        <w:t>.</w:t>
      </w:r>
    </w:p>
    <w:p w14:paraId="0923624A" w14:textId="33526501" w:rsidR="00CA02E2" w:rsidRDefault="006A7572" w:rsidP="00355C6D">
      <w:pPr>
        <w:spacing w:line="480" w:lineRule="auto"/>
        <w:jc w:val="both"/>
        <w:rPr>
          <w:rFonts w:ascii="Times New Roman" w:hAnsi="Times New Roman"/>
          <w:szCs w:val="24"/>
        </w:rPr>
      </w:pPr>
      <w:r w:rsidRPr="00F25AD6">
        <w:rPr>
          <w:rFonts w:ascii="Times New Roman" w:hAnsi="Times New Roman"/>
          <w:szCs w:val="24"/>
        </w:rPr>
        <w:t xml:space="preserve">Hole notes that sentence reduction tries to strike a balance between the </w:t>
      </w:r>
      <w:r w:rsidR="006B73AB">
        <w:rPr>
          <w:rFonts w:ascii="Times New Roman" w:hAnsi="Times New Roman"/>
          <w:szCs w:val="24"/>
        </w:rPr>
        <w:t>interests of offenders, victims, and</w:t>
      </w:r>
      <w:r w:rsidR="00A9693B">
        <w:rPr>
          <w:rFonts w:ascii="Times New Roman" w:hAnsi="Times New Roman"/>
          <w:szCs w:val="24"/>
        </w:rPr>
        <w:t xml:space="preserve"> the community. </w:t>
      </w:r>
      <w:r w:rsidRPr="00F25AD6">
        <w:rPr>
          <w:rFonts w:ascii="Times New Roman" w:hAnsi="Times New Roman"/>
          <w:szCs w:val="24"/>
        </w:rPr>
        <w:t>From his perspective, the sentence review checks ‘an arbitrary’ discretion’ to the Court.</w:t>
      </w:r>
      <w:r w:rsidRPr="00F25AD6">
        <w:rPr>
          <w:rStyle w:val="FootnoteReference"/>
          <w:rFonts w:ascii="Times New Roman" w:hAnsi="Times New Roman"/>
          <w:szCs w:val="24"/>
        </w:rPr>
        <w:footnoteReference w:id="1008"/>
      </w:r>
      <w:r w:rsidR="00CA02E2">
        <w:rPr>
          <w:rFonts w:ascii="Times New Roman" w:hAnsi="Times New Roman"/>
          <w:szCs w:val="24"/>
        </w:rPr>
        <w:t>Sentence reduction will probably address unresolved issues between the sentenced person and victims which have not been corrected by the original sentence. Th</w:t>
      </w:r>
      <w:r w:rsidR="006B73AB">
        <w:rPr>
          <w:rFonts w:ascii="Times New Roman" w:hAnsi="Times New Roman"/>
          <w:szCs w:val="24"/>
        </w:rPr>
        <w:t>e notion</w:t>
      </w:r>
      <w:r w:rsidR="00CA02E2">
        <w:rPr>
          <w:rFonts w:ascii="Times New Roman" w:hAnsi="Times New Roman"/>
          <w:szCs w:val="24"/>
        </w:rPr>
        <w:t xml:space="preserve"> is applicable where a sentence is meant to promote rehabilitation of the offender. It follows that </w:t>
      </w:r>
      <w:r w:rsidR="00696301">
        <w:rPr>
          <w:rFonts w:ascii="Times New Roman" w:hAnsi="Times New Roman"/>
          <w:szCs w:val="24"/>
        </w:rPr>
        <w:t>the sentence review embraces a holistic approach towards repairing the relationship between the stakeholders-victims, offenders, and</w:t>
      </w:r>
      <w:r w:rsidR="00CA02E2">
        <w:rPr>
          <w:rFonts w:ascii="Times New Roman" w:hAnsi="Times New Roman"/>
          <w:szCs w:val="24"/>
        </w:rPr>
        <w:t xml:space="preserve"> society.  </w:t>
      </w:r>
    </w:p>
    <w:p w14:paraId="2D7E62A3" w14:textId="42C4D0C1" w:rsidR="00C860EE" w:rsidRPr="00F25AD6" w:rsidRDefault="00CA02E2" w:rsidP="00355C6D">
      <w:pPr>
        <w:spacing w:line="480" w:lineRule="auto"/>
        <w:jc w:val="both"/>
        <w:rPr>
          <w:rFonts w:ascii="Times New Roman" w:hAnsi="Times New Roman"/>
          <w:szCs w:val="24"/>
        </w:rPr>
      </w:pPr>
      <w:r>
        <w:rPr>
          <w:rFonts w:ascii="Times New Roman" w:hAnsi="Times New Roman"/>
          <w:szCs w:val="24"/>
        </w:rPr>
        <w:t xml:space="preserve">Arguably, </w:t>
      </w:r>
      <w:r w:rsidR="00C860EE" w:rsidRPr="00F25AD6">
        <w:rPr>
          <w:rFonts w:ascii="Times New Roman" w:hAnsi="Times New Roman"/>
          <w:szCs w:val="24"/>
        </w:rPr>
        <w:t xml:space="preserve"> the sentence review gives victims a more participatory role. </w:t>
      </w:r>
      <w:r w:rsidR="00F25AD6" w:rsidRPr="00F25AD6">
        <w:rPr>
          <w:rFonts w:ascii="Times New Roman" w:hAnsi="Times New Roman"/>
          <w:szCs w:val="24"/>
        </w:rPr>
        <w:t>Similarly</w:t>
      </w:r>
      <w:r>
        <w:rPr>
          <w:rFonts w:ascii="Times New Roman" w:hAnsi="Times New Roman"/>
          <w:szCs w:val="24"/>
        </w:rPr>
        <w:t>,</w:t>
      </w:r>
      <w:r w:rsidR="00F25AD6" w:rsidRPr="00F25AD6">
        <w:rPr>
          <w:rFonts w:ascii="Times New Roman" w:hAnsi="Times New Roman"/>
          <w:szCs w:val="24"/>
        </w:rPr>
        <w:t xml:space="preserve"> </w:t>
      </w:r>
      <w:r w:rsidR="00C860EE" w:rsidRPr="00F25AD6">
        <w:rPr>
          <w:rFonts w:ascii="Times New Roman" w:hAnsi="Times New Roman"/>
          <w:szCs w:val="24"/>
        </w:rPr>
        <w:t>one could argue that it permits a deeper interaction bet</w:t>
      </w:r>
      <w:r>
        <w:rPr>
          <w:rFonts w:ascii="Times New Roman" w:hAnsi="Times New Roman"/>
          <w:szCs w:val="24"/>
        </w:rPr>
        <w:t>ween the victims and the sentenced person</w:t>
      </w:r>
      <w:r w:rsidR="00C860EE" w:rsidRPr="00F25AD6">
        <w:rPr>
          <w:rFonts w:ascii="Times New Roman" w:hAnsi="Times New Roman"/>
          <w:szCs w:val="24"/>
        </w:rPr>
        <w:t xml:space="preserve">. The conditions listed in Rule 223 appears to stress an integrative or holistic approach to addressing sentence review. These conditions expressly inform </w:t>
      </w:r>
      <w:r w:rsidR="00F25AD6">
        <w:rPr>
          <w:rFonts w:ascii="Times New Roman" w:hAnsi="Times New Roman"/>
          <w:szCs w:val="24"/>
        </w:rPr>
        <w:t>an expectation of the offender’</w:t>
      </w:r>
      <w:r w:rsidR="00C860EE" w:rsidRPr="00F25AD6">
        <w:rPr>
          <w:rFonts w:ascii="Times New Roman" w:hAnsi="Times New Roman"/>
          <w:szCs w:val="24"/>
        </w:rPr>
        <w:t xml:space="preserve">s reformation, particularly </w:t>
      </w:r>
      <w:r>
        <w:rPr>
          <w:rFonts w:ascii="Times New Roman" w:hAnsi="Times New Roman"/>
          <w:szCs w:val="24"/>
        </w:rPr>
        <w:t>concerning building a</w:t>
      </w:r>
      <w:r w:rsidR="00C860EE" w:rsidRPr="00F25AD6">
        <w:rPr>
          <w:rFonts w:ascii="Times New Roman" w:hAnsi="Times New Roman"/>
          <w:szCs w:val="24"/>
        </w:rPr>
        <w:t xml:space="preserve"> relationship with the victims.</w:t>
      </w:r>
      <w:r>
        <w:rPr>
          <w:rFonts w:ascii="Times New Roman" w:hAnsi="Times New Roman"/>
          <w:szCs w:val="24"/>
        </w:rPr>
        <w:t xml:space="preserve"> The conditions</w:t>
      </w:r>
      <w:r w:rsidR="00C860EE" w:rsidRPr="00F25AD6">
        <w:rPr>
          <w:rFonts w:ascii="Times New Roman" w:hAnsi="Times New Roman"/>
          <w:szCs w:val="24"/>
        </w:rPr>
        <w:t xml:space="preserve"> impl</w:t>
      </w:r>
      <w:r>
        <w:rPr>
          <w:rFonts w:ascii="Times New Roman" w:hAnsi="Times New Roman"/>
          <w:szCs w:val="24"/>
        </w:rPr>
        <w:t>y</w:t>
      </w:r>
      <w:r w:rsidR="00C860EE" w:rsidRPr="00F25AD6">
        <w:rPr>
          <w:rFonts w:ascii="Times New Roman" w:hAnsi="Times New Roman"/>
          <w:szCs w:val="24"/>
        </w:rPr>
        <w:t xml:space="preserve"> that the offender’s early release is made conditional on ‘significant actions’ to address the harm caused to the victims.</w:t>
      </w:r>
      <w:r>
        <w:rPr>
          <w:rFonts w:ascii="Times New Roman" w:hAnsi="Times New Roman"/>
          <w:szCs w:val="24"/>
        </w:rPr>
        <w:t xml:space="preserve"> </w:t>
      </w:r>
      <w:r w:rsidR="00C860EE" w:rsidRPr="00F25AD6">
        <w:rPr>
          <w:rFonts w:ascii="Times New Roman" w:hAnsi="Times New Roman"/>
          <w:szCs w:val="24"/>
        </w:rPr>
        <w:t xml:space="preserve">In </w:t>
      </w:r>
      <w:r>
        <w:rPr>
          <w:rFonts w:ascii="Times New Roman" w:hAnsi="Times New Roman"/>
          <w:szCs w:val="24"/>
        </w:rPr>
        <w:t xml:space="preserve">a </w:t>
      </w:r>
      <w:r w:rsidR="00C860EE" w:rsidRPr="00F25AD6">
        <w:rPr>
          <w:rFonts w:ascii="Times New Roman" w:hAnsi="Times New Roman"/>
          <w:szCs w:val="24"/>
        </w:rPr>
        <w:t xml:space="preserve">similar vein, the rules also </w:t>
      </w:r>
      <w:r w:rsidR="00415E2A">
        <w:rPr>
          <w:rFonts w:ascii="Times New Roman" w:hAnsi="Times New Roman"/>
          <w:szCs w:val="24"/>
        </w:rPr>
        <w:t>hig</w:t>
      </w:r>
      <w:r w:rsidR="006B73AB">
        <w:rPr>
          <w:rFonts w:ascii="Times New Roman" w:hAnsi="Times New Roman"/>
          <w:szCs w:val="24"/>
        </w:rPr>
        <w:t>h</w:t>
      </w:r>
      <w:r w:rsidR="00415E2A">
        <w:rPr>
          <w:rFonts w:ascii="Times New Roman" w:hAnsi="Times New Roman"/>
          <w:szCs w:val="24"/>
        </w:rPr>
        <w:t xml:space="preserve">light </w:t>
      </w:r>
      <w:r w:rsidR="00C860EE" w:rsidRPr="00F25AD6">
        <w:rPr>
          <w:rFonts w:ascii="Times New Roman" w:hAnsi="Times New Roman"/>
          <w:szCs w:val="24"/>
        </w:rPr>
        <w:t xml:space="preserve">the implications of the offender’s release on the </w:t>
      </w:r>
      <w:r w:rsidR="00C860EE" w:rsidRPr="00F25AD6">
        <w:rPr>
          <w:rFonts w:ascii="Times New Roman" w:hAnsi="Times New Roman"/>
          <w:szCs w:val="24"/>
        </w:rPr>
        <w:lastRenderedPageBreak/>
        <w:t>community. Therefore, this explores the interrelationship between the offe</w:t>
      </w:r>
      <w:r>
        <w:rPr>
          <w:rFonts w:ascii="Times New Roman" w:hAnsi="Times New Roman"/>
          <w:szCs w:val="24"/>
        </w:rPr>
        <w:t>nder, victims and the community-a</w:t>
      </w:r>
      <w:r w:rsidR="00F25AD6">
        <w:rPr>
          <w:rFonts w:ascii="Times New Roman" w:hAnsi="Times New Roman"/>
          <w:szCs w:val="24"/>
        </w:rPr>
        <w:t xml:space="preserve"> subtle approach to restorative justice.</w:t>
      </w:r>
    </w:p>
    <w:p w14:paraId="649ADD91" w14:textId="57049597" w:rsidR="00C860EE" w:rsidRPr="00F25AD6" w:rsidRDefault="00C860EE" w:rsidP="00355C6D">
      <w:pPr>
        <w:spacing w:line="480" w:lineRule="auto"/>
        <w:jc w:val="both"/>
        <w:rPr>
          <w:rFonts w:ascii="Times New Roman" w:hAnsi="Times New Roman"/>
          <w:szCs w:val="24"/>
        </w:rPr>
      </w:pPr>
      <w:r w:rsidRPr="00F25AD6">
        <w:rPr>
          <w:rFonts w:ascii="Times New Roman" w:hAnsi="Times New Roman"/>
          <w:szCs w:val="24"/>
        </w:rPr>
        <w:t xml:space="preserve"> 21 August</w:t>
      </w:r>
      <w:r w:rsidR="00D64EFE">
        <w:rPr>
          <w:rFonts w:ascii="Times New Roman" w:hAnsi="Times New Roman"/>
          <w:szCs w:val="24"/>
        </w:rPr>
        <w:t xml:space="preserve"> </w:t>
      </w:r>
      <w:r w:rsidRPr="00F25AD6">
        <w:rPr>
          <w:rFonts w:ascii="Times New Roman" w:hAnsi="Times New Roman"/>
          <w:szCs w:val="24"/>
        </w:rPr>
        <w:t>2015 mark</w:t>
      </w:r>
      <w:r w:rsidR="00415E2A">
        <w:rPr>
          <w:rFonts w:ascii="Times New Roman" w:hAnsi="Times New Roman"/>
          <w:szCs w:val="24"/>
        </w:rPr>
        <w:t>ed</w:t>
      </w:r>
      <w:r w:rsidRPr="00F25AD6">
        <w:rPr>
          <w:rFonts w:ascii="Times New Roman" w:hAnsi="Times New Roman"/>
          <w:szCs w:val="24"/>
        </w:rPr>
        <w:t xml:space="preserve"> the commencement of the hearing on Lubanga’</w:t>
      </w:r>
      <w:r w:rsidR="00415E2A">
        <w:rPr>
          <w:rFonts w:ascii="Times New Roman" w:hAnsi="Times New Roman"/>
          <w:szCs w:val="24"/>
        </w:rPr>
        <w:t xml:space="preserve"> first</w:t>
      </w:r>
      <w:r w:rsidRPr="00F25AD6">
        <w:rPr>
          <w:rFonts w:ascii="Times New Roman" w:hAnsi="Times New Roman"/>
          <w:szCs w:val="24"/>
        </w:rPr>
        <w:t xml:space="preserve"> sentence review. The Court listened </w:t>
      </w:r>
      <w:r w:rsidR="00F25AD6">
        <w:rPr>
          <w:rFonts w:ascii="Times New Roman" w:hAnsi="Times New Roman"/>
          <w:szCs w:val="24"/>
        </w:rPr>
        <w:t xml:space="preserve">to arguments from both parties </w:t>
      </w:r>
      <w:r w:rsidRPr="00F25AD6">
        <w:rPr>
          <w:rFonts w:ascii="Times New Roman" w:hAnsi="Times New Roman"/>
          <w:szCs w:val="24"/>
        </w:rPr>
        <w:t>and</w:t>
      </w:r>
      <w:r w:rsidR="00F25AD6">
        <w:rPr>
          <w:rFonts w:ascii="Times New Roman" w:hAnsi="Times New Roman"/>
          <w:szCs w:val="24"/>
        </w:rPr>
        <w:t>,</w:t>
      </w:r>
      <w:r w:rsidRPr="00F25AD6">
        <w:rPr>
          <w:rFonts w:ascii="Times New Roman" w:hAnsi="Times New Roman"/>
          <w:szCs w:val="24"/>
        </w:rPr>
        <w:t xml:space="preserve"> the victims</w:t>
      </w:r>
      <w:r w:rsidR="00D64EFE">
        <w:rPr>
          <w:rFonts w:ascii="Times New Roman" w:hAnsi="Times New Roman"/>
          <w:szCs w:val="24"/>
        </w:rPr>
        <w:t>.</w:t>
      </w:r>
      <w:r w:rsidRPr="00F25AD6">
        <w:rPr>
          <w:rFonts w:ascii="Times New Roman" w:hAnsi="Times New Roman"/>
          <w:szCs w:val="24"/>
        </w:rPr>
        <w:t xml:space="preserve"> The </w:t>
      </w:r>
      <w:r w:rsidR="006B73AB">
        <w:rPr>
          <w:rFonts w:ascii="Times New Roman" w:hAnsi="Times New Roman"/>
          <w:szCs w:val="24"/>
        </w:rPr>
        <w:t>Court's primary function</w:t>
      </w:r>
      <w:r w:rsidRPr="00F25AD6">
        <w:rPr>
          <w:rFonts w:ascii="Times New Roman" w:hAnsi="Times New Roman"/>
          <w:szCs w:val="24"/>
        </w:rPr>
        <w:t xml:space="preserve"> was to evaluate the convicted person on the criteria set out by Article 110(4)</w:t>
      </w:r>
      <w:r w:rsidR="00F25AD6">
        <w:rPr>
          <w:rFonts w:ascii="Times New Roman" w:hAnsi="Times New Roman"/>
          <w:szCs w:val="24"/>
        </w:rPr>
        <w:t>.</w:t>
      </w:r>
      <w:r w:rsidRPr="00F25AD6">
        <w:rPr>
          <w:rFonts w:ascii="Times New Roman" w:hAnsi="Times New Roman"/>
          <w:szCs w:val="24"/>
        </w:rPr>
        <w:t xml:space="preserve"> Inadvertently, th</w:t>
      </w:r>
      <w:r w:rsidR="00D64EFE">
        <w:rPr>
          <w:rFonts w:ascii="Times New Roman" w:hAnsi="Times New Roman"/>
          <w:szCs w:val="24"/>
        </w:rPr>
        <w:t>e</w:t>
      </w:r>
      <w:r w:rsidR="006B73AB">
        <w:rPr>
          <w:rFonts w:ascii="Times New Roman" w:hAnsi="Times New Roman"/>
          <w:szCs w:val="24"/>
        </w:rPr>
        <w:t xml:space="preserve"> parties presented these criteria in two contrasting arguments; argument </w:t>
      </w:r>
      <w:r w:rsidR="00696301">
        <w:rPr>
          <w:rFonts w:ascii="Times New Roman" w:hAnsi="Times New Roman"/>
          <w:szCs w:val="24"/>
        </w:rPr>
        <w:t>favouring</w:t>
      </w:r>
      <w:r w:rsidR="006B73AB">
        <w:rPr>
          <w:rFonts w:ascii="Times New Roman" w:hAnsi="Times New Roman"/>
          <w:szCs w:val="24"/>
        </w:rPr>
        <w:t xml:space="preserve"> early release and</w:t>
      </w:r>
      <w:r w:rsidRPr="00F25AD6">
        <w:rPr>
          <w:rFonts w:ascii="Times New Roman" w:hAnsi="Times New Roman"/>
          <w:szCs w:val="24"/>
        </w:rPr>
        <w:t xml:space="preserve"> a</w:t>
      </w:r>
      <w:r w:rsidR="00F25AD6">
        <w:rPr>
          <w:rFonts w:ascii="Times New Roman" w:hAnsi="Times New Roman"/>
          <w:szCs w:val="24"/>
        </w:rPr>
        <w:t>rguments against early release.</w:t>
      </w:r>
      <w:r w:rsidR="00D64EFE">
        <w:rPr>
          <w:rFonts w:ascii="Times New Roman" w:hAnsi="Times New Roman"/>
          <w:szCs w:val="24"/>
        </w:rPr>
        <w:t xml:space="preserve"> </w:t>
      </w:r>
      <w:r w:rsidRPr="00F25AD6">
        <w:rPr>
          <w:rFonts w:ascii="Times New Roman" w:hAnsi="Times New Roman"/>
          <w:szCs w:val="24"/>
        </w:rPr>
        <w:t>The Chamber invited written representations from the participating victims on their views and concerns regarding a possible reduction of sentence.</w:t>
      </w:r>
      <w:r w:rsidRPr="00F25AD6">
        <w:rPr>
          <w:rStyle w:val="FootnoteReference"/>
          <w:rFonts w:ascii="Times New Roman" w:hAnsi="Times New Roman"/>
          <w:szCs w:val="24"/>
        </w:rPr>
        <w:footnoteReference w:id="1009"/>
      </w:r>
      <w:r w:rsidRPr="00F25AD6">
        <w:rPr>
          <w:rFonts w:ascii="Times New Roman" w:hAnsi="Times New Roman"/>
          <w:szCs w:val="24"/>
        </w:rPr>
        <w:t xml:space="preserve"> </w:t>
      </w:r>
      <w:r w:rsidR="00D64EFE">
        <w:rPr>
          <w:rFonts w:ascii="Times New Roman" w:hAnsi="Times New Roman"/>
          <w:szCs w:val="24"/>
        </w:rPr>
        <w:t>Also</w:t>
      </w:r>
      <w:r w:rsidRPr="00F25AD6">
        <w:rPr>
          <w:rFonts w:ascii="Times New Roman" w:hAnsi="Times New Roman"/>
          <w:szCs w:val="24"/>
        </w:rPr>
        <w:t>, the Registrar and the DRC filed observations.</w:t>
      </w:r>
    </w:p>
    <w:p w14:paraId="2432FDC6" w14:textId="77777777" w:rsidR="00C860EE" w:rsidRPr="00660AF5" w:rsidRDefault="00C860EE" w:rsidP="00355C6D">
      <w:pPr>
        <w:spacing w:line="480" w:lineRule="auto"/>
        <w:jc w:val="both"/>
        <w:rPr>
          <w:rFonts w:ascii="Times New Roman" w:hAnsi="Times New Roman"/>
          <w:szCs w:val="24"/>
        </w:rPr>
      </w:pPr>
      <w:r w:rsidRPr="00660AF5">
        <w:rPr>
          <w:rFonts w:ascii="Times New Roman" w:hAnsi="Times New Roman"/>
          <w:szCs w:val="24"/>
        </w:rPr>
        <w:t>In this sentence review, The Prosecutor,</w:t>
      </w:r>
      <w:r w:rsidR="00D64EFE">
        <w:rPr>
          <w:rFonts w:ascii="Times New Roman" w:hAnsi="Times New Roman"/>
          <w:szCs w:val="24"/>
        </w:rPr>
        <w:t xml:space="preserve"> </w:t>
      </w:r>
      <w:r w:rsidRPr="00660AF5">
        <w:rPr>
          <w:rFonts w:ascii="Times New Roman" w:hAnsi="Times New Roman"/>
          <w:szCs w:val="24"/>
        </w:rPr>
        <w:t xml:space="preserve">the OPCV </w:t>
      </w:r>
      <w:r w:rsidR="00F25AD6" w:rsidRPr="00660AF5">
        <w:rPr>
          <w:rFonts w:ascii="Times New Roman" w:hAnsi="Times New Roman"/>
          <w:szCs w:val="24"/>
        </w:rPr>
        <w:t>and the LRVs</w:t>
      </w:r>
      <w:r w:rsidR="00D64EFE">
        <w:rPr>
          <w:rFonts w:ascii="Times New Roman" w:hAnsi="Times New Roman"/>
          <w:szCs w:val="24"/>
        </w:rPr>
        <w:t>,</w:t>
      </w:r>
      <w:r w:rsidR="00F25AD6" w:rsidRPr="00660AF5">
        <w:rPr>
          <w:rFonts w:ascii="Times New Roman" w:hAnsi="Times New Roman"/>
          <w:szCs w:val="24"/>
        </w:rPr>
        <w:t xml:space="preserve"> V01 and V02  </w:t>
      </w:r>
      <w:r w:rsidR="00643061" w:rsidRPr="00660AF5">
        <w:rPr>
          <w:rFonts w:ascii="Times New Roman" w:hAnsi="Times New Roman"/>
          <w:szCs w:val="24"/>
        </w:rPr>
        <w:t>concluded on the absence of</w:t>
      </w:r>
      <w:r w:rsidRPr="00660AF5">
        <w:rPr>
          <w:rFonts w:ascii="Times New Roman" w:hAnsi="Times New Roman"/>
          <w:szCs w:val="24"/>
        </w:rPr>
        <w:t xml:space="preserve"> the factors in Article 110(4)(a) and (b)</w:t>
      </w:r>
      <w:r w:rsidR="00643061" w:rsidRPr="00660AF5">
        <w:rPr>
          <w:rFonts w:ascii="Times New Roman" w:hAnsi="Times New Roman"/>
          <w:szCs w:val="24"/>
        </w:rPr>
        <w:t>,</w:t>
      </w:r>
      <w:r w:rsidR="00D64EFE">
        <w:rPr>
          <w:rFonts w:ascii="Times New Roman" w:hAnsi="Times New Roman"/>
          <w:szCs w:val="24"/>
        </w:rPr>
        <w:t xml:space="preserve"> </w:t>
      </w:r>
      <w:r w:rsidR="00643061" w:rsidRPr="00660AF5">
        <w:rPr>
          <w:rFonts w:ascii="Times New Roman" w:hAnsi="Times New Roman"/>
          <w:szCs w:val="24"/>
        </w:rPr>
        <w:t>Rule 223</w:t>
      </w:r>
      <w:r w:rsidRPr="00660AF5">
        <w:rPr>
          <w:rFonts w:ascii="Times New Roman" w:hAnsi="Times New Roman"/>
          <w:szCs w:val="24"/>
        </w:rPr>
        <w:t>.</w:t>
      </w:r>
      <w:r w:rsidR="00D64EFE">
        <w:rPr>
          <w:rFonts w:ascii="Times New Roman" w:hAnsi="Times New Roman"/>
          <w:szCs w:val="24"/>
        </w:rPr>
        <w:t xml:space="preserve"> </w:t>
      </w:r>
      <w:r w:rsidRPr="00660AF5">
        <w:rPr>
          <w:rFonts w:ascii="Times New Roman" w:hAnsi="Times New Roman"/>
          <w:szCs w:val="24"/>
        </w:rPr>
        <w:t>The LRVs 01 submitted written observations.</w:t>
      </w:r>
      <w:r w:rsidR="001F3E64" w:rsidRPr="00660AF5">
        <w:rPr>
          <w:rFonts w:ascii="Times New Roman" w:hAnsi="Times New Roman"/>
          <w:szCs w:val="24"/>
        </w:rPr>
        <w:t xml:space="preserve"> </w:t>
      </w:r>
      <w:r w:rsidRPr="00660AF5">
        <w:rPr>
          <w:rFonts w:ascii="Times New Roman" w:hAnsi="Times New Roman"/>
          <w:szCs w:val="24"/>
        </w:rPr>
        <w:t>In the words of the Court:</w:t>
      </w:r>
    </w:p>
    <w:p w14:paraId="533E5AE9" w14:textId="77777777" w:rsidR="00C860EE" w:rsidRPr="00660AF5" w:rsidRDefault="000D53A0" w:rsidP="00355C6D">
      <w:pPr>
        <w:jc w:val="center"/>
        <w:rPr>
          <w:rFonts w:ascii="Times New Roman" w:hAnsi="Times New Roman"/>
          <w:szCs w:val="24"/>
        </w:rPr>
      </w:pPr>
      <w:r>
        <w:rPr>
          <w:rFonts w:ascii="Times New Roman" w:hAnsi="Times New Roman"/>
          <w:szCs w:val="24"/>
        </w:rPr>
        <w:t>“[[</w:t>
      </w:r>
      <w:r w:rsidR="00C860EE" w:rsidRPr="000D53A0">
        <w:rPr>
          <w:rFonts w:ascii="Times New Roman" w:hAnsi="Times New Roman"/>
          <w:szCs w:val="24"/>
        </w:rPr>
        <w:t>t</w:t>
      </w:r>
      <w:r>
        <w:rPr>
          <w:rFonts w:ascii="Times New Roman" w:hAnsi="Times New Roman"/>
          <w:szCs w:val="24"/>
        </w:rPr>
        <w:t>]</w:t>
      </w:r>
      <w:r w:rsidR="00C860EE" w:rsidRPr="000D53A0">
        <w:rPr>
          <w:rFonts w:ascii="Times New Roman" w:hAnsi="Times New Roman"/>
          <w:szCs w:val="24"/>
          <w:u w:val="single"/>
        </w:rPr>
        <w:t xml:space="preserve">he Appeals Chamber invited </w:t>
      </w:r>
      <w:r w:rsidR="00C860EE" w:rsidRPr="000D53A0">
        <w:rPr>
          <w:rFonts w:ascii="Times New Roman" w:hAnsi="Times New Roman"/>
          <w:b/>
          <w:szCs w:val="24"/>
          <w:u w:val="single"/>
        </w:rPr>
        <w:t>the participating victims</w:t>
      </w:r>
      <w:r w:rsidR="00C860EE" w:rsidRPr="000D53A0">
        <w:rPr>
          <w:rFonts w:ascii="Times New Roman" w:hAnsi="Times New Roman"/>
          <w:szCs w:val="24"/>
          <w:u w:val="single"/>
        </w:rPr>
        <w:t xml:space="preserve"> to express in </w:t>
      </w:r>
      <w:r w:rsidR="00C860EE" w:rsidRPr="000D53A0">
        <w:rPr>
          <w:rFonts w:ascii="Times New Roman" w:hAnsi="Times New Roman"/>
          <w:b/>
          <w:szCs w:val="24"/>
          <w:u w:val="single"/>
        </w:rPr>
        <w:t>written submissions their views and concerns</w:t>
      </w:r>
      <w:r w:rsidR="00C860EE" w:rsidRPr="000D53A0">
        <w:rPr>
          <w:rFonts w:ascii="Times New Roman" w:hAnsi="Times New Roman"/>
          <w:szCs w:val="24"/>
          <w:u w:val="single"/>
        </w:rPr>
        <w:t xml:space="preserve"> in relation to any reduction in the sentenced person’s sentence,</w:t>
      </w:r>
      <w:r w:rsidR="00C860EE" w:rsidRPr="000D53A0">
        <w:rPr>
          <w:rFonts w:ascii="Times New Roman" w:hAnsi="Times New Roman"/>
          <w:szCs w:val="24"/>
        </w:rPr>
        <w:t xml:space="preserve"> having regard to the criteria set out in article 110(4) of the Statute and rule 223 of the Rules of Procedure and Evidence</w:t>
      </w:r>
      <w:r w:rsidR="00C860EE" w:rsidRPr="00660AF5">
        <w:rPr>
          <w:rFonts w:ascii="Times New Roman" w:hAnsi="Times New Roman"/>
          <w:i/>
          <w:szCs w:val="24"/>
        </w:rPr>
        <w:t>”.</w:t>
      </w:r>
      <w:r w:rsidR="00C860EE" w:rsidRPr="00660AF5">
        <w:rPr>
          <w:rStyle w:val="FootnoteReference"/>
          <w:rFonts w:ascii="Times New Roman" w:hAnsi="Times New Roman"/>
          <w:i/>
          <w:szCs w:val="24"/>
        </w:rPr>
        <w:footnoteReference w:id="1010"/>
      </w:r>
    </w:p>
    <w:p w14:paraId="1A328F83" w14:textId="61BFBB8A" w:rsidR="00C860EE" w:rsidRPr="00660AF5" w:rsidRDefault="00C860EE" w:rsidP="00355C6D">
      <w:pPr>
        <w:spacing w:line="480" w:lineRule="auto"/>
        <w:jc w:val="both"/>
        <w:rPr>
          <w:rFonts w:ascii="Times New Roman" w:hAnsi="Times New Roman"/>
          <w:szCs w:val="24"/>
        </w:rPr>
      </w:pPr>
      <w:r w:rsidRPr="00660AF5">
        <w:rPr>
          <w:rFonts w:ascii="Times New Roman" w:hAnsi="Times New Roman"/>
          <w:szCs w:val="24"/>
        </w:rPr>
        <w:lastRenderedPageBreak/>
        <w:t>In response to the co</w:t>
      </w:r>
      <w:r w:rsidR="00CF56A4">
        <w:rPr>
          <w:rFonts w:ascii="Times New Roman" w:hAnsi="Times New Roman"/>
          <w:szCs w:val="24"/>
        </w:rPr>
        <w:t>urt’s order, the victims submitted</w:t>
      </w:r>
      <w:r w:rsidRPr="00660AF5">
        <w:rPr>
          <w:rFonts w:ascii="Times New Roman" w:hAnsi="Times New Roman"/>
          <w:szCs w:val="24"/>
        </w:rPr>
        <w:t xml:space="preserve"> their observations. The victims conclude</w:t>
      </w:r>
      <w:r w:rsidR="001F3E64" w:rsidRPr="00660AF5">
        <w:rPr>
          <w:rFonts w:ascii="Times New Roman" w:hAnsi="Times New Roman"/>
          <w:szCs w:val="24"/>
        </w:rPr>
        <w:t>d</w:t>
      </w:r>
      <w:r w:rsidRPr="00660AF5">
        <w:rPr>
          <w:rFonts w:ascii="Times New Roman" w:hAnsi="Times New Roman"/>
          <w:szCs w:val="24"/>
        </w:rPr>
        <w:t xml:space="preserve"> that the legal criteria for </w:t>
      </w:r>
      <w:r w:rsidR="00CF56A4">
        <w:rPr>
          <w:rFonts w:ascii="Times New Roman" w:hAnsi="Times New Roman"/>
          <w:szCs w:val="24"/>
        </w:rPr>
        <w:t xml:space="preserve">a </w:t>
      </w:r>
      <w:r w:rsidRPr="00660AF5">
        <w:rPr>
          <w:rFonts w:ascii="Times New Roman" w:hAnsi="Times New Roman"/>
          <w:szCs w:val="24"/>
        </w:rPr>
        <w:t xml:space="preserve">reduction of </w:t>
      </w:r>
      <w:r w:rsidR="00CF56A4">
        <w:rPr>
          <w:rFonts w:ascii="Times New Roman" w:hAnsi="Times New Roman"/>
          <w:szCs w:val="24"/>
        </w:rPr>
        <w:t>the sentence were</w:t>
      </w:r>
      <w:r w:rsidRPr="00660AF5">
        <w:rPr>
          <w:rFonts w:ascii="Times New Roman" w:hAnsi="Times New Roman"/>
          <w:szCs w:val="24"/>
        </w:rPr>
        <w:t xml:space="preserve"> not present.</w:t>
      </w:r>
      <w:r w:rsidRPr="00660AF5">
        <w:rPr>
          <w:rStyle w:val="FootnoteReference"/>
          <w:rFonts w:ascii="Times New Roman" w:hAnsi="Times New Roman"/>
          <w:szCs w:val="24"/>
        </w:rPr>
        <w:footnoteReference w:id="1011"/>
      </w:r>
      <w:r w:rsidRPr="00660AF5">
        <w:rPr>
          <w:rFonts w:ascii="Times New Roman" w:hAnsi="Times New Roman"/>
          <w:szCs w:val="24"/>
        </w:rPr>
        <w:t>In the LRVs 01’ observations, the victims aver</w:t>
      </w:r>
      <w:r w:rsidR="00CF56A4">
        <w:rPr>
          <w:rFonts w:ascii="Times New Roman" w:hAnsi="Times New Roman"/>
          <w:szCs w:val="24"/>
        </w:rPr>
        <w:t>red</w:t>
      </w:r>
      <w:r w:rsidRPr="00660AF5">
        <w:rPr>
          <w:rFonts w:ascii="Times New Roman" w:hAnsi="Times New Roman"/>
          <w:szCs w:val="24"/>
        </w:rPr>
        <w:t xml:space="preserve"> that criteria (a) to (d)  of rule 223 affect</w:t>
      </w:r>
      <w:r w:rsidR="00CF56A4">
        <w:rPr>
          <w:rFonts w:ascii="Times New Roman" w:hAnsi="Times New Roman"/>
          <w:szCs w:val="24"/>
        </w:rPr>
        <w:t>ed</w:t>
      </w:r>
      <w:r w:rsidRPr="00660AF5">
        <w:rPr>
          <w:rFonts w:ascii="Times New Roman" w:hAnsi="Times New Roman"/>
          <w:szCs w:val="24"/>
        </w:rPr>
        <w:t xml:space="preserve"> the </w:t>
      </w:r>
      <w:r w:rsidR="006B73AB">
        <w:rPr>
          <w:rFonts w:ascii="Times New Roman" w:hAnsi="Times New Roman"/>
          <w:szCs w:val="24"/>
        </w:rPr>
        <w:t>victims' interest</w:t>
      </w:r>
      <w:r w:rsidRPr="00660AF5">
        <w:rPr>
          <w:rFonts w:ascii="Times New Roman" w:hAnsi="Times New Roman"/>
          <w:szCs w:val="24"/>
        </w:rPr>
        <w:t xml:space="preserve">s directly. These criteria are </w:t>
      </w:r>
      <w:r w:rsidR="00CF56A4">
        <w:rPr>
          <w:rFonts w:ascii="Times New Roman" w:hAnsi="Times New Roman"/>
          <w:szCs w:val="24"/>
        </w:rPr>
        <w:t xml:space="preserve">duplicated in </w:t>
      </w:r>
      <w:r w:rsidRPr="00660AF5">
        <w:rPr>
          <w:rFonts w:ascii="Times New Roman" w:hAnsi="Times New Roman"/>
          <w:szCs w:val="24"/>
        </w:rPr>
        <w:t>article 110(4).</w:t>
      </w:r>
    </w:p>
    <w:p w14:paraId="20B85987" w14:textId="7B033AF4" w:rsidR="001746FC" w:rsidRPr="00660AF5" w:rsidRDefault="001F3E64" w:rsidP="00355C6D">
      <w:pPr>
        <w:spacing w:line="480" w:lineRule="auto"/>
        <w:jc w:val="both"/>
        <w:rPr>
          <w:rFonts w:ascii="Times New Roman" w:hAnsi="Times New Roman"/>
          <w:szCs w:val="24"/>
        </w:rPr>
      </w:pPr>
      <w:r>
        <w:rPr>
          <w:rFonts w:ascii="Times New Roman" w:hAnsi="Times New Roman"/>
          <w:szCs w:val="24"/>
        </w:rPr>
        <w:t>In the victims’ assertions,</w:t>
      </w:r>
      <w:r w:rsidR="00C860EE" w:rsidRPr="00A41538">
        <w:rPr>
          <w:rFonts w:ascii="Times New Roman" w:hAnsi="Times New Roman"/>
          <w:szCs w:val="24"/>
        </w:rPr>
        <w:t xml:space="preserve"> Mr Lubanga </w:t>
      </w:r>
      <w:proofErr w:type="spellStart"/>
      <w:r w:rsidR="00C860EE" w:rsidRPr="00A41538">
        <w:rPr>
          <w:rFonts w:ascii="Times New Roman" w:hAnsi="Times New Roman"/>
          <w:szCs w:val="24"/>
        </w:rPr>
        <w:t>Dyilo</w:t>
      </w:r>
      <w:proofErr w:type="spellEnd"/>
      <w:r w:rsidR="00C860EE" w:rsidRPr="00A41538">
        <w:rPr>
          <w:rFonts w:ascii="Times New Roman" w:hAnsi="Times New Roman"/>
          <w:szCs w:val="24"/>
        </w:rPr>
        <w:t xml:space="preserve"> ‘</w:t>
      </w:r>
      <w:r w:rsidR="00C860EE" w:rsidRPr="00CF56A4">
        <w:rPr>
          <w:rFonts w:ascii="Times New Roman" w:hAnsi="Times New Roman"/>
          <w:szCs w:val="24"/>
        </w:rPr>
        <w:t>consistently denied his responsibility’</w:t>
      </w:r>
      <w:r w:rsidR="00CF56A4">
        <w:rPr>
          <w:rFonts w:ascii="Times New Roman" w:hAnsi="Times New Roman"/>
          <w:szCs w:val="24"/>
        </w:rPr>
        <w:t>,</w:t>
      </w:r>
      <w:r w:rsidR="00C860EE" w:rsidRPr="00A41538">
        <w:rPr>
          <w:rFonts w:ascii="Times New Roman" w:hAnsi="Times New Roman"/>
          <w:szCs w:val="24"/>
        </w:rPr>
        <w:t xml:space="preserve">  that he committed the crimes </w:t>
      </w:r>
      <w:r w:rsidR="006B73AB">
        <w:rPr>
          <w:rFonts w:ascii="Times New Roman" w:hAnsi="Times New Roman"/>
          <w:szCs w:val="24"/>
        </w:rPr>
        <w:t>he was convicted</w:t>
      </w:r>
      <w:r w:rsidR="00C860EE" w:rsidRPr="00A41538">
        <w:rPr>
          <w:rFonts w:ascii="Times New Roman" w:hAnsi="Times New Roman"/>
          <w:szCs w:val="24"/>
        </w:rPr>
        <w:t xml:space="preserve">. </w:t>
      </w:r>
      <w:r w:rsidR="00CF56A4">
        <w:rPr>
          <w:rFonts w:ascii="Times New Roman" w:hAnsi="Times New Roman"/>
          <w:szCs w:val="24"/>
        </w:rPr>
        <w:t>Additionally,</w:t>
      </w:r>
      <w:r w:rsidR="00C860EE" w:rsidRPr="00A41538">
        <w:rPr>
          <w:rFonts w:ascii="Times New Roman" w:hAnsi="Times New Roman"/>
          <w:szCs w:val="24"/>
        </w:rPr>
        <w:t xml:space="preserve"> the victims observe</w:t>
      </w:r>
      <w:r w:rsidR="00660AF5">
        <w:rPr>
          <w:rFonts w:ascii="Times New Roman" w:hAnsi="Times New Roman"/>
          <w:szCs w:val="24"/>
        </w:rPr>
        <w:t>d</w:t>
      </w:r>
      <w:r w:rsidR="00C860EE" w:rsidRPr="00A41538">
        <w:rPr>
          <w:rFonts w:ascii="Times New Roman" w:hAnsi="Times New Roman"/>
          <w:szCs w:val="24"/>
        </w:rPr>
        <w:t xml:space="preserve"> that </w:t>
      </w:r>
      <w:r w:rsidR="00660AF5">
        <w:rPr>
          <w:rFonts w:ascii="Times New Roman" w:hAnsi="Times New Roman"/>
          <w:szCs w:val="24"/>
        </w:rPr>
        <w:t>his conduct and behaviour did</w:t>
      </w:r>
      <w:r w:rsidR="00CF56A4">
        <w:rPr>
          <w:rFonts w:ascii="Times New Roman" w:hAnsi="Times New Roman"/>
          <w:szCs w:val="24"/>
        </w:rPr>
        <w:t xml:space="preserve"> not</w:t>
      </w:r>
      <w:r w:rsidR="00C860EE" w:rsidRPr="00A41538">
        <w:rPr>
          <w:rFonts w:ascii="Times New Roman" w:hAnsi="Times New Roman"/>
          <w:szCs w:val="24"/>
        </w:rPr>
        <w:t xml:space="preserve"> reflect that he has </w:t>
      </w:r>
      <w:r w:rsidR="00C860EE" w:rsidRPr="00A41538">
        <w:rPr>
          <w:rFonts w:ascii="Times New Roman" w:hAnsi="Times New Roman"/>
          <w:i/>
          <w:szCs w:val="24"/>
        </w:rPr>
        <w:t>‘dissociated’</w:t>
      </w:r>
      <w:r w:rsidR="00C860EE" w:rsidRPr="00A41538">
        <w:rPr>
          <w:rFonts w:ascii="Times New Roman" w:hAnsi="Times New Roman"/>
          <w:szCs w:val="24"/>
        </w:rPr>
        <w:t xml:space="preserve"> from those crimes.</w:t>
      </w:r>
      <w:r w:rsidR="00C860EE" w:rsidRPr="00A41538">
        <w:rPr>
          <w:rStyle w:val="FootnoteReference"/>
          <w:rFonts w:ascii="Times New Roman" w:hAnsi="Times New Roman"/>
          <w:szCs w:val="24"/>
        </w:rPr>
        <w:footnoteReference w:id="1012"/>
      </w:r>
      <w:r w:rsidR="00C860EE" w:rsidRPr="00A41538">
        <w:rPr>
          <w:rFonts w:ascii="Times New Roman" w:hAnsi="Times New Roman"/>
          <w:szCs w:val="24"/>
        </w:rPr>
        <w:t xml:space="preserve"> They recommend</w:t>
      </w:r>
      <w:r w:rsidR="00660AF5">
        <w:rPr>
          <w:rFonts w:ascii="Times New Roman" w:hAnsi="Times New Roman"/>
          <w:szCs w:val="24"/>
        </w:rPr>
        <w:t>ed</w:t>
      </w:r>
      <w:r w:rsidR="00C860EE" w:rsidRPr="00A41538">
        <w:rPr>
          <w:rFonts w:ascii="Times New Roman" w:hAnsi="Times New Roman"/>
          <w:szCs w:val="24"/>
        </w:rPr>
        <w:t xml:space="preserve"> </w:t>
      </w:r>
      <w:r w:rsidR="00660AF5">
        <w:rPr>
          <w:rFonts w:ascii="Times New Roman" w:hAnsi="Times New Roman"/>
          <w:szCs w:val="24"/>
        </w:rPr>
        <w:t>that</w:t>
      </w:r>
      <w:r w:rsidR="00C860EE" w:rsidRPr="00A41538">
        <w:rPr>
          <w:rFonts w:ascii="Times New Roman" w:hAnsi="Times New Roman"/>
          <w:szCs w:val="24"/>
        </w:rPr>
        <w:t xml:space="preserve"> an apology and expression of regret by the sentenced person would suffice as a step towards reparations. </w:t>
      </w:r>
      <w:r w:rsidR="00660AF5">
        <w:rPr>
          <w:rFonts w:ascii="Times New Roman" w:hAnsi="Times New Roman"/>
          <w:szCs w:val="24"/>
        </w:rPr>
        <w:t>They also pointed out</w:t>
      </w:r>
      <w:r w:rsidR="00C860EE" w:rsidRPr="00A41538">
        <w:rPr>
          <w:rFonts w:ascii="Times New Roman" w:hAnsi="Times New Roman"/>
          <w:szCs w:val="24"/>
        </w:rPr>
        <w:t xml:space="preserve"> </w:t>
      </w:r>
      <w:r w:rsidR="006B73AB">
        <w:rPr>
          <w:rFonts w:ascii="Times New Roman" w:hAnsi="Times New Roman"/>
          <w:szCs w:val="24"/>
        </w:rPr>
        <w:t xml:space="preserve">that </w:t>
      </w:r>
      <w:r w:rsidR="00C860EE" w:rsidRPr="00A41538">
        <w:rPr>
          <w:rFonts w:ascii="Times New Roman" w:hAnsi="Times New Roman"/>
          <w:szCs w:val="24"/>
        </w:rPr>
        <w:t xml:space="preserve">his unrepentant ways </w:t>
      </w:r>
      <w:r w:rsidR="00415E2A">
        <w:rPr>
          <w:rFonts w:ascii="Times New Roman" w:hAnsi="Times New Roman"/>
          <w:szCs w:val="24"/>
        </w:rPr>
        <w:t>w</w:t>
      </w:r>
      <w:r w:rsidR="00696301">
        <w:rPr>
          <w:rFonts w:ascii="Times New Roman" w:hAnsi="Times New Roman"/>
          <w:szCs w:val="24"/>
        </w:rPr>
        <w:t>ere</w:t>
      </w:r>
      <w:r w:rsidR="00C860EE" w:rsidRPr="00A41538">
        <w:rPr>
          <w:rFonts w:ascii="Times New Roman" w:hAnsi="Times New Roman"/>
          <w:szCs w:val="24"/>
        </w:rPr>
        <w:t xml:space="preserve"> likely to</w:t>
      </w:r>
      <w:r w:rsidR="00C860EE">
        <w:rPr>
          <w:rFonts w:ascii="Times New Roman" w:hAnsi="Times New Roman"/>
          <w:szCs w:val="24"/>
        </w:rPr>
        <w:t xml:space="preserve"> </w:t>
      </w:r>
      <w:r w:rsidR="00C860EE" w:rsidRPr="00A41538">
        <w:rPr>
          <w:rFonts w:ascii="Times New Roman" w:hAnsi="Times New Roman"/>
          <w:szCs w:val="24"/>
        </w:rPr>
        <w:t xml:space="preserve">escalate the continuing tension in </w:t>
      </w:r>
      <w:proofErr w:type="spellStart"/>
      <w:r w:rsidR="00C860EE" w:rsidRPr="00A41538">
        <w:rPr>
          <w:rFonts w:ascii="Times New Roman" w:hAnsi="Times New Roman"/>
          <w:szCs w:val="24"/>
        </w:rPr>
        <w:t>Ituri</w:t>
      </w:r>
      <w:proofErr w:type="spellEnd"/>
      <w:r w:rsidR="00C860EE" w:rsidRPr="00A41538">
        <w:rPr>
          <w:rFonts w:ascii="Times New Roman" w:hAnsi="Times New Roman"/>
          <w:szCs w:val="24"/>
        </w:rPr>
        <w:t xml:space="preserve"> while an apology and expression of regret could ease the </w:t>
      </w:r>
      <w:r w:rsidR="00415E2A">
        <w:rPr>
          <w:rFonts w:ascii="Times New Roman" w:hAnsi="Times New Roman"/>
          <w:szCs w:val="24"/>
        </w:rPr>
        <w:t>existing</w:t>
      </w:r>
      <w:r w:rsidR="00C860EE" w:rsidRPr="00A41538">
        <w:rPr>
          <w:rFonts w:ascii="Times New Roman" w:hAnsi="Times New Roman"/>
          <w:szCs w:val="24"/>
        </w:rPr>
        <w:t xml:space="preserve"> tension in </w:t>
      </w:r>
      <w:proofErr w:type="spellStart"/>
      <w:r w:rsidR="00C860EE" w:rsidRPr="00A41538">
        <w:rPr>
          <w:rFonts w:ascii="Times New Roman" w:hAnsi="Times New Roman"/>
          <w:szCs w:val="24"/>
        </w:rPr>
        <w:t>Ituri</w:t>
      </w:r>
      <w:proofErr w:type="spellEnd"/>
      <w:r w:rsidR="00C860EE" w:rsidRPr="00A41538">
        <w:rPr>
          <w:rFonts w:ascii="Times New Roman" w:hAnsi="Times New Roman"/>
          <w:szCs w:val="24"/>
        </w:rPr>
        <w:t>.</w:t>
      </w:r>
      <w:r w:rsidR="00C860EE" w:rsidRPr="00A41538">
        <w:rPr>
          <w:rStyle w:val="FootnoteReference"/>
          <w:rFonts w:ascii="Times New Roman" w:hAnsi="Times New Roman"/>
          <w:szCs w:val="24"/>
        </w:rPr>
        <w:footnoteReference w:id="1013"/>
      </w:r>
      <w:r w:rsidR="00C860EE" w:rsidRPr="00A41538">
        <w:rPr>
          <w:rFonts w:ascii="Times New Roman" w:hAnsi="Times New Roman"/>
          <w:szCs w:val="24"/>
        </w:rPr>
        <w:t>These victims’ observations highlight</w:t>
      </w:r>
      <w:r w:rsidR="00CF56A4">
        <w:rPr>
          <w:rFonts w:ascii="Times New Roman" w:hAnsi="Times New Roman"/>
          <w:szCs w:val="24"/>
        </w:rPr>
        <w:t>ed</w:t>
      </w:r>
      <w:r w:rsidR="00C860EE" w:rsidRPr="00A41538">
        <w:rPr>
          <w:rFonts w:ascii="Times New Roman" w:hAnsi="Times New Roman"/>
          <w:szCs w:val="24"/>
        </w:rPr>
        <w:t xml:space="preserve"> their expectations</w:t>
      </w:r>
      <w:r w:rsidR="006B73AB">
        <w:rPr>
          <w:rFonts w:ascii="Times New Roman" w:hAnsi="Times New Roman"/>
          <w:szCs w:val="24"/>
        </w:rPr>
        <w:t xml:space="preserve"> and the thorough follow</w:t>
      </w:r>
      <w:r w:rsidR="00696301">
        <w:rPr>
          <w:rFonts w:ascii="Times New Roman" w:hAnsi="Times New Roman"/>
          <w:szCs w:val="24"/>
        </w:rPr>
        <w:t>-up</w:t>
      </w:r>
      <w:r w:rsidR="006B73AB">
        <w:rPr>
          <w:rFonts w:ascii="Times New Roman" w:hAnsi="Times New Roman"/>
          <w:szCs w:val="24"/>
        </w:rPr>
        <w:t xml:space="preserve"> </w:t>
      </w:r>
      <w:r w:rsidR="00696301">
        <w:rPr>
          <w:rFonts w:ascii="Times New Roman" w:hAnsi="Times New Roman"/>
          <w:szCs w:val="24"/>
        </w:rPr>
        <w:t>of</w:t>
      </w:r>
      <w:r w:rsidR="006B73AB">
        <w:rPr>
          <w:rFonts w:ascii="Times New Roman" w:hAnsi="Times New Roman"/>
          <w:szCs w:val="24"/>
        </w:rPr>
        <w:t xml:space="preserve"> the offender's activities </w:t>
      </w:r>
      <w:r w:rsidR="00C860EE" w:rsidRPr="00A41538">
        <w:rPr>
          <w:rFonts w:ascii="Times New Roman" w:hAnsi="Times New Roman"/>
          <w:szCs w:val="24"/>
        </w:rPr>
        <w:t>(Lubanga).</w:t>
      </w:r>
      <w:r w:rsidR="001746FC" w:rsidRPr="001746FC">
        <w:rPr>
          <w:rFonts w:ascii="Times New Roman" w:hAnsi="Times New Roman"/>
          <w:szCs w:val="24"/>
        </w:rPr>
        <w:t xml:space="preserve"> </w:t>
      </w:r>
      <w:r w:rsidR="001746FC" w:rsidRPr="00660AF5">
        <w:rPr>
          <w:rFonts w:ascii="Times New Roman" w:hAnsi="Times New Roman"/>
          <w:szCs w:val="24"/>
        </w:rPr>
        <w:t>In addition, the victims also express</w:t>
      </w:r>
      <w:r w:rsidR="001746FC">
        <w:rPr>
          <w:rFonts w:ascii="Times New Roman" w:hAnsi="Times New Roman"/>
          <w:szCs w:val="24"/>
        </w:rPr>
        <w:t>ed</w:t>
      </w:r>
      <w:r w:rsidR="001746FC" w:rsidRPr="00660AF5">
        <w:rPr>
          <w:rFonts w:ascii="Times New Roman" w:hAnsi="Times New Roman"/>
          <w:szCs w:val="24"/>
        </w:rPr>
        <w:t xml:space="preserve"> their concerns about the consequences that might arise if Mr Lubanga was released to return to the </w:t>
      </w:r>
      <w:proofErr w:type="spellStart"/>
      <w:r w:rsidR="001746FC" w:rsidRPr="00660AF5">
        <w:rPr>
          <w:rFonts w:ascii="Times New Roman" w:hAnsi="Times New Roman"/>
          <w:szCs w:val="24"/>
        </w:rPr>
        <w:t>Ituri</w:t>
      </w:r>
      <w:proofErr w:type="spellEnd"/>
      <w:r w:rsidR="001746FC" w:rsidRPr="00660AF5">
        <w:rPr>
          <w:rFonts w:ascii="Times New Roman" w:hAnsi="Times New Roman"/>
          <w:szCs w:val="24"/>
        </w:rPr>
        <w:t xml:space="preserve"> region. They express</w:t>
      </w:r>
      <w:r w:rsidR="00415E2A">
        <w:rPr>
          <w:rFonts w:ascii="Times New Roman" w:hAnsi="Times New Roman"/>
          <w:szCs w:val="24"/>
        </w:rPr>
        <w:t>ed</w:t>
      </w:r>
      <w:r w:rsidR="001746FC" w:rsidRPr="00660AF5">
        <w:rPr>
          <w:rFonts w:ascii="Times New Roman" w:hAnsi="Times New Roman"/>
          <w:szCs w:val="24"/>
        </w:rPr>
        <w:t xml:space="preserve"> fears that his release </w:t>
      </w:r>
      <w:r w:rsidR="00355C6D">
        <w:rPr>
          <w:rFonts w:ascii="Times New Roman" w:hAnsi="Times New Roman"/>
          <w:szCs w:val="24"/>
        </w:rPr>
        <w:t>“</w:t>
      </w:r>
      <w:r w:rsidR="001746FC" w:rsidRPr="00355C6D">
        <w:rPr>
          <w:rFonts w:ascii="Times New Roman" w:hAnsi="Times New Roman"/>
          <w:szCs w:val="24"/>
        </w:rPr>
        <w:t xml:space="preserve">might hamper implementation of the Trust Fund for Victims’ reparations programme, as a result of Lubanga’s influence on public </w:t>
      </w:r>
      <w:r w:rsidR="00355C6D" w:rsidRPr="00355C6D">
        <w:rPr>
          <w:rFonts w:ascii="Times New Roman" w:hAnsi="Times New Roman"/>
          <w:szCs w:val="24"/>
        </w:rPr>
        <w:t>opinio</w:t>
      </w:r>
      <w:r w:rsidR="001746FC" w:rsidRPr="00355C6D">
        <w:rPr>
          <w:rFonts w:ascii="Times New Roman" w:hAnsi="Times New Roman"/>
          <w:szCs w:val="24"/>
        </w:rPr>
        <w:t>n</w:t>
      </w:r>
      <w:r w:rsidR="00415E2A">
        <w:rPr>
          <w:rFonts w:ascii="Times New Roman" w:hAnsi="Times New Roman"/>
          <w:szCs w:val="24"/>
        </w:rPr>
        <w:t>.</w:t>
      </w:r>
      <w:r w:rsidR="00355C6D">
        <w:rPr>
          <w:rFonts w:ascii="Times New Roman" w:hAnsi="Times New Roman"/>
          <w:i/>
          <w:szCs w:val="24"/>
        </w:rPr>
        <w:t>”</w:t>
      </w:r>
      <w:r w:rsidR="001746FC" w:rsidRPr="00660AF5">
        <w:rPr>
          <w:rFonts w:ascii="Times New Roman" w:hAnsi="Times New Roman"/>
          <w:szCs w:val="24"/>
        </w:rPr>
        <w:t xml:space="preserve"> They aver</w:t>
      </w:r>
      <w:r w:rsidR="00415E2A">
        <w:rPr>
          <w:rFonts w:ascii="Times New Roman" w:hAnsi="Times New Roman"/>
          <w:szCs w:val="24"/>
        </w:rPr>
        <w:t>red</w:t>
      </w:r>
      <w:r w:rsidR="001746FC" w:rsidRPr="00660AF5">
        <w:rPr>
          <w:rFonts w:ascii="Times New Roman" w:hAnsi="Times New Roman"/>
          <w:szCs w:val="24"/>
        </w:rPr>
        <w:t xml:space="preserve"> that </w:t>
      </w:r>
      <w:r w:rsidR="00415E2A">
        <w:rPr>
          <w:rFonts w:ascii="Times New Roman" w:hAnsi="Times New Roman"/>
          <w:szCs w:val="24"/>
        </w:rPr>
        <w:t xml:space="preserve">Lubanga’s return </w:t>
      </w:r>
      <w:r w:rsidR="001746FC" w:rsidRPr="00660AF5">
        <w:rPr>
          <w:rFonts w:ascii="Times New Roman" w:hAnsi="Times New Roman"/>
          <w:szCs w:val="24"/>
        </w:rPr>
        <w:t>w</w:t>
      </w:r>
      <w:r w:rsidR="00415E2A">
        <w:rPr>
          <w:rFonts w:ascii="Times New Roman" w:hAnsi="Times New Roman"/>
          <w:szCs w:val="24"/>
        </w:rPr>
        <w:t xml:space="preserve">ould </w:t>
      </w:r>
      <w:r w:rsidR="001746FC" w:rsidRPr="00660AF5">
        <w:rPr>
          <w:rFonts w:ascii="Times New Roman" w:hAnsi="Times New Roman"/>
          <w:szCs w:val="24"/>
        </w:rPr>
        <w:t>negatively influence the collective reparations process</w:t>
      </w:r>
      <w:r w:rsidR="006B73AB">
        <w:rPr>
          <w:rFonts w:ascii="Times New Roman" w:hAnsi="Times New Roman"/>
          <w:szCs w:val="24"/>
        </w:rPr>
        <w:t xml:space="preserve"> and</w:t>
      </w:r>
      <w:r w:rsidR="001746FC" w:rsidRPr="00660AF5">
        <w:rPr>
          <w:rFonts w:ascii="Times New Roman" w:hAnsi="Times New Roman"/>
          <w:szCs w:val="24"/>
        </w:rPr>
        <w:t xml:space="preserve"> the symbolic reparations.</w:t>
      </w:r>
      <w:r w:rsidR="001746FC" w:rsidRPr="00660AF5">
        <w:rPr>
          <w:rStyle w:val="FootnoteReference"/>
          <w:rFonts w:ascii="Times New Roman" w:hAnsi="Times New Roman"/>
          <w:szCs w:val="24"/>
        </w:rPr>
        <w:footnoteReference w:id="1014"/>
      </w:r>
      <w:r w:rsidR="001746FC" w:rsidRPr="00660AF5">
        <w:rPr>
          <w:rFonts w:ascii="Times New Roman" w:hAnsi="Times New Roman"/>
          <w:szCs w:val="24"/>
        </w:rPr>
        <w:t xml:space="preserve"> </w:t>
      </w:r>
    </w:p>
    <w:p w14:paraId="5B4F47B7" w14:textId="294BDF52" w:rsidR="00C860EE" w:rsidRDefault="00C860EE" w:rsidP="00355C6D">
      <w:pPr>
        <w:pStyle w:val="ListParagraph"/>
        <w:spacing w:line="480" w:lineRule="auto"/>
        <w:ind w:left="0"/>
        <w:jc w:val="both"/>
        <w:rPr>
          <w:rFonts w:ascii="Times New Roman" w:hAnsi="Times New Roman"/>
          <w:szCs w:val="24"/>
        </w:rPr>
      </w:pPr>
      <w:r w:rsidRPr="00A41538">
        <w:rPr>
          <w:rFonts w:ascii="Times New Roman" w:hAnsi="Times New Roman"/>
          <w:szCs w:val="24"/>
        </w:rPr>
        <w:lastRenderedPageBreak/>
        <w:t>Regarding reintegration back into society</w:t>
      </w:r>
      <w:r w:rsidR="00660AF5">
        <w:rPr>
          <w:rFonts w:ascii="Times New Roman" w:hAnsi="Times New Roman"/>
          <w:szCs w:val="24"/>
        </w:rPr>
        <w:t>, the victims averred</w:t>
      </w:r>
      <w:r w:rsidRPr="00A41538">
        <w:rPr>
          <w:rFonts w:ascii="Times New Roman" w:hAnsi="Times New Roman"/>
          <w:szCs w:val="24"/>
        </w:rPr>
        <w:t xml:space="preserve"> that Mr Lubanga would face challenge</w:t>
      </w:r>
      <w:r w:rsidR="00660AF5">
        <w:rPr>
          <w:rFonts w:ascii="Times New Roman" w:hAnsi="Times New Roman"/>
          <w:szCs w:val="24"/>
        </w:rPr>
        <w:t>s</w:t>
      </w:r>
      <w:r w:rsidRPr="00A41538">
        <w:rPr>
          <w:rFonts w:ascii="Times New Roman" w:hAnsi="Times New Roman"/>
          <w:szCs w:val="24"/>
        </w:rPr>
        <w:t>, which could hinder or impact negatively on his ability to resettle in the community with peace and reconciliation.</w:t>
      </w:r>
      <w:r w:rsidR="00660AF5">
        <w:rPr>
          <w:rFonts w:ascii="Times New Roman" w:hAnsi="Times New Roman"/>
          <w:szCs w:val="24"/>
        </w:rPr>
        <w:t xml:space="preserve"> </w:t>
      </w:r>
      <w:r w:rsidRPr="00A41538">
        <w:rPr>
          <w:rFonts w:ascii="Times New Roman" w:hAnsi="Times New Roman"/>
          <w:szCs w:val="24"/>
        </w:rPr>
        <w:t xml:space="preserve">They </w:t>
      </w:r>
      <w:r w:rsidR="00660AF5">
        <w:rPr>
          <w:rFonts w:ascii="Times New Roman" w:hAnsi="Times New Roman"/>
          <w:szCs w:val="24"/>
        </w:rPr>
        <w:t>reported the lack of motivation on Mr Lubanga</w:t>
      </w:r>
      <w:r w:rsidR="00CF56A4">
        <w:rPr>
          <w:rFonts w:ascii="Times New Roman" w:hAnsi="Times New Roman"/>
          <w:szCs w:val="24"/>
        </w:rPr>
        <w:t>’</w:t>
      </w:r>
      <w:r w:rsidR="00660AF5">
        <w:rPr>
          <w:rFonts w:ascii="Times New Roman" w:hAnsi="Times New Roman"/>
          <w:szCs w:val="24"/>
        </w:rPr>
        <w:t xml:space="preserve"> part </w:t>
      </w:r>
      <w:r w:rsidR="006B73AB">
        <w:rPr>
          <w:rFonts w:ascii="Times New Roman" w:hAnsi="Times New Roman"/>
          <w:szCs w:val="24"/>
        </w:rPr>
        <w:t>reflected</w:t>
      </w:r>
      <w:r w:rsidR="00660AF5">
        <w:rPr>
          <w:rFonts w:ascii="Times New Roman" w:hAnsi="Times New Roman"/>
          <w:szCs w:val="24"/>
        </w:rPr>
        <w:t xml:space="preserve"> his attitude towards victims.</w:t>
      </w:r>
      <w:r w:rsidRPr="00A41538">
        <w:rPr>
          <w:rFonts w:ascii="Times New Roman" w:hAnsi="Times New Roman"/>
          <w:szCs w:val="24"/>
        </w:rPr>
        <w:t xml:space="preserve"> </w:t>
      </w:r>
    </w:p>
    <w:p w14:paraId="0B7F0FC0" w14:textId="77777777" w:rsidR="00660AF5" w:rsidRPr="00A41538" w:rsidRDefault="00660AF5" w:rsidP="00355C6D">
      <w:pPr>
        <w:pStyle w:val="ListParagraph"/>
        <w:spacing w:line="480" w:lineRule="auto"/>
        <w:ind w:left="0"/>
        <w:jc w:val="both"/>
        <w:rPr>
          <w:rFonts w:ascii="Times New Roman" w:hAnsi="Times New Roman"/>
          <w:szCs w:val="24"/>
        </w:rPr>
      </w:pPr>
    </w:p>
    <w:p w14:paraId="248BEB2E" w14:textId="195B55E9" w:rsidR="00C860EE" w:rsidRPr="00A41538" w:rsidRDefault="00C860EE" w:rsidP="00355C6D">
      <w:pPr>
        <w:pStyle w:val="ListParagraph"/>
        <w:spacing w:line="480" w:lineRule="auto"/>
        <w:ind w:left="0"/>
        <w:jc w:val="both"/>
        <w:rPr>
          <w:rFonts w:ascii="Times New Roman" w:hAnsi="Times New Roman"/>
          <w:szCs w:val="24"/>
        </w:rPr>
      </w:pPr>
      <w:r w:rsidRPr="00A41538">
        <w:rPr>
          <w:rFonts w:ascii="Times New Roman" w:hAnsi="Times New Roman"/>
          <w:szCs w:val="24"/>
        </w:rPr>
        <w:t>On the risk of social instability, the victims</w:t>
      </w:r>
      <w:r w:rsidR="00CF56A4">
        <w:rPr>
          <w:rFonts w:ascii="Times New Roman" w:hAnsi="Times New Roman"/>
          <w:szCs w:val="24"/>
        </w:rPr>
        <w:t xml:space="preserve"> felt</w:t>
      </w:r>
      <w:r w:rsidRPr="00A41538">
        <w:rPr>
          <w:rFonts w:ascii="Times New Roman" w:hAnsi="Times New Roman"/>
          <w:szCs w:val="24"/>
        </w:rPr>
        <w:t xml:space="preserve"> the offender’s release</w:t>
      </w:r>
      <w:r w:rsidR="006B73AB">
        <w:rPr>
          <w:rFonts w:ascii="Times New Roman" w:hAnsi="Times New Roman"/>
          <w:szCs w:val="24"/>
        </w:rPr>
        <w:t>. Returning</w:t>
      </w:r>
      <w:r w:rsidRPr="00A41538">
        <w:rPr>
          <w:rFonts w:ascii="Times New Roman" w:hAnsi="Times New Roman"/>
          <w:szCs w:val="24"/>
        </w:rPr>
        <w:t xml:space="preserve"> to the region could aggravate the </w:t>
      </w:r>
      <w:r w:rsidR="006B73AB">
        <w:rPr>
          <w:rFonts w:ascii="Times New Roman" w:hAnsi="Times New Roman"/>
          <w:szCs w:val="24"/>
        </w:rPr>
        <w:t>communities' tension</w:t>
      </w:r>
      <w:r w:rsidRPr="00A41538">
        <w:rPr>
          <w:rFonts w:ascii="Times New Roman" w:hAnsi="Times New Roman"/>
          <w:szCs w:val="24"/>
        </w:rPr>
        <w:t>, provided Lubanga does not change his attitude.</w:t>
      </w:r>
      <w:r w:rsidRPr="00A41538">
        <w:rPr>
          <w:rStyle w:val="FootnoteReference"/>
          <w:rFonts w:ascii="Times New Roman" w:hAnsi="Times New Roman"/>
          <w:szCs w:val="24"/>
        </w:rPr>
        <w:footnoteReference w:id="1015"/>
      </w:r>
      <w:r w:rsidRPr="00A41538">
        <w:rPr>
          <w:rFonts w:ascii="Times New Roman" w:hAnsi="Times New Roman"/>
          <w:szCs w:val="24"/>
        </w:rPr>
        <w:t xml:space="preserve"> They also contend</w:t>
      </w:r>
      <w:r w:rsidR="00660AF5">
        <w:rPr>
          <w:rFonts w:ascii="Times New Roman" w:hAnsi="Times New Roman"/>
          <w:szCs w:val="24"/>
        </w:rPr>
        <w:t>ed</w:t>
      </w:r>
      <w:r w:rsidRPr="00A41538">
        <w:rPr>
          <w:rFonts w:ascii="Times New Roman" w:hAnsi="Times New Roman"/>
          <w:szCs w:val="24"/>
        </w:rPr>
        <w:t xml:space="preserve"> that Lubanga‘s return m</w:t>
      </w:r>
      <w:r w:rsidR="00CF56A4">
        <w:rPr>
          <w:rFonts w:ascii="Times New Roman" w:hAnsi="Times New Roman"/>
          <w:szCs w:val="24"/>
        </w:rPr>
        <w:t>ight escalate reprisal attacks as well as</w:t>
      </w:r>
      <w:r w:rsidRPr="00A41538">
        <w:rPr>
          <w:rFonts w:ascii="Times New Roman" w:hAnsi="Times New Roman"/>
          <w:szCs w:val="24"/>
        </w:rPr>
        <w:t xml:space="preserve"> the beginning of </w:t>
      </w:r>
      <w:r w:rsidR="00CF56A4">
        <w:rPr>
          <w:rFonts w:ascii="Times New Roman" w:hAnsi="Times New Roman"/>
          <w:szCs w:val="24"/>
        </w:rPr>
        <w:t>new</w:t>
      </w:r>
      <w:r w:rsidRPr="00A41538">
        <w:rPr>
          <w:rFonts w:ascii="Times New Roman" w:hAnsi="Times New Roman"/>
          <w:szCs w:val="24"/>
        </w:rPr>
        <w:t xml:space="preserve"> war crimes.</w:t>
      </w:r>
    </w:p>
    <w:p w14:paraId="26CA008E" w14:textId="77777777" w:rsidR="00CF56A4" w:rsidRDefault="00CF56A4" w:rsidP="00355C6D">
      <w:pPr>
        <w:pStyle w:val="ListParagraph"/>
        <w:spacing w:line="480" w:lineRule="auto"/>
        <w:ind w:left="0"/>
        <w:jc w:val="both"/>
        <w:rPr>
          <w:rFonts w:ascii="Times New Roman" w:hAnsi="Times New Roman"/>
          <w:szCs w:val="24"/>
        </w:rPr>
      </w:pPr>
    </w:p>
    <w:p w14:paraId="2E840DF2" w14:textId="076C21F9" w:rsidR="00C860EE" w:rsidRPr="00660AF5" w:rsidRDefault="00C860EE" w:rsidP="00355C6D">
      <w:pPr>
        <w:pStyle w:val="ListParagraph"/>
        <w:spacing w:line="480" w:lineRule="auto"/>
        <w:ind w:left="0"/>
        <w:jc w:val="both"/>
        <w:rPr>
          <w:rFonts w:ascii="Times New Roman" w:hAnsi="Times New Roman"/>
          <w:szCs w:val="24"/>
        </w:rPr>
      </w:pPr>
      <w:r w:rsidRPr="00660AF5">
        <w:rPr>
          <w:rFonts w:ascii="Times New Roman" w:hAnsi="Times New Roman"/>
          <w:szCs w:val="24"/>
        </w:rPr>
        <w:t>Turning now to the posit</w:t>
      </w:r>
      <w:r w:rsidR="00660AF5" w:rsidRPr="00660AF5">
        <w:rPr>
          <w:rFonts w:ascii="Times New Roman" w:hAnsi="Times New Roman"/>
          <w:szCs w:val="24"/>
        </w:rPr>
        <w:t xml:space="preserve">ive action </w:t>
      </w:r>
      <w:r w:rsidR="00696301">
        <w:rPr>
          <w:rFonts w:ascii="Times New Roman" w:hAnsi="Times New Roman"/>
          <w:szCs w:val="24"/>
        </w:rPr>
        <w:t>favouring</w:t>
      </w:r>
      <w:r w:rsidR="00660AF5" w:rsidRPr="00660AF5">
        <w:rPr>
          <w:rFonts w:ascii="Times New Roman" w:hAnsi="Times New Roman"/>
          <w:szCs w:val="24"/>
        </w:rPr>
        <w:t xml:space="preserve"> victims,</w:t>
      </w:r>
      <w:r w:rsidRPr="00660AF5">
        <w:rPr>
          <w:rFonts w:ascii="Times New Roman" w:hAnsi="Times New Roman"/>
          <w:szCs w:val="24"/>
        </w:rPr>
        <w:t xml:space="preserve"> </w:t>
      </w:r>
      <w:r w:rsidR="00660AF5" w:rsidRPr="00660AF5">
        <w:rPr>
          <w:rFonts w:ascii="Times New Roman" w:hAnsi="Times New Roman"/>
          <w:szCs w:val="24"/>
        </w:rPr>
        <w:t>the victims</w:t>
      </w:r>
      <w:r w:rsidR="00CF56A4">
        <w:rPr>
          <w:rFonts w:ascii="Times New Roman" w:hAnsi="Times New Roman"/>
          <w:szCs w:val="24"/>
        </w:rPr>
        <w:t>'</w:t>
      </w:r>
      <w:r w:rsidR="00660AF5" w:rsidRPr="00660AF5">
        <w:rPr>
          <w:rFonts w:ascii="Times New Roman" w:hAnsi="Times New Roman"/>
          <w:szCs w:val="24"/>
        </w:rPr>
        <w:t xml:space="preserve"> arguments show</w:t>
      </w:r>
      <w:r w:rsidRPr="00660AF5">
        <w:rPr>
          <w:rFonts w:ascii="Times New Roman" w:hAnsi="Times New Roman"/>
          <w:szCs w:val="24"/>
        </w:rPr>
        <w:t xml:space="preserve"> that Mr Lubanga has declined to undertake a proposal of positive actions</w:t>
      </w:r>
      <w:r w:rsidR="00660AF5" w:rsidRPr="00660AF5">
        <w:rPr>
          <w:rFonts w:ascii="Times New Roman" w:hAnsi="Times New Roman"/>
          <w:szCs w:val="24"/>
        </w:rPr>
        <w:t xml:space="preserve"> during his </w:t>
      </w:r>
      <w:r w:rsidR="005C59F6">
        <w:rPr>
          <w:rFonts w:ascii="Times New Roman" w:hAnsi="Times New Roman"/>
          <w:szCs w:val="24"/>
        </w:rPr>
        <w:t>detention term</w:t>
      </w:r>
      <w:r w:rsidR="00660AF5" w:rsidRPr="00660AF5">
        <w:rPr>
          <w:rFonts w:ascii="Times New Roman" w:hAnsi="Times New Roman"/>
          <w:szCs w:val="24"/>
        </w:rPr>
        <w:t>.</w:t>
      </w:r>
      <w:r w:rsidR="00CF56A4">
        <w:rPr>
          <w:rFonts w:ascii="Times New Roman" w:hAnsi="Times New Roman"/>
          <w:szCs w:val="24"/>
        </w:rPr>
        <w:t xml:space="preserve"> This criterion </w:t>
      </w:r>
      <w:r w:rsidR="00BD665B">
        <w:rPr>
          <w:rFonts w:ascii="Times New Roman" w:hAnsi="Times New Roman"/>
          <w:szCs w:val="24"/>
        </w:rPr>
        <w:t xml:space="preserve">required </w:t>
      </w:r>
      <w:r w:rsidR="00415E2A">
        <w:rPr>
          <w:rFonts w:ascii="Times New Roman" w:hAnsi="Times New Roman"/>
          <w:szCs w:val="24"/>
        </w:rPr>
        <w:t xml:space="preserve">him </w:t>
      </w:r>
      <w:r w:rsidRPr="00660AF5">
        <w:rPr>
          <w:rFonts w:ascii="Times New Roman" w:hAnsi="Times New Roman"/>
          <w:szCs w:val="24"/>
        </w:rPr>
        <w:t>to</w:t>
      </w:r>
      <w:r w:rsidR="00BD665B">
        <w:rPr>
          <w:rFonts w:ascii="Times New Roman" w:hAnsi="Times New Roman"/>
          <w:szCs w:val="24"/>
        </w:rPr>
        <w:t xml:space="preserve"> engage victims by reassuring them of his support publicly, </w:t>
      </w:r>
      <w:r w:rsidRPr="00660AF5">
        <w:rPr>
          <w:rFonts w:ascii="Times New Roman" w:hAnsi="Times New Roman"/>
          <w:szCs w:val="24"/>
        </w:rPr>
        <w:t>a public acknowledgement that children under the age of 15 years were indeed enlisted into UPC, as well as an expression of regret in the absence of an apology</w:t>
      </w:r>
      <w:r w:rsidR="00660AF5" w:rsidRPr="00660AF5">
        <w:rPr>
          <w:rFonts w:ascii="Times New Roman" w:hAnsi="Times New Roman"/>
          <w:szCs w:val="24"/>
        </w:rPr>
        <w:t>.</w:t>
      </w:r>
      <w:r w:rsidR="00415E2A">
        <w:rPr>
          <w:rStyle w:val="FootnoteReference"/>
          <w:rFonts w:ascii="Times New Roman" w:hAnsi="Times New Roman"/>
          <w:szCs w:val="24"/>
        </w:rPr>
        <w:footnoteReference w:id="1016"/>
      </w:r>
      <w:r w:rsidRPr="00660AF5">
        <w:rPr>
          <w:rFonts w:ascii="Times New Roman" w:hAnsi="Times New Roman"/>
          <w:szCs w:val="24"/>
        </w:rPr>
        <w:t xml:space="preserve"> </w:t>
      </w:r>
    </w:p>
    <w:p w14:paraId="1B17C5E6" w14:textId="7A3A672A" w:rsidR="00D11974" w:rsidRPr="000D53A0" w:rsidRDefault="00C860EE" w:rsidP="00355C6D">
      <w:pPr>
        <w:spacing w:line="480" w:lineRule="auto"/>
        <w:jc w:val="both"/>
        <w:rPr>
          <w:rFonts w:ascii="Times New Roman" w:hAnsi="Times New Roman"/>
          <w:b/>
          <w:szCs w:val="24"/>
        </w:rPr>
      </w:pPr>
      <w:r w:rsidRPr="00660AF5">
        <w:rPr>
          <w:rFonts w:ascii="Times New Roman" w:hAnsi="Times New Roman"/>
          <w:szCs w:val="24"/>
        </w:rPr>
        <w:t>Fu</w:t>
      </w:r>
      <w:r w:rsidR="001746FC">
        <w:rPr>
          <w:rFonts w:ascii="Times New Roman" w:hAnsi="Times New Roman"/>
          <w:szCs w:val="24"/>
        </w:rPr>
        <w:t>r</w:t>
      </w:r>
      <w:r w:rsidRPr="00660AF5">
        <w:rPr>
          <w:rFonts w:ascii="Times New Roman" w:hAnsi="Times New Roman"/>
          <w:szCs w:val="24"/>
        </w:rPr>
        <w:t>thermore, the LRVs( victims V01) also claim</w:t>
      </w:r>
      <w:r w:rsidR="00BD213F">
        <w:rPr>
          <w:rFonts w:ascii="Times New Roman" w:hAnsi="Times New Roman"/>
          <w:szCs w:val="24"/>
        </w:rPr>
        <w:t>ed</w:t>
      </w:r>
      <w:r w:rsidRPr="00660AF5">
        <w:rPr>
          <w:rFonts w:ascii="Times New Roman" w:hAnsi="Times New Roman"/>
          <w:szCs w:val="24"/>
        </w:rPr>
        <w:t xml:space="preserve"> that Mr Lubanga has not participated in any conduct that shows that he has taken ‘</w:t>
      </w:r>
      <w:r w:rsidRPr="00660AF5">
        <w:rPr>
          <w:rFonts w:ascii="Times New Roman" w:hAnsi="Times New Roman"/>
          <w:i/>
          <w:szCs w:val="24"/>
        </w:rPr>
        <w:t>significant action’</w:t>
      </w:r>
      <w:r w:rsidRPr="00660AF5">
        <w:rPr>
          <w:rFonts w:ascii="Times New Roman" w:hAnsi="Times New Roman"/>
          <w:szCs w:val="24"/>
        </w:rPr>
        <w:t xml:space="preserve"> </w:t>
      </w:r>
      <w:r w:rsidR="006B73AB">
        <w:rPr>
          <w:rFonts w:ascii="Times New Roman" w:hAnsi="Times New Roman"/>
          <w:szCs w:val="24"/>
        </w:rPr>
        <w:t>to benefit</w:t>
      </w:r>
      <w:r w:rsidR="001746FC">
        <w:rPr>
          <w:rFonts w:ascii="Times New Roman" w:hAnsi="Times New Roman"/>
          <w:szCs w:val="24"/>
        </w:rPr>
        <w:t xml:space="preserve"> the victims. </w:t>
      </w:r>
      <w:r w:rsidRPr="00660AF5">
        <w:rPr>
          <w:rFonts w:ascii="Times New Roman" w:hAnsi="Times New Roman"/>
          <w:szCs w:val="24"/>
        </w:rPr>
        <w:t>Mr Lubanga failed to make public apologies, which could have formed part of the reparations</w:t>
      </w:r>
      <w:r w:rsidR="001746FC">
        <w:rPr>
          <w:rFonts w:ascii="Times New Roman" w:hAnsi="Times New Roman"/>
          <w:szCs w:val="24"/>
        </w:rPr>
        <w:t>;</w:t>
      </w:r>
      <w:r w:rsidRPr="00660AF5">
        <w:rPr>
          <w:rFonts w:ascii="Times New Roman" w:hAnsi="Times New Roman"/>
          <w:szCs w:val="24"/>
        </w:rPr>
        <w:t xml:space="preserve"> he refused to cooperate throughout the reparations proceedings.</w:t>
      </w:r>
      <w:r w:rsidRPr="00660AF5">
        <w:rPr>
          <w:rStyle w:val="FootnoteReference"/>
          <w:rFonts w:ascii="Times New Roman" w:hAnsi="Times New Roman"/>
          <w:szCs w:val="24"/>
        </w:rPr>
        <w:footnoteReference w:id="1017"/>
      </w:r>
      <w:r w:rsidR="00415E2A">
        <w:rPr>
          <w:rFonts w:ascii="Times New Roman" w:hAnsi="Times New Roman"/>
          <w:szCs w:val="24"/>
        </w:rPr>
        <w:t>H</w:t>
      </w:r>
      <w:r w:rsidRPr="00660AF5">
        <w:rPr>
          <w:rFonts w:ascii="Times New Roman" w:hAnsi="Times New Roman"/>
          <w:szCs w:val="24"/>
        </w:rPr>
        <w:t xml:space="preserve">e </w:t>
      </w:r>
      <w:r w:rsidRPr="00660AF5">
        <w:rPr>
          <w:rFonts w:ascii="Times New Roman" w:hAnsi="Times New Roman"/>
          <w:szCs w:val="24"/>
        </w:rPr>
        <w:lastRenderedPageBreak/>
        <w:t>objected to the inclusion of child soldiers in the reparations programmes. He blatantly refused to recognise the fact that he was responsible for the former child soldier’s recruitment. Th</w:t>
      </w:r>
      <w:r w:rsidR="001746FC">
        <w:rPr>
          <w:rFonts w:ascii="Times New Roman" w:hAnsi="Times New Roman"/>
          <w:szCs w:val="24"/>
        </w:rPr>
        <w:t>e Registry corroborated this</w:t>
      </w:r>
      <w:r w:rsidR="00415E2A">
        <w:rPr>
          <w:rFonts w:ascii="Times New Roman" w:hAnsi="Times New Roman"/>
          <w:szCs w:val="24"/>
        </w:rPr>
        <w:t xml:space="preserve"> assertion</w:t>
      </w:r>
      <w:r w:rsidRPr="00660AF5">
        <w:rPr>
          <w:rFonts w:ascii="Times New Roman" w:hAnsi="Times New Roman"/>
          <w:szCs w:val="24"/>
        </w:rPr>
        <w:t>. The LRVs of Victi</w:t>
      </w:r>
      <w:r w:rsidR="001746FC">
        <w:rPr>
          <w:rFonts w:ascii="Times New Roman" w:hAnsi="Times New Roman"/>
          <w:szCs w:val="24"/>
        </w:rPr>
        <w:t>ms V02  argue that Lubanga was</w:t>
      </w:r>
      <w:r w:rsidRPr="00660AF5">
        <w:rPr>
          <w:rFonts w:ascii="Times New Roman" w:hAnsi="Times New Roman"/>
          <w:szCs w:val="24"/>
        </w:rPr>
        <w:t xml:space="preserve"> required to prove his good faith and wish to cooperate with the reconciliation process in </w:t>
      </w:r>
      <w:proofErr w:type="spellStart"/>
      <w:r w:rsidRPr="00660AF5">
        <w:rPr>
          <w:rFonts w:ascii="Times New Roman" w:hAnsi="Times New Roman"/>
          <w:szCs w:val="24"/>
        </w:rPr>
        <w:t>Ituri</w:t>
      </w:r>
      <w:proofErr w:type="spellEnd"/>
      <w:r w:rsidRPr="00660AF5">
        <w:rPr>
          <w:rFonts w:ascii="Times New Roman" w:hAnsi="Times New Roman"/>
          <w:szCs w:val="24"/>
        </w:rPr>
        <w:t>.</w:t>
      </w:r>
      <w:r w:rsidRPr="00660AF5">
        <w:rPr>
          <w:rStyle w:val="FootnoteReference"/>
          <w:rFonts w:ascii="Times New Roman" w:hAnsi="Times New Roman"/>
          <w:szCs w:val="24"/>
        </w:rPr>
        <w:footnoteReference w:id="1018"/>
      </w:r>
      <w:r w:rsidRPr="00660AF5">
        <w:rPr>
          <w:rFonts w:ascii="Times New Roman" w:hAnsi="Times New Roman"/>
          <w:szCs w:val="24"/>
        </w:rPr>
        <w:t xml:space="preserve"> The LRV concluded that none of the </w:t>
      </w:r>
      <w:r w:rsidR="006B73AB">
        <w:rPr>
          <w:rFonts w:ascii="Times New Roman" w:hAnsi="Times New Roman"/>
          <w:szCs w:val="24"/>
        </w:rPr>
        <w:t>sentenced person's conduct could be considered</w:t>
      </w:r>
      <w:r w:rsidRPr="00660AF5">
        <w:rPr>
          <w:rFonts w:ascii="Times New Roman" w:hAnsi="Times New Roman"/>
          <w:szCs w:val="24"/>
        </w:rPr>
        <w:t xml:space="preserve"> ‘</w:t>
      </w:r>
      <w:r w:rsidRPr="00660AF5">
        <w:rPr>
          <w:rFonts w:ascii="Times New Roman" w:hAnsi="Times New Roman"/>
          <w:i/>
          <w:szCs w:val="24"/>
        </w:rPr>
        <w:t>change</w:t>
      </w:r>
      <w:r w:rsidRPr="00660AF5">
        <w:rPr>
          <w:rFonts w:ascii="Times New Roman" w:hAnsi="Times New Roman"/>
          <w:szCs w:val="24"/>
        </w:rPr>
        <w:t xml:space="preserve">’ to qualify for the legal criteria for </w:t>
      </w:r>
      <w:r w:rsidR="001746FC">
        <w:rPr>
          <w:rFonts w:ascii="Times New Roman" w:hAnsi="Times New Roman"/>
          <w:szCs w:val="24"/>
        </w:rPr>
        <w:t xml:space="preserve">a </w:t>
      </w:r>
      <w:r w:rsidRPr="00660AF5">
        <w:rPr>
          <w:rFonts w:ascii="Times New Roman" w:hAnsi="Times New Roman"/>
          <w:szCs w:val="24"/>
        </w:rPr>
        <w:t>sentence reduction.</w:t>
      </w:r>
      <w:r w:rsidR="00D11974" w:rsidRPr="00D11974">
        <w:rPr>
          <w:rFonts w:ascii="Times New Roman" w:hAnsi="Times New Roman"/>
          <w:szCs w:val="24"/>
        </w:rPr>
        <w:t xml:space="preserve"> </w:t>
      </w:r>
      <w:r w:rsidR="00D11974" w:rsidRPr="000D53A0">
        <w:rPr>
          <w:rFonts w:ascii="Times New Roman" w:hAnsi="Times New Roman"/>
          <w:szCs w:val="24"/>
        </w:rPr>
        <w:t>The LRV’s submit</w:t>
      </w:r>
      <w:r w:rsidR="00415E2A">
        <w:rPr>
          <w:rFonts w:ascii="Times New Roman" w:hAnsi="Times New Roman"/>
          <w:szCs w:val="24"/>
        </w:rPr>
        <w:t>ted</w:t>
      </w:r>
      <w:r w:rsidR="00D11974" w:rsidRPr="000D53A0">
        <w:rPr>
          <w:rFonts w:ascii="Times New Roman" w:hAnsi="Times New Roman"/>
          <w:szCs w:val="24"/>
        </w:rPr>
        <w:t xml:space="preserve"> that the </w:t>
      </w:r>
      <w:r w:rsidR="00D11974">
        <w:rPr>
          <w:rFonts w:ascii="Times New Roman" w:hAnsi="Times New Roman"/>
          <w:szCs w:val="24"/>
        </w:rPr>
        <w:t>statutory</w:t>
      </w:r>
      <w:r w:rsidR="00D11974" w:rsidRPr="000D53A0">
        <w:rPr>
          <w:rFonts w:ascii="Times New Roman" w:hAnsi="Times New Roman"/>
          <w:szCs w:val="24"/>
        </w:rPr>
        <w:t xml:space="preserve"> criteria for sentence reduction </w:t>
      </w:r>
      <w:r w:rsidR="00415E2A">
        <w:rPr>
          <w:rFonts w:ascii="Times New Roman" w:hAnsi="Times New Roman"/>
          <w:szCs w:val="24"/>
        </w:rPr>
        <w:t>were</w:t>
      </w:r>
      <w:r w:rsidR="00D11974" w:rsidRPr="000D53A0">
        <w:rPr>
          <w:rFonts w:ascii="Times New Roman" w:hAnsi="Times New Roman"/>
          <w:szCs w:val="24"/>
        </w:rPr>
        <w:t xml:space="preserve"> not, at this juncture, present. They defer</w:t>
      </w:r>
      <w:r w:rsidR="00415E2A">
        <w:rPr>
          <w:rFonts w:ascii="Times New Roman" w:hAnsi="Times New Roman"/>
          <w:szCs w:val="24"/>
        </w:rPr>
        <w:t>red</w:t>
      </w:r>
      <w:r w:rsidR="00D11974" w:rsidRPr="000D53A0">
        <w:rPr>
          <w:rFonts w:ascii="Times New Roman" w:hAnsi="Times New Roman"/>
          <w:szCs w:val="24"/>
        </w:rPr>
        <w:t xml:space="preserve"> for six months, the review for </w:t>
      </w:r>
      <w:r w:rsidR="00D11974">
        <w:rPr>
          <w:rFonts w:ascii="Times New Roman" w:hAnsi="Times New Roman"/>
          <w:szCs w:val="24"/>
        </w:rPr>
        <w:t xml:space="preserve">a </w:t>
      </w:r>
      <w:r w:rsidR="00D11974" w:rsidRPr="000D53A0">
        <w:rPr>
          <w:rFonts w:ascii="Times New Roman" w:hAnsi="Times New Roman"/>
          <w:szCs w:val="24"/>
        </w:rPr>
        <w:t>possible sentence reduction.</w:t>
      </w:r>
      <w:r w:rsidR="00D11974" w:rsidRPr="000D53A0">
        <w:rPr>
          <w:rStyle w:val="FootnoteReference"/>
          <w:rFonts w:ascii="Times New Roman" w:hAnsi="Times New Roman"/>
          <w:szCs w:val="24"/>
        </w:rPr>
        <w:footnoteReference w:id="1019"/>
      </w:r>
      <w:r w:rsidR="00D11974" w:rsidRPr="000D53A0">
        <w:rPr>
          <w:rFonts w:ascii="Times New Roman" w:hAnsi="Times New Roman"/>
          <w:szCs w:val="24"/>
        </w:rPr>
        <w:t xml:space="preserve"> </w:t>
      </w:r>
    </w:p>
    <w:p w14:paraId="7A0FB8E1" w14:textId="27A14BEE" w:rsidR="00C860EE" w:rsidRDefault="00C860EE" w:rsidP="00355C6D">
      <w:pPr>
        <w:spacing w:line="480" w:lineRule="auto"/>
        <w:jc w:val="both"/>
        <w:rPr>
          <w:rFonts w:ascii="Times New Roman" w:hAnsi="Times New Roman"/>
          <w:szCs w:val="24"/>
        </w:rPr>
      </w:pPr>
      <w:r w:rsidRPr="00660AF5">
        <w:rPr>
          <w:rFonts w:ascii="Times New Roman" w:hAnsi="Times New Roman"/>
          <w:szCs w:val="24"/>
        </w:rPr>
        <w:t>In response to this, the Defence contested the LRV’s assertion and claim</w:t>
      </w:r>
      <w:r w:rsidR="00D11974">
        <w:rPr>
          <w:rFonts w:ascii="Times New Roman" w:hAnsi="Times New Roman"/>
          <w:szCs w:val="24"/>
        </w:rPr>
        <w:t>ed</w:t>
      </w:r>
      <w:r w:rsidRPr="00660AF5">
        <w:rPr>
          <w:rFonts w:ascii="Times New Roman" w:hAnsi="Times New Roman"/>
          <w:szCs w:val="24"/>
        </w:rPr>
        <w:t xml:space="preserve"> that Lubanga offered apology letter. They reiterate</w:t>
      </w:r>
      <w:r w:rsidR="00D11974">
        <w:rPr>
          <w:rFonts w:ascii="Times New Roman" w:hAnsi="Times New Roman"/>
          <w:szCs w:val="24"/>
        </w:rPr>
        <w:t>d</w:t>
      </w:r>
      <w:r w:rsidRPr="00660AF5">
        <w:rPr>
          <w:rFonts w:ascii="Times New Roman" w:hAnsi="Times New Roman"/>
          <w:szCs w:val="24"/>
        </w:rPr>
        <w:t xml:space="preserve"> that Lubanga’s apologies were genuine.</w:t>
      </w:r>
      <w:r w:rsidR="00D11974">
        <w:rPr>
          <w:rFonts w:ascii="Times New Roman" w:hAnsi="Times New Roman"/>
          <w:szCs w:val="24"/>
        </w:rPr>
        <w:t xml:space="preserve"> </w:t>
      </w:r>
      <w:r w:rsidRPr="00660AF5">
        <w:rPr>
          <w:rFonts w:ascii="Times New Roman" w:hAnsi="Times New Roman"/>
          <w:szCs w:val="24"/>
        </w:rPr>
        <w:t xml:space="preserve">The </w:t>
      </w:r>
      <w:r w:rsidRPr="000D53A0">
        <w:rPr>
          <w:rFonts w:ascii="Times New Roman" w:hAnsi="Times New Roman"/>
          <w:szCs w:val="24"/>
        </w:rPr>
        <w:t>Defence argue</w:t>
      </w:r>
      <w:r w:rsidR="00D11974">
        <w:rPr>
          <w:rFonts w:ascii="Times New Roman" w:hAnsi="Times New Roman"/>
          <w:szCs w:val="24"/>
        </w:rPr>
        <w:t>d</w:t>
      </w:r>
      <w:r w:rsidRPr="000D53A0">
        <w:rPr>
          <w:rFonts w:ascii="Times New Roman" w:hAnsi="Times New Roman"/>
          <w:szCs w:val="24"/>
        </w:rPr>
        <w:t xml:space="preserve"> that the conduct anteceden</w:t>
      </w:r>
      <w:r w:rsidR="009D5C9B">
        <w:rPr>
          <w:rFonts w:ascii="Times New Roman" w:hAnsi="Times New Roman"/>
          <w:szCs w:val="24"/>
        </w:rPr>
        <w:t>t to sentence</w:t>
      </w:r>
      <w:r w:rsidR="00415E2A">
        <w:rPr>
          <w:rFonts w:ascii="Times New Roman" w:hAnsi="Times New Roman"/>
          <w:szCs w:val="24"/>
        </w:rPr>
        <w:t xml:space="preserve"> review </w:t>
      </w:r>
      <w:r w:rsidR="009D5C9B">
        <w:rPr>
          <w:rFonts w:ascii="Times New Roman" w:hAnsi="Times New Roman"/>
          <w:szCs w:val="24"/>
        </w:rPr>
        <w:t>supported</w:t>
      </w:r>
      <w:r w:rsidRPr="000D53A0">
        <w:rPr>
          <w:rFonts w:ascii="Times New Roman" w:hAnsi="Times New Roman"/>
          <w:szCs w:val="24"/>
        </w:rPr>
        <w:t xml:space="preserve"> Lubanga’s application for </w:t>
      </w:r>
      <w:r w:rsidR="00D11974">
        <w:rPr>
          <w:rFonts w:ascii="Times New Roman" w:hAnsi="Times New Roman"/>
          <w:szCs w:val="24"/>
        </w:rPr>
        <w:t xml:space="preserve">a </w:t>
      </w:r>
      <w:r w:rsidRPr="000D53A0">
        <w:rPr>
          <w:rFonts w:ascii="Times New Roman" w:hAnsi="Times New Roman"/>
          <w:szCs w:val="24"/>
        </w:rPr>
        <w:t xml:space="preserve">sentence reduction. </w:t>
      </w:r>
    </w:p>
    <w:p w14:paraId="48349602" w14:textId="00475DC8" w:rsidR="00C860EE" w:rsidRPr="00B4106B" w:rsidRDefault="001679E7" w:rsidP="004A1CB5">
      <w:pPr>
        <w:spacing w:line="480" w:lineRule="auto"/>
        <w:jc w:val="both"/>
        <w:rPr>
          <w:szCs w:val="24"/>
        </w:rPr>
      </w:pPr>
      <w:r w:rsidRPr="00D20501">
        <w:rPr>
          <w:rFonts w:ascii="Times New Roman" w:hAnsi="Times New Roman"/>
          <w:szCs w:val="24"/>
        </w:rPr>
        <w:t>Nonetheless, the Panel considered the LRV’s submissions. It dismissed Lubanga</w:t>
      </w:r>
      <w:r w:rsidR="006B73AB">
        <w:rPr>
          <w:rFonts w:ascii="Times New Roman" w:hAnsi="Times New Roman"/>
          <w:szCs w:val="24"/>
        </w:rPr>
        <w:t xml:space="preserve">'s application </w:t>
      </w:r>
      <w:r w:rsidR="00696301">
        <w:rPr>
          <w:rFonts w:ascii="Times New Roman" w:hAnsi="Times New Roman"/>
          <w:szCs w:val="24"/>
        </w:rPr>
        <w:t>to reduce</w:t>
      </w:r>
      <w:r w:rsidR="006B73AB">
        <w:rPr>
          <w:rFonts w:ascii="Times New Roman" w:hAnsi="Times New Roman"/>
          <w:szCs w:val="24"/>
        </w:rPr>
        <w:t xml:space="preserve"> the sentence because</w:t>
      </w:r>
      <w:r w:rsidRPr="00D20501">
        <w:rPr>
          <w:rFonts w:ascii="Times New Roman" w:hAnsi="Times New Roman"/>
          <w:szCs w:val="24"/>
        </w:rPr>
        <w:t xml:space="preserve"> he </w:t>
      </w:r>
      <w:r w:rsidR="00415E2A">
        <w:rPr>
          <w:rFonts w:ascii="Times New Roman" w:hAnsi="Times New Roman"/>
          <w:szCs w:val="24"/>
        </w:rPr>
        <w:t xml:space="preserve">failed to </w:t>
      </w:r>
      <w:r w:rsidRPr="00D20501">
        <w:rPr>
          <w:rFonts w:ascii="Times New Roman" w:hAnsi="Times New Roman"/>
          <w:szCs w:val="24"/>
        </w:rPr>
        <w:t xml:space="preserve">comply with the rules, including his lack of remorse and insincere apology. </w:t>
      </w:r>
      <w:r w:rsidR="00C860EE" w:rsidRPr="000D53A0">
        <w:rPr>
          <w:rFonts w:ascii="Times New Roman" w:hAnsi="Times New Roman"/>
          <w:szCs w:val="24"/>
        </w:rPr>
        <w:t>Given the information received from the LRVs, the Panel concluded that Mr Lubanga had not genuinely dissociated from his crimes.</w:t>
      </w:r>
      <w:r w:rsidR="009D5C9B">
        <w:rPr>
          <w:rStyle w:val="FootnoteReference"/>
          <w:rFonts w:ascii="Times New Roman" w:hAnsi="Times New Roman"/>
          <w:szCs w:val="24"/>
        </w:rPr>
        <w:footnoteReference w:id="1020"/>
      </w:r>
      <w:r w:rsidR="00C860EE" w:rsidRPr="000D53A0">
        <w:rPr>
          <w:rFonts w:ascii="Times New Roman" w:hAnsi="Times New Roman"/>
          <w:szCs w:val="24"/>
        </w:rPr>
        <w:t xml:space="preserve"> However, the Pa</w:t>
      </w:r>
      <w:r w:rsidR="009D5C9B">
        <w:rPr>
          <w:rFonts w:ascii="Times New Roman" w:hAnsi="Times New Roman"/>
          <w:szCs w:val="24"/>
        </w:rPr>
        <w:t>nel acknowledged the</w:t>
      </w:r>
      <w:r w:rsidR="00C860EE" w:rsidRPr="000D53A0">
        <w:rPr>
          <w:rFonts w:ascii="Times New Roman" w:hAnsi="Times New Roman"/>
          <w:szCs w:val="24"/>
        </w:rPr>
        <w:t xml:space="preserve"> prospect for the resocialisation and </w:t>
      </w:r>
      <w:r w:rsidR="00C860EE" w:rsidRPr="000D53A0">
        <w:rPr>
          <w:rFonts w:ascii="Times New Roman" w:hAnsi="Times New Roman"/>
          <w:szCs w:val="24"/>
        </w:rPr>
        <w:lastRenderedPageBreak/>
        <w:t>successful resettlement of Mr Lubanga in the DRC</w:t>
      </w:r>
      <w:r w:rsidR="00660AF5" w:rsidRPr="000D53A0">
        <w:rPr>
          <w:rFonts w:ascii="Times New Roman" w:hAnsi="Times New Roman"/>
          <w:szCs w:val="24"/>
        </w:rPr>
        <w:t>.</w:t>
      </w:r>
      <w:r w:rsidR="00C860EE" w:rsidRPr="000D53A0">
        <w:rPr>
          <w:rStyle w:val="FootnoteReference"/>
          <w:rFonts w:ascii="Times New Roman" w:hAnsi="Times New Roman"/>
          <w:szCs w:val="24"/>
        </w:rPr>
        <w:footnoteReference w:id="1021"/>
      </w:r>
      <w:r w:rsidR="009D5C9B">
        <w:rPr>
          <w:rFonts w:ascii="Times New Roman" w:hAnsi="Times New Roman"/>
          <w:szCs w:val="24"/>
        </w:rPr>
        <w:t xml:space="preserve"> Hence</w:t>
      </w:r>
      <w:r w:rsidR="00C860EE" w:rsidRPr="000D53A0">
        <w:rPr>
          <w:rFonts w:ascii="Times New Roman" w:hAnsi="Times New Roman"/>
          <w:szCs w:val="24"/>
        </w:rPr>
        <w:t>, the reduction of</w:t>
      </w:r>
      <w:r w:rsidR="004914E3">
        <w:rPr>
          <w:rFonts w:ascii="Times New Roman" w:hAnsi="Times New Roman"/>
          <w:szCs w:val="24"/>
        </w:rPr>
        <w:t xml:space="preserve"> his sentence could not</w:t>
      </w:r>
      <w:r w:rsidR="00C860EE" w:rsidRPr="000D53A0">
        <w:rPr>
          <w:rFonts w:ascii="Times New Roman" w:hAnsi="Times New Roman"/>
          <w:szCs w:val="24"/>
        </w:rPr>
        <w:t xml:space="preserve"> be justified in the present circumstances.</w:t>
      </w:r>
      <w:r w:rsidR="004914E3">
        <w:rPr>
          <w:rFonts w:ascii="Times New Roman" w:hAnsi="Times New Roman"/>
          <w:szCs w:val="24"/>
        </w:rPr>
        <w:t xml:space="preserve"> </w:t>
      </w:r>
      <w:r w:rsidR="00064A40" w:rsidRPr="00C150F8">
        <w:rPr>
          <w:rFonts w:ascii="Times New Roman" w:hAnsi="Times New Roman"/>
          <w:szCs w:val="24"/>
        </w:rPr>
        <w:t>Based on the a</w:t>
      </w:r>
      <w:r w:rsidR="00696301">
        <w:rPr>
          <w:rFonts w:ascii="Times New Roman" w:hAnsi="Times New Roman"/>
          <w:szCs w:val="24"/>
        </w:rPr>
        <w:t>bove factors' assessment</w:t>
      </w:r>
      <w:r w:rsidR="00064A40" w:rsidRPr="00C150F8">
        <w:rPr>
          <w:rFonts w:ascii="Times New Roman" w:hAnsi="Times New Roman"/>
          <w:szCs w:val="24"/>
        </w:rPr>
        <w:t xml:space="preserve"> and </w:t>
      </w:r>
      <w:r w:rsidR="006B73AB">
        <w:rPr>
          <w:rFonts w:ascii="Times New Roman" w:hAnsi="Times New Roman"/>
          <w:szCs w:val="24"/>
        </w:rPr>
        <w:t>the absence of evidence to establish Mr Lubanga’s dissociation from the crimes, the judges found no elements favouring</w:t>
      </w:r>
      <w:r w:rsidR="00C860EE" w:rsidRPr="00C150F8">
        <w:rPr>
          <w:rFonts w:ascii="Times New Roman" w:hAnsi="Times New Roman"/>
          <w:szCs w:val="24"/>
        </w:rPr>
        <w:t xml:space="preserve"> </w:t>
      </w:r>
      <w:r w:rsidR="00C860EE" w:rsidRPr="000D53A0">
        <w:rPr>
          <w:rFonts w:ascii="Times New Roman" w:hAnsi="Times New Roman"/>
          <w:szCs w:val="24"/>
        </w:rPr>
        <w:t>Lubanga’s release</w:t>
      </w:r>
      <w:r w:rsidR="00291673" w:rsidRPr="000D53A0">
        <w:rPr>
          <w:rFonts w:ascii="Times New Roman" w:hAnsi="Times New Roman"/>
          <w:szCs w:val="24"/>
        </w:rPr>
        <w:t>.</w:t>
      </w:r>
      <w:r w:rsidR="00291673" w:rsidRPr="000D53A0">
        <w:rPr>
          <w:rStyle w:val="FootnoteReference"/>
          <w:rFonts w:ascii="Times New Roman" w:hAnsi="Times New Roman"/>
          <w:szCs w:val="24"/>
        </w:rPr>
        <w:footnoteReference w:id="1022"/>
      </w:r>
      <w:r w:rsidR="00C860EE" w:rsidRPr="000D53A0">
        <w:rPr>
          <w:rFonts w:ascii="Times New Roman" w:hAnsi="Times New Roman"/>
          <w:szCs w:val="24"/>
        </w:rPr>
        <w:t xml:space="preserve"> </w:t>
      </w:r>
      <w:r w:rsidR="00291673" w:rsidRPr="000D53A0">
        <w:rPr>
          <w:rFonts w:ascii="Times New Roman" w:hAnsi="Times New Roman"/>
          <w:szCs w:val="24"/>
        </w:rPr>
        <w:t>Fu</w:t>
      </w:r>
      <w:r w:rsidR="004914E3">
        <w:rPr>
          <w:rFonts w:ascii="Times New Roman" w:hAnsi="Times New Roman"/>
          <w:szCs w:val="24"/>
        </w:rPr>
        <w:t>r</w:t>
      </w:r>
      <w:r w:rsidR="00291673" w:rsidRPr="000D53A0">
        <w:rPr>
          <w:rFonts w:ascii="Times New Roman" w:hAnsi="Times New Roman"/>
          <w:szCs w:val="24"/>
        </w:rPr>
        <w:t xml:space="preserve">thermore, </w:t>
      </w:r>
      <w:r w:rsidR="00C860EE" w:rsidRPr="000D53A0">
        <w:rPr>
          <w:rFonts w:ascii="Times New Roman" w:hAnsi="Times New Roman"/>
          <w:szCs w:val="24"/>
        </w:rPr>
        <w:t>the judges held that Lubanga ha</w:t>
      </w:r>
      <w:r w:rsidR="004914E3">
        <w:rPr>
          <w:rFonts w:ascii="Times New Roman" w:hAnsi="Times New Roman"/>
          <w:szCs w:val="24"/>
        </w:rPr>
        <w:t>d</w:t>
      </w:r>
      <w:r w:rsidR="00C860EE" w:rsidRPr="000D53A0">
        <w:rPr>
          <w:rFonts w:ascii="Times New Roman" w:hAnsi="Times New Roman"/>
          <w:szCs w:val="24"/>
        </w:rPr>
        <w:t xml:space="preserve"> not satisfied the court th</w:t>
      </w:r>
      <w:r w:rsidR="00291673" w:rsidRPr="000D53A0">
        <w:rPr>
          <w:rFonts w:ascii="Times New Roman" w:hAnsi="Times New Roman"/>
          <w:szCs w:val="24"/>
        </w:rPr>
        <w:t>at there was any indication which</w:t>
      </w:r>
      <w:r w:rsidR="004914E3">
        <w:rPr>
          <w:rFonts w:ascii="Times New Roman" w:hAnsi="Times New Roman"/>
          <w:szCs w:val="24"/>
        </w:rPr>
        <w:t xml:space="preserve"> supported</w:t>
      </w:r>
      <w:r w:rsidR="00C860EE" w:rsidRPr="000D53A0">
        <w:rPr>
          <w:rFonts w:ascii="Times New Roman" w:hAnsi="Times New Roman"/>
          <w:szCs w:val="24"/>
        </w:rPr>
        <w:t xml:space="preserve"> the fact that he has taken  ‘</w:t>
      </w:r>
      <w:r w:rsidR="00C860EE" w:rsidRPr="000D53A0">
        <w:rPr>
          <w:rFonts w:ascii="Times New Roman" w:hAnsi="Times New Roman"/>
          <w:i/>
          <w:szCs w:val="24"/>
        </w:rPr>
        <w:t>significant action’</w:t>
      </w:r>
      <w:r w:rsidR="00C860EE" w:rsidRPr="000D53A0">
        <w:rPr>
          <w:rFonts w:ascii="Times New Roman" w:hAnsi="Times New Roman"/>
          <w:szCs w:val="24"/>
        </w:rPr>
        <w:t xml:space="preserve"> for the benefit of the victims of his crimes.</w:t>
      </w:r>
    </w:p>
    <w:p w14:paraId="246BB7C0" w14:textId="43941965" w:rsidR="00464720" w:rsidRPr="000D53A0" w:rsidRDefault="00936CFC" w:rsidP="004A1CB5">
      <w:pPr>
        <w:spacing w:line="480" w:lineRule="auto"/>
        <w:jc w:val="both"/>
        <w:rPr>
          <w:rFonts w:ascii="Times New Roman" w:hAnsi="Times New Roman"/>
          <w:szCs w:val="24"/>
        </w:rPr>
      </w:pPr>
      <w:r>
        <w:rPr>
          <w:rFonts w:ascii="Times New Roman" w:hAnsi="Times New Roman"/>
          <w:szCs w:val="24"/>
        </w:rPr>
        <w:t>Interestingly, the first sentence review manifests the significance of r</w:t>
      </w:r>
      <w:r w:rsidR="00C860EE" w:rsidRPr="000D53A0">
        <w:rPr>
          <w:rFonts w:ascii="Times New Roman" w:hAnsi="Times New Roman"/>
          <w:szCs w:val="24"/>
        </w:rPr>
        <w:t>emorse</w:t>
      </w:r>
      <w:r>
        <w:rPr>
          <w:rFonts w:ascii="Times New Roman" w:hAnsi="Times New Roman"/>
          <w:szCs w:val="24"/>
        </w:rPr>
        <w:t>,</w:t>
      </w:r>
      <w:r w:rsidR="00C860EE" w:rsidRPr="000D53A0">
        <w:rPr>
          <w:rFonts w:ascii="Times New Roman" w:hAnsi="Times New Roman"/>
          <w:szCs w:val="24"/>
        </w:rPr>
        <w:t xml:space="preserve"> and sincere apology</w:t>
      </w:r>
      <w:r>
        <w:rPr>
          <w:rFonts w:ascii="Times New Roman" w:hAnsi="Times New Roman"/>
          <w:szCs w:val="24"/>
        </w:rPr>
        <w:t xml:space="preserve"> in sentencing, especially</w:t>
      </w:r>
      <w:r w:rsidR="00C860EE" w:rsidRPr="000D53A0">
        <w:rPr>
          <w:rFonts w:ascii="Times New Roman" w:hAnsi="Times New Roman"/>
          <w:szCs w:val="24"/>
        </w:rPr>
        <w:t xml:space="preserve"> </w:t>
      </w:r>
      <w:r>
        <w:rPr>
          <w:rFonts w:ascii="Times New Roman" w:hAnsi="Times New Roman"/>
          <w:szCs w:val="24"/>
        </w:rPr>
        <w:t>in assessing the relationship between victims and offender a</w:t>
      </w:r>
      <w:r w:rsidR="006B73AB">
        <w:rPr>
          <w:rFonts w:ascii="Times New Roman" w:hAnsi="Times New Roman"/>
          <w:szCs w:val="24"/>
        </w:rPr>
        <w:t>nd</w:t>
      </w:r>
      <w:r>
        <w:rPr>
          <w:rFonts w:ascii="Times New Roman" w:hAnsi="Times New Roman"/>
          <w:szCs w:val="24"/>
        </w:rPr>
        <w:t xml:space="preserve"> </w:t>
      </w:r>
      <w:r w:rsidR="00C860EE" w:rsidRPr="000D53A0">
        <w:rPr>
          <w:rFonts w:ascii="Times New Roman" w:hAnsi="Times New Roman"/>
          <w:szCs w:val="24"/>
        </w:rPr>
        <w:t>victims’ perspectives</w:t>
      </w:r>
      <w:r>
        <w:rPr>
          <w:rFonts w:ascii="Times New Roman" w:hAnsi="Times New Roman"/>
          <w:szCs w:val="24"/>
        </w:rPr>
        <w:t xml:space="preserve"> on this. Perhaps</w:t>
      </w:r>
      <w:r w:rsidR="00B0037B">
        <w:rPr>
          <w:rFonts w:ascii="Times New Roman" w:hAnsi="Times New Roman"/>
          <w:szCs w:val="24"/>
        </w:rPr>
        <w:t xml:space="preserve"> </w:t>
      </w:r>
      <w:r>
        <w:rPr>
          <w:rFonts w:ascii="Times New Roman" w:hAnsi="Times New Roman"/>
          <w:szCs w:val="24"/>
        </w:rPr>
        <w:t>victims may find closure</w:t>
      </w:r>
      <w:r w:rsidR="00C860EE" w:rsidRPr="000D53A0">
        <w:rPr>
          <w:rFonts w:ascii="Times New Roman" w:hAnsi="Times New Roman"/>
          <w:szCs w:val="24"/>
        </w:rPr>
        <w:t xml:space="preserve"> </w:t>
      </w:r>
      <w:r>
        <w:rPr>
          <w:rFonts w:ascii="Times New Roman" w:hAnsi="Times New Roman"/>
          <w:szCs w:val="24"/>
        </w:rPr>
        <w:t>from the offender’s apologies.</w:t>
      </w:r>
      <w:r w:rsidR="00C860EE" w:rsidRPr="000D53A0">
        <w:rPr>
          <w:rFonts w:ascii="Times New Roman" w:hAnsi="Times New Roman"/>
          <w:szCs w:val="24"/>
        </w:rPr>
        <w:t xml:space="preserve"> On the other hand, remorse and public apology could serve as </w:t>
      </w:r>
      <w:r>
        <w:rPr>
          <w:rFonts w:ascii="Times New Roman" w:hAnsi="Times New Roman"/>
          <w:szCs w:val="24"/>
        </w:rPr>
        <w:t xml:space="preserve">a </w:t>
      </w:r>
      <w:r w:rsidR="00C860EE" w:rsidRPr="000D53A0">
        <w:rPr>
          <w:rFonts w:ascii="Times New Roman" w:hAnsi="Times New Roman"/>
          <w:szCs w:val="24"/>
        </w:rPr>
        <w:t>mitigating factor for the defendant at sentenc</w:t>
      </w:r>
      <w:r w:rsidR="00291673" w:rsidRPr="000D53A0">
        <w:rPr>
          <w:rFonts w:ascii="Times New Roman" w:hAnsi="Times New Roman"/>
          <w:szCs w:val="24"/>
        </w:rPr>
        <w:t>ing. Since apology may perform a restorative function towards mending the broken relationship between the victims and sentenced person, victims tend to expect this from the perpetrator.</w:t>
      </w:r>
      <w:r>
        <w:rPr>
          <w:rFonts w:ascii="Times New Roman" w:hAnsi="Times New Roman"/>
          <w:szCs w:val="24"/>
        </w:rPr>
        <w:t xml:space="preserve"> </w:t>
      </w:r>
      <w:r w:rsidR="00291673" w:rsidRPr="000D53A0">
        <w:rPr>
          <w:rFonts w:ascii="Times New Roman" w:hAnsi="Times New Roman"/>
          <w:szCs w:val="24"/>
        </w:rPr>
        <w:t>In this particular case,</w:t>
      </w:r>
      <w:r w:rsidR="00C860EE" w:rsidRPr="000D53A0">
        <w:rPr>
          <w:rFonts w:ascii="Times New Roman" w:hAnsi="Times New Roman"/>
          <w:szCs w:val="24"/>
        </w:rPr>
        <w:t xml:space="preserve"> from their perspectives, </w:t>
      </w:r>
      <w:r w:rsidR="00CB357C" w:rsidRPr="000D53A0">
        <w:rPr>
          <w:rFonts w:ascii="Times New Roman" w:hAnsi="Times New Roman"/>
          <w:szCs w:val="24"/>
        </w:rPr>
        <w:t>the victim believed the apology</w:t>
      </w:r>
      <w:r w:rsidR="00C860EE" w:rsidRPr="000D53A0">
        <w:rPr>
          <w:rFonts w:ascii="Times New Roman" w:hAnsi="Times New Roman"/>
          <w:szCs w:val="24"/>
        </w:rPr>
        <w:t xml:space="preserve"> was not genuine.</w:t>
      </w:r>
      <w:r>
        <w:rPr>
          <w:rFonts w:ascii="Times New Roman" w:hAnsi="Times New Roman"/>
          <w:szCs w:val="24"/>
        </w:rPr>
        <w:t xml:space="preserve"> </w:t>
      </w:r>
      <w:r w:rsidR="00464720" w:rsidRPr="000D53A0">
        <w:rPr>
          <w:rFonts w:ascii="Times New Roman" w:hAnsi="Times New Roman"/>
          <w:szCs w:val="24"/>
        </w:rPr>
        <w:t>R</w:t>
      </w:r>
      <w:r w:rsidR="00C860EE" w:rsidRPr="000D53A0">
        <w:rPr>
          <w:rFonts w:ascii="Times New Roman" w:hAnsi="Times New Roman"/>
          <w:szCs w:val="24"/>
        </w:rPr>
        <w:t>emorse and sincere apology could fit in as a medium</w:t>
      </w:r>
      <w:r>
        <w:rPr>
          <w:rFonts w:ascii="Times New Roman" w:hAnsi="Times New Roman"/>
          <w:szCs w:val="24"/>
        </w:rPr>
        <w:t xml:space="preserve"> to</w:t>
      </w:r>
      <w:r w:rsidR="00C860EE" w:rsidRPr="000D53A0">
        <w:rPr>
          <w:rFonts w:ascii="Times New Roman" w:hAnsi="Times New Roman"/>
          <w:szCs w:val="24"/>
        </w:rPr>
        <w:t xml:space="preserve"> teach offenders lessons, vindicate victims and expedite reintegration into the society.</w:t>
      </w:r>
      <w:r w:rsidR="00C860EE" w:rsidRPr="000D53A0">
        <w:rPr>
          <w:rStyle w:val="FootnoteReference"/>
          <w:rFonts w:ascii="Times New Roman" w:hAnsi="Times New Roman"/>
          <w:szCs w:val="24"/>
        </w:rPr>
        <w:footnoteReference w:id="1023"/>
      </w:r>
      <w:r w:rsidR="00C860EE" w:rsidRPr="000D53A0">
        <w:rPr>
          <w:rFonts w:ascii="Times New Roman" w:hAnsi="Times New Roman"/>
          <w:szCs w:val="24"/>
        </w:rPr>
        <w:t xml:space="preserve"> </w:t>
      </w:r>
    </w:p>
    <w:p w14:paraId="5374FF3D" w14:textId="28D4FB8E" w:rsidR="00496B5B" w:rsidRPr="000D53A0" w:rsidRDefault="00496B5B" w:rsidP="004A1CB5">
      <w:pPr>
        <w:spacing w:line="480" w:lineRule="auto"/>
        <w:jc w:val="both"/>
        <w:rPr>
          <w:rFonts w:ascii="Times New Roman" w:hAnsi="Times New Roman"/>
          <w:szCs w:val="24"/>
        </w:rPr>
      </w:pPr>
      <w:r w:rsidRPr="000D53A0">
        <w:rPr>
          <w:rFonts w:ascii="Times New Roman" w:hAnsi="Times New Roman"/>
          <w:szCs w:val="24"/>
        </w:rPr>
        <w:lastRenderedPageBreak/>
        <w:t>In summary, the Panel found no factors in favour of Lubang</w:t>
      </w:r>
      <w:r w:rsidR="005A7E11" w:rsidRPr="000D53A0">
        <w:rPr>
          <w:rFonts w:ascii="Times New Roman" w:hAnsi="Times New Roman"/>
          <w:szCs w:val="24"/>
        </w:rPr>
        <w:t>a’s release.</w:t>
      </w:r>
      <w:r w:rsidR="00936CFC">
        <w:rPr>
          <w:rFonts w:ascii="Times New Roman" w:hAnsi="Times New Roman"/>
          <w:szCs w:val="24"/>
        </w:rPr>
        <w:t xml:space="preserve"> </w:t>
      </w:r>
      <w:r w:rsidR="005A7E11" w:rsidRPr="000D53A0">
        <w:rPr>
          <w:rFonts w:ascii="Times New Roman" w:hAnsi="Times New Roman"/>
          <w:szCs w:val="24"/>
        </w:rPr>
        <w:t xml:space="preserve">The panel reached this decision based on the absence of evidence that he had genuinely dissociated himself from the crimes and failure to establish any indication </w:t>
      </w:r>
      <w:r w:rsidR="006B73AB">
        <w:rPr>
          <w:rFonts w:ascii="Times New Roman" w:hAnsi="Times New Roman"/>
          <w:szCs w:val="24"/>
        </w:rPr>
        <w:t>that supported the fact that he had taken ‘significant action’ to benefit</w:t>
      </w:r>
      <w:r w:rsidR="005A7E11" w:rsidRPr="000D53A0">
        <w:rPr>
          <w:rFonts w:ascii="Times New Roman" w:hAnsi="Times New Roman"/>
          <w:szCs w:val="24"/>
        </w:rPr>
        <w:t xml:space="preserve"> the victims of his crimes.</w:t>
      </w:r>
    </w:p>
    <w:p w14:paraId="4A70B3BB" w14:textId="2C4140C9" w:rsidR="00C860EE" w:rsidRPr="000D53A0" w:rsidRDefault="00DA7C6B" w:rsidP="004A1CB5">
      <w:pPr>
        <w:spacing w:line="480" w:lineRule="auto"/>
        <w:jc w:val="both"/>
        <w:rPr>
          <w:rFonts w:ascii="Times New Roman" w:hAnsi="Times New Roman"/>
          <w:szCs w:val="24"/>
        </w:rPr>
      </w:pPr>
      <w:r w:rsidRPr="000D53A0">
        <w:rPr>
          <w:rFonts w:ascii="Times New Roman" w:hAnsi="Times New Roman"/>
          <w:szCs w:val="24"/>
        </w:rPr>
        <w:t xml:space="preserve">From the above assessment, </w:t>
      </w:r>
      <w:r w:rsidR="00464720" w:rsidRPr="000D53A0">
        <w:rPr>
          <w:rFonts w:ascii="Times New Roman" w:hAnsi="Times New Roman"/>
          <w:szCs w:val="24"/>
        </w:rPr>
        <w:t xml:space="preserve">It </w:t>
      </w:r>
      <w:r w:rsidRPr="000D53A0">
        <w:rPr>
          <w:rFonts w:ascii="Times New Roman" w:hAnsi="Times New Roman"/>
          <w:szCs w:val="24"/>
        </w:rPr>
        <w:t xml:space="preserve">is </w:t>
      </w:r>
      <w:r w:rsidR="00464720" w:rsidRPr="000D53A0">
        <w:rPr>
          <w:rFonts w:ascii="Times New Roman" w:hAnsi="Times New Roman"/>
          <w:szCs w:val="24"/>
        </w:rPr>
        <w:t xml:space="preserve">observed that the Panel </w:t>
      </w:r>
      <w:r w:rsidRPr="000D53A0">
        <w:rPr>
          <w:rFonts w:ascii="Times New Roman" w:hAnsi="Times New Roman"/>
          <w:szCs w:val="24"/>
        </w:rPr>
        <w:t>considered the victims’ submissions in the determination of the sentence review.</w:t>
      </w:r>
      <w:r w:rsidR="00936CFC">
        <w:rPr>
          <w:rFonts w:ascii="Times New Roman" w:hAnsi="Times New Roman"/>
          <w:szCs w:val="24"/>
        </w:rPr>
        <w:t xml:space="preserve"> After a while</w:t>
      </w:r>
      <w:r w:rsidR="005A7E11" w:rsidRPr="000D53A0">
        <w:rPr>
          <w:rFonts w:ascii="Times New Roman" w:hAnsi="Times New Roman"/>
          <w:szCs w:val="24"/>
        </w:rPr>
        <w:t>,  the sentenced person, Lubanga</w:t>
      </w:r>
      <w:r w:rsidR="00936CFC">
        <w:rPr>
          <w:rFonts w:ascii="Times New Roman" w:hAnsi="Times New Roman"/>
          <w:szCs w:val="24"/>
        </w:rPr>
        <w:t>,</w:t>
      </w:r>
      <w:r w:rsidR="005A7E11" w:rsidRPr="000D53A0">
        <w:rPr>
          <w:rFonts w:ascii="Times New Roman" w:hAnsi="Times New Roman"/>
          <w:szCs w:val="24"/>
        </w:rPr>
        <w:t xml:space="preserve"> applied for a second review for </w:t>
      </w:r>
      <w:r w:rsidR="00936CFC">
        <w:rPr>
          <w:rFonts w:ascii="Times New Roman" w:hAnsi="Times New Roman"/>
          <w:szCs w:val="24"/>
        </w:rPr>
        <w:t xml:space="preserve">a </w:t>
      </w:r>
      <w:r w:rsidR="005A7E11" w:rsidRPr="000D53A0">
        <w:rPr>
          <w:rFonts w:ascii="Times New Roman" w:hAnsi="Times New Roman"/>
          <w:szCs w:val="24"/>
        </w:rPr>
        <w:t>sentence reduction.</w:t>
      </w:r>
      <w:r w:rsidR="00C860EE" w:rsidRPr="000D53A0">
        <w:rPr>
          <w:rFonts w:ascii="Times New Roman" w:hAnsi="Times New Roman"/>
          <w:szCs w:val="24"/>
        </w:rPr>
        <w:t xml:space="preserve"> </w:t>
      </w:r>
      <w:r w:rsidR="00936CFC">
        <w:rPr>
          <w:rFonts w:ascii="Times New Roman" w:hAnsi="Times New Roman"/>
          <w:szCs w:val="24"/>
        </w:rPr>
        <w:t xml:space="preserve">The </w:t>
      </w:r>
      <w:r w:rsidR="004B2283">
        <w:rPr>
          <w:rFonts w:ascii="Times New Roman" w:hAnsi="Times New Roman"/>
          <w:szCs w:val="24"/>
        </w:rPr>
        <w:t>f</w:t>
      </w:r>
      <w:r w:rsidR="00936CFC">
        <w:rPr>
          <w:rFonts w:ascii="Times New Roman" w:hAnsi="Times New Roman"/>
          <w:szCs w:val="24"/>
        </w:rPr>
        <w:t>ollowing part shall explore the second review by commencing with the preliminary issue.</w:t>
      </w:r>
    </w:p>
    <w:p w14:paraId="60ABEE57" w14:textId="047BFB9E" w:rsidR="00B61BA7" w:rsidRPr="000D53A0" w:rsidRDefault="00936CFC" w:rsidP="00364EC8">
      <w:pPr>
        <w:pStyle w:val="Heading3"/>
      </w:pPr>
      <w:bookmarkStart w:id="75" w:name="_Toc60235845"/>
      <w:r>
        <w:t>4.5.2</w:t>
      </w:r>
      <w:r w:rsidR="00B0037B">
        <w:t xml:space="preserve"> </w:t>
      </w:r>
      <w:r w:rsidR="00B61BA7" w:rsidRPr="000D53A0">
        <w:t>Preliminary issue: request to postpone the second review.</w:t>
      </w:r>
      <w:bookmarkEnd w:id="75"/>
      <w:r>
        <w:t xml:space="preserve"> </w:t>
      </w:r>
    </w:p>
    <w:p w14:paraId="3EE35E8A" w14:textId="00EA35A4" w:rsidR="00936CFC" w:rsidRDefault="00B61BA7" w:rsidP="004A1CB5">
      <w:pPr>
        <w:spacing w:line="480" w:lineRule="auto"/>
        <w:jc w:val="both"/>
        <w:rPr>
          <w:rStyle w:val="FootnoteReference"/>
          <w:rFonts w:ascii="Times New Roman" w:hAnsi="Times New Roman"/>
          <w:szCs w:val="24"/>
        </w:rPr>
      </w:pPr>
      <w:r w:rsidRPr="000D53A0">
        <w:rPr>
          <w:rFonts w:ascii="Times New Roman" w:hAnsi="Times New Roman"/>
          <w:szCs w:val="24"/>
        </w:rPr>
        <w:t xml:space="preserve">The LRV V01 and V02 requested the Chamber to </w:t>
      </w:r>
      <w:r w:rsidR="00936CFC">
        <w:rPr>
          <w:rFonts w:ascii="Times New Roman" w:hAnsi="Times New Roman"/>
          <w:szCs w:val="24"/>
        </w:rPr>
        <w:t>defer</w:t>
      </w:r>
      <w:r w:rsidRPr="000D53A0">
        <w:rPr>
          <w:rFonts w:ascii="Times New Roman" w:hAnsi="Times New Roman"/>
          <w:szCs w:val="24"/>
        </w:rPr>
        <w:t xml:space="preserve"> the sentence review for six months.</w:t>
      </w:r>
      <w:r w:rsidRPr="000D53A0">
        <w:rPr>
          <w:rStyle w:val="FootnoteReference"/>
          <w:rFonts w:ascii="Times New Roman" w:hAnsi="Times New Roman"/>
          <w:szCs w:val="24"/>
        </w:rPr>
        <w:footnoteReference w:id="1024"/>
      </w:r>
      <w:r w:rsidRPr="000D53A0">
        <w:rPr>
          <w:rFonts w:ascii="Times New Roman" w:hAnsi="Times New Roman"/>
          <w:szCs w:val="24"/>
        </w:rPr>
        <w:t xml:space="preserve"> The LRV V01 stated that Mr Lubanga ha</w:t>
      </w:r>
      <w:r w:rsidR="00936CFC">
        <w:rPr>
          <w:rFonts w:ascii="Times New Roman" w:hAnsi="Times New Roman"/>
          <w:szCs w:val="24"/>
        </w:rPr>
        <w:t>d</w:t>
      </w:r>
      <w:r w:rsidRPr="000D53A0">
        <w:rPr>
          <w:rFonts w:ascii="Times New Roman" w:hAnsi="Times New Roman"/>
          <w:szCs w:val="24"/>
        </w:rPr>
        <w:t xml:space="preserve"> not met the conditions set for his early release. Therefore, the </w:t>
      </w:r>
      <w:r w:rsidR="00936CFC">
        <w:rPr>
          <w:rFonts w:ascii="Times New Roman" w:hAnsi="Times New Roman"/>
          <w:szCs w:val="24"/>
        </w:rPr>
        <w:t>requirement</w:t>
      </w:r>
      <w:r w:rsidRPr="000D53A0">
        <w:rPr>
          <w:rFonts w:ascii="Times New Roman" w:hAnsi="Times New Roman"/>
          <w:szCs w:val="24"/>
        </w:rPr>
        <w:t>s from his initial review ha</w:t>
      </w:r>
      <w:r w:rsidR="00936CFC">
        <w:rPr>
          <w:rFonts w:ascii="Times New Roman" w:hAnsi="Times New Roman"/>
          <w:szCs w:val="24"/>
        </w:rPr>
        <w:t>ve</w:t>
      </w:r>
      <w:r w:rsidRPr="000D53A0">
        <w:rPr>
          <w:rFonts w:ascii="Times New Roman" w:hAnsi="Times New Roman"/>
          <w:szCs w:val="24"/>
        </w:rPr>
        <w:t xml:space="preserve"> not changed. However, </w:t>
      </w:r>
      <w:r w:rsidR="00936CFC">
        <w:rPr>
          <w:rFonts w:ascii="Times New Roman" w:hAnsi="Times New Roman"/>
          <w:szCs w:val="24"/>
        </w:rPr>
        <w:t>according</w:t>
      </w:r>
      <w:r w:rsidRPr="000D53A0">
        <w:rPr>
          <w:rFonts w:ascii="Times New Roman" w:hAnsi="Times New Roman"/>
          <w:szCs w:val="24"/>
        </w:rPr>
        <w:t xml:space="preserve"> to the letter dated 7</w:t>
      </w:r>
      <w:r w:rsidR="00936CFC">
        <w:rPr>
          <w:rFonts w:ascii="Times New Roman" w:hAnsi="Times New Roman"/>
          <w:szCs w:val="24"/>
        </w:rPr>
        <w:t xml:space="preserve"> </w:t>
      </w:r>
      <w:r w:rsidRPr="000D53A0">
        <w:rPr>
          <w:rFonts w:ascii="Times New Roman" w:hAnsi="Times New Roman"/>
          <w:szCs w:val="24"/>
        </w:rPr>
        <w:t>September 2017 titled ‘</w:t>
      </w:r>
      <w:r w:rsidRPr="000D53A0">
        <w:rPr>
          <w:rFonts w:ascii="Times New Roman" w:hAnsi="Times New Roman"/>
          <w:i/>
          <w:szCs w:val="24"/>
        </w:rPr>
        <w:t>merits considerations’</w:t>
      </w:r>
      <w:r w:rsidRPr="000D53A0">
        <w:rPr>
          <w:rFonts w:ascii="Times New Roman" w:hAnsi="Times New Roman"/>
          <w:szCs w:val="24"/>
        </w:rPr>
        <w:t>, which</w:t>
      </w:r>
      <w:r w:rsidR="00936CFC">
        <w:rPr>
          <w:rFonts w:ascii="Times New Roman" w:hAnsi="Times New Roman"/>
          <w:szCs w:val="24"/>
        </w:rPr>
        <w:t xml:space="preserve"> contained a ‘new information’ </w:t>
      </w:r>
      <w:r w:rsidRPr="000D53A0">
        <w:rPr>
          <w:rFonts w:ascii="Times New Roman" w:hAnsi="Times New Roman"/>
          <w:szCs w:val="24"/>
        </w:rPr>
        <w:t xml:space="preserve">on </w:t>
      </w:r>
      <w:r w:rsidR="006B73AB">
        <w:rPr>
          <w:rFonts w:ascii="Times New Roman" w:hAnsi="Times New Roman"/>
          <w:szCs w:val="24"/>
        </w:rPr>
        <w:t>Mr Lubanga's intentions</w:t>
      </w:r>
      <w:r w:rsidRPr="000D53A0">
        <w:rPr>
          <w:rFonts w:ascii="Times New Roman" w:hAnsi="Times New Roman"/>
          <w:szCs w:val="24"/>
        </w:rPr>
        <w:t>.</w:t>
      </w:r>
      <w:r w:rsidR="00936CFC">
        <w:rPr>
          <w:rFonts w:ascii="Times New Roman" w:hAnsi="Times New Roman"/>
          <w:szCs w:val="24"/>
        </w:rPr>
        <w:t xml:space="preserve"> </w:t>
      </w:r>
      <w:r w:rsidRPr="000D53A0">
        <w:rPr>
          <w:rFonts w:ascii="Times New Roman" w:hAnsi="Times New Roman"/>
          <w:szCs w:val="24"/>
        </w:rPr>
        <w:t xml:space="preserve">This letter expressed </w:t>
      </w:r>
      <w:r w:rsidR="006B73AB">
        <w:rPr>
          <w:rFonts w:ascii="Times New Roman" w:hAnsi="Times New Roman"/>
          <w:szCs w:val="24"/>
        </w:rPr>
        <w:t>Mr Lubanga's desire</w:t>
      </w:r>
      <w:r w:rsidRPr="000D53A0">
        <w:rPr>
          <w:rFonts w:ascii="Times New Roman" w:hAnsi="Times New Roman"/>
          <w:szCs w:val="24"/>
        </w:rPr>
        <w:t xml:space="preserve"> to participate in the reparation process and become its ‘committed partner</w:t>
      </w:r>
      <w:r w:rsidR="004B2283">
        <w:rPr>
          <w:rFonts w:ascii="Times New Roman" w:hAnsi="Times New Roman"/>
          <w:szCs w:val="24"/>
        </w:rPr>
        <w:t>.</w:t>
      </w:r>
      <w:r w:rsidRPr="000D53A0">
        <w:rPr>
          <w:rFonts w:ascii="Times New Roman" w:hAnsi="Times New Roman"/>
          <w:szCs w:val="24"/>
        </w:rPr>
        <w:t>’</w:t>
      </w:r>
      <w:r w:rsidR="004B2283">
        <w:rPr>
          <w:rStyle w:val="FootnoteReference"/>
          <w:rFonts w:ascii="Times New Roman" w:hAnsi="Times New Roman"/>
          <w:szCs w:val="24"/>
        </w:rPr>
        <w:footnoteReference w:id="1025"/>
      </w:r>
    </w:p>
    <w:p w14:paraId="33AEB34B" w14:textId="2B8A39E0" w:rsidR="00B61BA7" w:rsidRPr="000D53A0" w:rsidRDefault="00B61BA7" w:rsidP="004A1CB5">
      <w:pPr>
        <w:spacing w:line="480" w:lineRule="auto"/>
        <w:jc w:val="both"/>
        <w:rPr>
          <w:rFonts w:ascii="Times New Roman" w:hAnsi="Times New Roman"/>
          <w:szCs w:val="24"/>
        </w:rPr>
      </w:pPr>
      <w:r w:rsidRPr="000D53A0">
        <w:rPr>
          <w:rFonts w:ascii="Times New Roman" w:hAnsi="Times New Roman"/>
          <w:szCs w:val="24"/>
        </w:rPr>
        <w:lastRenderedPageBreak/>
        <w:t>Additionally, they observed Mr Lubanga</w:t>
      </w:r>
      <w:r w:rsidR="006B73AB">
        <w:rPr>
          <w:rFonts w:ascii="Times New Roman" w:hAnsi="Times New Roman"/>
          <w:szCs w:val="24"/>
        </w:rPr>
        <w:t>'s intentions via his proposal, to organise public apologies, which could be held while</w:t>
      </w:r>
      <w:r w:rsidRPr="000D53A0">
        <w:rPr>
          <w:rFonts w:ascii="Times New Roman" w:hAnsi="Times New Roman"/>
          <w:szCs w:val="24"/>
        </w:rPr>
        <w:t xml:space="preserve"> still in detention. Lubanga also proposed that he would continue detention if it increase</w:t>
      </w:r>
      <w:r w:rsidR="004B2283">
        <w:rPr>
          <w:rFonts w:ascii="Times New Roman" w:hAnsi="Times New Roman"/>
          <w:szCs w:val="24"/>
        </w:rPr>
        <w:t>d</w:t>
      </w:r>
      <w:r w:rsidRPr="000D53A0">
        <w:rPr>
          <w:rFonts w:ascii="Times New Roman" w:hAnsi="Times New Roman"/>
          <w:szCs w:val="24"/>
        </w:rPr>
        <w:t xml:space="preserve"> the chances of social harmony and well-being of the communities who suffered from his crimes.</w:t>
      </w:r>
      <w:r w:rsidRPr="000D53A0">
        <w:rPr>
          <w:rStyle w:val="FootnoteReference"/>
          <w:rFonts w:ascii="Times New Roman" w:hAnsi="Times New Roman"/>
          <w:szCs w:val="24"/>
        </w:rPr>
        <w:footnoteReference w:id="1026"/>
      </w:r>
      <w:r w:rsidRPr="000D53A0">
        <w:rPr>
          <w:rFonts w:ascii="Times New Roman" w:hAnsi="Times New Roman"/>
          <w:szCs w:val="24"/>
        </w:rPr>
        <w:t xml:space="preserve"> </w:t>
      </w:r>
    </w:p>
    <w:p w14:paraId="502111F2" w14:textId="4CE57E59" w:rsidR="00B61BA7" w:rsidRPr="000D53A0" w:rsidRDefault="00B61BA7" w:rsidP="004A1CB5">
      <w:pPr>
        <w:spacing w:line="480" w:lineRule="auto"/>
        <w:jc w:val="both"/>
        <w:rPr>
          <w:rFonts w:ascii="Times New Roman" w:hAnsi="Times New Roman"/>
          <w:szCs w:val="24"/>
        </w:rPr>
      </w:pPr>
      <w:r w:rsidRPr="000D53A0">
        <w:rPr>
          <w:rFonts w:ascii="Times New Roman" w:hAnsi="Times New Roman"/>
          <w:szCs w:val="24"/>
        </w:rPr>
        <w:t>In addressing this, the LRV VO1 contended that if these new proposals were sincere, it may expedite public apologies, which in turn could provide some measure of satisfaction to victims and successful reparations.</w:t>
      </w:r>
      <w:r w:rsidRPr="000D53A0">
        <w:rPr>
          <w:rStyle w:val="FootnoteReference"/>
          <w:rFonts w:ascii="Times New Roman" w:hAnsi="Times New Roman"/>
          <w:szCs w:val="24"/>
        </w:rPr>
        <w:footnoteReference w:id="1027"/>
      </w:r>
      <w:r w:rsidRPr="000D53A0">
        <w:rPr>
          <w:rFonts w:ascii="Times New Roman" w:hAnsi="Times New Roman"/>
          <w:szCs w:val="24"/>
        </w:rPr>
        <w:t xml:space="preserve">They submitted that the justification for a postponement of six months was to </w:t>
      </w:r>
      <w:r w:rsidR="00936CFC">
        <w:rPr>
          <w:rFonts w:ascii="Times New Roman" w:hAnsi="Times New Roman"/>
          <w:szCs w:val="24"/>
        </w:rPr>
        <w:t>prepare</w:t>
      </w:r>
      <w:r w:rsidRPr="000D53A0">
        <w:rPr>
          <w:rFonts w:ascii="Times New Roman" w:hAnsi="Times New Roman"/>
          <w:szCs w:val="24"/>
        </w:rPr>
        <w:t xml:space="preserve"> for </w:t>
      </w:r>
      <w:r w:rsidR="00696301">
        <w:rPr>
          <w:rFonts w:ascii="Times New Roman" w:hAnsi="Times New Roman"/>
          <w:szCs w:val="24"/>
        </w:rPr>
        <w:t xml:space="preserve">a </w:t>
      </w:r>
      <w:r w:rsidRPr="000D53A0">
        <w:rPr>
          <w:rFonts w:ascii="Times New Roman" w:hAnsi="Times New Roman"/>
          <w:szCs w:val="24"/>
        </w:rPr>
        <w:t>meeting between Mr Lubanga and a delegation of victims,</w:t>
      </w:r>
      <w:r w:rsidR="00936CFC">
        <w:rPr>
          <w:rFonts w:ascii="Times New Roman" w:hAnsi="Times New Roman"/>
          <w:szCs w:val="24"/>
        </w:rPr>
        <w:t xml:space="preserve"> </w:t>
      </w:r>
      <w:r w:rsidR="006B73AB">
        <w:rPr>
          <w:rFonts w:ascii="Times New Roman" w:hAnsi="Times New Roman"/>
          <w:szCs w:val="24"/>
        </w:rPr>
        <w:t>intending to reach</w:t>
      </w:r>
      <w:r w:rsidRPr="000D53A0">
        <w:rPr>
          <w:rFonts w:ascii="Times New Roman" w:hAnsi="Times New Roman"/>
          <w:szCs w:val="24"/>
        </w:rPr>
        <w:t xml:space="preserve"> an agreement on the possible forms of public apologies and implementation of such agreement.</w:t>
      </w:r>
      <w:r w:rsidRPr="000D53A0">
        <w:rPr>
          <w:rStyle w:val="FootnoteReference"/>
          <w:rFonts w:ascii="Times New Roman" w:hAnsi="Times New Roman"/>
          <w:szCs w:val="24"/>
        </w:rPr>
        <w:footnoteReference w:id="1028"/>
      </w:r>
      <w:r w:rsidRPr="000D53A0">
        <w:rPr>
          <w:rFonts w:ascii="Times New Roman" w:hAnsi="Times New Roman"/>
          <w:szCs w:val="24"/>
        </w:rPr>
        <w:t>The LRV V01 posi</w:t>
      </w:r>
      <w:r w:rsidR="00936CFC">
        <w:rPr>
          <w:rFonts w:ascii="Times New Roman" w:hAnsi="Times New Roman"/>
          <w:szCs w:val="24"/>
        </w:rPr>
        <w:t>ted</w:t>
      </w:r>
      <w:r w:rsidRPr="000D53A0">
        <w:rPr>
          <w:rFonts w:ascii="Times New Roman" w:hAnsi="Times New Roman"/>
          <w:szCs w:val="24"/>
        </w:rPr>
        <w:t xml:space="preserve"> that if the </w:t>
      </w:r>
      <w:r w:rsidR="006B73AB">
        <w:rPr>
          <w:rFonts w:ascii="Times New Roman" w:hAnsi="Times New Roman"/>
          <w:szCs w:val="24"/>
        </w:rPr>
        <w:t>process's initiation</w:t>
      </w:r>
      <w:r w:rsidR="004B2283">
        <w:rPr>
          <w:rFonts w:ascii="Times New Roman" w:hAnsi="Times New Roman"/>
          <w:szCs w:val="24"/>
        </w:rPr>
        <w:t xml:space="preserve"> was</w:t>
      </w:r>
      <w:r w:rsidRPr="000D53A0">
        <w:rPr>
          <w:rFonts w:ascii="Times New Roman" w:hAnsi="Times New Roman"/>
          <w:szCs w:val="24"/>
        </w:rPr>
        <w:t xml:space="preserve"> successful, it could relieve the victims’ fears and promote reconciliation between communities and Mr Lubanga’s community.</w:t>
      </w:r>
      <w:r w:rsidR="00936CFC">
        <w:rPr>
          <w:rFonts w:ascii="Times New Roman" w:hAnsi="Times New Roman"/>
          <w:szCs w:val="24"/>
        </w:rPr>
        <w:t xml:space="preserve"> </w:t>
      </w:r>
      <w:r w:rsidRPr="000D53A0">
        <w:rPr>
          <w:rFonts w:ascii="Times New Roman" w:hAnsi="Times New Roman"/>
          <w:szCs w:val="24"/>
        </w:rPr>
        <w:t xml:space="preserve">This process could also lessen the hindrances to </w:t>
      </w:r>
      <w:r w:rsidR="006B73AB">
        <w:rPr>
          <w:rFonts w:ascii="Times New Roman" w:hAnsi="Times New Roman"/>
          <w:szCs w:val="24"/>
        </w:rPr>
        <w:t>implementing</w:t>
      </w:r>
      <w:r w:rsidRPr="000D53A0">
        <w:rPr>
          <w:rFonts w:ascii="Times New Roman" w:hAnsi="Times New Roman"/>
          <w:szCs w:val="24"/>
        </w:rPr>
        <w:t xml:space="preserve"> repa</w:t>
      </w:r>
      <w:r w:rsidR="00936CFC">
        <w:rPr>
          <w:rFonts w:ascii="Times New Roman" w:hAnsi="Times New Roman"/>
          <w:szCs w:val="24"/>
        </w:rPr>
        <w:t>rations and, ensure his release was</w:t>
      </w:r>
      <w:r w:rsidRPr="000D53A0">
        <w:rPr>
          <w:rFonts w:ascii="Times New Roman" w:hAnsi="Times New Roman"/>
          <w:szCs w:val="24"/>
        </w:rPr>
        <w:t xml:space="preserve"> carried out in favourable conditions.</w:t>
      </w:r>
      <w:r w:rsidRPr="000D53A0">
        <w:rPr>
          <w:rStyle w:val="FootnoteReference"/>
          <w:rFonts w:ascii="Times New Roman" w:hAnsi="Times New Roman"/>
          <w:szCs w:val="24"/>
        </w:rPr>
        <w:footnoteReference w:id="1029"/>
      </w:r>
    </w:p>
    <w:p w14:paraId="1FBA589E" w14:textId="2A41B96C" w:rsidR="00B61BA7" w:rsidRPr="000D53A0" w:rsidRDefault="00B61BA7" w:rsidP="004A1CB5">
      <w:pPr>
        <w:spacing w:line="480" w:lineRule="auto"/>
        <w:jc w:val="both"/>
        <w:rPr>
          <w:rFonts w:ascii="Times New Roman" w:hAnsi="Times New Roman"/>
          <w:szCs w:val="24"/>
        </w:rPr>
      </w:pPr>
      <w:r w:rsidRPr="000D53A0">
        <w:rPr>
          <w:rFonts w:ascii="Times New Roman" w:hAnsi="Times New Roman"/>
          <w:szCs w:val="24"/>
        </w:rPr>
        <w:t xml:space="preserve">The LRV VO2 in their submissions concluded that if the panel agreed to postpone its decision, it would </w:t>
      </w:r>
      <w:r w:rsidR="006B73AB">
        <w:rPr>
          <w:rFonts w:ascii="Times New Roman" w:hAnsi="Times New Roman"/>
          <w:szCs w:val="24"/>
        </w:rPr>
        <w:t>positively impact</w:t>
      </w:r>
      <w:r w:rsidRPr="000D53A0">
        <w:rPr>
          <w:rFonts w:ascii="Times New Roman" w:hAnsi="Times New Roman"/>
          <w:szCs w:val="24"/>
        </w:rPr>
        <w:t xml:space="preserve"> the implementation of the reparations process and the involvement of all parties and trust fund.</w:t>
      </w:r>
      <w:r w:rsidRPr="000D53A0">
        <w:rPr>
          <w:rStyle w:val="FootnoteReference"/>
          <w:rFonts w:ascii="Times New Roman" w:hAnsi="Times New Roman"/>
          <w:szCs w:val="24"/>
        </w:rPr>
        <w:footnoteReference w:id="1030"/>
      </w:r>
    </w:p>
    <w:p w14:paraId="4AE667DC" w14:textId="7BA8CD06" w:rsidR="00B61BA7" w:rsidRPr="000D53A0" w:rsidRDefault="00B61BA7" w:rsidP="004A1CB5">
      <w:pPr>
        <w:spacing w:line="480" w:lineRule="auto"/>
        <w:jc w:val="both"/>
        <w:rPr>
          <w:rFonts w:ascii="Times New Roman" w:hAnsi="Times New Roman"/>
          <w:szCs w:val="24"/>
        </w:rPr>
      </w:pPr>
      <w:r w:rsidRPr="000D53A0">
        <w:rPr>
          <w:rFonts w:ascii="Times New Roman" w:hAnsi="Times New Roman"/>
          <w:szCs w:val="24"/>
        </w:rPr>
        <w:lastRenderedPageBreak/>
        <w:t xml:space="preserve">The Prosecutor’s submission was quite different. The Prosecutor persuaded the Panel that it should </w:t>
      </w:r>
      <w:r w:rsidR="004B2283">
        <w:rPr>
          <w:rFonts w:ascii="Times New Roman" w:hAnsi="Times New Roman"/>
          <w:szCs w:val="24"/>
        </w:rPr>
        <w:t xml:space="preserve">decide </w:t>
      </w:r>
      <w:r w:rsidRPr="000D53A0">
        <w:rPr>
          <w:rFonts w:ascii="Times New Roman" w:hAnsi="Times New Roman"/>
          <w:szCs w:val="24"/>
        </w:rPr>
        <w:t>on the inf</w:t>
      </w:r>
      <w:r w:rsidR="002706A7">
        <w:rPr>
          <w:rFonts w:ascii="Times New Roman" w:hAnsi="Times New Roman"/>
          <w:szCs w:val="24"/>
        </w:rPr>
        <w:t>ormation currently available</w:t>
      </w:r>
      <w:r w:rsidRPr="000D53A0">
        <w:rPr>
          <w:rFonts w:ascii="Times New Roman" w:hAnsi="Times New Roman"/>
          <w:szCs w:val="24"/>
        </w:rPr>
        <w:t>, rather than postponing its decision.</w:t>
      </w:r>
      <w:r w:rsidRPr="000D53A0">
        <w:rPr>
          <w:rStyle w:val="FootnoteReference"/>
          <w:rFonts w:ascii="Times New Roman" w:hAnsi="Times New Roman"/>
          <w:szCs w:val="24"/>
        </w:rPr>
        <w:footnoteReference w:id="1031"/>
      </w:r>
      <w:r w:rsidRPr="000D53A0">
        <w:rPr>
          <w:rFonts w:ascii="Times New Roman" w:hAnsi="Times New Roman"/>
          <w:szCs w:val="24"/>
        </w:rPr>
        <w:t xml:space="preserve"> </w:t>
      </w:r>
      <w:r w:rsidR="004B2283">
        <w:rPr>
          <w:rFonts w:ascii="Times New Roman" w:hAnsi="Times New Roman"/>
          <w:szCs w:val="24"/>
        </w:rPr>
        <w:t>H</w:t>
      </w:r>
      <w:r w:rsidRPr="000D53A0">
        <w:rPr>
          <w:rFonts w:ascii="Times New Roman" w:hAnsi="Times New Roman"/>
          <w:szCs w:val="24"/>
        </w:rPr>
        <w:t xml:space="preserve">e argued that the letter dated 7 September 2017 was a repetition of Mr Lubanga’s earlier statements, which had already been </w:t>
      </w:r>
      <w:r w:rsidR="006B73AB">
        <w:rPr>
          <w:rFonts w:ascii="Times New Roman" w:hAnsi="Times New Roman"/>
          <w:szCs w:val="24"/>
        </w:rPr>
        <w:t>considered</w:t>
      </w:r>
      <w:r w:rsidRPr="000D53A0">
        <w:rPr>
          <w:rFonts w:ascii="Times New Roman" w:hAnsi="Times New Roman"/>
          <w:szCs w:val="24"/>
        </w:rPr>
        <w:t xml:space="preserve"> in the First Sentence Review.</w:t>
      </w:r>
      <w:r w:rsidRPr="000D53A0">
        <w:rPr>
          <w:rStyle w:val="FootnoteReference"/>
          <w:rFonts w:ascii="Times New Roman" w:hAnsi="Times New Roman"/>
          <w:szCs w:val="24"/>
        </w:rPr>
        <w:footnoteReference w:id="1032"/>
      </w:r>
    </w:p>
    <w:p w14:paraId="042B4130" w14:textId="1B2CFB1F" w:rsidR="00B61BA7" w:rsidRPr="000D53A0" w:rsidRDefault="00B61BA7" w:rsidP="004A1CB5">
      <w:pPr>
        <w:spacing w:line="480" w:lineRule="auto"/>
        <w:jc w:val="both"/>
        <w:rPr>
          <w:rFonts w:ascii="Times New Roman" w:hAnsi="Times New Roman"/>
          <w:szCs w:val="24"/>
        </w:rPr>
      </w:pPr>
      <w:r w:rsidRPr="000D53A0">
        <w:rPr>
          <w:rFonts w:ascii="Times New Roman" w:hAnsi="Times New Roman"/>
          <w:szCs w:val="24"/>
        </w:rPr>
        <w:t>On the other hand, the OPCV ‘s submissions expressed his opposition to Mr Lubanga’s early release a</w:t>
      </w:r>
      <w:r w:rsidR="006B73AB">
        <w:rPr>
          <w:rFonts w:ascii="Times New Roman" w:hAnsi="Times New Roman"/>
          <w:szCs w:val="24"/>
        </w:rPr>
        <w:t>nd the postponement of the panel's decision</w:t>
      </w:r>
      <w:r w:rsidRPr="000D53A0">
        <w:rPr>
          <w:rFonts w:ascii="Times New Roman" w:hAnsi="Times New Roman"/>
          <w:szCs w:val="24"/>
        </w:rPr>
        <w:t>.</w:t>
      </w:r>
      <w:r w:rsidR="002706A7">
        <w:rPr>
          <w:rFonts w:ascii="Times New Roman" w:hAnsi="Times New Roman"/>
          <w:szCs w:val="24"/>
        </w:rPr>
        <w:t xml:space="preserve"> </w:t>
      </w:r>
      <w:r w:rsidRPr="000D53A0">
        <w:rPr>
          <w:rFonts w:ascii="Times New Roman" w:hAnsi="Times New Roman"/>
          <w:szCs w:val="24"/>
        </w:rPr>
        <w:t>The OPCV  urged the Panel to make an urgent decision to reassure the victims who will potentially have access to the reparation programme.</w:t>
      </w:r>
      <w:r w:rsidRPr="000D53A0">
        <w:rPr>
          <w:rStyle w:val="FootnoteReference"/>
          <w:rFonts w:ascii="Times New Roman" w:hAnsi="Times New Roman"/>
          <w:szCs w:val="24"/>
        </w:rPr>
        <w:footnoteReference w:id="1033"/>
      </w:r>
      <w:r w:rsidRPr="000D53A0">
        <w:rPr>
          <w:rFonts w:ascii="Times New Roman" w:hAnsi="Times New Roman"/>
          <w:szCs w:val="24"/>
        </w:rPr>
        <w:t xml:space="preserve"> </w:t>
      </w:r>
    </w:p>
    <w:p w14:paraId="0A706EE3" w14:textId="5503855F" w:rsidR="00B61BA7" w:rsidRPr="000D53A0" w:rsidRDefault="002706A7" w:rsidP="004A1CB5">
      <w:pPr>
        <w:spacing w:line="480" w:lineRule="auto"/>
        <w:jc w:val="both"/>
        <w:rPr>
          <w:rFonts w:ascii="Times New Roman" w:hAnsi="Times New Roman"/>
          <w:szCs w:val="24"/>
        </w:rPr>
      </w:pPr>
      <w:r>
        <w:rPr>
          <w:rFonts w:ascii="Times New Roman" w:hAnsi="Times New Roman"/>
          <w:szCs w:val="24"/>
        </w:rPr>
        <w:t>The sentenced person</w:t>
      </w:r>
      <w:r w:rsidR="00B61BA7" w:rsidRPr="000D53A0">
        <w:rPr>
          <w:rFonts w:ascii="Times New Roman" w:hAnsi="Times New Roman"/>
          <w:szCs w:val="24"/>
        </w:rPr>
        <w:t>, Mr Lubanga</w:t>
      </w:r>
      <w:r>
        <w:rPr>
          <w:rFonts w:ascii="Times New Roman" w:hAnsi="Times New Roman"/>
          <w:szCs w:val="24"/>
        </w:rPr>
        <w:t>,</w:t>
      </w:r>
      <w:r w:rsidR="00B61BA7" w:rsidRPr="000D53A0">
        <w:rPr>
          <w:rFonts w:ascii="Times New Roman" w:hAnsi="Times New Roman"/>
          <w:szCs w:val="24"/>
        </w:rPr>
        <w:t xml:space="preserve"> recognised the request for the postponement of </w:t>
      </w:r>
      <w:r w:rsidR="00696301">
        <w:rPr>
          <w:rFonts w:ascii="Times New Roman" w:hAnsi="Times New Roman"/>
          <w:szCs w:val="24"/>
        </w:rPr>
        <w:t>reviewing</w:t>
      </w:r>
      <w:r w:rsidR="00B61BA7" w:rsidRPr="000D53A0">
        <w:rPr>
          <w:rFonts w:ascii="Times New Roman" w:hAnsi="Times New Roman"/>
          <w:szCs w:val="24"/>
        </w:rPr>
        <w:t xml:space="preserve"> his sentence</w:t>
      </w:r>
      <w:r>
        <w:rPr>
          <w:rFonts w:ascii="Times New Roman" w:hAnsi="Times New Roman"/>
          <w:szCs w:val="24"/>
        </w:rPr>
        <w:t>. He</w:t>
      </w:r>
      <w:r w:rsidR="00B61BA7" w:rsidRPr="000D53A0">
        <w:rPr>
          <w:rFonts w:ascii="Times New Roman" w:hAnsi="Times New Roman"/>
          <w:szCs w:val="24"/>
        </w:rPr>
        <w:t xml:space="preserve"> emphasised </w:t>
      </w:r>
      <w:r w:rsidR="006B73AB">
        <w:rPr>
          <w:rFonts w:ascii="Times New Roman" w:hAnsi="Times New Roman"/>
          <w:szCs w:val="24"/>
        </w:rPr>
        <w:t>his intention to meet with the victims of his crimes</w:t>
      </w:r>
      <w:r w:rsidR="00B61BA7" w:rsidRPr="000D53A0">
        <w:rPr>
          <w:rFonts w:ascii="Times New Roman" w:hAnsi="Times New Roman"/>
          <w:szCs w:val="24"/>
        </w:rPr>
        <w:t xml:space="preserve"> to </w:t>
      </w:r>
      <w:r w:rsidR="00020CF0" w:rsidRPr="000D53A0">
        <w:rPr>
          <w:rFonts w:ascii="Times New Roman" w:hAnsi="Times New Roman"/>
          <w:szCs w:val="24"/>
        </w:rPr>
        <w:t xml:space="preserve">fulfil </w:t>
      </w:r>
      <w:r w:rsidR="00B61BA7" w:rsidRPr="000D53A0">
        <w:rPr>
          <w:rFonts w:ascii="Times New Roman" w:hAnsi="Times New Roman"/>
          <w:szCs w:val="24"/>
        </w:rPr>
        <w:t>his wishes for reconciliation.</w:t>
      </w:r>
      <w:r w:rsidR="00B61BA7" w:rsidRPr="000D53A0">
        <w:rPr>
          <w:rStyle w:val="FootnoteReference"/>
          <w:rFonts w:ascii="Times New Roman" w:hAnsi="Times New Roman"/>
          <w:szCs w:val="24"/>
        </w:rPr>
        <w:footnoteReference w:id="1034"/>
      </w:r>
    </w:p>
    <w:p w14:paraId="165AA088" w14:textId="23109DC2" w:rsidR="00DF22C4" w:rsidRDefault="00B61BA7" w:rsidP="004A1CB5">
      <w:pPr>
        <w:spacing w:line="480" w:lineRule="auto"/>
        <w:jc w:val="both"/>
        <w:rPr>
          <w:rFonts w:ascii="Times New Roman" w:hAnsi="Times New Roman"/>
          <w:szCs w:val="24"/>
        </w:rPr>
      </w:pPr>
      <w:r w:rsidRPr="00661FEA">
        <w:rPr>
          <w:rFonts w:ascii="Times New Roman" w:hAnsi="Times New Roman"/>
          <w:szCs w:val="24"/>
        </w:rPr>
        <w:t>The Panel noted that the Defence</w:t>
      </w:r>
      <w:r w:rsidR="00DF22C4">
        <w:rPr>
          <w:rFonts w:ascii="Times New Roman" w:hAnsi="Times New Roman"/>
          <w:szCs w:val="24"/>
        </w:rPr>
        <w:t>’</w:t>
      </w:r>
      <w:r w:rsidRPr="00661FEA">
        <w:rPr>
          <w:rFonts w:ascii="Times New Roman" w:hAnsi="Times New Roman"/>
          <w:szCs w:val="24"/>
        </w:rPr>
        <w:t xml:space="preserve"> Second Obse</w:t>
      </w:r>
      <w:r w:rsidR="00DF22C4">
        <w:rPr>
          <w:rFonts w:ascii="Times New Roman" w:hAnsi="Times New Roman"/>
          <w:szCs w:val="24"/>
        </w:rPr>
        <w:t>rvations</w:t>
      </w:r>
      <w:r w:rsidR="00020CF0" w:rsidRPr="00661FEA">
        <w:rPr>
          <w:rFonts w:ascii="Times New Roman" w:hAnsi="Times New Roman"/>
          <w:szCs w:val="24"/>
        </w:rPr>
        <w:t xml:space="preserve"> reflected Mr Lubanga’</w:t>
      </w:r>
      <w:r w:rsidRPr="00661FEA">
        <w:rPr>
          <w:rFonts w:ascii="Times New Roman" w:hAnsi="Times New Roman"/>
          <w:szCs w:val="24"/>
        </w:rPr>
        <w:t>s intentions and actions to be taken in the future.</w:t>
      </w:r>
      <w:r w:rsidRPr="00661FEA">
        <w:rPr>
          <w:rStyle w:val="FootnoteReference"/>
          <w:rFonts w:ascii="Times New Roman" w:hAnsi="Times New Roman"/>
          <w:szCs w:val="24"/>
        </w:rPr>
        <w:footnoteReference w:id="1035"/>
      </w:r>
      <w:r w:rsidRPr="00661FEA">
        <w:rPr>
          <w:rFonts w:ascii="Times New Roman" w:hAnsi="Times New Roman"/>
          <w:szCs w:val="24"/>
        </w:rPr>
        <w:t xml:space="preserve">This statement from </w:t>
      </w:r>
      <w:r w:rsidR="00DF22C4">
        <w:rPr>
          <w:rFonts w:ascii="Times New Roman" w:hAnsi="Times New Roman"/>
          <w:szCs w:val="24"/>
        </w:rPr>
        <w:t xml:space="preserve">Mr </w:t>
      </w:r>
      <w:r w:rsidRPr="00661FEA">
        <w:rPr>
          <w:rFonts w:ascii="Times New Roman" w:hAnsi="Times New Roman"/>
          <w:szCs w:val="24"/>
        </w:rPr>
        <w:t>Lubanga w</w:t>
      </w:r>
      <w:r w:rsidR="00DF22C4">
        <w:rPr>
          <w:rFonts w:ascii="Times New Roman" w:hAnsi="Times New Roman"/>
          <w:szCs w:val="24"/>
        </w:rPr>
        <w:t>as</w:t>
      </w:r>
      <w:r w:rsidR="00020CF0" w:rsidRPr="00661FEA">
        <w:rPr>
          <w:rFonts w:ascii="Times New Roman" w:hAnsi="Times New Roman"/>
          <w:szCs w:val="24"/>
        </w:rPr>
        <w:t xml:space="preserve"> considered</w:t>
      </w:r>
      <w:r w:rsidR="00DF22C4">
        <w:rPr>
          <w:rFonts w:ascii="Times New Roman" w:hAnsi="Times New Roman"/>
          <w:szCs w:val="24"/>
        </w:rPr>
        <w:t xml:space="preserve"> more aspirational than pragmatic. </w:t>
      </w:r>
    </w:p>
    <w:p w14:paraId="2DCD3F60" w14:textId="3D070919" w:rsidR="00B61BA7" w:rsidRPr="00661FEA" w:rsidRDefault="00B61BA7" w:rsidP="004A1CB5">
      <w:pPr>
        <w:spacing w:line="480" w:lineRule="auto"/>
        <w:jc w:val="both"/>
        <w:rPr>
          <w:rFonts w:ascii="Times New Roman" w:hAnsi="Times New Roman"/>
          <w:szCs w:val="24"/>
        </w:rPr>
      </w:pPr>
      <w:r w:rsidRPr="00661FEA">
        <w:rPr>
          <w:rFonts w:ascii="Times New Roman" w:hAnsi="Times New Roman"/>
          <w:szCs w:val="24"/>
        </w:rPr>
        <w:t xml:space="preserve">The Panel held that there are ‘too much’ uncertainties </w:t>
      </w:r>
      <w:r w:rsidR="00DF22C4">
        <w:rPr>
          <w:rFonts w:ascii="Times New Roman" w:hAnsi="Times New Roman"/>
          <w:szCs w:val="24"/>
        </w:rPr>
        <w:t>in</w:t>
      </w:r>
      <w:r w:rsidRPr="00661FEA">
        <w:rPr>
          <w:rFonts w:ascii="Times New Roman" w:hAnsi="Times New Roman"/>
          <w:szCs w:val="24"/>
        </w:rPr>
        <w:t xml:space="preserve"> Lubanga’s proposals.</w:t>
      </w:r>
      <w:r w:rsidR="00DF22C4">
        <w:rPr>
          <w:rFonts w:ascii="Times New Roman" w:hAnsi="Times New Roman"/>
          <w:szCs w:val="24"/>
        </w:rPr>
        <w:t xml:space="preserve"> The Panel</w:t>
      </w:r>
      <w:r w:rsidR="00020CF0" w:rsidRPr="00661FEA">
        <w:rPr>
          <w:rFonts w:ascii="Times New Roman" w:hAnsi="Times New Roman"/>
          <w:szCs w:val="24"/>
        </w:rPr>
        <w:t xml:space="preserve"> relayed his doubts on the realisations of these proposals</w:t>
      </w:r>
      <w:r w:rsidR="00DF22C4">
        <w:rPr>
          <w:rFonts w:ascii="Times New Roman" w:hAnsi="Times New Roman"/>
          <w:szCs w:val="24"/>
        </w:rPr>
        <w:t>,</w:t>
      </w:r>
      <w:r w:rsidR="00020CF0" w:rsidRPr="00661FEA">
        <w:rPr>
          <w:rFonts w:ascii="Times New Roman" w:hAnsi="Times New Roman"/>
          <w:szCs w:val="24"/>
        </w:rPr>
        <w:t xml:space="preserve"> especially, the time </w:t>
      </w:r>
      <w:r w:rsidR="00020CF0" w:rsidRPr="00661FEA">
        <w:rPr>
          <w:rFonts w:ascii="Times New Roman" w:hAnsi="Times New Roman"/>
          <w:szCs w:val="24"/>
        </w:rPr>
        <w:lastRenderedPageBreak/>
        <w:t>constraints.</w:t>
      </w:r>
      <w:r w:rsidRPr="00661FEA">
        <w:rPr>
          <w:rFonts w:ascii="Times New Roman" w:hAnsi="Times New Roman"/>
          <w:szCs w:val="24"/>
        </w:rPr>
        <w:t xml:space="preserve">  The Panel ruled that the </w:t>
      </w:r>
      <w:r w:rsidR="006B73AB">
        <w:rPr>
          <w:rFonts w:ascii="Times New Roman" w:hAnsi="Times New Roman"/>
          <w:szCs w:val="24"/>
        </w:rPr>
        <w:t>parties and participants' argume</w:t>
      </w:r>
      <w:r w:rsidRPr="00661FEA">
        <w:rPr>
          <w:rFonts w:ascii="Times New Roman" w:hAnsi="Times New Roman"/>
          <w:szCs w:val="24"/>
        </w:rPr>
        <w:t>nts do not warrant the postponement of its decision.</w:t>
      </w:r>
      <w:r w:rsidRPr="00661FEA">
        <w:rPr>
          <w:rStyle w:val="FootnoteReference"/>
          <w:rFonts w:ascii="Times New Roman" w:hAnsi="Times New Roman"/>
          <w:szCs w:val="24"/>
        </w:rPr>
        <w:footnoteReference w:id="1036"/>
      </w:r>
      <w:r w:rsidRPr="00661FEA">
        <w:rPr>
          <w:rFonts w:ascii="Times New Roman" w:hAnsi="Times New Roman"/>
          <w:szCs w:val="24"/>
        </w:rPr>
        <w:t xml:space="preserve"> The Panel was mindful that some of the parties and participants raised the same arguments presented in the first sentence review.</w:t>
      </w:r>
      <w:r w:rsidRPr="00661FEA">
        <w:rPr>
          <w:rStyle w:val="FootnoteReference"/>
          <w:rFonts w:ascii="Times New Roman" w:hAnsi="Times New Roman"/>
          <w:szCs w:val="24"/>
        </w:rPr>
        <w:footnoteReference w:id="1037"/>
      </w:r>
    </w:p>
    <w:p w14:paraId="791DD502" w14:textId="77777777" w:rsidR="00C860EE" w:rsidRPr="00661FEA" w:rsidRDefault="00DF22C4" w:rsidP="00364EC8">
      <w:pPr>
        <w:pStyle w:val="Heading3"/>
      </w:pPr>
      <w:bookmarkStart w:id="76" w:name="_Toc60235846"/>
      <w:r>
        <w:t xml:space="preserve">4.5.3 </w:t>
      </w:r>
      <w:r w:rsidR="00DA7C6B" w:rsidRPr="00661FEA">
        <w:t>The second review for reduction of sentence.</w:t>
      </w:r>
      <w:bookmarkEnd w:id="76"/>
    </w:p>
    <w:p w14:paraId="0881B068" w14:textId="2BDFC973" w:rsidR="00B61BA7" w:rsidRPr="00661FEA" w:rsidRDefault="00B61BA7" w:rsidP="004A1CB5">
      <w:pPr>
        <w:spacing w:line="480" w:lineRule="auto"/>
        <w:jc w:val="both"/>
        <w:rPr>
          <w:rFonts w:ascii="Times New Roman" w:hAnsi="Times New Roman"/>
          <w:szCs w:val="24"/>
        </w:rPr>
      </w:pPr>
      <w:r w:rsidRPr="00661FEA">
        <w:rPr>
          <w:rFonts w:ascii="Times New Roman" w:hAnsi="Times New Roman"/>
          <w:szCs w:val="24"/>
        </w:rPr>
        <w:t xml:space="preserve">Rule 224(3) of the Rules provides for the review of sentence reduction every three years. Following the decline of Lubanga’s initial sentence review in 2015, </w:t>
      </w:r>
      <w:r w:rsidR="00DF22C4">
        <w:rPr>
          <w:rFonts w:ascii="Times New Roman" w:hAnsi="Times New Roman"/>
          <w:szCs w:val="24"/>
        </w:rPr>
        <w:t xml:space="preserve">Mr </w:t>
      </w:r>
      <w:r w:rsidRPr="00661FEA">
        <w:rPr>
          <w:rFonts w:ascii="Times New Roman" w:hAnsi="Times New Roman"/>
          <w:szCs w:val="24"/>
        </w:rPr>
        <w:t>Lubanga applied for the second review after two years.</w:t>
      </w:r>
      <w:r w:rsidRPr="00661FEA">
        <w:rPr>
          <w:rStyle w:val="FootnoteReference"/>
          <w:rFonts w:ascii="Times New Roman" w:hAnsi="Times New Roman"/>
          <w:szCs w:val="24"/>
        </w:rPr>
        <w:footnoteReference w:id="1038"/>
      </w:r>
      <w:r w:rsidRPr="00661FEA">
        <w:rPr>
          <w:rFonts w:ascii="Times New Roman" w:hAnsi="Times New Roman"/>
          <w:szCs w:val="24"/>
        </w:rPr>
        <w:t>The Panel requested</w:t>
      </w:r>
      <w:r w:rsidR="00DF22C4">
        <w:rPr>
          <w:rFonts w:ascii="Times New Roman" w:hAnsi="Times New Roman"/>
          <w:szCs w:val="24"/>
        </w:rPr>
        <w:t xml:space="preserve"> Defence</w:t>
      </w:r>
      <w:r w:rsidRPr="00661FEA">
        <w:rPr>
          <w:rFonts w:ascii="Times New Roman" w:hAnsi="Times New Roman"/>
          <w:szCs w:val="24"/>
        </w:rPr>
        <w:t xml:space="preserve">, the Prosecutor, the LRV V01, the LRV V02, the OPCV, the DRC and the Registrar to submit written representations for the sentence review concerning Mr Lubanga </w:t>
      </w:r>
      <w:proofErr w:type="spellStart"/>
      <w:r w:rsidRPr="00661FEA">
        <w:rPr>
          <w:rFonts w:ascii="Times New Roman" w:hAnsi="Times New Roman"/>
          <w:szCs w:val="24"/>
        </w:rPr>
        <w:t>Dyilo</w:t>
      </w:r>
      <w:proofErr w:type="spellEnd"/>
      <w:r w:rsidRPr="00661FEA">
        <w:rPr>
          <w:rFonts w:ascii="Times New Roman" w:hAnsi="Times New Roman"/>
          <w:szCs w:val="24"/>
        </w:rPr>
        <w:t>.</w:t>
      </w:r>
      <w:r w:rsidRPr="00661FEA">
        <w:rPr>
          <w:rStyle w:val="FootnoteReference"/>
          <w:rFonts w:ascii="Times New Roman" w:hAnsi="Times New Roman"/>
          <w:szCs w:val="24"/>
        </w:rPr>
        <w:footnoteReference w:id="1039"/>
      </w:r>
      <w:r w:rsidRPr="00661FEA">
        <w:rPr>
          <w:rFonts w:ascii="Times New Roman" w:hAnsi="Times New Roman"/>
          <w:szCs w:val="24"/>
        </w:rPr>
        <w:t xml:space="preserve"> The </w:t>
      </w:r>
      <w:r w:rsidR="006B73AB">
        <w:rPr>
          <w:rFonts w:ascii="Times New Roman" w:hAnsi="Times New Roman"/>
          <w:szCs w:val="24"/>
        </w:rPr>
        <w:t>review's scope</w:t>
      </w:r>
      <w:r w:rsidRPr="00661FEA">
        <w:rPr>
          <w:rFonts w:ascii="Times New Roman" w:hAnsi="Times New Roman"/>
          <w:szCs w:val="24"/>
        </w:rPr>
        <w:t xml:space="preserve"> was restricted to questions</w:t>
      </w:r>
      <w:r w:rsidR="00844D85">
        <w:rPr>
          <w:rFonts w:ascii="Times New Roman" w:hAnsi="Times New Roman"/>
          <w:szCs w:val="24"/>
        </w:rPr>
        <w:t xml:space="preserve"> on</w:t>
      </w:r>
      <w:r w:rsidRPr="00661FEA">
        <w:rPr>
          <w:rFonts w:ascii="Times New Roman" w:hAnsi="Times New Roman"/>
          <w:szCs w:val="24"/>
        </w:rPr>
        <w:t xml:space="preserve"> any significant change in circumstances since the initial sentence review.</w:t>
      </w:r>
      <w:r w:rsidRPr="00661FEA">
        <w:rPr>
          <w:rStyle w:val="FootnoteReference"/>
          <w:rFonts w:ascii="Times New Roman" w:hAnsi="Times New Roman"/>
          <w:szCs w:val="24"/>
        </w:rPr>
        <w:footnoteReference w:id="1040"/>
      </w:r>
      <w:r w:rsidRPr="00661FEA">
        <w:rPr>
          <w:rFonts w:ascii="Times New Roman" w:hAnsi="Times New Roman"/>
          <w:szCs w:val="24"/>
        </w:rPr>
        <w:t>This</w:t>
      </w:r>
      <w:r w:rsidR="00DF22C4">
        <w:rPr>
          <w:rFonts w:ascii="Times New Roman" w:hAnsi="Times New Roman"/>
          <w:szCs w:val="24"/>
        </w:rPr>
        <w:t xml:space="preserve"> review included </w:t>
      </w:r>
      <w:r w:rsidR="006B73AB">
        <w:rPr>
          <w:rFonts w:ascii="Times New Roman" w:hAnsi="Times New Roman"/>
          <w:szCs w:val="24"/>
        </w:rPr>
        <w:t>a piece of new information available that</w:t>
      </w:r>
      <w:r w:rsidR="00DF22C4">
        <w:rPr>
          <w:rFonts w:ascii="Times New Roman" w:hAnsi="Times New Roman"/>
          <w:szCs w:val="24"/>
        </w:rPr>
        <w:t xml:space="preserve"> demonstrated</w:t>
      </w:r>
      <w:r w:rsidRPr="00661FEA">
        <w:rPr>
          <w:rFonts w:ascii="Times New Roman" w:hAnsi="Times New Roman"/>
          <w:szCs w:val="24"/>
        </w:rPr>
        <w:t xml:space="preserve"> any changes since the first sentence review decision was issued.</w:t>
      </w:r>
    </w:p>
    <w:p w14:paraId="62B47922" w14:textId="69E5443C" w:rsidR="00940D60" w:rsidRPr="00661FEA" w:rsidRDefault="00844D85" w:rsidP="00940D60">
      <w:pPr>
        <w:spacing w:line="480" w:lineRule="auto"/>
        <w:jc w:val="both"/>
        <w:rPr>
          <w:rStyle w:val="QuoteChar"/>
          <w:rFonts w:ascii="Times New Roman" w:hAnsi="Times New Roman"/>
          <w:i w:val="0"/>
          <w:szCs w:val="24"/>
        </w:rPr>
      </w:pPr>
      <w:r>
        <w:rPr>
          <w:rStyle w:val="QuoteChar"/>
          <w:rFonts w:ascii="Times New Roman" w:hAnsi="Times New Roman"/>
          <w:i w:val="0"/>
          <w:szCs w:val="24"/>
        </w:rPr>
        <w:t xml:space="preserve">As claimed by </w:t>
      </w:r>
      <w:r w:rsidR="00940D60">
        <w:rPr>
          <w:rStyle w:val="QuoteChar"/>
          <w:rFonts w:ascii="Times New Roman" w:hAnsi="Times New Roman"/>
          <w:i w:val="0"/>
          <w:szCs w:val="24"/>
        </w:rPr>
        <w:t>LRVs V0</w:t>
      </w:r>
      <w:r w:rsidR="00940D60" w:rsidRPr="00661FEA">
        <w:rPr>
          <w:rStyle w:val="QuoteChar"/>
          <w:rFonts w:ascii="Times New Roman" w:hAnsi="Times New Roman"/>
          <w:i w:val="0"/>
          <w:szCs w:val="24"/>
        </w:rPr>
        <w:t>1:</w:t>
      </w:r>
    </w:p>
    <w:p w14:paraId="4097E817" w14:textId="742BD3A5" w:rsidR="00940D60" w:rsidRDefault="00940D60" w:rsidP="00B0037B">
      <w:pPr>
        <w:spacing w:line="480" w:lineRule="auto"/>
        <w:jc w:val="center"/>
        <w:rPr>
          <w:rStyle w:val="QuoteChar"/>
          <w:rFonts w:ascii="Times New Roman" w:hAnsi="Times New Roman"/>
          <w:i w:val="0"/>
          <w:szCs w:val="24"/>
        </w:rPr>
      </w:pPr>
      <w:r w:rsidRPr="00661FEA">
        <w:rPr>
          <w:rStyle w:val="QuoteChar"/>
          <w:rFonts w:ascii="Times New Roman" w:hAnsi="Times New Roman"/>
          <w:i w:val="0"/>
          <w:szCs w:val="24"/>
        </w:rPr>
        <w:t>“</w:t>
      </w:r>
      <w:r w:rsidRPr="00C54D95">
        <w:rPr>
          <w:rStyle w:val="QuoteChar"/>
          <w:rFonts w:ascii="Times New Roman" w:hAnsi="Times New Roman"/>
          <w:i w:val="0"/>
          <w:szCs w:val="24"/>
        </w:rPr>
        <w:t>In view of the Legal Representatives of Victims V01, a traditional ceremon</w:t>
      </w:r>
      <w:r w:rsidR="00B0037B">
        <w:rPr>
          <w:rStyle w:val="QuoteChar"/>
          <w:rFonts w:ascii="Times New Roman" w:hAnsi="Times New Roman"/>
          <w:i w:val="0"/>
          <w:szCs w:val="24"/>
        </w:rPr>
        <w:t>y</w:t>
      </w:r>
      <w:r w:rsidRPr="00C54D95">
        <w:rPr>
          <w:rStyle w:val="QuoteChar"/>
          <w:rFonts w:ascii="Times New Roman" w:hAnsi="Times New Roman"/>
          <w:i w:val="0"/>
          <w:szCs w:val="24"/>
        </w:rPr>
        <w:t xml:space="preserve"> to be attended by the victims could be problematic for those who fear retaliation and would </w:t>
      </w:r>
      <w:r w:rsidRPr="00C54D95">
        <w:rPr>
          <w:rStyle w:val="QuoteChar"/>
          <w:rFonts w:ascii="Times New Roman" w:hAnsi="Times New Roman"/>
          <w:i w:val="0"/>
          <w:szCs w:val="24"/>
        </w:rPr>
        <w:lastRenderedPageBreak/>
        <w:t>have to make known their participation in the proceedings. In their submission, the Letter of 7 September 2017, which refers extensively to the 2015 Sentence Review Hearing which was already considered by the Panel in its First Sentence Review Decision, does not reflect a genuine change of attitude</w:t>
      </w:r>
      <w:r w:rsidRPr="00661FEA">
        <w:rPr>
          <w:rStyle w:val="QuoteChar"/>
          <w:rFonts w:ascii="Times New Roman" w:hAnsi="Times New Roman"/>
          <w:i w:val="0"/>
          <w:szCs w:val="24"/>
        </w:rPr>
        <w:t>.”</w:t>
      </w:r>
      <w:r w:rsidRPr="00661FEA">
        <w:rPr>
          <w:rStyle w:val="FootnoteReference"/>
          <w:rFonts w:ascii="Times New Roman" w:hAnsi="Times New Roman"/>
          <w:iCs/>
          <w:color w:val="404040" w:themeColor="text1" w:themeTint="BF"/>
          <w:szCs w:val="24"/>
        </w:rPr>
        <w:footnoteReference w:id="1041"/>
      </w:r>
    </w:p>
    <w:p w14:paraId="23ACE39A" w14:textId="77777777" w:rsidR="00B0037B" w:rsidRDefault="00B0037B" w:rsidP="003A01CA">
      <w:pPr>
        <w:spacing w:line="480" w:lineRule="auto"/>
        <w:jc w:val="both"/>
        <w:rPr>
          <w:rFonts w:ascii="Times New Roman" w:hAnsi="Times New Roman"/>
          <w:szCs w:val="24"/>
        </w:rPr>
      </w:pPr>
    </w:p>
    <w:p w14:paraId="50A43609" w14:textId="19089A37" w:rsidR="007C69E6" w:rsidRPr="007C69E6" w:rsidRDefault="000254CB" w:rsidP="003A01CA">
      <w:pPr>
        <w:spacing w:line="480" w:lineRule="auto"/>
        <w:jc w:val="both"/>
        <w:rPr>
          <w:rStyle w:val="QuoteChar"/>
          <w:rFonts w:ascii="Times New Roman" w:hAnsi="Times New Roman"/>
          <w:i w:val="0"/>
          <w:szCs w:val="24"/>
        </w:rPr>
      </w:pPr>
      <w:r>
        <w:rPr>
          <w:rFonts w:ascii="Times New Roman" w:hAnsi="Times New Roman"/>
          <w:szCs w:val="24"/>
        </w:rPr>
        <w:t>The LRV VO1 argued the sentenced person,</w:t>
      </w:r>
      <w:r w:rsidR="00B0037B">
        <w:rPr>
          <w:rFonts w:ascii="Times New Roman" w:hAnsi="Times New Roman"/>
          <w:szCs w:val="24"/>
        </w:rPr>
        <w:t xml:space="preserve"> </w:t>
      </w:r>
      <w:r>
        <w:rPr>
          <w:rFonts w:ascii="Times New Roman" w:hAnsi="Times New Roman"/>
          <w:szCs w:val="24"/>
        </w:rPr>
        <w:t>Mr Lubanga refused to cooperate in the reparations proceedings.</w:t>
      </w:r>
      <w:r w:rsidR="00B0037B">
        <w:rPr>
          <w:rFonts w:ascii="Times New Roman" w:hAnsi="Times New Roman"/>
          <w:szCs w:val="24"/>
        </w:rPr>
        <w:t xml:space="preserve"> </w:t>
      </w:r>
      <w:r>
        <w:rPr>
          <w:rFonts w:ascii="Times New Roman" w:hAnsi="Times New Roman"/>
          <w:szCs w:val="24"/>
        </w:rPr>
        <w:t xml:space="preserve">They also averred that Mr Lubanga </w:t>
      </w:r>
      <w:r w:rsidR="00E8575C">
        <w:rPr>
          <w:rFonts w:ascii="Times New Roman" w:hAnsi="Times New Roman"/>
          <w:szCs w:val="24"/>
        </w:rPr>
        <w:t xml:space="preserve">failed to accept that he was responsible for </w:t>
      </w:r>
      <w:r w:rsidR="006B73AB">
        <w:rPr>
          <w:rFonts w:ascii="Times New Roman" w:hAnsi="Times New Roman"/>
          <w:szCs w:val="24"/>
        </w:rPr>
        <w:t>recruiting</w:t>
      </w:r>
      <w:r w:rsidR="00E8575C">
        <w:rPr>
          <w:rFonts w:ascii="Times New Roman" w:hAnsi="Times New Roman"/>
          <w:szCs w:val="24"/>
        </w:rPr>
        <w:t xml:space="preserve"> the former child soldiers, as he </w:t>
      </w:r>
      <w:r w:rsidR="00B0037B">
        <w:rPr>
          <w:rFonts w:ascii="Times New Roman" w:hAnsi="Times New Roman"/>
          <w:szCs w:val="24"/>
        </w:rPr>
        <w:t>was reluctant to accept</w:t>
      </w:r>
      <w:r w:rsidR="00E8575C">
        <w:rPr>
          <w:rFonts w:ascii="Times New Roman" w:hAnsi="Times New Roman"/>
          <w:szCs w:val="24"/>
        </w:rPr>
        <w:t xml:space="preserve"> their reparations</w:t>
      </w:r>
      <w:r w:rsidR="004B524A" w:rsidRPr="00661FEA">
        <w:rPr>
          <w:rFonts w:ascii="Times New Roman" w:hAnsi="Times New Roman"/>
          <w:szCs w:val="24"/>
        </w:rPr>
        <w:t>.</w:t>
      </w:r>
      <w:r w:rsidR="004B524A" w:rsidRPr="00661FEA">
        <w:rPr>
          <w:rStyle w:val="FootnoteReference"/>
          <w:rFonts w:ascii="Times New Roman" w:hAnsi="Times New Roman"/>
          <w:szCs w:val="24"/>
        </w:rPr>
        <w:footnoteReference w:id="1042"/>
      </w:r>
      <w:r w:rsidR="004C0FE4">
        <w:rPr>
          <w:rFonts w:ascii="Times New Roman" w:hAnsi="Times New Roman"/>
          <w:szCs w:val="24"/>
        </w:rPr>
        <w:t xml:space="preserve"> </w:t>
      </w:r>
      <w:r w:rsidR="00282A44">
        <w:rPr>
          <w:rFonts w:ascii="Times New Roman" w:hAnsi="Times New Roman"/>
          <w:szCs w:val="24"/>
        </w:rPr>
        <w:t xml:space="preserve">The LRV V01 asserted that </w:t>
      </w:r>
      <w:r w:rsidR="007C69E6">
        <w:rPr>
          <w:rFonts w:ascii="Times New Roman" w:hAnsi="Times New Roman"/>
          <w:szCs w:val="24"/>
        </w:rPr>
        <w:t xml:space="preserve">since Mr Lubanga’s first sentence review decision, his conduct </w:t>
      </w:r>
      <w:r w:rsidR="007C69E6" w:rsidRPr="00C54D95">
        <w:rPr>
          <w:rStyle w:val="QuoteChar"/>
          <w:rFonts w:ascii="Times New Roman" w:hAnsi="Times New Roman"/>
          <w:i w:val="0"/>
          <w:szCs w:val="24"/>
        </w:rPr>
        <w:t>ha</w:t>
      </w:r>
      <w:r w:rsidR="00B0037B">
        <w:rPr>
          <w:rStyle w:val="QuoteChar"/>
          <w:rFonts w:ascii="Times New Roman" w:hAnsi="Times New Roman"/>
          <w:i w:val="0"/>
          <w:szCs w:val="24"/>
        </w:rPr>
        <w:t>d</w:t>
      </w:r>
      <w:r w:rsidR="007C69E6" w:rsidRPr="00C54D95">
        <w:rPr>
          <w:rStyle w:val="QuoteChar"/>
          <w:rFonts w:ascii="Times New Roman" w:hAnsi="Times New Roman"/>
          <w:i w:val="0"/>
          <w:szCs w:val="24"/>
        </w:rPr>
        <w:t xml:space="preserve"> not shown his dissociation from the crimes from which he was sentenced</w:t>
      </w:r>
      <w:r w:rsidR="007C69E6" w:rsidRPr="00661FEA">
        <w:rPr>
          <w:rStyle w:val="QuoteChar"/>
          <w:rFonts w:ascii="Times New Roman" w:hAnsi="Times New Roman"/>
          <w:szCs w:val="24"/>
        </w:rPr>
        <w:t>.”</w:t>
      </w:r>
      <w:r w:rsidR="007C69E6" w:rsidRPr="00661FEA">
        <w:rPr>
          <w:rStyle w:val="FootnoteReference"/>
          <w:rFonts w:ascii="Times New Roman" w:hAnsi="Times New Roman"/>
          <w:i/>
          <w:iCs/>
          <w:color w:val="404040" w:themeColor="text1" w:themeTint="BF"/>
          <w:szCs w:val="24"/>
        </w:rPr>
        <w:footnoteReference w:id="1043"/>
      </w:r>
      <w:r w:rsidR="007C69E6">
        <w:rPr>
          <w:rStyle w:val="QuoteChar"/>
          <w:rFonts w:ascii="Times New Roman" w:hAnsi="Times New Roman"/>
          <w:i w:val="0"/>
          <w:szCs w:val="24"/>
        </w:rPr>
        <w:t xml:space="preserve"> They referred to the negative implications of Mr Lubanga’s release on </w:t>
      </w:r>
      <w:r w:rsidR="00620514">
        <w:rPr>
          <w:rStyle w:val="QuoteChar"/>
          <w:rFonts w:ascii="Times New Roman" w:hAnsi="Times New Roman"/>
          <w:i w:val="0"/>
          <w:szCs w:val="24"/>
        </w:rPr>
        <w:t>implementing</w:t>
      </w:r>
      <w:r w:rsidR="007C69E6" w:rsidRPr="00C54D95">
        <w:rPr>
          <w:rStyle w:val="QuoteChar"/>
          <w:rFonts w:ascii="Times New Roman" w:hAnsi="Times New Roman"/>
          <w:i w:val="0"/>
          <w:szCs w:val="24"/>
        </w:rPr>
        <w:t xml:space="preserve"> the Trust Fund fo</w:t>
      </w:r>
      <w:r w:rsidR="007C69E6">
        <w:rPr>
          <w:rStyle w:val="QuoteChar"/>
          <w:rFonts w:ascii="Times New Roman" w:hAnsi="Times New Roman"/>
          <w:i w:val="0"/>
          <w:szCs w:val="24"/>
        </w:rPr>
        <w:t>r Victims’ reparation programme</w:t>
      </w:r>
      <w:r w:rsidR="003A01CA">
        <w:rPr>
          <w:rStyle w:val="QuoteChar"/>
          <w:rFonts w:ascii="Times New Roman" w:hAnsi="Times New Roman"/>
          <w:i w:val="0"/>
          <w:szCs w:val="24"/>
        </w:rPr>
        <w:t xml:space="preserve"> a</w:t>
      </w:r>
      <w:r w:rsidR="006B73AB">
        <w:rPr>
          <w:rStyle w:val="QuoteChar"/>
          <w:rFonts w:ascii="Times New Roman" w:hAnsi="Times New Roman"/>
          <w:i w:val="0"/>
          <w:szCs w:val="24"/>
        </w:rPr>
        <w:t>nd</w:t>
      </w:r>
      <w:r w:rsidR="003A01CA">
        <w:rPr>
          <w:rStyle w:val="QuoteChar"/>
          <w:rFonts w:ascii="Times New Roman" w:hAnsi="Times New Roman"/>
          <w:i w:val="0"/>
          <w:szCs w:val="24"/>
        </w:rPr>
        <w:t xml:space="preserve"> the </w:t>
      </w:r>
      <w:r w:rsidR="00696301">
        <w:rPr>
          <w:rStyle w:val="QuoteChar"/>
          <w:rFonts w:ascii="Times New Roman" w:hAnsi="Times New Roman"/>
          <w:i w:val="0"/>
          <w:szCs w:val="24"/>
        </w:rPr>
        <w:t>leaders' strong tie</w:t>
      </w:r>
      <w:r w:rsidR="003A01CA">
        <w:rPr>
          <w:rStyle w:val="QuoteChar"/>
          <w:rFonts w:ascii="Times New Roman" w:hAnsi="Times New Roman"/>
          <w:i w:val="0"/>
          <w:szCs w:val="24"/>
        </w:rPr>
        <w:t>s with the political group headed by Lubanga.</w:t>
      </w:r>
      <w:r w:rsidR="00B0037B">
        <w:rPr>
          <w:rStyle w:val="QuoteChar"/>
          <w:rFonts w:ascii="Times New Roman" w:hAnsi="Times New Roman"/>
          <w:i w:val="0"/>
          <w:szCs w:val="24"/>
        </w:rPr>
        <w:t xml:space="preserve"> </w:t>
      </w:r>
      <w:r w:rsidR="003A01CA">
        <w:rPr>
          <w:rStyle w:val="QuoteChar"/>
          <w:rFonts w:ascii="Times New Roman" w:hAnsi="Times New Roman"/>
          <w:i w:val="0"/>
          <w:szCs w:val="24"/>
        </w:rPr>
        <w:t>The</w:t>
      </w:r>
      <w:r w:rsidR="003A01CA" w:rsidRPr="00C54D95">
        <w:rPr>
          <w:rStyle w:val="QuoteChar"/>
          <w:rFonts w:ascii="Times New Roman" w:hAnsi="Times New Roman"/>
          <w:i w:val="0"/>
          <w:szCs w:val="24"/>
        </w:rPr>
        <w:t xml:space="preserve"> opposition on their part to the reparation programme may deter any participation in them</w:t>
      </w:r>
      <w:r w:rsidR="003A01CA">
        <w:rPr>
          <w:rStyle w:val="QuoteChar"/>
          <w:rFonts w:ascii="Times New Roman" w:hAnsi="Times New Roman"/>
          <w:i w:val="0"/>
          <w:szCs w:val="24"/>
        </w:rPr>
        <w:t>.</w:t>
      </w:r>
      <w:r w:rsidR="003A01CA" w:rsidRPr="00661FEA">
        <w:rPr>
          <w:rStyle w:val="FootnoteReference"/>
          <w:rFonts w:ascii="Times New Roman" w:hAnsi="Times New Roman"/>
          <w:iCs/>
          <w:color w:val="404040" w:themeColor="text1" w:themeTint="BF"/>
          <w:szCs w:val="24"/>
        </w:rPr>
        <w:footnoteReference w:id="1044"/>
      </w:r>
    </w:p>
    <w:p w14:paraId="46B9C9FE" w14:textId="238A9B72" w:rsidR="004B524A" w:rsidRPr="008C4589" w:rsidRDefault="004C0FE4" w:rsidP="008C4589">
      <w:pPr>
        <w:spacing w:line="480" w:lineRule="auto"/>
        <w:jc w:val="both"/>
        <w:rPr>
          <w:rStyle w:val="QuoteChar"/>
          <w:rFonts w:ascii="Times New Roman" w:hAnsi="Times New Roman"/>
          <w:i w:val="0"/>
          <w:szCs w:val="24"/>
        </w:rPr>
      </w:pPr>
      <w:r>
        <w:rPr>
          <w:rFonts w:ascii="Times New Roman" w:hAnsi="Times New Roman"/>
          <w:szCs w:val="24"/>
        </w:rPr>
        <w:t>In a similar vein, the LRV V02</w:t>
      </w:r>
      <w:r w:rsidR="00926EDF">
        <w:rPr>
          <w:rFonts w:ascii="Times New Roman" w:hAnsi="Times New Roman"/>
          <w:szCs w:val="24"/>
        </w:rPr>
        <w:t xml:space="preserve"> submitted that Mr Lubanga </w:t>
      </w:r>
      <w:r w:rsidR="00844D85">
        <w:rPr>
          <w:rFonts w:ascii="Times New Roman" w:hAnsi="Times New Roman"/>
          <w:szCs w:val="24"/>
        </w:rPr>
        <w:t>was</w:t>
      </w:r>
      <w:r w:rsidR="00926EDF">
        <w:rPr>
          <w:rFonts w:ascii="Times New Roman" w:hAnsi="Times New Roman"/>
          <w:szCs w:val="24"/>
        </w:rPr>
        <w:t xml:space="preserve"> required to establish good faith and wish to cooperate with the reconciliation process in </w:t>
      </w:r>
      <w:proofErr w:type="spellStart"/>
      <w:r w:rsidR="00926EDF">
        <w:rPr>
          <w:rFonts w:ascii="Times New Roman" w:hAnsi="Times New Roman"/>
          <w:szCs w:val="24"/>
        </w:rPr>
        <w:t>Ituri</w:t>
      </w:r>
      <w:proofErr w:type="spellEnd"/>
      <w:r w:rsidR="00926EDF">
        <w:rPr>
          <w:rFonts w:ascii="Times New Roman" w:hAnsi="Times New Roman"/>
          <w:szCs w:val="24"/>
        </w:rPr>
        <w:t>.</w:t>
      </w:r>
      <w:r w:rsidR="00B0037B">
        <w:rPr>
          <w:rFonts w:ascii="Times New Roman" w:hAnsi="Times New Roman"/>
          <w:szCs w:val="24"/>
        </w:rPr>
        <w:t xml:space="preserve"> </w:t>
      </w:r>
      <w:r w:rsidR="00926EDF">
        <w:rPr>
          <w:rFonts w:ascii="Times New Roman" w:hAnsi="Times New Roman"/>
          <w:szCs w:val="24"/>
        </w:rPr>
        <w:t xml:space="preserve">Although, the LRV acknowledged </w:t>
      </w:r>
      <w:r w:rsidR="006D3306">
        <w:rPr>
          <w:rFonts w:ascii="Times New Roman" w:hAnsi="Times New Roman"/>
          <w:szCs w:val="24"/>
        </w:rPr>
        <w:t xml:space="preserve">Mr Lubanga’s good faith </w:t>
      </w:r>
      <w:r w:rsidR="00282A44">
        <w:rPr>
          <w:rFonts w:ascii="Times New Roman" w:hAnsi="Times New Roman"/>
          <w:szCs w:val="24"/>
        </w:rPr>
        <w:t xml:space="preserve">and intention to collaborate with the reconciliation process in </w:t>
      </w:r>
      <w:proofErr w:type="spellStart"/>
      <w:r w:rsidR="00282A44">
        <w:rPr>
          <w:rFonts w:ascii="Times New Roman" w:hAnsi="Times New Roman"/>
          <w:szCs w:val="24"/>
        </w:rPr>
        <w:t>Ituri</w:t>
      </w:r>
      <w:proofErr w:type="spellEnd"/>
      <w:r w:rsidR="00282A44">
        <w:rPr>
          <w:rFonts w:ascii="Times New Roman" w:hAnsi="Times New Roman"/>
          <w:szCs w:val="24"/>
        </w:rPr>
        <w:t>,</w:t>
      </w:r>
      <w:r w:rsidR="00B0037B">
        <w:rPr>
          <w:rFonts w:ascii="Times New Roman" w:hAnsi="Times New Roman"/>
          <w:szCs w:val="24"/>
        </w:rPr>
        <w:t xml:space="preserve"> </w:t>
      </w:r>
      <w:r w:rsidR="00282A44">
        <w:rPr>
          <w:rFonts w:ascii="Times New Roman" w:hAnsi="Times New Roman"/>
          <w:szCs w:val="24"/>
        </w:rPr>
        <w:t>however, this intention was not sufficient</w:t>
      </w:r>
      <w:r w:rsidR="00C54D95">
        <w:rPr>
          <w:rStyle w:val="QuoteChar"/>
          <w:rFonts w:ascii="Times New Roman" w:hAnsi="Times New Roman"/>
          <w:i w:val="0"/>
          <w:szCs w:val="24"/>
        </w:rPr>
        <w:t>.</w:t>
      </w:r>
      <w:r w:rsidR="004B524A" w:rsidRPr="00661FEA">
        <w:rPr>
          <w:rStyle w:val="FootnoteReference"/>
          <w:rFonts w:ascii="Times New Roman" w:hAnsi="Times New Roman"/>
          <w:szCs w:val="24"/>
        </w:rPr>
        <w:footnoteReference w:id="1045"/>
      </w:r>
      <w:r w:rsidR="001B3955">
        <w:rPr>
          <w:rStyle w:val="QuoteChar"/>
          <w:rFonts w:ascii="Times New Roman" w:hAnsi="Times New Roman"/>
          <w:i w:val="0"/>
          <w:szCs w:val="24"/>
        </w:rPr>
        <w:t xml:space="preserve">Besides, the </w:t>
      </w:r>
      <w:r w:rsidR="001B3955">
        <w:rPr>
          <w:rStyle w:val="QuoteChar"/>
          <w:rFonts w:ascii="Times New Roman" w:hAnsi="Times New Roman"/>
          <w:i w:val="0"/>
          <w:szCs w:val="24"/>
        </w:rPr>
        <w:lastRenderedPageBreak/>
        <w:t xml:space="preserve">LRV V02 pointed out </w:t>
      </w:r>
      <w:r w:rsidR="008C4589">
        <w:rPr>
          <w:rStyle w:val="QuoteChar"/>
          <w:rFonts w:ascii="Times New Roman" w:hAnsi="Times New Roman"/>
          <w:i w:val="0"/>
          <w:szCs w:val="24"/>
        </w:rPr>
        <w:t xml:space="preserve">the adverse reaction to Mr Lubanga’s release, which included, </w:t>
      </w:r>
      <w:r w:rsidR="001B3955">
        <w:rPr>
          <w:rStyle w:val="QuoteChar"/>
          <w:rFonts w:ascii="Times New Roman" w:hAnsi="Times New Roman"/>
          <w:i w:val="0"/>
          <w:szCs w:val="24"/>
        </w:rPr>
        <w:t>the risk of social instability</w:t>
      </w:r>
      <w:r w:rsidR="008C4589">
        <w:rPr>
          <w:rStyle w:val="QuoteChar"/>
          <w:rFonts w:ascii="Times New Roman" w:hAnsi="Times New Roman"/>
          <w:i w:val="0"/>
          <w:szCs w:val="24"/>
        </w:rPr>
        <w:t>,</w:t>
      </w:r>
      <w:r w:rsidR="001B3955">
        <w:rPr>
          <w:rStyle w:val="QuoteChar"/>
          <w:rFonts w:ascii="Times New Roman" w:hAnsi="Times New Roman"/>
          <w:i w:val="0"/>
          <w:szCs w:val="24"/>
        </w:rPr>
        <w:t xml:space="preserve"> </w:t>
      </w:r>
      <w:r w:rsidR="00B0037B">
        <w:rPr>
          <w:rStyle w:val="QuoteChar"/>
          <w:rFonts w:ascii="Times New Roman" w:hAnsi="Times New Roman"/>
          <w:i w:val="0"/>
          <w:szCs w:val="24"/>
        </w:rPr>
        <w:t xml:space="preserve">the </w:t>
      </w:r>
      <w:r w:rsidR="001B3955">
        <w:rPr>
          <w:rStyle w:val="QuoteChar"/>
          <w:rFonts w:ascii="Times New Roman" w:hAnsi="Times New Roman"/>
          <w:i w:val="0"/>
          <w:szCs w:val="24"/>
        </w:rPr>
        <w:t xml:space="preserve">potential for stigmatisation of victims during the </w:t>
      </w:r>
      <w:r w:rsidR="00B0037B">
        <w:rPr>
          <w:rStyle w:val="QuoteChar"/>
          <w:rFonts w:ascii="Times New Roman" w:hAnsi="Times New Roman"/>
          <w:i w:val="0"/>
          <w:szCs w:val="24"/>
        </w:rPr>
        <w:t>implementation of the reparations</w:t>
      </w:r>
      <w:r w:rsidR="008C4589" w:rsidRPr="00661FEA">
        <w:rPr>
          <w:rStyle w:val="QuoteChar"/>
          <w:rFonts w:ascii="Times New Roman" w:hAnsi="Times New Roman"/>
          <w:i w:val="0"/>
          <w:szCs w:val="24"/>
        </w:rPr>
        <w:t>.”</w:t>
      </w:r>
      <w:r w:rsidR="008C4589" w:rsidRPr="00661FEA">
        <w:rPr>
          <w:rStyle w:val="FootnoteReference"/>
          <w:rFonts w:ascii="Times New Roman" w:hAnsi="Times New Roman"/>
          <w:iCs/>
          <w:color w:val="404040" w:themeColor="text1" w:themeTint="BF"/>
          <w:szCs w:val="24"/>
        </w:rPr>
        <w:footnoteReference w:id="1046"/>
      </w:r>
      <w:r w:rsidR="008C4589">
        <w:rPr>
          <w:rStyle w:val="QuoteChar"/>
          <w:rFonts w:ascii="Times New Roman" w:hAnsi="Times New Roman"/>
          <w:i w:val="0"/>
          <w:szCs w:val="24"/>
        </w:rPr>
        <w:t xml:space="preserve">In their submission, they recommended that Mr Lubanga should “adopt </w:t>
      </w:r>
      <w:r w:rsidR="00B0037B">
        <w:rPr>
          <w:rStyle w:val="QuoteChar"/>
          <w:rFonts w:ascii="Times New Roman" w:hAnsi="Times New Roman"/>
          <w:i w:val="0"/>
          <w:szCs w:val="24"/>
        </w:rPr>
        <w:t xml:space="preserve">a </w:t>
      </w:r>
      <w:r w:rsidR="004B524A" w:rsidRPr="00C54D95">
        <w:rPr>
          <w:rStyle w:val="QuoteChar"/>
          <w:rFonts w:ascii="Times New Roman" w:hAnsi="Times New Roman"/>
          <w:i w:val="0"/>
          <w:szCs w:val="24"/>
        </w:rPr>
        <w:t>more cooperative approach towards victims</w:t>
      </w:r>
      <w:r w:rsidR="00C54D95">
        <w:rPr>
          <w:rStyle w:val="QuoteChar"/>
          <w:rFonts w:ascii="Times New Roman" w:hAnsi="Times New Roman"/>
          <w:i w:val="0"/>
          <w:szCs w:val="24"/>
        </w:rPr>
        <w:t>.</w:t>
      </w:r>
      <w:r w:rsidR="004B524A" w:rsidRPr="00661FEA">
        <w:rPr>
          <w:rStyle w:val="QuoteChar"/>
          <w:rFonts w:ascii="Times New Roman" w:hAnsi="Times New Roman"/>
          <w:szCs w:val="24"/>
        </w:rPr>
        <w:t>”</w:t>
      </w:r>
      <w:r w:rsidR="004B524A" w:rsidRPr="00661FEA">
        <w:rPr>
          <w:rStyle w:val="QuoteChar"/>
          <w:rFonts w:ascii="Times New Roman" w:hAnsi="Times New Roman"/>
          <w:i w:val="0"/>
          <w:szCs w:val="24"/>
        </w:rPr>
        <w:t xml:space="preserve"> </w:t>
      </w:r>
      <w:r w:rsidR="004B524A" w:rsidRPr="00661FEA">
        <w:rPr>
          <w:rStyle w:val="FootnoteReference"/>
          <w:rFonts w:ascii="Times New Roman" w:hAnsi="Times New Roman"/>
          <w:iCs/>
          <w:color w:val="404040" w:themeColor="text1" w:themeTint="BF"/>
          <w:szCs w:val="24"/>
        </w:rPr>
        <w:footnoteReference w:id="1047"/>
      </w:r>
    </w:p>
    <w:p w14:paraId="6C494870" w14:textId="33E24488" w:rsidR="00844D85" w:rsidRDefault="00661FEA" w:rsidP="007C3433">
      <w:pPr>
        <w:spacing w:line="480" w:lineRule="auto"/>
        <w:jc w:val="both"/>
        <w:rPr>
          <w:rFonts w:ascii="Times New Roman" w:hAnsi="Times New Roman"/>
          <w:szCs w:val="24"/>
        </w:rPr>
      </w:pPr>
      <w:r w:rsidRPr="001920EA">
        <w:rPr>
          <w:rFonts w:ascii="Times New Roman" w:hAnsi="Times New Roman"/>
          <w:szCs w:val="24"/>
        </w:rPr>
        <w:t>Additionally, the Panel rejected Lubanga’s statement</w:t>
      </w:r>
      <w:r w:rsidR="001920EA">
        <w:rPr>
          <w:rFonts w:ascii="Times New Roman" w:hAnsi="Times New Roman"/>
          <w:szCs w:val="24"/>
        </w:rPr>
        <w:t xml:space="preserve"> concerning</w:t>
      </w:r>
      <w:r w:rsidRPr="001920EA">
        <w:rPr>
          <w:rFonts w:ascii="Times New Roman" w:hAnsi="Times New Roman"/>
          <w:szCs w:val="24"/>
        </w:rPr>
        <w:t xml:space="preserve"> serving his full sentence </w:t>
      </w:r>
      <w:r w:rsidR="001920EA">
        <w:rPr>
          <w:rFonts w:ascii="Times New Roman" w:hAnsi="Times New Roman"/>
          <w:szCs w:val="24"/>
        </w:rPr>
        <w:t xml:space="preserve">to </w:t>
      </w:r>
      <w:r w:rsidRPr="001920EA">
        <w:rPr>
          <w:rFonts w:ascii="Times New Roman" w:hAnsi="Times New Roman"/>
          <w:szCs w:val="24"/>
        </w:rPr>
        <w:t xml:space="preserve">promote the </w:t>
      </w:r>
      <w:r w:rsidR="006B73AB">
        <w:rPr>
          <w:rFonts w:ascii="Times New Roman" w:hAnsi="Times New Roman"/>
          <w:szCs w:val="24"/>
        </w:rPr>
        <w:t>victims' wellbeing</w:t>
      </w:r>
      <w:r w:rsidRPr="001920EA">
        <w:rPr>
          <w:rFonts w:ascii="Times New Roman" w:hAnsi="Times New Roman"/>
          <w:szCs w:val="24"/>
        </w:rPr>
        <w:t>.</w:t>
      </w:r>
      <w:r w:rsidR="006E39B6">
        <w:rPr>
          <w:rFonts w:ascii="Times New Roman" w:hAnsi="Times New Roman"/>
          <w:szCs w:val="24"/>
        </w:rPr>
        <w:t xml:space="preserve"> </w:t>
      </w:r>
      <w:r w:rsidRPr="001920EA">
        <w:rPr>
          <w:rFonts w:ascii="Times New Roman" w:hAnsi="Times New Roman"/>
          <w:szCs w:val="24"/>
        </w:rPr>
        <w:t xml:space="preserve">The Panel ruled that this did not constitute </w:t>
      </w:r>
      <w:r w:rsidR="001920EA">
        <w:rPr>
          <w:rFonts w:ascii="Times New Roman" w:hAnsi="Times New Roman"/>
          <w:szCs w:val="24"/>
        </w:rPr>
        <w:t xml:space="preserve">a </w:t>
      </w:r>
      <w:r w:rsidRPr="001920EA">
        <w:rPr>
          <w:rFonts w:ascii="Times New Roman" w:hAnsi="Times New Roman"/>
          <w:szCs w:val="24"/>
        </w:rPr>
        <w:t xml:space="preserve">significant change in circumstances because none of this indicated a significant action taken by Mr Lubanga for the </w:t>
      </w:r>
      <w:r w:rsidR="006B73AB">
        <w:rPr>
          <w:rFonts w:ascii="Times New Roman" w:hAnsi="Times New Roman"/>
          <w:szCs w:val="24"/>
        </w:rPr>
        <w:t>victims' benefit</w:t>
      </w:r>
      <w:r w:rsidRPr="001920EA">
        <w:rPr>
          <w:rFonts w:ascii="Times New Roman" w:hAnsi="Times New Roman"/>
          <w:szCs w:val="24"/>
        </w:rPr>
        <w:t>.</w:t>
      </w:r>
      <w:r w:rsidR="00D85125">
        <w:rPr>
          <w:rStyle w:val="FootnoteReference"/>
          <w:rFonts w:ascii="Times New Roman" w:hAnsi="Times New Roman"/>
          <w:szCs w:val="24"/>
        </w:rPr>
        <w:footnoteReference w:id="1048"/>
      </w:r>
    </w:p>
    <w:p w14:paraId="30DE1C3F" w14:textId="5822A1C6" w:rsidR="00661FEA" w:rsidRPr="001920EA" w:rsidRDefault="00844D85" w:rsidP="007C3433">
      <w:pPr>
        <w:spacing w:line="480" w:lineRule="auto"/>
        <w:jc w:val="both"/>
        <w:rPr>
          <w:rFonts w:ascii="Times New Roman" w:hAnsi="Times New Roman"/>
          <w:szCs w:val="24"/>
        </w:rPr>
      </w:pPr>
      <w:r>
        <w:rPr>
          <w:rFonts w:ascii="Times New Roman" w:hAnsi="Times New Roman"/>
          <w:szCs w:val="24"/>
        </w:rPr>
        <w:t>In</w:t>
      </w:r>
      <w:r w:rsidR="00661FEA" w:rsidRPr="001920EA">
        <w:rPr>
          <w:rFonts w:ascii="Times New Roman" w:hAnsi="Times New Roman"/>
          <w:szCs w:val="24"/>
        </w:rPr>
        <w:t xml:space="preserve"> reaching the decision, the Panel evaluated the significance of any actions taken by the sentenced person, Mr Lubanga</w:t>
      </w:r>
      <w:r w:rsidR="00796F88">
        <w:rPr>
          <w:rFonts w:ascii="Times New Roman" w:hAnsi="Times New Roman"/>
          <w:szCs w:val="24"/>
        </w:rPr>
        <w:t>,</w:t>
      </w:r>
      <w:r w:rsidR="00661FEA" w:rsidRPr="001920EA">
        <w:rPr>
          <w:rFonts w:ascii="Times New Roman" w:hAnsi="Times New Roman"/>
          <w:szCs w:val="24"/>
        </w:rPr>
        <w:t xml:space="preserve"> for the </w:t>
      </w:r>
      <w:r w:rsidR="00696301">
        <w:rPr>
          <w:rFonts w:ascii="Times New Roman" w:hAnsi="Times New Roman"/>
          <w:szCs w:val="24"/>
        </w:rPr>
        <w:t xml:space="preserve">victims' benefit </w:t>
      </w:r>
      <w:r w:rsidR="00661FEA" w:rsidRPr="001920EA">
        <w:rPr>
          <w:rFonts w:ascii="Times New Roman" w:hAnsi="Times New Roman"/>
          <w:szCs w:val="24"/>
        </w:rPr>
        <w:t>(as stipulated in rule 223(d) of the Rules).</w:t>
      </w:r>
      <w:r w:rsidR="00FD2D24">
        <w:rPr>
          <w:rFonts w:ascii="Times New Roman" w:hAnsi="Times New Roman"/>
          <w:szCs w:val="24"/>
        </w:rPr>
        <w:t xml:space="preserve"> </w:t>
      </w:r>
      <w:r w:rsidR="00661FEA" w:rsidRPr="001920EA">
        <w:rPr>
          <w:rFonts w:ascii="Times New Roman" w:hAnsi="Times New Roman"/>
          <w:szCs w:val="24"/>
        </w:rPr>
        <w:t>The Panel acknowledged Lubanga’s proposal of a public ceremony to meet with victims and offer his apologies.</w:t>
      </w:r>
      <w:r w:rsidR="00FD2D24">
        <w:rPr>
          <w:rFonts w:ascii="Times New Roman" w:hAnsi="Times New Roman"/>
          <w:szCs w:val="24"/>
        </w:rPr>
        <w:t xml:space="preserve"> </w:t>
      </w:r>
      <w:r w:rsidR="00661FEA" w:rsidRPr="001920EA">
        <w:rPr>
          <w:rFonts w:ascii="Times New Roman" w:hAnsi="Times New Roman"/>
          <w:szCs w:val="24"/>
        </w:rPr>
        <w:t>Although this constituted a change in circumsta</w:t>
      </w:r>
      <w:r w:rsidR="00FD2D24">
        <w:rPr>
          <w:rFonts w:ascii="Times New Roman" w:hAnsi="Times New Roman"/>
          <w:szCs w:val="24"/>
        </w:rPr>
        <w:t>nce, t</w:t>
      </w:r>
      <w:r w:rsidR="002A16B5" w:rsidRPr="001920EA">
        <w:rPr>
          <w:rFonts w:ascii="Times New Roman" w:hAnsi="Times New Roman"/>
          <w:szCs w:val="24"/>
        </w:rPr>
        <w:t>he Panel did not consider</w:t>
      </w:r>
      <w:r w:rsidR="00661FEA" w:rsidRPr="001920EA">
        <w:rPr>
          <w:rFonts w:ascii="Times New Roman" w:hAnsi="Times New Roman"/>
          <w:szCs w:val="24"/>
        </w:rPr>
        <w:t xml:space="preserve"> it</w:t>
      </w:r>
      <w:r w:rsidR="00FA6A9C">
        <w:rPr>
          <w:rFonts w:ascii="Times New Roman" w:hAnsi="Times New Roman"/>
          <w:szCs w:val="24"/>
        </w:rPr>
        <w:t xml:space="preserve"> significantly sufficient</w:t>
      </w:r>
      <w:r w:rsidR="00661FEA" w:rsidRPr="001920EA">
        <w:rPr>
          <w:rFonts w:ascii="Times New Roman" w:hAnsi="Times New Roman"/>
          <w:szCs w:val="24"/>
        </w:rPr>
        <w:t xml:space="preserve"> to modify Lubanga’s sentence.</w:t>
      </w:r>
      <w:r w:rsidR="00FD2D24">
        <w:rPr>
          <w:rFonts w:ascii="Times New Roman" w:hAnsi="Times New Roman"/>
          <w:szCs w:val="24"/>
        </w:rPr>
        <w:t xml:space="preserve"> </w:t>
      </w:r>
      <w:r w:rsidR="00661FEA" w:rsidRPr="001920EA">
        <w:rPr>
          <w:rFonts w:ascii="Times New Roman" w:hAnsi="Times New Roman"/>
          <w:szCs w:val="24"/>
        </w:rPr>
        <w:t>It</w:t>
      </w:r>
      <w:r w:rsidR="00FD2D24">
        <w:rPr>
          <w:rFonts w:ascii="Times New Roman" w:hAnsi="Times New Roman"/>
          <w:szCs w:val="24"/>
        </w:rPr>
        <w:t xml:space="preserve"> reasoned that the proposal was more intentional than feasible.</w:t>
      </w:r>
    </w:p>
    <w:p w14:paraId="53EE6DE2" w14:textId="58CB317C" w:rsidR="00A93BAD" w:rsidRPr="001920EA" w:rsidRDefault="002A16B5" w:rsidP="007C3433">
      <w:pPr>
        <w:spacing w:line="480" w:lineRule="auto"/>
        <w:jc w:val="both"/>
        <w:rPr>
          <w:rFonts w:ascii="Times New Roman" w:hAnsi="Times New Roman"/>
          <w:szCs w:val="24"/>
        </w:rPr>
      </w:pPr>
      <w:r w:rsidRPr="001920EA">
        <w:rPr>
          <w:rFonts w:ascii="Times New Roman" w:hAnsi="Times New Roman"/>
          <w:szCs w:val="24"/>
        </w:rPr>
        <w:t xml:space="preserve">These taken together,  the Panel determined that there had been no significant change in circumstances since </w:t>
      </w:r>
      <w:r w:rsidR="00B963F4">
        <w:rPr>
          <w:rFonts w:ascii="Times New Roman" w:hAnsi="Times New Roman"/>
          <w:szCs w:val="24"/>
        </w:rPr>
        <w:t xml:space="preserve">the </w:t>
      </w:r>
      <w:r w:rsidR="006B73AB">
        <w:rPr>
          <w:rFonts w:ascii="Times New Roman" w:hAnsi="Times New Roman"/>
          <w:szCs w:val="24"/>
        </w:rPr>
        <w:t>first sentence review decision</w:t>
      </w:r>
      <w:r w:rsidRPr="001920EA">
        <w:rPr>
          <w:rFonts w:ascii="Times New Roman" w:hAnsi="Times New Roman"/>
          <w:szCs w:val="24"/>
        </w:rPr>
        <w:t xml:space="preserve"> would merit a reduction of Mr </w:t>
      </w:r>
      <w:r w:rsidRPr="001920EA">
        <w:rPr>
          <w:rFonts w:ascii="Times New Roman" w:hAnsi="Times New Roman"/>
          <w:szCs w:val="24"/>
        </w:rPr>
        <w:lastRenderedPageBreak/>
        <w:t xml:space="preserve">Lubanga’s sentence. </w:t>
      </w:r>
      <w:r w:rsidRPr="001920EA">
        <w:rPr>
          <w:rStyle w:val="FootnoteReference"/>
          <w:rFonts w:ascii="Times New Roman" w:hAnsi="Times New Roman"/>
          <w:szCs w:val="24"/>
        </w:rPr>
        <w:footnoteReference w:id="1049"/>
      </w:r>
      <w:r w:rsidR="00B963F4">
        <w:rPr>
          <w:rFonts w:ascii="Times New Roman" w:hAnsi="Times New Roman"/>
          <w:szCs w:val="24"/>
        </w:rPr>
        <w:t>A summary of the main findings, together with the discussion</w:t>
      </w:r>
      <w:r w:rsidR="008B75A1">
        <w:rPr>
          <w:rFonts w:ascii="Times New Roman" w:hAnsi="Times New Roman"/>
          <w:szCs w:val="24"/>
        </w:rPr>
        <w:t>,</w:t>
      </w:r>
      <w:r w:rsidR="00B963F4">
        <w:rPr>
          <w:rFonts w:ascii="Times New Roman" w:hAnsi="Times New Roman"/>
          <w:szCs w:val="24"/>
        </w:rPr>
        <w:t xml:space="preserve"> is provided in the </w:t>
      </w:r>
      <w:r w:rsidR="006B73AB">
        <w:rPr>
          <w:rFonts w:ascii="Times New Roman" w:hAnsi="Times New Roman"/>
          <w:szCs w:val="24"/>
        </w:rPr>
        <w:t>following section</w:t>
      </w:r>
      <w:r w:rsidR="00B963F4">
        <w:rPr>
          <w:rFonts w:ascii="Times New Roman" w:hAnsi="Times New Roman"/>
          <w:szCs w:val="24"/>
        </w:rPr>
        <w:t>.</w:t>
      </w:r>
    </w:p>
    <w:p w14:paraId="7CFA5E80" w14:textId="70A8AB75" w:rsidR="004D5736" w:rsidRDefault="00D85125" w:rsidP="00364EC8">
      <w:pPr>
        <w:pStyle w:val="Heading2"/>
      </w:pPr>
      <w:bookmarkStart w:id="77" w:name="_Toc60235847"/>
      <w:r>
        <w:t xml:space="preserve">4.6.0 </w:t>
      </w:r>
      <w:r w:rsidR="00B963F4">
        <w:t>Discussing findings.</w:t>
      </w:r>
      <w:bookmarkEnd w:id="77"/>
    </w:p>
    <w:p w14:paraId="2C0847D1" w14:textId="6AB838B8" w:rsidR="002B130D" w:rsidRPr="0003017A" w:rsidRDefault="006B73AB" w:rsidP="00FB7B02">
      <w:pPr>
        <w:spacing w:line="480" w:lineRule="auto"/>
        <w:jc w:val="both"/>
        <w:rPr>
          <w:rFonts w:ascii="Times New Roman" w:hAnsi="Times New Roman"/>
          <w:szCs w:val="24"/>
        </w:rPr>
      </w:pPr>
      <w:proofErr w:type="spellStart"/>
      <w:r>
        <w:rPr>
          <w:rFonts w:ascii="Times New Roman" w:hAnsi="Times New Roman"/>
          <w:szCs w:val="24"/>
        </w:rPr>
        <w:t>Henham’s</w:t>
      </w:r>
      <w:proofErr w:type="spellEnd"/>
      <w:r>
        <w:rPr>
          <w:rFonts w:ascii="Times New Roman" w:hAnsi="Times New Roman"/>
          <w:szCs w:val="24"/>
        </w:rPr>
        <w:t xml:space="preserve"> study results</w:t>
      </w:r>
      <w:r w:rsidR="002B130D" w:rsidRPr="0003017A">
        <w:rPr>
          <w:rFonts w:ascii="Times New Roman" w:hAnsi="Times New Roman"/>
          <w:szCs w:val="24"/>
        </w:rPr>
        <w:t xml:space="preserve"> </w:t>
      </w:r>
      <w:r w:rsidR="00A542B9">
        <w:rPr>
          <w:rFonts w:ascii="Times New Roman" w:hAnsi="Times New Roman"/>
          <w:szCs w:val="24"/>
        </w:rPr>
        <w:t>reveal</w:t>
      </w:r>
      <w:r w:rsidR="002B130D" w:rsidRPr="0003017A">
        <w:rPr>
          <w:rFonts w:ascii="Times New Roman" w:hAnsi="Times New Roman"/>
          <w:szCs w:val="24"/>
        </w:rPr>
        <w:t xml:space="preserve"> that international criminal law is founded on a measure of consensus for punishment and morality</w:t>
      </w:r>
      <w:r w:rsidR="008B75A1">
        <w:rPr>
          <w:rFonts w:ascii="Times New Roman" w:hAnsi="Times New Roman"/>
          <w:szCs w:val="24"/>
        </w:rPr>
        <w:t>;</w:t>
      </w:r>
      <w:r w:rsidR="002B130D" w:rsidRPr="0003017A">
        <w:rPr>
          <w:rFonts w:ascii="Times New Roman" w:hAnsi="Times New Roman"/>
          <w:szCs w:val="24"/>
        </w:rPr>
        <w:t xml:space="preserve"> however, there is little agreement </w:t>
      </w:r>
      <w:r w:rsidR="002C17EA" w:rsidRPr="0003017A">
        <w:rPr>
          <w:rFonts w:ascii="Times New Roman" w:hAnsi="Times New Roman"/>
          <w:szCs w:val="24"/>
        </w:rPr>
        <w:t xml:space="preserve">on what approach to re-enforce </w:t>
      </w:r>
      <w:r w:rsidR="002B130D" w:rsidRPr="0003017A">
        <w:rPr>
          <w:rFonts w:ascii="Times New Roman" w:hAnsi="Times New Roman"/>
          <w:szCs w:val="24"/>
        </w:rPr>
        <w:t>this morality/punishment.</w:t>
      </w:r>
      <w:r w:rsidR="002B130D" w:rsidRPr="0003017A">
        <w:rPr>
          <w:rStyle w:val="FootnoteReference"/>
          <w:rFonts w:ascii="Times New Roman" w:hAnsi="Times New Roman"/>
          <w:szCs w:val="24"/>
        </w:rPr>
        <w:footnoteReference w:id="1050"/>
      </w:r>
      <w:r w:rsidR="002B130D" w:rsidRPr="0003017A">
        <w:rPr>
          <w:rFonts w:ascii="Times New Roman" w:hAnsi="Times New Roman"/>
          <w:szCs w:val="24"/>
        </w:rPr>
        <w:t xml:space="preserve">To date, there is no consensus on the </w:t>
      </w:r>
      <w:r w:rsidR="008B75A1">
        <w:rPr>
          <w:rFonts w:ascii="Times New Roman" w:hAnsi="Times New Roman"/>
          <w:szCs w:val="24"/>
        </w:rPr>
        <w:t>pat</w:t>
      </w:r>
      <w:r w:rsidR="002B130D" w:rsidRPr="0003017A">
        <w:rPr>
          <w:rFonts w:ascii="Times New Roman" w:hAnsi="Times New Roman"/>
          <w:szCs w:val="24"/>
        </w:rPr>
        <w:t>h to take.</w:t>
      </w:r>
      <w:r w:rsidR="008B75A1">
        <w:rPr>
          <w:rFonts w:ascii="Times New Roman" w:hAnsi="Times New Roman"/>
          <w:szCs w:val="24"/>
        </w:rPr>
        <w:t xml:space="preserve"> </w:t>
      </w:r>
      <w:r w:rsidR="002B130D" w:rsidRPr="0003017A">
        <w:rPr>
          <w:rFonts w:ascii="Times New Roman" w:hAnsi="Times New Roman"/>
          <w:szCs w:val="24"/>
        </w:rPr>
        <w:t>One implica</w:t>
      </w:r>
      <w:r w:rsidR="008B75A1">
        <w:rPr>
          <w:rFonts w:ascii="Times New Roman" w:hAnsi="Times New Roman"/>
          <w:szCs w:val="24"/>
        </w:rPr>
        <w:t xml:space="preserve">tion of this is the disparity between </w:t>
      </w:r>
      <w:r w:rsidR="002B130D" w:rsidRPr="0003017A">
        <w:rPr>
          <w:rFonts w:ascii="Times New Roman" w:hAnsi="Times New Roman"/>
          <w:szCs w:val="24"/>
        </w:rPr>
        <w:t xml:space="preserve">different national jurisdictions with </w:t>
      </w:r>
      <w:r w:rsidR="008B75A1">
        <w:rPr>
          <w:rFonts w:ascii="Times New Roman" w:hAnsi="Times New Roman"/>
          <w:szCs w:val="24"/>
        </w:rPr>
        <w:t>varying</w:t>
      </w:r>
      <w:r w:rsidR="002B130D" w:rsidRPr="0003017A">
        <w:rPr>
          <w:rFonts w:ascii="Times New Roman" w:hAnsi="Times New Roman"/>
          <w:szCs w:val="24"/>
        </w:rPr>
        <w:t xml:space="preserve"> approaches to sanctions and punishments.</w:t>
      </w:r>
      <w:r w:rsidR="008B75A1">
        <w:rPr>
          <w:rFonts w:ascii="Times New Roman" w:hAnsi="Times New Roman"/>
          <w:szCs w:val="24"/>
        </w:rPr>
        <w:t xml:space="preserve"> While the Rome Statute outlines the applicable penalties, presumably, the victims, in this case, are familiar with the penalties applicable in their local jurisdictions.</w:t>
      </w:r>
      <w:r w:rsidR="00B62D22">
        <w:rPr>
          <w:rFonts w:ascii="Times New Roman" w:hAnsi="Times New Roman"/>
          <w:szCs w:val="24"/>
        </w:rPr>
        <w:t xml:space="preserve"> It seems </w:t>
      </w:r>
      <w:r w:rsidR="00844D85">
        <w:rPr>
          <w:rFonts w:ascii="Times New Roman" w:hAnsi="Times New Roman"/>
          <w:szCs w:val="24"/>
        </w:rPr>
        <w:t xml:space="preserve">some </w:t>
      </w:r>
      <w:r w:rsidR="00B62D22">
        <w:rPr>
          <w:rFonts w:ascii="Times New Roman" w:hAnsi="Times New Roman"/>
          <w:szCs w:val="24"/>
        </w:rPr>
        <w:t xml:space="preserve">victims do not comprehend the ICC’s approach to punishment nor the justification for such sentences. </w:t>
      </w:r>
    </w:p>
    <w:p w14:paraId="65BE40B1" w14:textId="39759589" w:rsidR="00844D85" w:rsidRDefault="00EF1826" w:rsidP="00FB7B02">
      <w:pPr>
        <w:spacing w:line="480" w:lineRule="auto"/>
        <w:jc w:val="both"/>
        <w:rPr>
          <w:rFonts w:ascii="Times New Roman" w:hAnsi="Times New Roman"/>
          <w:szCs w:val="24"/>
        </w:rPr>
      </w:pPr>
      <w:r w:rsidRPr="0003017A">
        <w:rPr>
          <w:rFonts w:ascii="Times New Roman" w:hAnsi="Times New Roman"/>
          <w:szCs w:val="24"/>
        </w:rPr>
        <w:t>In Beresford words, “</w:t>
      </w:r>
      <w:r w:rsidRPr="00B963F4">
        <w:rPr>
          <w:rFonts w:ascii="Times New Roman" w:hAnsi="Times New Roman"/>
          <w:szCs w:val="24"/>
        </w:rPr>
        <w:t>the passing of a sentence on an offender is, after all, probably the most public face of the international criminal justice system</w:t>
      </w:r>
      <w:r w:rsidRPr="0003017A">
        <w:rPr>
          <w:rFonts w:ascii="Times New Roman" w:hAnsi="Times New Roman"/>
          <w:szCs w:val="24"/>
        </w:rPr>
        <w:t>…”</w:t>
      </w:r>
      <w:r w:rsidRPr="0003017A">
        <w:rPr>
          <w:rStyle w:val="FootnoteReference"/>
          <w:rFonts w:ascii="Times New Roman" w:hAnsi="Times New Roman"/>
          <w:szCs w:val="24"/>
        </w:rPr>
        <w:footnoteReference w:id="1051"/>
      </w:r>
      <w:r w:rsidR="00390BCB">
        <w:rPr>
          <w:rFonts w:ascii="Times New Roman" w:hAnsi="Times New Roman"/>
          <w:szCs w:val="24"/>
        </w:rPr>
        <w:t>Beresford’s statement draws our attention to the function of this phase of proceedings–sentencing-in international criminal justice. A climax which every stakeholder of the criminal justice system expects. Seemingly,</w:t>
      </w:r>
      <w:r w:rsidRPr="0003017A">
        <w:rPr>
          <w:rFonts w:ascii="Times New Roman" w:hAnsi="Times New Roman"/>
          <w:szCs w:val="24"/>
        </w:rPr>
        <w:t xml:space="preserve"> transparency </w:t>
      </w:r>
      <w:r w:rsidR="00390BCB">
        <w:rPr>
          <w:rFonts w:ascii="Times New Roman" w:hAnsi="Times New Roman"/>
          <w:szCs w:val="24"/>
        </w:rPr>
        <w:t xml:space="preserve">is </w:t>
      </w:r>
      <w:r w:rsidRPr="0003017A">
        <w:rPr>
          <w:rFonts w:ascii="Times New Roman" w:hAnsi="Times New Roman"/>
          <w:szCs w:val="24"/>
        </w:rPr>
        <w:t xml:space="preserve">expected in sentencing. Sentencing within </w:t>
      </w:r>
      <w:r w:rsidRPr="0003017A">
        <w:rPr>
          <w:rFonts w:ascii="Times New Roman" w:hAnsi="Times New Roman"/>
          <w:szCs w:val="24"/>
        </w:rPr>
        <w:lastRenderedPageBreak/>
        <w:t xml:space="preserve">the </w:t>
      </w:r>
      <w:r w:rsidR="00390BCB">
        <w:rPr>
          <w:rFonts w:ascii="Times New Roman" w:hAnsi="Times New Roman"/>
          <w:szCs w:val="24"/>
        </w:rPr>
        <w:t>glob</w:t>
      </w:r>
      <w:r w:rsidRPr="0003017A">
        <w:rPr>
          <w:rFonts w:ascii="Times New Roman" w:hAnsi="Times New Roman"/>
          <w:szCs w:val="24"/>
        </w:rPr>
        <w:t>al context is described as a response to collective violence.</w:t>
      </w:r>
      <w:r w:rsidRPr="0003017A">
        <w:rPr>
          <w:rStyle w:val="FootnoteReference"/>
          <w:rFonts w:ascii="Times New Roman" w:hAnsi="Times New Roman"/>
          <w:szCs w:val="24"/>
        </w:rPr>
        <w:footnoteReference w:id="1052"/>
      </w:r>
      <w:r w:rsidRPr="0003017A">
        <w:rPr>
          <w:rFonts w:ascii="Times New Roman" w:hAnsi="Times New Roman"/>
          <w:szCs w:val="24"/>
        </w:rPr>
        <w:t xml:space="preserve"> </w:t>
      </w:r>
      <w:r w:rsidR="001332F7">
        <w:rPr>
          <w:rFonts w:ascii="Times New Roman" w:hAnsi="Times New Roman"/>
          <w:szCs w:val="24"/>
        </w:rPr>
        <w:t>A response to this end indicates a more significant number of victims.</w:t>
      </w:r>
      <w:r w:rsidR="001332F7" w:rsidRPr="001332F7">
        <w:rPr>
          <w:rFonts w:ascii="Times New Roman" w:hAnsi="Times New Roman"/>
          <w:szCs w:val="24"/>
        </w:rPr>
        <w:t xml:space="preserve"> </w:t>
      </w:r>
      <w:r w:rsidR="001332F7">
        <w:rPr>
          <w:rFonts w:ascii="Times New Roman" w:hAnsi="Times New Roman"/>
          <w:szCs w:val="24"/>
        </w:rPr>
        <w:t xml:space="preserve">Victims and the international community look forward to international sentencing. </w:t>
      </w:r>
      <w:r w:rsidRPr="0003017A">
        <w:rPr>
          <w:rFonts w:ascii="Times New Roman" w:hAnsi="Times New Roman"/>
          <w:szCs w:val="24"/>
        </w:rPr>
        <w:t xml:space="preserve">As opposed to national jurisdictions, sentencing operates within a </w:t>
      </w:r>
      <w:r w:rsidR="00390BCB">
        <w:rPr>
          <w:rFonts w:ascii="Times New Roman" w:hAnsi="Times New Roman"/>
          <w:szCs w:val="24"/>
        </w:rPr>
        <w:t>broa</w:t>
      </w:r>
      <w:r w:rsidRPr="0003017A">
        <w:rPr>
          <w:rFonts w:ascii="Times New Roman" w:hAnsi="Times New Roman"/>
          <w:szCs w:val="24"/>
        </w:rPr>
        <w:t xml:space="preserve">der context of gross violations of human rights. Since the ICC is not a </w:t>
      </w:r>
      <w:r w:rsidR="006B73AB">
        <w:rPr>
          <w:rFonts w:ascii="Times New Roman" w:hAnsi="Times New Roman"/>
          <w:szCs w:val="24"/>
        </w:rPr>
        <w:t>‘</w:t>
      </w:r>
      <w:r w:rsidRPr="0003017A">
        <w:rPr>
          <w:rFonts w:ascii="Times New Roman" w:hAnsi="Times New Roman"/>
          <w:szCs w:val="24"/>
        </w:rPr>
        <w:t>self-</w:t>
      </w:r>
      <w:r w:rsidR="006B73AB">
        <w:rPr>
          <w:rFonts w:ascii="Times New Roman" w:hAnsi="Times New Roman"/>
          <w:szCs w:val="24"/>
        </w:rPr>
        <w:t>contained’</w:t>
      </w:r>
      <w:r w:rsidRPr="0003017A">
        <w:rPr>
          <w:rFonts w:ascii="Times New Roman" w:hAnsi="Times New Roman"/>
          <w:szCs w:val="24"/>
        </w:rPr>
        <w:t xml:space="preserve"> institution, it derives some of its </w:t>
      </w:r>
      <w:r w:rsidR="00B62D22">
        <w:rPr>
          <w:rFonts w:ascii="Times New Roman" w:hAnsi="Times New Roman"/>
          <w:szCs w:val="24"/>
        </w:rPr>
        <w:t xml:space="preserve">applicable law </w:t>
      </w:r>
      <w:r w:rsidRPr="0003017A">
        <w:rPr>
          <w:rFonts w:ascii="Times New Roman" w:hAnsi="Times New Roman"/>
          <w:szCs w:val="24"/>
        </w:rPr>
        <w:t>from</w:t>
      </w:r>
      <w:r w:rsidR="00B62D22">
        <w:rPr>
          <w:rFonts w:ascii="Times New Roman" w:hAnsi="Times New Roman"/>
          <w:szCs w:val="24"/>
        </w:rPr>
        <w:t xml:space="preserve"> internationally recognised human rights, treaties, </w:t>
      </w:r>
      <w:r w:rsidR="006B73AB">
        <w:rPr>
          <w:rFonts w:ascii="Times New Roman" w:hAnsi="Times New Roman"/>
          <w:szCs w:val="24"/>
        </w:rPr>
        <w:t>and the legal system's national law</w:t>
      </w:r>
      <w:r w:rsidR="00B62D22">
        <w:rPr>
          <w:rFonts w:ascii="Times New Roman" w:hAnsi="Times New Roman"/>
          <w:szCs w:val="24"/>
        </w:rPr>
        <w:t>.</w:t>
      </w:r>
      <w:r w:rsidR="00B62D22">
        <w:rPr>
          <w:rStyle w:val="FootnoteReference"/>
          <w:rFonts w:ascii="Times New Roman" w:hAnsi="Times New Roman"/>
          <w:szCs w:val="24"/>
        </w:rPr>
        <w:footnoteReference w:id="1053"/>
      </w:r>
      <w:r w:rsidR="001332F7">
        <w:rPr>
          <w:rFonts w:ascii="Times New Roman" w:hAnsi="Times New Roman"/>
          <w:szCs w:val="24"/>
        </w:rPr>
        <w:t xml:space="preserve"> </w:t>
      </w:r>
      <w:r w:rsidR="00844D85">
        <w:rPr>
          <w:rFonts w:ascii="Times New Roman" w:hAnsi="Times New Roman"/>
          <w:szCs w:val="24"/>
        </w:rPr>
        <w:t>This derivation is evidenced in the compromise reached at the Rome Conference. It is settled that the Rome Statute provisions do not prejudice the existing national laws of the State parties.</w:t>
      </w:r>
    </w:p>
    <w:p w14:paraId="54B7E561" w14:textId="4572B5A8" w:rsidR="00EF1826" w:rsidRPr="0003017A" w:rsidRDefault="00844D85" w:rsidP="00FB7B02">
      <w:pPr>
        <w:spacing w:line="480" w:lineRule="auto"/>
        <w:jc w:val="both"/>
        <w:rPr>
          <w:rFonts w:ascii="Times New Roman" w:hAnsi="Times New Roman"/>
          <w:szCs w:val="24"/>
        </w:rPr>
      </w:pPr>
      <w:r>
        <w:rPr>
          <w:rFonts w:ascii="Times New Roman" w:hAnsi="Times New Roman"/>
          <w:szCs w:val="24"/>
        </w:rPr>
        <w:t>T</w:t>
      </w:r>
      <w:r w:rsidR="001332F7">
        <w:rPr>
          <w:rFonts w:ascii="Times New Roman" w:hAnsi="Times New Roman"/>
          <w:szCs w:val="24"/>
        </w:rPr>
        <w:t>he application of these rules differs within the ICC jurisprudence.</w:t>
      </w:r>
      <w:r w:rsidR="00390BCB">
        <w:rPr>
          <w:rFonts w:ascii="Times New Roman" w:hAnsi="Times New Roman"/>
          <w:szCs w:val="24"/>
        </w:rPr>
        <w:t xml:space="preserve"> </w:t>
      </w:r>
      <w:r w:rsidR="001332F7">
        <w:rPr>
          <w:rFonts w:ascii="Times New Roman" w:hAnsi="Times New Roman"/>
          <w:szCs w:val="24"/>
        </w:rPr>
        <w:t>ICC’s approach may seem liberal, given that it excludes some harsh penalties like a death sentence</w:t>
      </w:r>
      <w:r>
        <w:rPr>
          <w:rFonts w:ascii="Times New Roman" w:hAnsi="Times New Roman"/>
          <w:szCs w:val="24"/>
        </w:rPr>
        <w:t xml:space="preserve"> and corporal punishment</w:t>
      </w:r>
      <w:r w:rsidR="001332F7">
        <w:rPr>
          <w:rFonts w:ascii="Times New Roman" w:hAnsi="Times New Roman"/>
          <w:szCs w:val="24"/>
        </w:rPr>
        <w:t>.</w:t>
      </w:r>
      <w:r>
        <w:rPr>
          <w:rFonts w:ascii="Times New Roman" w:hAnsi="Times New Roman"/>
          <w:szCs w:val="24"/>
        </w:rPr>
        <w:t xml:space="preserve"> The delegations of the Rome negotiations agreed to humane punishments.</w:t>
      </w:r>
    </w:p>
    <w:p w14:paraId="2BA290A6" w14:textId="5CCA0460" w:rsidR="00844D85" w:rsidRDefault="00EF1826" w:rsidP="00FB7B02">
      <w:pPr>
        <w:spacing w:line="480" w:lineRule="auto"/>
        <w:jc w:val="both"/>
        <w:rPr>
          <w:rFonts w:ascii="Times New Roman" w:hAnsi="Times New Roman"/>
          <w:szCs w:val="24"/>
        </w:rPr>
      </w:pPr>
      <w:r w:rsidRPr="0003017A">
        <w:rPr>
          <w:rFonts w:ascii="Times New Roman" w:hAnsi="Times New Roman"/>
          <w:szCs w:val="24"/>
        </w:rPr>
        <w:t>As mentioned in the introduction, retribution, deterrence</w:t>
      </w:r>
      <w:r w:rsidR="009427C5">
        <w:rPr>
          <w:rFonts w:ascii="Times New Roman" w:hAnsi="Times New Roman"/>
          <w:szCs w:val="24"/>
        </w:rPr>
        <w:t>,</w:t>
      </w:r>
      <w:r w:rsidRPr="0003017A">
        <w:rPr>
          <w:rFonts w:ascii="Times New Roman" w:hAnsi="Times New Roman"/>
          <w:szCs w:val="24"/>
        </w:rPr>
        <w:t xml:space="preserve"> and rehabilitation are the main justifications for sentencing. Nonetheless, it is interesting to note that the judges did not expressly mention </w:t>
      </w:r>
      <w:r w:rsidR="00437AD7">
        <w:rPr>
          <w:rFonts w:ascii="Times New Roman" w:hAnsi="Times New Roman"/>
          <w:szCs w:val="24"/>
        </w:rPr>
        <w:t>the rationale behind sentencing</w:t>
      </w:r>
      <w:r w:rsidR="00844D85">
        <w:rPr>
          <w:rFonts w:ascii="Times New Roman" w:hAnsi="Times New Roman"/>
          <w:szCs w:val="24"/>
        </w:rPr>
        <w:t>.</w:t>
      </w:r>
      <w:r w:rsidRPr="0003017A">
        <w:rPr>
          <w:rFonts w:ascii="Times New Roman" w:hAnsi="Times New Roman"/>
          <w:szCs w:val="24"/>
        </w:rPr>
        <w:t xml:space="preserve"> There are divergent opinions by penal lawyers on the purpose of sentencing. Schabas propose</w:t>
      </w:r>
      <w:r w:rsidR="009C54AC" w:rsidRPr="0003017A">
        <w:rPr>
          <w:rFonts w:ascii="Times New Roman" w:hAnsi="Times New Roman"/>
          <w:szCs w:val="24"/>
        </w:rPr>
        <w:t>s</w:t>
      </w:r>
      <w:r w:rsidRPr="0003017A">
        <w:rPr>
          <w:rFonts w:ascii="Times New Roman" w:hAnsi="Times New Roman"/>
          <w:szCs w:val="24"/>
        </w:rPr>
        <w:t xml:space="preserve"> that human rights principles are more suitable to achieve rehabilitative goals over retributive goals</w:t>
      </w:r>
      <w:r w:rsidRPr="0003017A">
        <w:rPr>
          <w:rStyle w:val="FootnoteReference"/>
          <w:rFonts w:ascii="Times New Roman" w:hAnsi="Times New Roman"/>
          <w:szCs w:val="24"/>
        </w:rPr>
        <w:footnoteReference w:id="1054"/>
      </w:r>
      <w:r w:rsidRPr="0003017A">
        <w:rPr>
          <w:rFonts w:ascii="Times New Roman" w:hAnsi="Times New Roman"/>
          <w:szCs w:val="24"/>
        </w:rPr>
        <w:t>.</w:t>
      </w:r>
      <w:r w:rsidR="00437AD7">
        <w:rPr>
          <w:rFonts w:ascii="Times New Roman" w:hAnsi="Times New Roman"/>
          <w:szCs w:val="24"/>
        </w:rPr>
        <w:t xml:space="preserve"> </w:t>
      </w:r>
      <w:r w:rsidRPr="0003017A">
        <w:rPr>
          <w:rFonts w:ascii="Times New Roman" w:hAnsi="Times New Roman"/>
          <w:szCs w:val="24"/>
        </w:rPr>
        <w:lastRenderedPageBreak/>
        <w:t xml:space="preserve">According to Schabas, more attention should be given to rehabilitating offenders rather than promoting </w:t>
      </w:r>
      <w:r w:rsidR="009427C5">
        <w:rPr>
          <w:rFonts w:ascii="Times New Roman" w:hAnsi="Times New Roman"/>
          <w:szCs w:val="24"/>
        </w:rPr>
        <w:t>puni</w:t>
      </w:r>
      <w:r w:rsidRPr="0003017A">
        <w:rPr>
          <w:rFonts w:ascii="Times New Roman" w:hAnsi="Times New Roman"/>
          <w:szCs w:val="24"/>
        </w:rPr>
        <w:t xml:space="preserve">tive </w:t>
      </w:r>
      <w:r w:rsidR="00437AD7">
        <w:rPr>
          <w:rFonts w:ascii="Times New Roman" w:hAnsi="Times New Roman"/>
          <w:szCs w:val="24"/>
        </w:rPr>
        <w:t>purpose</w:t>
      </w:r>
      <w:r w:rsidRPr="0003017A">
        <w:rPr>
          <w:rFonts w:ascii="Times New Roman" w:hAnsi="Times New Roman"/>
          <w:szCs w:val="24"/>
        </w:rPr>
        <w:t>s.</w:t>
      </w:r>
      <w:r w:rsidR="00844D85">
        <w:rPr>
          <w:rFonts w:ascii="Times New Roman" w:hAnsi="Times New Roman"/>
          <w:szCs w:val="24"/>
        </w:rPr>
        <w:t xml:space="preserve"> H</w:t>
      </w:r>
      <w:r w:rsidRPr="0003017A">
        <w:rPr>
          <w:rFonts w:ascii="Times New Roman" w:hAnsi="Times New Roman"/>
          <w:szCs w:val="24"/>
        </w:rPr>
        <w:t xml:space="preserve">uman rights principles </w:t>
      </w:r>
      <w:r w:rsidR="00EF6348">
        <w:rPr>
          <w:rFonts w:ascii="Times New Roman" w:hAnsi="Times New Roman"/>
          <w:szCs w:val="24"/>
        </w:rPr>
        <w:t>are</w:t>
      </w:r>
      <w:r w:rsidRPr="0003017A">
        <w:rPr>
          <w:rFonts w:ascii="Times New Roman" w:hAnsi="Times New Roman"/>
          <w:szCs w:val="24"/>
        </w:rPr>
        <w:t xml:space="preserve"> used as guidelines</w:t>
      </w:r>
      <w:r w:rsidR="00EF6348">
        <w:rPr>
          <w:rFonts w:ascii="Times New Roman" w:hAnsi="Times New Roman"/>
          <w:szCs w:val="24"/>
        </w:rPr>
        <w:t xml:space="preserve">, </w:t>
      </w:r>
      <w:r w:rsidR="006B73AB">
        <w:rPr>
          <w:rFonts w:ascii="Times New Roman" w:hAnsi="Times New Roman"/>
          <w:szCs w:val="24"/>
        </w:rPr>
        <w:t>explaining</w:t>
      </w:r>
      <w:r w:rsidR="00EF6348">
        <w:rPr>
          <w:rFonts w:ascii="Times New Roman" w:hAnsi="Times New Roman"/>
          <w:szCs w:val="24"/>
        </w:rPr>
        <w:t xml:space="preserve"> the leniency of penalties at the ICC</w:t>
      </w:r>
      <w:r w:rsidR="00A9508E">
        <w:rPr>
          <w:rFonts w:ascii="Times New Roman" w:hAnsi="Times New Roman"/>
          <w:szCs w:val="24"/>
        </w:rPr>
        <w:t>; an</w:t>
      </w:r>
      <w:r w:rsidR="00EF6348">
        <w:rPr>
          <w:rFonts w:ascii="Times New Roman" w:hAnsi="Times New Roman"/>
          <w:szCs w:val="24"/>
        </w:rPr>
        <w:t xml:space="preserve"> attempt at rehabilitation.</w:t>
      </w:r>
    </w:p>
    <w:p w14:paraId="2DE7ACE1" w14:textId="7EBC291E" w:rsidR="00437AD7" w:rsidRDefault="00437AD7" w:rsidP="00FB7B02">
      <w:pPr>
        <w:spacing w:line="480" w:lineRule="auto"/>
        <w:jc w:val="both"/>
        <w:rPr>
          <w:rFonts w:ascii="Times New Roman" w:hAnsi="Times New Roman"/>
          <w:szCs w:val="24"/>
        </w:rPr>
      </w:pPr>
      <w:r>
        <w:rPr>
          <w:rFonts w:ascii="Times New Roman" w:hAnsi="Times New Roman"/>
          <w:szCs w:val="24"/>
        </w:rPr>
        <w:t>In contrast,</w:t>
      </w:r>
      <w:r w:rsidR="009C54AC" w:rsidRPr="0003017A">
        <w:rPr>
          <w:rFonts w:ascii="Times New Roman" w:hAnsi="Times New Roman"/>
          <w:szCs w:val="24"/>
        </w:rPr>
        <w:t xml:space="preserve"> </w:t>
      </w:r>
      <w:r w:rsidR="00EF1826" w:rsidRPr="0003017A">
        <w:rPr>
          <w:rFonts w:ascii="Times New Roman" w:hAnsi="Times New Roman"/>
          <w:szCs w:val="24"/>
        </w:rPr>
        <w:t xml:space="preserve">Danner </w:t>
      </w:r>
      <w:r w:rsidR="00844D85">
        <w:rPr>
          <w:rFonts w:ascii="Times New Roman" w:hAnsi="Times New Roman"/>
          <w:szCs w:val="24"/>
        </w:rPr>
        <w:t>believes</w:t>
      </w:r>
      <w:r w:rsidR="002C17EA" w:rsidRPr="0003017A">
        <w:rPr>
          <w:rFonts w:ascii="Times New Roman" w:hAnsi="Times New Roman"/>
          <w:szCs w:val="24"/>
        </w:rPr>
        <w:t xml:space="preserve"> that the driving force</w:t>
      </w:r>
      <w:r w:rsidR="00EF1826" w:rsidRPr="0003017A">
        <w:rPr>
          <w:rFonts w:ascii="Times New Roman" w:hAnsi="Times New Roman"/>
          <w:szCs w:val="24"/>
        </w:rPr>
        <w:t xml:space="preserve"> of international criminal sentencing is retributive justice</w:t>
      </w:r>
      <w:r w:rsidR="00844D85">
        <w:rPr>
          <w:rFonts w:ascii="Times New Roman" w:hAnsi="Times New Roman"/>
          <w:szCs w:val="24"/>
        </w:rPr>
        <w:t>.</w:t>
      </w:r>
      <w:r w:rsidR="00EF1826" w:rsidRPr="0003017A">
        <w:rPr>
          <w:rFonts w:ascii="Times New Roman" w:hAnsi="Times New Roman"/>
          <w:szCs w:val="24"/>
        </w:rPr>
        <w:t xml:space="preserve"> </w:t>
      </w:r>
      <w:r w:rsidR="00EF1826" w:rsidRPr="0003017A">
        <w:rPr>
          <w:rStyle w:val="FootnoteReference"/>
          <w:rFonts w:ascii="Times New Roman" w:hAnsi="Times New Roman"/>
          <w:szCs w:val="24"/>
        </w:rPr>
        <w:footnoteReference w:id="1055"/>
      </w:r>
      <w:r w:rsidRPr="00437AD7">
        <w:rPr>
          <w:rFonts w:ascii="Times New Roman" w:hAnsi="Times New Roman"/>
          <w:szCs w:val="24"/>
        </w:rPr>
        <w:t xml:space="preserve"> </w:t>
      </w:r>
      <w:r>
        <w:rPr>
          <w:rFonts w:ascii="Times New Roman" w:hAnsi="Times New Roman"/>
          <w:szCs w:val="24"/>
        </w:rPr>
        <w:t>While rehabilitation is a subset of retributive justice, retribution takes the forefront in sentencing.</w:t>
      </w:r>
      <w:r w:rsidR="00965EB7">
        <w:rPr>
          <w:rFonts w:ascii="Times New Roman" w:hAnsi="Times New Roman"/>
          <w:szCs w:val="24"/>
        </w:rPr>
        <w:t xml:space="preserve"> </w:t>
      </w:r>
      <w:r>
        <w:rPr>
          <w:rFonts w:ascii="Times New Roman" w:hAnsi="Times New Roman"/>
          <w:szCs w:val="24"/>
        </w:rPr>
        <w:t>Perhaps,</w:t>
      </w:r>
      <w:r w:rsidR="009427C5">
        <w:rPr>
          <w:rFonts w:ascii="Times New Roman" w:hAnsi="Times New Roman"/>
          <w:szCs w:val="24"/>
        </w:rPr>
        <w:t xml:space="preserve"> </w:t>
      </w:r>
      <w:r>
        <w:rPr>
          <w:rFonts w:ascii="Times New Roman" w:hAnsi="Times New Roman"/>
          <w:szCs w:val="24"/>
        </w:rPr>
        <w:t xml:space="preserve">striking a balance between </w:t>
      </w:r>
      <w:r w:rsidR="00844D85">
        <w:rPr>
          <w:rFonts w:ascii="Times New Roman" w:hAnsi="Times New Roman"/>
          <w:szCs w:val="24"/>
        </w:rPr>
        <w:t>retribution</w:t>
      </w:r>
      <w:r>
        <w:rPr>
          <w:rFonts w:ascii="Times New Roman" w:hAnsi="Times New Roman"/>
          <w:szCs w:val="24"/>
        </w:rPr>
        <w:t>,</w:t>
      </w:r>
      <w:r w:rsidR="00965EB7">
        <w:rPr>
          <w:rFonts w:ascii="Times New Roman" w:hAnsi="Times New Roman"/>
          <w:szCs w:val="24"/>
        </w:rPr>
        <w:t xml:space="preserve"> </w:t>
      </w:r>
      <w:r>
        <w:rPr>
          <w:rFonts w:ascii="Times New Roman" w:hAnsi="Times New Roman"/>
          <w:szCs w:val="24"/>
        </w:rPr>
        <w:t>deterrence</w:t>
      </w:r>
      <w:r w:rsidR="009427C5">
        <w:rPr>
          <w:rFonts w:ascii="Times New Roman" w:hAnsi="Times New Roman"/>
          <w:szCs w:val="24"/>
        </w:rPr>
        <w:t>,</w:t>
      </w:r>
      <w:r>
        <w:rPr>
          <w:rFonts w:ascii="Times New Roman" w:hAnsi="Times New Roman"/>
          <w:szCs w:val="24"/>
        </w:rPr>
        <w:t xml:space="preserve"> and rehabilitation would enhance the role of retributive justice.</w:t>
      </w:r>
      <w:r w:rsidR="009427C5">
        <w:rPr>
          <w:rFonts w:ascii="Times New Roman" w:hAnsi="Times New Roman"/>
          <w:szCs w:val="24"/>
        </w:rPr>
        <w:t xml:space="preserve"> If the court contributes towards rehabilitation and liaises with the national jurisdiction involved, </w:t>
      </w:r>
      <w:r w:rsidR="006B73AB">
        <w:rPr>
          <w:rFonts w:ascii="Times New Roman" w:hAnsi="Times New Roman"/>
          <w:szCs w:val="24"/>
        </w:rPr>
        <w:t>combining</w:t>
      </w:r>
      <w:r w:rsidR="009427C5">
        <w:rPr>
          <w:rFonts w:ascii="Times New Roman" w:hAnsi="Times New Roman"/>
          <w:szCs w:val="24"/>
        </w:rPr>
        <w:t xml:space="preserve"> these parts would create a more holistic approach to sentencing.</w:t>
      </w:r>
      <w:r>
        <w:rPr>
          <w:rFonts w:ascii="Times New Roman" w:hAnsi="Times New Roman"/>
          <w:szCs w:val="24"/>
        </w:rPr>
        <w:t xml:space="preserve"> </w:t>
      </w:r>
    </w:p>
    <w:p w14:paraId="678A731B" w14:textId="243F07C9" w:rsidR="002B130D" w:rsidRDefault="00EF5A55" w:rsidP="00FB7B02">
      <w:pPr>
        <w:spacing w:line="480" w:lineRule="auto"/>
        <w:jc w:val="both"/>
        <w:rPr>
          <w:rFonts w:ascii="Times New Roman" w:hAnsi="Times New Roman"/>
          <w:szCs w:val="24"/>
        </w:rPr>
      </w:pPr>
      <w:r>
        <w:rPr>
          <w:rFonts w:ascii="Times New Roman" w:hAnsi="Times New Roman"/>
          <w:szCs w:val="24"/>
        </w:rPr>
        <w:t xml:space="preserve">Although </w:t>
      </w:r>
      <w:r w:rsidR="002B130D" w:rsidRPr="0003017A">
        <w:rPr>
          <w:rFonts w:ascii="Times New Roman" w:hAnsi="Times New Roman"/>
          <w:szCs w:val="24"/>
        </w:rPr>
        <w:t>it is observed th</w:t>
      </w:r>
      <w:r w:rsidR="002C17EA" w:rsidRPr="0003017A">
        <w:rPr>
          <w:rFonts w:ascii="Times New Roman" w:hAnsi="Times New Roman"/>
          <w:szCs w:val="24"/>
        </w:rPr>
        <w:t>at the Rome Statute and RPE do</w:t>
      </w:r>
      <w:r w:rsidR="002B130D" w:rsidRPr="0003017A">
        <w:rPr>
          <w:rFonts w:ascii="Times New Roman" w:hAnsi="Times New Roman"/>
          <w:szCs w:val="24"/>
        </w:rPr>
        <w:t xml:space="preserve"> not expressly stipulate any justification for punishments,</w:t>
      </w:r>
      <w:r w:rsidR="009C54AC" w:rsidRPr="0003017A">
        <w:rPr>
          <w:rFonts w:ascii="Times New Roman" w:hAnsi="Times New Roman"/>
          <w:szCs w:val="24"/>
        </w:rPr>
        <w:t xml:space="preserve"> </w:t>
      </w:r>
      <w:r w:rsidR="002B130D" w:rsidRPr="0003017A">
        <w:rPr>
          <w:rFonts w:ascii="Times New Roman" w:hAnsi="Times New Roman"/>
          <w:szCs w:val="24"/>
        </w:rPr>
        <w:t>nonetheless, a cursory look at the preamble of the Rome Statute implies retribution and deterrence as justifications for punishment.</w:t>
      </w:r>
      <w:r w:rsidR="00590C88">
        <w:rPr>
          <w:rStyle w:val="FootnoteReference"/>
          <w:rFonts w:ascii="Times New Roman" w:hAnsi="Times New Roman"/>
          <w:szCs w:val="24"/>
        </w:rPr>
        <w:footnoteReference w:id="1056"/>
      </w:r>
      <w:r w:rsidR="009C54AC" w:rsidRPr="0003017A">
        <w:rPr>
          <w:rFonts w:ascii="Times New Roman" w:hAnsi="Times New Roman"/>
          <w:szCs w:val="24"/>
        </w:rPr>
        <w:t xml:space="preserve"> </w:t>
      </w:r>
      <w:r w:rsidR="002B130D" w:rsidRPr="0003017A">
        <w:rPr>
          <w:rFonts w:ascii="Times New Roman" w:hAnsi="Times New Roman"/>
          <w:szCs w:val="24"/>
        </w:rPr>
        <w:t xml:space="preserve">Regarding deterrence, it is not yet clear if individual deterrence is included. </w:t>
      </w:r>
      <w:r w:rsidR="006B73AB">
        <w:rPr>
          <w:rFonts w:ascii="Times New Roman" w:hAnsi="Times New Roman"/>
          <w:szCs w:val="24"/>
        </w:rPr>
        <w:t>This stresses ICC's primary goal</w:t>
      </w:r>
      <w:r w:rsidR="002B130D" w:rsidRPr="0003017A">
        <w:rPr>
          <w:rFonts w:ascii="Times New Roman" w:hAnsi="Times New Roman"/>
          <w:szCs w:val="24"/>
        </w:rPr>
        <w:t xml:space="preserve"> to mete out punishment to the masterminds/perpetrators of serious human rights violations. This punishmen</w:t>
      </w:r>
      <w:r w:rsidR="00590C88">
        <w:rPr>
          <w:rFonts w:ascii="Times New Roman" w:hAnsi="Times New Roman"/>
          <w:szCs w:val="24"/>
        </w:rPr>
        <w:t>t could be</w:t>
      </w:r>
      <w:r w:rsidR="002B130D" w:rsidRPr="0003017A">
        <w:rPr>
          <w:rFonts w:ascii="Times New Roman" w:hAnsi="Times New Roman"/>
          <w:szCs w:val="24"/>
        </w:rPr>
        <w:t xml:space="preserve"> a reflection of just desert and proportionality</w:t>
      </w:r>
      <w:r w:rsidR="00A9508E">
        <w:rPr>
          <w:rFonts w:ascii="Times New Roman" w:hAnsi="Times New Roman"/>
          <w:szCs w:val="24"/>
        </w:rPr>
        <w:t>.</w:t>
      </w:r>
      <w:r w:rsidR="002B130D" w:rsidRPr="0003017A">
        <w:rPr>
          <w:rFonts w:ascii="Times New Roman" w:hAnsi="Times New Roman"/>
          <w:szCs w:val="24"/>
        </w:rPr>
        <w:t xml:space="preserve"> The last emphasis</w:t>
      </w:r>
      <w:r w:rsidR="002C17EA" w:rsidRPr="0003017A">
        <w:rPr>
          <w:rFonts w:ascii="Times New Roman" w:hAnsi="Times New Roman"/>
          <w:szCs w:val="24"/>
        </w:rPr>
        <w:t xml:space="preserve"> reflects the deterrent effect</w:t>
      </w:r>
      <w:r w:rsidR="002B130D" w:rsidRPr="0003017A">
        <w:rPr>
          <w:rFonts w:ascii="Times New Roman" w:hAnsi="Times New Roman"/>
          <w:szCs w:val="24"/>
        </w:rPr>
        <w:t>, to serve as deterrence for future offenders.</w:t>
      </w:r>
      <w:r w:rsidR="00857691">
        <w:rPr>
          <w:rFonts w:ascii="Times New Roman" w:hAnsi="Times New Roman"/>
          <w:szCs w:val="24"/>
        </w:rPr>
        <w:t xml:space="preserve"> </w:t>
      </w:r>
      <w:r w:rsidR="00E825C3" w:rsidRPr="0003017A">
        <w:rPr>
          <w:rFonts w:ascii="Times New Roman" w:hAnsi="Times New Roman"/>
          <w:szCs w:val="24"/>
        </w:rPr>
        <w:t xml:space="preserve">Therefore, </w:t>
      </w:r>
      <w:r w:rsidR="00590C88">
        <w:rPr>
          <w:rFonts w:ascii="Times New Roman" w:hAnsi="Times New Roman"/>
          <w:szCs w:val="24"/>
        </w:rPr>
        <w:t xml:space="preserve">one may infer </w:t>
      </w:r>
      <w:r w:rsidR="00857691">
        <w:rPr>
          <w:rFonts w:ascii="Times New Roman" w:hAnsi="Times New Roman"/>
          <w:szCs w:val="24"/>
        </w:rPr>
        <w:t xml:space="preserve">that </w:t>
      </w:r>
      <w:r w:rsidR="00E825C3" w:rsidRPr="0003017A">
        <w:rPr>
          <w:rFonts w:ascii="Times New Roman" w:hAnsi="Times New Roman"/>
          <w:szCs w:val="24"/>
        </w:rPr>
        <w:t xml:space="preserve">the conviction and sentencing of </w:t>
      </w:r>
      <w:r w:rsidR="00E825C3" w:rsidRPr="0003017A">
        <w:rPr>
          <w:rFonts w:ascii="Times New Roman" w:hAnsi="Times New Roman"/>
          <w:szCs w:val="24"/>
        </w:rPr>
        <w:lastRenderedPageBreak/>
        <w:t>Lubanga underscore the objectives of classical criminal law theory-deterrence, retribution and rehabilitation</w:t>
      </w:r>
      <w:r w:rsidR="003D5BB8">
        <w:rPr>
          <w:rFonts w:ascii="Times New Roman" w:hAnsi="Times New Roman"/>
          <w:szCs w:val="24"/>
        </w:rPr>
        <w:t>.</w:t>
      </w:r>
    </w:p>
    <w:p w14:paraId="434F3D8D" w14:textId="5FE8F3F0" w:rsidR="003527A0" w:rsidRDefault="003D13EC" w:rsidP="00FB7B02">
      <w:pPr>
        <w:spacing w:line="480" w:lineRule="auto"/>
        <w:jc w:val="both"/>
        <w:rPr>
          <w:rFonts w:ascii="Times New Roman" w:hAnsi="Times New Roman"/>
          <w:szCs w:val="24"/>
        </w:rPr>
      </w:pPr>
      <w:r>
        <w:rPr>
          <w:rFonts w:ascii="Times New Roman" w:hAnsi="Times New Roman"/>
          <w:szCs w:val="24"/>
        </w:rPr>
        <w:t xml:space="preserve">That being said, </w:t>
      </w:r>
      <w:r w:rsidR="003527A0" w:rsidRPr="003527A0">
        <w:rPr>
          <w:rFonts w:ascii="Times New Roman" w:hAnsi="Times New Roman"/>
          <w:szCs w:val="24"/>
        </w:rPr>
        <w:t xml:space="preserve"> victims expected the vulnerability of </w:t>
      </w:r>
      <w:r>
        <w:rPr>
          <w:rFonts w:ascii="Times New Roman" w:hAnsi="Times New Roman"/>
          <w:szCs w:val="24"/>
        </w:rPr>
        <w:t>children under the age of 15</w:t>
      </w:r>
      <w:r w:rsidR="003527A0" w:rsidRPr="003527A0">
        <w:rPr>
          <w:rFonts w:ascii="Times New Roman" w:hAnsi="Times New Roman"/>
          <w:szCs w:val="24"/>
        </w:rPr>
        <w:t xml:space="preserve"> to aggravate the sentence</w:t>
      </w:r>
      <w:r w:rsidR="00936090">
        <w:rPr>
          <w:rFonts w:ascii="Times New Roman" w:hAnsi="Times New Roman"/>
          <w:szCs w:val="24"/>
        </w:rPr>
        <w:t>;</w:t>
      </w:r>
      <w:r w:rsidR="003527A0" w:rsidRPr="003527A0">
        <w:rPr>
          <w:rFonts w:ascii="Times New Roman" w:hAnsi="Times New Roman"/>
          <w:szCs w:val="24"/>
        </w:rPr>
        <w:t xml:space="preserve"> they also expected sexual and gender-based violence(against women and girls)</w:t>
      </w:r>
      <w:r>
        <w:rPr>
          <w:rFonts w:ascii="Times New Roman" w:hAnsi="Times New Roman"/>
          <w:szCs w:val="24"/>
        </w:rPr>
        <w:t xml:space="preserve"> and discriminatory motives against female child soldiers</w:t>
      </w:r>
      <w:r w:rsidR="003527A0" w:rsidRPr="003527A0">
        <w:rPr>
          <w:rFonts w:ascii="Times New Roman" w:hAnsi="Times New Roman"/>
          <w:szCs w:val="24"/>
        </w:rPr>
        <w:t xml:space="preserve"> to </w:t>
      </w:r>
      <w:r w:rsidR="00936090">
        <w:rPr>
          <w:rFonts w:ascii="Times New Roman" w:hAnsi="Times New Roman"/>
          <w:szCs w:val="24"/>
        </w:rPr>
        <w:t>provok</w:t>
      </w:r>
      <w:r w:rsidR="003527A0" w:rsidRPr="003527A0">
        <w:rPr>
          <w:rFonts w:ascii="Times New Roman" w:hAnsi="Times New Roman"/>
          <w:szCs w:val="24"/>
        </w:rPr>
        <w:t xml:space="preserve">e the </w:t>
      </w:r>
      <w:r w:rsidR="00936090">
        <w:rPr>
          <w:rFonts w:ascii="Times New Roman" w:hAnsi="Times New Roman"/>
          <w:szCs w:val="24"/>
        </w:rPr>
        <w:t>punishment</w:t>
      </w:r>
      <w:r w:rsidR="003527A0" w:rsidRPr="003527A0">
        <w:rPr>
          <w:rFonts w:ascii="Times New Roman" w:hAnsi="Times New Roman"/>
          <w:szCs w:val="24"/>
        </w:rPr>
        <w:t>.</w:t>
      </w:r>
      <w:r w:rsidR="003527A0" w:rsidRPr="003527A0">
        <w:rPr>
          <w:rStyle w:val="FootnoteReference"/>
          <w:rFonts w:ascii="Times New Roman" w:hAnsi="Times New Roman"/>
          <w:szCs w:val="24"/>
        </w:rPr>
        <w:footnoteReference w:id="1057"/>
      </w:r>
      <w:r w:rsidR="003527A0" w:rsidRPr="003527A0">
        <w:rPr>
          <w:rFonts w:ascii="Times New Roman" w:hAnsi="Times New Roman"/>
          <w:szCs w:val="24"/>
        </w:rPr>
        <w:t xml:space="preserve"> Given that crimes of sexual and gender-based violence were excluded from the charges, and subsequently not prosecuted. The victims </w:t>
      </w:r>
      <w:r w:rsidR="00E35CD7">
        <w:rPr>
          <w:rFonts w:ascii="Times New Roman" w:hAnsi="Times New Roman"/>
          <w:szCs w:val="24"/>
        </w:rPr>
        <w:t>anticipated</w:t>
      </w:r>
      <w:r w:rsidR="003527A0" w:rsidRPr="003527A0">
        <w:rPr>
          <w:rFonts w:ascii="Times New Roman" w:hAnsi="Times New Roman"/>
          <w:szCs w:val="24"/>
        </w:rPr>
        <w:t xml:space="preserve"> th</w:t>
      </w:r>
      <w:r w:rsidR="00E35CD7">
        <w:rPr>
          <w:rFonts w:ascii="Times New Roman" w:hAnsi="Times New Roman"/>
          <w:szCs w:val="24"/>
        </w:rPr>
        <w:t>ese items</w:t>
      </w:r>
      <w:r w:rsidR="003527A0" w:rsidRPr="003527A0">
        <w:rPr>
          <w:rFonts w:ascii="Times New Roman" w:hAnsi="Times New Roman"/>
          <w:szCs w:val="24"/>
        </w:rPr>
        <w:t xml:space="preserve"> to </w:t>
      </w:r>
      <w:r w:rsidR="00E35CD7">
        <w:rPr>
          <w:rFonts w:ascii="Times New Roman" w:hAnsi="Times New Roman"/>
          <w:szCs w:val="24"/>
        </w:rPr>
        <w:t>exacerbate</w:t>
      </w:r>
      <w:r w:rsidR="003527A0" w:rsidRPr="003527A0">
        <w:rPr>
          <w:rFonts w:ascii="Times New Roman" w:hAnsi="Times New Roman"/>
          <w:szCs w:val="24"/>
        </w:rPr>
        <w:t xml:space="preserve"> the sentence</w:t>
      </w:r>
      <w:r>
        <w:rPr>
          <w:rFonts w:ascii="Times New Roman" w:hAnsi="Times New Roman"/>
          <w:szCs w:val="24"/>
        </w:rPr>
        <w:t xml:space="preserve">. </w:t>
      </w:r>
      <w:r w:rsidR="009575AD">
        <w:rPr>
          <w:rFonts w:ascii="Times New Roman" w:hAnsi="Times New Roman"/>
          <w:szCs w:val="24"/>
        </w:rPr>
        <w:t>However</w:t>
      </w:r>
      <w:r w:rsidR="003527A0" w:rsidRPr="003527A0">
        <w:rPr>
          <w:rFonts w:ascii="Times New Roman" w:hAnsi="Times New Roman"/>
          <w:szCs w:val="24"/>
        </w:rPr>
        <w:t>, the Chamber found no aggravating factors in these</w:t>
      </w:r>
      <w:r w:rsidR="004F458F">
        <w:rPr>
          <w:rFonts w:ascii="Times New Roman" w:hAnsi="Times New Roman"/>
          <w:szCs w:val="24"/>
        </w:rPr>
        <w:t xml:space="preserve"> observations. It is observed that victims contribution via aggravating circumstances to </w:t>
      </w:r>
      <w:r w:rsidR="00434E4E">
        <w:rPr>
          <w:rFonts w:ascii="Times New Roman" w:hAnsi="Times New Roman"/>
          <w:szCs w:val="24"/>
        </w:rPr>
        <w:t xml:space="preserve">increase the convicted person’s sentence </w:t>
      </w:r>
      <w:r w:rsidR="00D15EDB">
        <w:rPr>
          <w:rFonts w:ascii="Times New Roman" w:hAnsi="Times New Roman"/>
          <w:szCs w:val="24"/>
        </w:rPr>
        <w:t>play little role in the outcome of the sentence because the Chambers found no aggravating factors.</w:t>
      </w:r>
    </w:p>
    <w:p w14:paraId="51F93153" w14:textId="10F6A3F6" w:rsidR="00A532CC" w:rsidRDefault="00E35CD7" w:rsidP="00FB7B02">
      <w:pPr>
        <w:spacing w:line="480" w:lineRule="auto"/>
        <w:jc w:val="both"/>
        <w:rPr>
          <w:rFonts w:ascii="Times New Roman" w:hAnsi="Times New Roman"/>
          <w:szCs w:val="24"/>
        </w:rPr>
      </w:pPr>
      <w:r>
        <w:rPr>
          <w:rFonts w:ascii="Times New Roman" w:hAnsi="Times New Roman"/>
          <w:szCs w:val="24"/>
        </w:rPr>
        <w:t xml:space="preserve">Judge </w:t>
      </w:r>
      <w:proofErr w:type="spellStart"/>
      <w:r>
        <w:rPr>
          <w:rFonts w:ascii="Times New Roman" w:hAnsi="Times New Roman"/>
          <w:szCs w:val="24"/>
        </w:rPr>
        <w:t>Odio’s</w:t>
      </w:r>
      <w:proofErr w:type="spellEnd"/>
      <w:r>
        <w:rPr>
          <w:rFonts w:ascii="Times New Roman" w:hAnsi="Times New Roman"/>
          <w:szCs w:val="24"/>
        </w:rPr>
        <w:t xml:space="preserve"> dissenting opinion highlighted the discrepancy </w:t>
      </w:r>
      <w:r w:rsidR="003D5BB8" w:rsidRPr="00AB049B">
        <w:rPr>
          <w:rFonts w:ascii="Times New Roman" w:hAnsi="Times New Roman"/>
          <w:szCs w:val="24"/>
        </w:rPr>
        <w:t xml:space="preserve">between the </w:t>
      </w:r>
      <w:r>
        <w:rPr>
          <w:rFonts w:ascii="Times New Roman" w:hAnsi="Times New Roman"/>
          <w:szCs w:val="24"/>
        </w:rPr>
        <w:t xml:space="preserve">declared sentence </w:t>
      </w:r>
      <w:r w:rsidR="003D5BB8" w:rsidRPr="00AB049B">
        <w:rPr>
          <w:rFonts w:ascii="Times New Roman" w:hAnsi="Times New Roman"/>
          <w:szCs w:val="24"/>
        </w:rPr>
        <w:t xml:space="preserve">and the seriousness of the crime. However, the </w:t>
      </w:r>
      <w:r w:rsidR="006B73AB">
        <w:rPr>
          <w:rFonts w:ascii="Times New Roman" w:hAnsi="Times New Roman"/>
          <w:szCs w:val="24"/>
        </w:rPr>
        <w:t>learned judge's opinion</w:t>
      </w:r>
      <w:r w:rsidR="003D5BB8" w:rsidRPr="00AB049B">
        <w:rPr>
          <w:rFonts w:ascii="Times New Roman" w:hAnsi="Times New Roman"/>
          <w:szCs w:val="24"/>
        </w:rPr>
        <w:t xml:space="preserve"> on the sentence is</w:t>
      </w:r>
      <w:r w:rsidR="00DA7207">
        <w:rPr>
          <w:rFonts w:ascii="Times New Roman" w:hAnsi="Times New Roman"/>
          <w:szCs w:val="24"/>
        </w:rPr>
        <w:t xml:space="preserve"> unsatisfactory because of the observed difference between the declared sentence and the recommended sentence suggested by Judge </w:t>
      </w:r>
      <w:proofErr w:type="spellStart"/>
      <w:r w:rsidR="00DA7207">
        <w:rPr>
          <w:rFonts w:ascii="Times New Roman" w:hAnsi="Times New Roman"/>
          <w:szCs w:val="24"/>
        </w:rPr>
        <w:t>Odio</w:t>
      </w:r>
      <w:proofErr w:type="spellEnd"/>
      <w:r w:rsidR="00E703CF">
        <w:rPr>
          <w:rFonts w:ascii="Times New Roman" w:hAnsi="Times New Roman"/>
          <w:szCs w:val="24"/>
        </w:rPr>
        <w:t xml:space="preserve"> is negligible</w:t>
      </w:r>
      <w:r w:rsidR="00DA7207">
        <w:rPr>
          <w:rFonts w:ascii="Times New Roman" w:hAnsi="Times New Roman"/>
          <w:szCs w:val="24"/>
        </w:rPr>
        <w:t>;</w:t>
      </w:r>
      <w:r w:rsidR="009A7E85">
        <w:rPr>
          <w:rFonts w:ascii="Times New Roman" w:hAnsi="Times New Roman"/>
          <w:szCs w:val="24"/>
        </w:rPr>
        <w:t xml:space="preserve"> </w:t>
      </w:r>
      <w:r w:rsidR="00E703CF">
        <w:rPr>
          <w:rFonts w:ascii="Times New Roman" w:hAnsi="Times New Roman"/>
          <w:szCs w:val="24"/>
        </w:rPr>
        <w:t>sh</w:t>
      </w:r>
      <w:r w:rsidR="003D5BB8" w:rsidRPr="00AB049B">
        <w:rPr>
          <w:rFonts w:ascii="Times New Roman" w:hAnsi="Times New Roman"/>
          <w:szCs w:val="24"/>
        </w:rPr>
        <w:t>e stated that 15 years</w:t>
      </w:r>
      <w:r w:rsidR="00E703CF">
        <w:rPr>
          <w:rFonts w:ascii="Times New Roman" w:hAnsi="Times New Roman"/>
          <w:szCs w:val="24"/>
        </w:rPr>
        <w:t xml:space="preserve"> of</w:t>
      </w:r>
      <w:r w:rsidR="003D5BB8" w:rsidRPr="00AB049B">
        <w:rPr>
          <w:rFonts w:ascii="Times New Roman" w:hAnsi="Times New Roman"/>
          <w:szCs w:val="24"/>
        </w:rPr>
        <w:t xml:space="preserve"> imprisonment would have been preferable</w:t>
      </w:r>
      <w:r>
        <w:rPr>
          <w:rFonts w:ascii="Times New Roman" w:hAnsi="Times New Roman"/>
          <w:szCs w:val="24"/>
        </w:rPr>
        <w:t xml:space="preserve"> to 14 years</w:t>
      </w:r>
      <w:r w:rsidR="003D5BB8" w:rsidRPr="00AB049B">
        <w:rPr>
          <w:rFonts w:ascii="Times New Roman" w:hAnsi="Times New Roman"/>
          <w:szCs w:val="24"/>
        </w:rPr>
        <w:t xml:space="preserve">. </w:t>
      </w:r>
      <w:r w:rsidR="00E703CF">
        <w:rPr>
          <w:rFonts w:ascii="Times New Roman" w:hAnsi="Times New Roman"/>
          <w:szCs w:val="24"/>
        </w:rPr>
        <w:t>In</w:t>
      </w:r>
      <w:r w:rsidR="003D5BB8" w:rsidRPr="00AB049B">
        <w:rPr>
          <w:rFonts w:ascii="Times New Roman" w:hAnsi="Times New Roman"/>
          <w:szCs w:val="24"/>
        </w:rPr>
        <w:t xml:space="preserve"> the learned judge’s opinion, one could see that the difference between the majority’s term </w:t>
      </w:r>
      <w:r w:rsidR="00A542B9">
        <w:rPr>
          <w:rFonts w:ascii="Times New Roman" w:hAnsi="Times New Roman"/>
          <w:szCs w:val="24"/>
        </w:rPr>
        <w:t>in prison</w:t>
      </w:r>
      <w:r w:rsidR="003D5BB8" w:rsidRPr="00AB049B">
        <w:rPr>
          <w:rFonts w:ascii="Times New Roman" w:hAnsi="Times New Roman"/>
          <w:szCs w:val="24"/>
        </w:rPr>
        <w:t xml:space="preserve"> and h</w:t>
      </w:r>
      <w:r>
        <w:rPr>
          <w:rFonts w:ascii="Times New Roman" w:hAnsi="Times New Roman"/>
          <w:szCs w:val="24"/>
        </w:rPr>
        <w:t>er</w:t>
      </w:r>
      <w:r w:rsidR="003D5BB8" w:rsidRPr="00AB049B">
        <w:rPr>
          <w:rFonts w:ascii="Times New Roman" w:hAnsi="Times New Roman"/>
          <w:szCs w:val="24"/>
        </w:rPr>
        <w:t xml:space="preserve"> preferred term of imprisonment </w:t>
      </w:r>
      <w:r>
        <w:rPr>
          <w:rFonts w:ascii="Times New Roman" w:hAnsi="Times New Roman"/>
          <w:szCs w:val="24"/>
        </w:rPr>
        <w:t>was</w:t>
      </w:r>
      <w:r w:rsidR="003D5BB8" w:rsidRPr="00AB049B">
        <w:rPr>
          <w:rFonts w:ascii="Times New Roman" w:hAnsi="Times New Roman"/>
          <w:szCs w:val="24"/>
        </w:rPr>
        <w:t xml:space="preserve"> one year. Although the learned judge shed light on the deficiency in proportionality,</w:t>
      </w:r>
      <w:r w:rsidR="005120D1">
        <w:rPr>
          <w:rFonts w:ascii="Times New Roman" w:hAnsi="Times New Roman"/>
          <w:szCs w:val="24"/>
        </w:rPr>
        <w:t xml:space="preserve"> her</w:t>
      </w:r>
      <w:r w:rsidR="003D5BB8" w:rsidRPr="00AB049B">
        <w:rPr>
          <w:rFonts w:ascii="Times New Roman" w:hAnsi="Times New Roman"/>
          <w:szCs w:val="24"/>
        </w:rPr>
        <w:t xml:space="preserve"> </w:t>
      </w:r>
      <w:r w:rsidR="00590C88">
        <w:rPr>
          <w:rFonts w:ascii="Times New Roman" w:hAnsi="Times New Roman"/>
          <w:szCs w:val="24"/>
        </w:rPr>
        <w:t>suggested</w:t>
      </w:r>
      <w:r w:rsidR="003D5BB8" w:rsidRPr="00AB049B">
        <w:rPr>
          <w:rFonts w:ascii="Times New Roman" w:hAnsi="Times New Roman"/>
          <w:szCs w:val="24"/>
        </w:rPr>
        <w:t xml:space="preserve"> sentence is of little </w:t>
      </w:r>
      <w:r w:rsidR="003D5BB8" w:rsidRPr="00AB049B">
        <w:rPr>
          <w:rFonts w:ascii="Times New Roman" w:hAnsi="Times New Roman"/>
          <w:szCs w:val="24"/>
        </w:rPr>
        <w:lastRenderedPageBreak/>
        <w:t xml:space="preserve">or no help to </w:t>
      </w:r>
      <w:r w:rsidR="00E703CF">
        <w:rPr>
          <w:rFonts w:ascii="Times New Roman" w:hAnsi="Times New Roman"/>
          <w:szCs w:val="24"/>
        </w:rPr>
        <w:t xml:space="preserve">the </w:t>
      </w:r>
      <w:r w:rsidR="003D5BB8" w:rsidRPr="00AB049B">
        <w:rPr>
          <w:rFonts w:ascii="Times New Roman" w:hAnsi="Times New Roman"/>
          <w:szCs w:val="24"/>
        </w:rPr>
        <w:t xml:space="preserve">proportionality between the </w:t>
      </w:r>
      <w:r w:rsidR="00E703CF">
        <w:rPr>
          <w:rFonts w:ascii="Times New Roman" w:hAnsi="Times New Roman"/>
          <w:szCs w:val="24"/>
        </w:rPr>
        <w:t>seriou</w:t>
      </w:r>
      <w:r w:rsidR="009A7E85">
        <w:rPr>
          <w:rFonts w:ascii="Times New Roman" w:hAnsi="Times New Roman"/>
          <w:szCs w:val="24"/>
        </w:rPr>
        <w:t>s</w:t>
      </w:r>
      <w:r w:rsidR="00E703CF">
        <w:rPr>
          <w:rFonts w:ascii="Times New Roman" w:hAnsi="Times New Roman"/>
          <w:szCs w:val="24"/>
        </w:rPr>
        <w:t>ness</w:t>
      </w:r>
      <w:r w:rsidR="003D5BB8" w:rsidRPr="00AB049B">
        <w:rPr>
          <w:rFonts w:ascii="Times New Roman" w:hAnsi="Times New Roman"/>
          <w:szCs w:val="24"/>
        </w:rPr>
        <w:t xml:space="preserve"> of the crime. Judge </w:t>
      </w:r>
      <w:proofErr w:type="spellStart"/>
      <w:r w:rsidR="003D5BB8" w:rsidRPr="00AB049B">
        <w:rPr>
          <w:rFonts w:ascii="Times New Roman" w:hAnsi="Times New Roman"/>
          <w:szCs w:val="24"/>
        </w:rPr>
        <w:t>Odio’s</w:t>
      </w:r>
      <w:proofErr w:type="spellEnd"/>
      <w:r w:rsidR="003D5BB8" w:rsidRPr="00AB049B">
        <w:rPr>
          <w:rFonts w:ascii="Times New Roman" w:hAnsi="Times New Roman"/>
          <w:szCs w:val="24"/>
        </w:rPr>
        <w:t xml:space="preserve"> opinion might have been more persuasive if </w:t>
      </w:r>
      <w:r>
        <w:rPr>
          <w:rFonts w:ascii="Times New Roman" w:hAnsi="Times New Roman"/>
          <w:szCs w:val="24"/>
        </w:rPr>
        <w:t>s</w:t>
      </w:r>
      <w:r w:rsidR="003D5BB8" w:rsidRPr="00AB049B">
        <w:rPr>
          <w:rFonts w:ascii="Times New Roman" w:hAnsi="Times New Roman"/>
          <w:szCs w:val="24"/>
        </w:rPr>
        <w:t>he had suggested a higher sentence.</w:t>
      </w:r>
    </w:p>
    <w:p w14:paraId="5FE61498" w14:textId="5B4989A0" w:rsidR="003D5BB8" w:rsidRPr="00AB049B" w:rsidRDefault="005120D1" w:rsidP="00FB7B02">
      <w:pPr>
        <w:spacing w:line="480" w:lineRule="auto"/>
        <w:jc w:val="both"/>
        <w:rPr>
          <w:rFonts w:ascii="Times New Roman" w:hAnsi="Times New Roman"/>
          <w:szCs w:val="24"/>
        </w:rPr>
      </w:pPr>
      <w:r>
        <w:rPr>
          <w:rFonts w:ascii="Times New Roman" w:hAnsi="Times New Roman"/>
          <w:szCs w:val="24"/>
        </w:rPr>
        <w:t>Nonetheless, her observations on the majority’s decision</w:t>
      </w:r>
      <w:r w:rsidR="00A532CC">
        <w:rPr>
          <w:rFonts w:ascii="Times New Roman" w:hAnsi="Times New Roman"/>
          <w:szCs w:val="24"/>
        </w:rPr>
        <w:t xml:space="preserve"> reveal her</w:t>
      </w:r>
      <w:r>
        <w:rPr>
          <w:rFonts w:ascii="Times New Roman" w:hAnsi="Times New Roman"/>
          <w:szCs w:val="24"/>
        </w:rPr>
        <w:t xml:space="preserve"> dis</w:t>
      </w:r>
      <w:r w:rsidR="00C30FB4">
        <w:rPr>
          <w:rFonts w:ascii="Times New Roman" w:hAnsi="Times New Roman"/>
          <w:szCs w:val="24"/>
        </w:rPr>
        <w:t>ap</w:t>
      </w:r>
      <w:r>
        <w:rPr>
          <w:rFonts w:ascii="Times New Roman" w:hAnsi="Times New Roman"/>
          <w:szCs w:val="24"/>
        </w:rPr>
        <w:t>pointment</w:t>
      </w:r>
      <w:r w:rsidR="00C30FB4">
        <w:rPr>
          <w:rFonts w:ascii="Times New Roman" w:hAnsi="Times New Roman"/>
          <w:szCs w:val="24"/>
        </w:rPr>
        <w:t xml:space="preserve"> in the length of the sentence.</w:t>
      </w:r>
      <w:r w:rsidR="00A532CC" w:rsidRPr="00A532CC">
        <w:rPr>
          <w:rFonts w:ascii="Times New Roman" w:hAnsi="Times New Roman"/>
          <w:szCs w:val="24"/>
        </w:rPr>
        <w:t xml:space="preserve"> </w:t>
      </w:r>
      <w:r w:rsidR="00A532CC" w:rsidRPr="0003017A">
        <w:rPr>
          <w:rFonts w:ascii="Times New Roman" w:hAnsi="Times New Roman"/>
          <w:szCs w:val="24"/>
        </w:rPr>
        <w:t>On proportionality of the gravity of the crime and the deserving punishment, it is not</w:t>
      </w:r>
      <w:r w:rsidR="00A532CC">
        <w:rPr>
          <w:rFonts w:ascii="Times New Roman" w:hAnsi="Times New Roman"/>
          <w:szCs w:val="24"/>
        </w:rPr>
        <w:t xml:space="preserve"> yet</w:t>
      </w:r>
      <w:r w:rsidR="00A532CC" w:rsidRPr="0003017A">
        <w:rPr>
          <w:rFonts w:ascii="Times New Roman" w:hAnsi="Times New Roman"/>
          <w:szCs w:val="24"/>
        </w:rPr>
        <w:t xml:space="preserve"> settled if there is a threshold for measuring punishment. There is no universal principle</w:t>
      </w:r>
      <w:r w:rsidR="00A532CC">
        <w:rPr>
          <w:rFonts w:ascii="Times New Roman" w:hAnsi="Times New Roman"/>
          <w:szCs w:val="24"/>
        </w:rPr>
        <w:t>;</w:t>
      </w:r>
      <w:r w:rsidR="00A532CC" w:rsidRPr="0003017A">
        <w:rPr>
          <w:rFonts w:ascii="Times New Roman" w:hAnsi="Times New Roman"/>
          <w:szCs w:val="24"/>
        </w:rPr>
        <w:t xml:space="preserve"> </w:t>
      </w:r>
      <w:r w:rsidR="00590C88">
        <w:rPr>
          <w:rFonts w:ascii="Times New Roman" w:hAnsi="Times New Roman"/>
          <w:szCs w:val="24"/>
        </w:rPr>
        <w:t>preferably</w:t>
      </w:r>
      <w:r w:rsidR="00111F78">
        <w:rPr>
          <w:rFonts w:ascii="Times New Roman" w:hAnsi="Times New Roman"/>
          <w:szCs w:val="24"/>
        </w:rPr>
        <w:t>,</w:t>
      </w:r>
      <w:r w:rsidR="00A532CC" w:rsidRPr="0003017A">
        <w:rPr>
          <w:rFonts w:ascii="Times New Roman" w:hAnsi="Times New Roman"/>
          <w:szCs w:val="24"/>
        </w:rPr>
        <w:t xml:space="preserve"> the cardinal proportional principle is applied</w:t>
      </w:r>
      <w:r w:rsidR="00A532CC">
        <w:rPr>
          <w:rFonts w:ascii="Times New Roman" w:hAnsi="Times New Roman"/>
          <w:szCs w:val="24"/>
        </w:rPr>
        <w:t>;</w:t>
      </w:r>
      <w:r w:rsidR="00A532CC" w:rsidRPr="0003017A">
        <w:rPr>
          <w:rFonts w:ascii="Times New Roman" w:hAnsi="Times New Roman"/>
          <w:szCs w:val="24"/>
        </w:rPr>
        <w:t xml:space="preserve"> this principle of proportionality is not universal</w:t>
      </w:r>
      <w:r w:rsidR="00A532CC">
        <w:rPr>
          <w:rFonts w:ascii="Times New Roman" w:hAnsi="Times New Roman"/>
          <w:szCs w:val="24"/>
        </w:rPr>
        <w:t>;</w:t>
      </w:r>
      <w:r w:rsidR="00A532CC" w:rsidRPr="0003017A">
        <w:rPr>
          <w:rFonts w:ascii="Times New Roman" w:hAnsi="Times New Roman"/>
          <w:szCs w:val="24"/>
        </w:rPr>
        <w:t xml:space="preserve"> it is determined based on moral relativism.</w:t>
      </w:r>
      <w:r w:rsidR="00A532CC" w:rsidRPr="0003017A">
        <w:rPr>
          <w:rStyle w:val="FootnoteReference"/>
          <w:rFonts w:ascii="Times New Roman" w:hAnsi="Times New Roman"/>
          <w:szCs w:val="24"/>
        </w:rPr>
        <w:footnoteReference w:id="1058"/>
      </w:r>
      <w:r w:rsidR="00A532CC" w:rsidRPr="0003017A">
        <w:rPr>
          <w:rFonts w:ascii="Times New Roman" w:hAnsi="Times New Roman"/>
          <w:szCs w:val="24"/>
        </w:rPr>
        <w:t xml:space="preserve"> Thus, it is open to inconsistencies and different interpretations. From the </w:t>
      </w:r>
      <w:r w:rsidR="006B73AB">
        <w:rPr>
          <w:rFonts w:ascii="Times New Roman" w:hAnsi="Times New Roman"/>
          <w:szCs w:val="24"/>
        </w:rPr>
        <w:t>Lubanga case data</w:t>
      </w:r>
      <w:r w:rsidR="00A532CC" w:rsidRPr="0003017A">
        <w:rPr>
          <w:rFonts w:ascii="Times New Roman" w:hAnsi="Times New Roman"/>
          <w:szCs w:val="24"/>
        </w:rPr>
        <w:t>, it is apparent that the declared term of imprisonment 14 years expresses</w:t>
      </w:r>
      <w:r w:rsidR="00411F14">
        <w:rPr>
          <w:rFonts w:ascii="Times New Roman" w:hAnsi="Times New Roman"/>
          <w:szCs w:val="24"/>
        </w:rPr>
        <w:t xml:space="preserve"> acts </w:t>
      </w:r>
      <w:r w:rsidR="00A532CC" w:rsidRPr="0003017A">
        <w:rPr>
          <w:rFonts w:ascii="Times New Roman" w:hAnsi="Times New Roman"/>
          <w:szCs w:val="24"/>
        </w:rPr>
        <w:t>of retributive justi</w:t>
      </w:r>
      <w:r w:rsidR="00411F14">
        <w:rPr>
          <w:rFonts w:ascii="Times New Roman" w:hAnsi="Times New Roman"/>
          <w:szCs w:val="24"/>
        </w:rPr>
        <w:t>ce</w:t>
      </w:r>
      <w:r w:rsidR="00A532CC" w:rsidRPr="0003017A">
        <w:rPr>
          <w:rFonts w:ascii="Times New Roman" w:hAnsi="Times New Roman"/>
          <w:szCs w:val="24"/>
        </w:rPr>
        <w:t>.</w:t>
      </w:r>
      <w:r w:rsidR="00A532CC" w:rsidRPr="00A532CC">
        <w:rPr>
          <w:rFonts w:ascii="Times New Roman" w:hAnsi="Times New Roman"/>
          <w:szCs w:val="24"/>
        </w:rPr>
        <w:t xml:space="preserve"> </w:t>
      </w:r>
      <w:r w:rsidR="00A532CC" w:rsidRPr="0003017A">
        <w:rPr>
          <w:rFonts w:ascii="Times New Roman" w:hAnsi="Times New Roman"/>
          <w:szCs w:val="24"/>
        </w:rPr>
        <w:t xml:space="preserve">Nonetheless, one could argue that these </w:t>
      </w:r>
      <w:r w:rsidR="00590C88">
        <w:rPr>
          <w:rFonts w:ascii="Times New Roman" w:hAnsi="Times New Roman"/>
          <w:szCs w:val="24"/>
        </w:rPr>
        <w:t>stat</w:t>
      </w:r>
      <w:r w:rsidR="00A532CC">
        <w:rPr>
          <w:rFonts w:ascii="Times New Roman" w:hAnsi="Times New Roman"/>
          <w:szCs w:val="24"/>
        </w:rPr>
        <w:t xml:space="preserve">ed terms of imprisonment </w:t>
      </w:r>
      <w:r w:rsidR="00590C88">
        <w:rPr>
          <w:rFonts w:ascii="Times New Roman" w:hAnsi="Times New Roman"/>
          <w:szCs w:val="24"/>
        </w:rPr>
        <w:t xml:space="preserve">are perceived </w:t>
      </w:r>
      <w:r w:rsidR="00A532CC">
        <w:rPr>
          <w:rFonts w:ascii="Times New Roman" w:hAnsi="Times New Roman"/>
          <w:szCs w:val="24"/>
        </w:rPr>
        <w:t>as an expression of general deterrence.</w:t>
      </w:r>
    </w:p>
    <w:p w14:paraId="73CBADC1" w14:textId="026D64A0" w:rsidR="00411F14" w:rsidRDefault="00A532CC" w:rsidP="00FB7B02">
      <w:pPr>
        <w:spacing w:line="480" w:lineRule="auto"/>
        <w:jc w:val="both"/>
        <w:rPr>
          <w:rFonts w:ascii="Times New Roman" w:hAnsi="Times New Roman"/>
          <w:szCs w:val="24"/>
        </w:rPr>
      </w:pPr>
      <w:r>
        <w:rPr>
          <w:rFonts w:ascii="Times New Roman" w:hAnsi="Times New Roman"/>
          <w:szCs w:val="24"/>
        </w:rPr>
        <w:t xml:space="preserve">One </w:t>
      </w:r>
      <w:r w:rsidR="003D5BB8" w:rsidRPr="00AB049B">
        <w:rPr>
          <w:rFonts w:ascii="Times New Roman" w:hAnsi="Times New Roman"/>
          <w:szCs w:val="24"/>
        </w:rPr>
        <w:t>implication of this sentence is the possibility that the accused/offender/convicted person still takes the forefront at the sentencing stage</w:t>
      </w:r>
      <w:r w:rsidR="00550C93">
        <w:rPr>
          <w:rFonts w:ascii="Times New Roman" w:hAnsi="Times New Roman"/>
          <w:szCs w:val="24"/>
        </w:rPr>
        <w:t>.</w:t>
      </w:r>
      <w:r w:rsidR="00282F03">
        <w:rPr>
          <w:rFonts w:ascii="Times New Roman" w:hAnsi="Times New Roman"/>
          <w:szCs w:val="24"/>
        </w:rPr>
        <w:t xml:space="preserve"> </w:t>
      </w:r>
      <w:r w:rsidR="00411F14">
        <w:rPr>
          <w:rFonts w:ascii="Times New Roman" w:hAnsi="Times New Roman"/>
          <w:szCs w:val="24"/>
        </w:rPr>
        <w:t>Non-lengthy sentence and sentence review ensure rehabilitation of the perpetrator</w:t>
      </w:r>
      <w:r w:rsidR="00282F03">
        <w:rPr>
          <w:rFonts w:ascii="Times New Roman" w:hAnsi="Times New Roman"/>
          <w:szCs w:val="24"/>
        </w:rPr>
        <w:t>. The threshold is sufficiently humanitarian that one may infer the promotion of offender reformation as well as the transformative approach of the court towards the punishment of the offender.</w:t>
      </w:r>
    </w:p>
    <w:p w14:paraId="18B0E416" w14:textId="3078A26C" w:rsidR="00F03599" w:rsidRDefault="004C31B3" w:rsidP="00FB7B02">
      <w:pPr>
        <w:spacing w:line="480" w:lineRule="auto"/>
        <w:jc w:val="both"/>
        <w:rPr>
          <w:rFonts w:ascii="Times New Roman" w:hAnsi="Times New Roman"/>
          <w:szCs w:val="24"/>
        </w:rPr>
      </w:pPr>
      <w:r w:rsidRPr="00E825C3">
        <w:rPr>
          <w:rFonts w:ascii="Times New Roman" w:hAnsi="Times New Roman"/>
          <w:szCs w:val="24"/>
        </w:rPr>
        <w:t>Interestingly</w:t>
      </w:r>
      <w:r w:rsidR="00A10B7A">
        <w:rPr>
          <w:rFonts w:ascii="Times New Roman" w:hAnsi="Times New Roman"/>
          <w:szCs w:val="24"/>
        </w:rPr>
        <w:t>,</w:t>
      </w:r>
      <w:r w:rsidR="00F03599" w:rsidRPr="00F03599">
        <w:rPr>
          <w:rFonts w:ascii="Times New Roman" w:hAnsi="Times New Roman"/>
          <w:szCs w:val="24"/>
        </w:rPr>
        <w:t xml:space="preserve"> </w:t>
      </w:r>
      <w:r w:rsidR="00F03599">
        <w:rPr>
          <w:rFonts w:ascii="Times New Roman" w:hAnsi="Times New Roman"/>
          <w:szCs w:val="24"/>
        </w:rPr>
        <w:t>t</w:t>
      </w:r>
      <w:r w:rsidR="00F03599" w:rsidRPr="00A10B7A">
        <w:rPr>
          <w:rFonts w:ascii="Times New Roman" w:hAnsi="Times New Roman"/>
          <w:szCs w:val="24"/>
        </w:rPr>
        <w:t>he Lubanga sentencing demonstrates that victims</w:t>
      </w:r>
      <w:r w:rsidR="00A10B7A">
        <w:rPr>
          <w:rFonts w:ascii="Times New Roman" w:hAnsi="Times New Roman"/>
          <w:szCs w:val="24"/>
        </w:rPr>
        <w:t xml:space="preserve"> were</w:t>
      </w:r>
      <w:r w:rsidRPr="00E825C3">
        <w:rPr>
          <w:rFonts w:ascii="Times New Roman" w:hAnsi="Times New Roman"/>
          <w:szCs w:val="24"/>
        </w:rPr>
        <w:t xml:space="preserve"> permitted to submit observations and participate through their LRVs during sentencing. This </w:t>
      </w:r>
      <w:r w:rsidR="00F03599">
        <w:rPr>
          <w:rFonts w:ascii="Times New Roman" w:hAnsi="Times New Roman"/>
          <w:szCs w:val="24"/>
        </w:rPr>
        <w:t xml:space="preserve">form </w:t>
      </w:r>
      <w:r w:rsidR="00F03599">
        <w:rPr>
          <w:rFonts w:ascii="Times New Roman" w:hAnsi="Times New Roman"/>
          <w:szCs w:val="24"/>
        </w:rPr>
        <w:lastRenderedPageBreak/>
        <w:t xml:space="preserve">of participation </w:t>
      </w:r>
      <w:r w:rsidRPr="00E825C3">
        <w:rPr>
          <w:rFonts w:ascii="Times New Roman" w:hAnsi="Times New Roman"/>
          <w:szCs w:val="24"/>
        </w:rPr>
        <w:t>connotes a regulated and restricted medium of participation</w:t>
      </w:r>
      <w:r w:rsidR="00F03599">
        <w:rPr>
          <w:rFonts w:ascii="Times New Roman" w:hAnsi="Times New Roman"/>
          <w:szCs w:val="24"/>
        </w:rPr>
        <w:t>.</w:t>
      </w:r>
      <w:r w:rsidR="00550C93" w:rsidRPr="00550C93">
        <w:rPr>
          <w:rFonts w:ascii="Times New Roman" w:hAnsi="Times New Roman"/>
          <w:szCs w:val="24"/>
        </w:rPr>
        <w:t xml:space="preserve"> </w:t>
      </w:r>
      <w:r w:rsidR="006B73AB">
        <w:rPr>
          <w:rFonts w:ascii="Times New Roman" w:hAnsi="Times New Roman"/>
          <w:szCs w:val="24"/>
        </w:rPr>
        <w:t>Therefore, it can be assumed that the sentencing phase enhances victim engagement,</w:t>
      </w:r>
      <w:r w:rsidR="00F03599">
        <w:rPr>
          <w:rFonts w:ascii="Times New Roman" w:hAnsi="Times New Roman"/>
          <w:szCs w:val="24"/>
        </w:rPr>
        <w:t xml:space="preserve"> subject to judicial discretion. </w:t>
      </w:r>
      <w:r w:rsidR="006B73AB">
        <w:rPr>
          <w:rFonts w:ascii="Times New Roman" w:hAnsi="Times New Roman"/>
          <w:szCs w:val="24"/>
        </w:rPr>
        <w:t>Also</w:t>
      </w:r>
      <w:r w:rsidRPr="00E825C3">
        <w:rPr>
          <w:rFonts w:ascii="Times New Roman" w:hAnsi="Times New Roman"/>
          <w:szCs w:val="24"/>
        </w:rPr>
        <w:t xml:space="preserve">, one may argue that protecting the </w:t>
      </w:r>
      <w:r w:rsidR="006B73AB">
        <w:rPr>
          <w:rFonts w:ascii="Times New Roman" w:hAnsi="Times New Roman"/>
          <w:szCs w:val="24"/>
        </w:rPr>
        <w:t>sentenced person's rights</w:t>
      </w:r>
      <w:r w:rsidRPr="00E825C3">
        <w:rPr>
          <w:rFonts w:ascii="Times New Roman" w:hAnsi="Times New Roman"/>
          <w:szCs w:val="24"/>
        </w:rPr>
        <w:t xml:space="preserve"> from a human rights perspective is the basis for this restricted participation. Cretney and Davis opine that based on moral reasons, victims should be given roles to play in the delivery of punishment because it can</w:t>
      </w:r>
      <w:r w:rsidRPr="004B524A">
        <w:rPr>
          <w:rFonts w:ascii="Times New Roman" w:hAnsi="Times New Roman"/>
          <w:szCs w:val="24"/>
        </w:rPr>
        <w:t xml:space="preserve"> reassure them that they have </w:t>
      </w:r>
      <w:r w:rsidRPr="004B524A">
        <w:rPr>
          <w:rFonts w:ascii="Times New Roman" w:hAnsi="Times New Roman"/>
          <w:i/>
          <w:szCs w:val="24"/>
        </w:rPr>
        <w:t>‘public recognition and support</w:t>
      </w:r>
      <w:r w:rsidR="00282F03">
        <w:rPr>
          <w:rFonts w:ascii="Times New Roman" w:hAnsi="Times New Roman"/>
          <w:i/>
          <w:szCs w:val="24"/>
        </w:rPr>
        <w:t>.</w:t>
      </w:r>
      <w:r w:rsidRPr="004B524A">
        <w:rPr>
          <w:rFonts w:ascii="Times New Roman" w:hAnsi="Times New Roman"/>
          <w:i/>
          <w:szCs w:val="24"/>
        </w:rPr>
        <w:t>’</w:t>
      </w:r>
      <w:r w:rsidRPr="004B524A">
        <w:rPr>
          <w:rStyle w:val="FootnoteReference"/>
          <w:rFonts w:ascii="Times New Roman" w:hAnsi="Times New Roman"/>
          <w:szCs w:val="24"/>
        </w:rPr>
        <w:footnoteReference w:id="1059"/>
      </w:r>
      <w:r w:rsidRPr="004B524A">
        <w:rPr>
          <w:rFonts w:ascii="Times New Roman" w:hAnsi="Times New Roman"/>
          <w:szCs w:val="24"/>
        </w:rPr>
        <w:t xml:space="preserve"> From these commentators’ submission, victims’ role in the delivery of punishment should emanate from </w:t>
      </w:r>
      <w:r w:rsidR="00F03599">
        <w:rPr>
          <w:rFonts w:ascii="Times New Roman" w:hAnsi="Times New Roman"/>
          <w:szCs w:val="24"/>
        </w:rPr>
        <w:t xml:space="preserve">a </w:t>
      </w:r>
      <w:r w:rsidRPr="004B524A">
        <w:rPr>
          <w:rFonts w:ascii="Times New Roman" w:hAnsi="Times New Roman"/>
          <w:szCs w:val="24"/>
        </w:rPr>
        <w:t>moral standpoint.</w:t>
      </w:r>
      <w:r w:rsidR="00F03599">
        <w:rPr>
          <w:rStyle w:val="FootnoteReference"/>
          <w:rFonts w:ascii="Times New Roman" w:hAnsi="Times New Roman"/>
          <w:szCs w:val="24"/>
        </w:rPr>
        <w:footnoteReference w:id="1060"/>
      </w:r>
      <w:r w:rsidRPr="004B524A">
        <w:rPr>
          <w:rFonts w:ascii="Times New Roman" w:hAnsi="Times New Roman"/>
          <w:szCs w:val="24"/>
        </w:rPr>
        <w:t xml:space="preserve"> This</w:t>
      </w:r>
      <w:r w:rsidR="00F03599">
        <w:rPr>
          <w:rFonts w:ascii="Times New Roman" w:hAnsi="Times New Roman"/>
          <w:szCs w:val="24"/>
        </w:rPr>
        <w:t xml:space="preserve"> submission</w:t>
      </w:r>
      <w:r w:rsidRPr="004B524A">
        <w:rPr>
          <w:rFonts w:ascii="Times New Roman" w:hAnsi="Times New Roman"/>
          <w:szCs w:val="24"/>
        </w:rPr>
        <w:t xml:space="preserve"> resonates with Christie’s analysis of ‘stolen property’s within </w:t>
      </w:r>
      <w:r w:rsidR="006B73AB">
        <w:rPr>
          <w:rFonts w:ascii="Times New Roman" w:hAnsi="Times New Roman"/>
          <w:szCs w:val="24"/>
        </w:rPr>
        <w:t>most common law jurisdictions' adversarial system</w:t>
      </w:r>
      <w:r w:rsidRPr="004B524A">
        <w:rPr>
          <w:rFonts w:ascii="Times New Roman" w:hAnsi="Times New Roman"/>
          <w:szCs w:val="24"/>
        </w:rPr>
        <w:t>.</w:t>
      </w:r>
      <w:r w:rsidRPr="004B524A">
        <w:rPr>
          <w:rStyle w:val="FootnoteReference"/>
          <w:rFonts w:ascii="Times New Roman" w:hAnsi="Times New Roman"/>
          <w:szCs w:val="24"/>
        </w:rPr>
        <w:footnoteReference w:id="1061"/>
      </w:r>
      <w:r w:rsidR="00F03599">
        <w:rPr>
          <w:rFonts w:ascii="Times New Roman" w:hAnsi="Times New Roman"/>
          <w:szCs w:val="24"/>
        </w:rPr>
        <w:t xml:space="preserve">From a moral perspective, the victims should be allowed to participate. </w:t>
      </w:r>
      <w:r w:rsidR="0073789E" w:rsidRPr="00A10B7A">
        <w:rPr>
          <w:rFonts w:ascii="Times New Roman" w:hAnsi="Times New Roman"/>
          <w:szCs w:val="24"/>
        </w:rPr>
        <w:t xml:space="preserve">Nevertheless, the </w:t>
      </w:r>
      <w:r w:rsidR="00F03599">
        <w:rPr>
          <w:rFonts w:ascii="Times New Roman" w:hAnsi="Times New Roman"/>
          <w:szCs w:val="24"/>
        </w:rPr>
        <w:t>effects</w:t>
      </w:r>
      <w:r w:rsidR="0073789E" w:rsidRPr="00A10B7A">
        <w:rPr>
          <w:rFonts w:ascii="Times New Roman" w:hAnsi="Times New Roman"/>
          <w:szCs w:val="24"/>
        </w:rPr>
        <w:t xml:space="preserve"> of their participation on the sentence </w:t>
      </w:r>
      <w:r w:rsidR="00F03599">
        <w:rPr>
          <w:rFonts w:ascii="Times New Roman" w:hAnsi="Times New Roman"/>
          <w:szCs w:val="24"/>
        </w:rPr>
        <w:t>are</w:t>
      </w:r>
      <w:r w:rsidR="0073789E" w:rsidRPr="00A10B7A">
        <w:rPr>
          <w:rFonts w:ascii="Times New Roman" w:hAnsi="Times New Roman"/>
          <w:szCs w:val="24"/>
        </w:rPr>
        <w:t xml:space="preserve"> regulated by judicial discretion/power.</w:t>
      </w:r>
      <w:r w:rsidR="00EB24A7" w:rsidRPr="00A10B7A">
        <w:rPr>
          <w:rFonts w:ascii="Times New Roman" w:hAnsi="Times New Roman"/>
          <w:szCs w:val="24"/>
        </w:rPr>
        <w:t xml:space="preserve"> This finding </w:t>
      </w:r>
      <w:r w:rsidR="006B73AB">
        <w:rPr>
          <w:rFonts w:ascii="Times New Roman" w:hAnsi="Times New Roman"/>
          <w:szCs w:val="24"/>
        </w:rPr>
        <w:t>agrees</w:t>
      </w:r>
      <w:r w:rsidR="00EB24A7" w:rsidRPr="00A10B7A">
        <w:rPr>
          <w:rFonts w:ascii="Times New Roman" w:hAnsi="Times New Roman"/>
          <w:szCs w:val="24"/>
        </w:rPr>
        <w:t xml:space="preserve"> wit</w:t>
      </w:r>
      <w:r w:rsidR="00F158B8">
        <w:rPr>
          <w:rFonts w:ascii="Times New Roman" w:hAnsi="Times New Roman"/>
          <w:szCs w:val="24"/>
        </w:rPr>
        <w:t xml:space="preserve">h </w:t>
      </w:r>
      <w:proofErr w:type="spellStart"/>
      <w:r w:rsidR="00F158B8">
        <w:rPr>
          <w:rFonts w:ascii="Times New Roman" w:hAnsi="Times New Roman"/>
          <w:szCs w:val="24"/>
        </w:rPr>
        <w:t>Henham’s</w:t>
      </w:r>
      <w:proofErr w:type="spellEnd"/>
      <w:r w:rsidR="00F158B8">
        <w:rPr>
          <w:rFonts w:ascii="Times New Roman" w:hAnsi="Times New Roman"/>
          <w:szCs w:val="24"/>
        </w:rPr>
        <w:t xml:space="preserve"> ideas</w:t>
      </w:r>
      <w:r w:rsidR="00DA3909">
        <w:rPr>
          <w:rFonts w:ascii="Times New Roman" w:hAnsi="Times New Roman"/>
          <w:szCs w:val="24"/>
        </w:rPr>
        <w:t>, suggesting</w:t>
      </w:r>
      <w:r w:rsidR="00EB24A7" w:rsidRPr="00A10B7A">
        <w:rPr>
          <w:rFonts w:ascii="Times New Roman" w:hAnsi="Times New Roman"/>
          <w:szCs w:val="24"/>
        </w:rPr>
        <w:t xml:space="preserve"> that the extent of</w:t>
      </w:r>
      <w:r w:rsidR="00EB24A7" w:rsidRPr="00A41538">
        <w:rPr>
          <w:szCs w:val="24"/>
        </w:rPr>
        <w:t xml:space="preserve"> </w:t>
      </w:r>
      <w:r w:rsidR="00EB24A7" w:rsidRPr="00A10B7A">
        <w:rPr>
          <w:rFonts w:ascii="Times New Roman" w:hAnsi="Times New Roman"/>
          <w:szCs w:val="24"/>
        </w:rPr>
        <w:t xml:space="preserve">victims’ </w:t>
      </w:r>
      <w:r w:rsidR="007B2B8E">
        <w:rPr>
          <w:rFonts w:ascii="Times New Roman" w:hAnsi="Times New Roman"/>
          <w:szCs w:val="24"/>
        </w:rPr>
        <w:t>involvement</w:t>
      </w:r>
      <w:r w:rsidR="00EB24A7" w:rsidRPr="00A10B7A">
        <w:rPr>
          <w:rFonts w:ascii="Times New Roman" w:hAnsi="Times New Roman"/>
          <w:szCs w:val="24"/>
        </w:rPr>
        <w:t xml:space="preserve"> in</w:t>
      </w:r>
      <w:r w:rsidR="00EB24A7" w:rsidRPr="00A41538">
        <w:rPr>
          <w:szCs w:val="24"/>
        </w:rPr>
        <w:t xml:space="preserve"> </w:t>
      </w:r>
      <w:r w:rsidR="00EB24A7" w:rsidRPr="00A10B7A">
        <w:rPr>
          <w:rFonts w:ascii="Times New Roman" w:hAnsi="Times New Roman"/>
          <w:szCs w:val="24"/>
        </w:rPr>
        <w:t xml:space="preserve">sentencing </w:t>
      </w:r>
      <w:r w:rsidR="00EB24A7" w:rsidRPr="00F158B8">
        <w:rPr>
          <w:rFonts w:ascii="Times New Roman" w:hAnsi="Times New Roman"/>
          <w:szCs w:val="24"/>
        </w:rPr>
        <w:t>is curtailed by judicial discretion.</w:t>
      </w:r>
      <w:r w:rsidR="00EB24A7" w:rsidRPr="00F158B8">
        <w:rPr>
          <w:rStyle w:val="FootnoteReference"/>
          <w:rFonts w:ascii="Times New Roman" w:hAnsi="Times New Roman"/>
          <w:szCs w:val="24"/>
        </w:rPr>
        <w:footnoteReference w:id="1062"/>
      </w:r>
    </w:p>
    <w:p w14:paraId="55268D03" w14:textId="16479D4E" w:rsidR="00111F78" w:rsidRPr="00085B81" w:rsidRDefault="001D3082" w:rsidP="00FB7B02">
      <w:pPr>
        <w:spacing w:line="480" w:lineRule="auto"/>
        <w:jc w:val="both"/>
        <w:rPr>
          <w:rFonts w:ascii="Times New Roman" w:hAnsi="Times New Roman"/>
          <w:szCs w:val="24"/>
        </w:rPr>
      </w:pPr>
      <w:r w:rsidRPr="008B3FBB">
        <w:rPr>
          <w:rFonts w:ascii="Times New Roman" w:hAnsi="Times New Roman"/>
          <w:szCs w:val="24"/>
        </w:rPr>
        <w:t xml:space="preserve">It is also interesting to note that the declared sentence </w:t>
      </w:r>
      <w:r w:rsidR="00EB24A7" w:rsidRPr="008B3FBB">
        <w:rPr>
          <w:rFonts w:ascii="Times New Roman" w:hAnsi="Times New Roman"/>
          <w:szCs w:val="24"/>
        </w:rPr>
        <w:t xml:space="preserve">does not conform to the </w:t>
      </w:r>
      <w:r w:rsidR="00DA3909">
        <w:rPr>
          <w:rFonts w:ascii="Times New Roman" w:hAnsi="Times New Roman"/>
          <w:szCs w:val="24"/>
        </w:rPr>
        <w:t>prosecution's request</w:t>
      </w:r>
      <w:r w:rsidR="00EB24A7" w:rsidRPr="008B3FBB">
        <w:rPr>
          <w:rFonts w:ascii="Times New Roman" w:hAnsi="Times New Roman"/>
          <w:szCs w:val="24"/>
        </w:rPr>
        <w:t xml:space="preserve"> </w:t>
      </w:r>
      <w:r w:rsidR="00696301">
        <w:rPr>
          <w:rFonts w:ascii="Times New Roman" w:hAnsi="Times New Roman"/>
          <w:szCs w:val="24"/>
        </w:rPr>
        <w:t xml:space="preserve">for </w:t>
      </w:r>
      <w:r w:rsidR="00EB24A7" w:rsidRPr="008B3FBB">
        <w:rPr>
          <w:rFonts w:ascii="Times New Roman" w:hAnsi="Times New Roman"/>
          <w:szCs w:val="24"/>
        </w:rPr>
        <w:t xml:space="preserve">a </w:t>
      </w:r>
      <w:r w:rsidRPr="008B3FBB">
        <w:rPr>
          <w:rFonts w:ascii="Times New Roman" w:hAnsi="Times New Roman"/>
          <w:szCs w:val="24"/>
        </w:rPr>
        <w:t>sever</w:t>
      </w:r>
      <w:r w:rsidR="00EB24A7" w:rsidRPr="008B3FBB">
        <w:rPr>
          <w:rFonts w:ascii="Times New Roman" w:hAnsi="Times New Roman"/>
          <w:szCs w:val="24"/>
        </w:rPr>
        <w:t xml:space="preserve">er </w:t>
      </w:r>
      <w:r w:rsidRPr="008B3FBB">
        <w:rPr>
          <w:rFonts w:ascii="Times New Roman" w:hAnsi="Times New Roman"/>
          <w:szCs w:val="24"/>
        </w:rPr>
        <w:t>punishment</w:t>
      </w:r>
      <w:r w:rsidR="00EB24A7" w:rsidRPr="008B3FBB">
        <w:rPr>
          <w:rFonts w:ascii="Times New Roman" w:hAnsi="Times New Roman"/>
          <w:szCs w:val="24"/>
        </w:rPr>
        <w:t>.</w:t>
      </w:r>
      <w:r w:rsidRPr="008B3FBB">
        <w:rPr>
          <w:rFonts w:ascii="Times New Roman" w:hAnsi="Times New Roman"/>
          <w:szCs w:val="24"/>
        </w:rPr>
        <w:t xml:space="preserve"> </w:t>
      </w:r>
      <w:r w:rsidR="00EB24A7" w:rsidRPr="008B3FBB">
        <w:rPr>
          <w:rFonts w:ascii="Times New Roman" w:hAnsi="Times New Roman"/>
          <w:szCs w:val="24"/>
        </w:rPr>
        <w:t xml:space="preserve">It demonstrates that the judges have full discretion to determine the term of imprisonment, provided it conforms with the </w:t>
      </w:r>
      <w:r w:rsidR="00DA3909">
        <w:rPr>
          <w:rFonts w:ascii="Times New Roman" w:hAnsi="Times New Roman"/>
          <w:szCs w:val="24"/>
        </w:rPr>
        <w:t>statute and RPE provisions</w:t>
      </w:r>
      <w:r w:rsidR="00EB24A7" w:rsidRPr="008B3FBB">
        <w:rPr>
          <w:rFonts w:ascii="Times New Roman" w:hAnsi="Times New Roman"/>
          <w:szCs w:val="24"/>
        </w:rPr>
        <w:t>.</w:t>
      </w:r>
      <w:r w:rsidRPr="008B3FBB">
        <w:rPr>
          <w:rFonts w:ascii="Times New Roman" w:hAnsi="Times New Roman"/>
          <w:szCs w:val="24"/>
        </w:rPr>
        <w:t xml:space="preserve"> The </w:t>
      </w:r>
      <w:r w:rsidR="00DA3909">
        <w:rPr>
          <w:rFonts w:ascii="Times New Roman" w:hAnsi="Times New Roman"/>
          <w:szCs w:val="24"/>
        </w:rPr>
        <w:t>prosecutor's request</w:t>
      </w:r>
      <w:r w:rsidRPr="008B3FBB">
        <w:rPr>
          <w:rFonts w:ascii="Times New Roman" w:hAnsi="Times New Roman"/>
          <w:szCs w:val="24"/>
        </w:rPr>
        <w:t xml:space="preserve"> on a higher sentence seems to demonstrate his </w:t>
      </w:r>
      <w:r w:rsidR="00282F03">
        <w:rPr>
          <w:rFonts w:ascii="Times New Roman" w:hAnsi="Times New Roman"/>
          <w:szCs w:val="24"/>
        </w:rPr>
        <w:t>viewpoint</w:t>
      </w:r>
      <w:r w:rsidRPr="008B3FBB">
        <w:rPr>
          <w:rFonts w:ascii="Times New Roman" w:hAnsi="Times New Roman"/>
          <w:szCs w:val="24"/>
        </w:rPr>
        <w:t xml:space="preserve"> on retributive justice</w:t>
      </w:r>
      <w:r w:rsidR="005C5E2F" w:rsidRPr="008B3FBB">
        <w:rPr>
          <w:rFonts w:ascii="Times New Roman" w:hAnsi="Times New Roman"/>
          <w:szCs w:val="24"/>
        </w:rPr>
        <w:t>, especially the doctrine of retribution</w:t>
      </w:r>
      <w:r w:rsidR="00492C70">
        <w:rPr>
          <w:rFonts w:ascii="Times New Roman" w:hAnsi="Times New Roman"/>
          <w:szCs w:val="24"/>
        </w:rPr>
        <w:t xml:space="preserve">, </w:t>
      </w:r>
      <w:r w:rsidR="00492C70">
        <w:rPr>
          <w:rFonts w:ascii="Times New Roman" w:hAnsi="Times New Roman"/>
          <w:szCs w:val="24"/>
        </w:rPr>
        <w:lastRenderedPageBreak/>
        <w:t>just desert</w:t>
      </w:r>
      <w:r w:rsidR="005C5E2F" w:rsidRPr="008B3FBB">
        <w:rPr>
          <w:rFonts w:ascii="Times New Roman" w:hAnsi="Times New Roman"/>
          <w:szCs w:val="24"/>
        </w:rPr>
        <w:t xml:space="preserve"> and deterrence</w:t>
      </w:r>
      <w:r w:rsidR="00085B81">
        <w:rPr>
          <w:rFonts w:ascii="Times New Roman" w:hAnsi="Times New Roman"/>
          <w:szCs w:val="24"/>
        </w:rPr>
        <w:t>.</w:t>
      </w:r>
      <w:r w:rsidR="00085B81" w:rsidRPr="00085B81">
        <w:rPr>
          <w:rFonts w:ascii="Times New Roman" w:hAnsi="Times New Roman"/>
          <w:szCs w:val="24"/>
        </w:rPr>
        <w:t xml:space="preserve"> </w:t>
      </w:r>
      <w:r w:rsidR="00085B81" w:rsidRPr="0003017A">
        <w:rPr>
          <w:rFonts w:ascii="Times New Roman" w:hAnsi="Times New Roman"/>
          <w:szCs w:val="24"/>
        </w:rPr>
        <w:t>As mentioned in the literature review, there is no empirical evidence that criminal trials deter crimes.</w:t>
      </w:r>
      <w:r w:rsidR="00085B81" w:rsidRPr="0003017A">
        <w:rPr>
          <w:rStyle w:val="FootnoteReference"/>
          <w:rFonts w:ascii="Times New Roman" w:hAnsi="Times New Roman"/>
          <w:szCs w:val="24"/>
        </w:rPr>
        <w:footnoteReference w:id="1063"/>
      </w:r>
      <w:r w:rsidR="00085B81" w:rsidRPr="0003017A">
        <w:rPr>
          <w:rFonts w:ascii="Times New Roman" w:hAnsi="Times New Roman"/>
          <w:szCs w:val="24"/>
        </w:rPr>
        <w:t xml:space="preserve">Prior studies also note that deterrent as an arm of retributive justice serves a more rhetoric function then a </w:t>
      </w:r>
      <w:r w:rsidR="00085B81" w:rsidRPr="00085B81">
        <w:rPr>
          <w:rFonts w:ascii="Times New Roman" w:hAnsi="Times New Roman"/>
          <w:szCs w:val="24"/>
        </w:rPr>
        <w:t>pragmatic one.</w:t>
      </w:r>
      <w:r w:rsidR="00085B81" w:rsidRPr="00085B81">
        <w:rPr>
          <w:rStyle w:val="FootnoteReference"/>
          <w:rFonts w:ascii="Times New Roman" w:hAnsi="Times New Roman"/>
          <w:szCs w:val="24"/>
        </w:rPr>
        <w:footnoteReference w:id="1064"/>
      </w:r>
      <w:r w:rsidR="00085B81" w:rsidRPr="00085B81">
        <w:rPr>
          <w:rFonts w:ascii="Times New Roman" w:hAnsi="Times New Roman"/>
          <w:szCs w:val="24"/>
        </w:rPr>
        <w:t xml:space="preserve">The deterrent function could be </w:t>
      </w:r>
      <w:r w:rsidR="00111F78">
        <w:rPr>
          <w:rFonts w:ascii="Times New Roman" w:hAnsi="Times New Roman"/>
          <w:szCs w:val="24"/>
        </w:rPr>
        <w:t xml:space="preserve">an </w:t>
      </w:r>
      <w:r w:rsidR="00085B81" w:rsidRPr="00085B81">
        <w:rPr>
          <w:rFonts w:ascii="Times New Roman" w:hAnsi="Times New Roman"/>
          <w:szCs w:val="24"/>
        </w:rPr>
        <w:t>individual function for the sentenced person or general deterrence for future offenders.</w:t>
      </w:r>
      <w:r w:rsidR="008B3FBB" w:rsidRPr="00085B81">
        <w:rPr>
          <w:rFonts w:ascii="Times New Roman" w:hAnsi="Times New Roman"/>
          <w:szCs w:val="24"/>
        </w:rPr>
        <w:t xml:space="preserve"> The Judge dismissed the OTP’s request for a threshold sentence of 20-30 years. This sentence seems to reflect that the war crime of using children under the age of 15 years to participate actively in hostilities is not considered severe to warrant the highest sentence of 30 years imprisonment </w:t>
      </w:r>
      <w:r w:rsidR="00282F03">
        <w:rPr>
          <w:rFonts w:ascii="Times New Roman" w:hAnsi="Times New Roman"/>
          <w:szCs w:val="24"/>
        </w:rPr>
        <w:t>or</w:t>
      </w:r>
      <w:r w:rsidR="008B3FBB" w:rsidRPr="00085B81">
        <w:rPr>
          <w:rFonts w:ascii="Times New Roman" w:hAnsi="Times New Roman"/>
          <w:szCs w:val="24"/>
        </w:rPr>
        <w:t xml:space="preserve"> life imprisonment. This sentence supports Schabas assertion that genocide and crimes against humanity rank higher in the hierarchy than war crimes.</w:t>
      </w:r>
      <w:r w:rsidR="008B3FBB" w:rsidRPr="00085B81">
        <w:rPr>
          <w:rStyle w:val="FootnoteReference"/>
          <w:rFonts w:ascii="Times New Roman" w:hAnsi="Times New Roman"/>
          <w:szCs w:val="24"/>
        </w:rPr>
        <w:footnoteReference w:id="1065"/>
      </w:r>
      <w:r w:rsidR="008B3FBB" w:rsidRPr="00085B81">
        <w:rPr>
          <w:rFonts w:ascii="Times New Roman" w:hAnsi="Times New Roman"/>
          <w:szCs w:val="24"/>
        </w:rPr>
        <w:t xml:space="preserve"> We should bear in mind that the Rome Statute does not expressly provide for the hierarchy of crimes. Perhaps, the Chamber did not consider the war crime of recruit</w:t>
      </w:r>
      <w:r w:rsidR="00EA76B9">
        <w:rPr>
          <w:rFonts w:ascii="Times New Roman" w:hAnsi="Times New Roman"/>
          <w:szCs w:val="24"/>
        </w:rPr>
        <w:t>ing</w:t>
      </w:r>
      <w:r w:rsidR="008B3FBB" w:rsidRPr="00085B81">
        <w:rPr>
          <w:rFonts w:ascii="Times New Roman" w:hAnsi="Times New Roman"/>
          <w:szCs w:val="24"/>
        </w:rPr>
        <w:t xml:space="preserve"> child soldiers as severe to warrant a higher sentence. </w:t>
      </w:r>
      <w:r w:rsidR="00111F78">
        <w:rPr>
          <w:rFonts w:ascii="Times New Roman" w:hAnsi="Times New Roman"/>
          <w:szCs w:val="24"/>
        </w:rPr>
        <w:t>Possibly the declared sentence implies a liberal approach to water down vengeance request from the victims.</w:t>
      </w:r>
    </w:p>
    <w:p w14:paraId="69721812" w14:textId="0760E5D4" w:rsidR="00BB70A3" w:rsidRPr="0003017A" w:rsidRDefault="00BB70A3" w:rsidP="00FB7B02">
      <w:pPr>
        <w:spacing w:line="480" w:lineRule="auto"/>
        <w:jc w:val="both"/>
        <w:rPr>
          <w:rFonts w:ascii="Times New Roman" w:hAnsi="Times New Roman"/>
          <w:szCs w:val="24"/>
        </w:rPr>
      </w:pPr>
      <w:r w:rsidRPr="0003017A">
        <w:rPr>
          <w:rFonts w:ascii="Times New Roman" w:hAnsi="Times New Roman"/>
          <w:szCs w:val="24"/>
        </w:rPr>
        <w:t xml:space="preserve">Another emerging issue is the possibility that active victim participation during sentencing may likely override the </w:t>
      </w:r>
      <w:r w:rsidR="00DA3909">
        <w:rPr>
          <w:rFonts w:ascii="Times New Roman" w:hAnsi="Times New Roman"/>
          <w:szCs w:val="24"/>
        </w:rPr>
        <w:t>process's objectivity</w:t>
      </w:r>
      <w:r w:rsidRPr="0003017A">
        <w:rPr>
          <w:rFonts w:ascii="Times New Roman" w:hAnsi="Times New Roman"/>
          <w:szCs w:val="24"/>
        </w:rPr>
        <w:t xml:space="preserve">. It is </w:t>
      </w:r>
      <w:r w:rsidR="008F6111">
        <w:rPr>
          <w:rFonts w:ascii="Times New Roman" w:hAnsi="Times New Roman"/>
          <w:szCs w:val="24"/>
        </w:rPr>
        <w:t>crucial</w:t>
      </w:r>
      <w:r w:rsidRPr="0003017A">
        <w:rPr>
          <w:rFonts w:ascii="Times New Roman" w:hAnsi="Times New Roman"/>
          <w:szCs w:val="24"/>
        </w:rPr>
        <w:t xml:space="preserve"> to bear in mind the possible bias that might arise if victims are given extensive rights to participate.</w:t>
      </w:r>
      <w:r w:rsidR="008F6111">
        <w:rPr>
          <w:rFonts w:ascii="Times New Roman" w:hAnsi="Times New Roman"/>
          <w:szCs w:val="24"/>
        </w:rPr>
        <w:t xml:space="preserve"> Unre</w:t>
      </w:r>
      <w:r w:rsidR="00111F78">
        <w:rPr>
          <w:rFonts w:ascii="Times New Roman" w:hAnsi="Times New Roman"/>
          <w:szCs w:val="24"/>
        </w:rPr>
        <w:t>gulated</w:t>
      </w:r>
      <w:r w:rsidR="008F6111">
        <w:rPr>
          <w:rFonts w:ascii="Times New Roman" w:hAnsi="Times New Roman"/>
          <w:szCs w:val="24"/>
        </w:rPr>
        <w:t xml:space="preserve"> victim engagement during sentencing may lead to an emotional </w:t>
      </w:r>
      <w:r w:rsidR="008F6111">
        <w:rPr>
          <w:rFonts w:ascii="Times New Roman" w:hAnsi="Times New Roman"/>
          <w:szCs w:val="24"/>
        </w:rPr>
        <w:lastRenderedPageBreak/>
        <w:t xml:space="preserve">rollercoaster. </w:t>
      </w:r>
      <w:r w:rsidRPr="0003017A">
        <w:rPr>
          <w:rFonts w:ascii="Times New Roman" w:hAnsi="Times New Roman"/>
          <w:szCs w:val="24"/>
        </w:rPr>
        <w:t xml:space="preserve"> It is believed that most of the victims are speaking from a place of hurt, as a result of their sufferings, most times, their subm</w:t>
      </w:r>
      <w:r w:rsidR="008F6111">
        <w:rPr>
          <w:rFonts w:ascii="Times New Roman" w:hAnsi="Times New Roman"/>
          <w:szCs w:val="24"/>
        </w:rPr>
        <w:t xml:space="preserve">issions may be very subjective and vengeful. </w:t>
      </w:r>
      <w:r w:rsidRPr="0003017A">
        <w:rPr>
          <w:rFonts w:ascii="Times New Roman" w:hAnsi="Times New Roman"/>
          <w:szCs w:val="24"/>
        </w:rPr>
        <w:t>On the other hand, the rights of the convicted person need to be considered and protected. Therefore, the convict’s circumstances is a major factor in the d</w:t>
      </w:r>
      <w:r w:rsidR="008F6111">
        <w:rPr>
          <w:rFonts w:ascii="Times New Roman" w:hAnsi="Times New Roman"/>
          <w:szCs w:val="24"/>
        </w:rPr>
        <w:t>etermination of sentencing. Arguably, this</w:t>
      </w:r>
      <w:r w:rsidRPr="0003017A">
        <w:rPr>
          <w:rFonts w:ascii="Times New Roman" w:hAnsi="Times New Roman"/>
          <w:szCs w:val="24"/>
        </w:rPr>
        <w:t xml:space="preserve"> helps us </w:t>
      </w:r>
      <w:r w:rsidR="00DA3909">
        <w:rPr>
          <w:rFonts w:ascii="Times New Roman" w:hAnsi="Times New Roman"/>
          <w:szCs w:val="24"/>
        </w:rPr>
        <w:t>understand that the sentencing stage is dominated by retributive justice principles</w:t>
      </w:r>
      <w:r w:rsidRPr="0003017A">
        <w:rPr>
          <w:rFonts w:ascii="Times New Roman" w:hAnsi="Times New Roman"/>
          <w:szCs w:val="24"/>
        </w:rPr>
        <w:t xml:space="preserve"> with lesser principles of restorative justice.</w:t>
      </w:r>
    </w:p>
    <w:p w14:paraId="59125A42" w14:textId="0A2726DA" w:rsidR="0073789E" w:rsidRDefault="0073789E" w:rsidP="00FB7B02">
      <w:pPr>
        <w:spacing w:line="480" w:lineRule="auto"/>
        <w:jc w:val="both"/>
        <w:rPr>
          <w:rFonts w:ascii="Times New Roman" w:hAnsi="Times New Roman"/>
          <w:szCs w:val="24"/>
        </w:rPr>
      </w:pPr>
      <w:r w:rsidRPr="0003017A">
        <w:rPr>
          <w:rFonts w:ascii="Times New Roman" w:hAnsi="Times New Roman"/>
          <w:szCs w:val="24"/>
        </w:rPr>
        <w:t>Moreover, the</w:t>
      </w:r>
      <w:r w:rsidR="00282F03">
        <w:rPr>
          <w:rFonts w:ascii="Times New Roman" w:hAnsi="Times New Roman"/>
          <w:szCs w:val="24"/>
        </w:rPr>
        <w:t xml:space="preserve"> Lubanga case also emphasised the</w:t>
      </w:r>
      <w:r w:rsidRPr="0003017A">
        <w:rPr>
          <w:rFonts w:ascii="Times New Roman" w:hAnsi="Times New Roman"/>
          <w:szCs w:val="24"/>
        </w:rPr>
        <w:t xml:space="preserve"> importance of apology(genuine) for victims in sentencing.</w:t>
      </w:r>
      <w:r w:rsidR="00AD5D2D">
        <w:rPr>
          <w:rFonts w:ascii="Times New Roman" w:hAnsi="Times New Roman"/>
          <w:szCs w:val="24"/>
        </w:rPr>
        <w:t xml:space="preserve"> </w:t>
      </w:r>
      <w:r w:rsidRPr="0003017A">
        <w:rPr>
          <w:rFonts w:ascii="Times New Roman" w:hAnsi="Times New Roman"/>
          <w:szCs w:val="24"/>
        </w:rPr>
        <w:t xml:space="preserve">The Prosecutor </w:t>
      </w:r>
      <w:r w:rsidR="007B2B8E">
        <w:rPr>
          <w:rFonts w:ascii="Times New Roman" w:hAnsi="Times New Roman"/>
          <w:szCs w:val="24"/>
        </w:rPr>
        <w:t>attempted</w:t>
      </w:r>
      <w:r w:rsidRPr="0003017A">
        <w:rPr>
          <w:rFonts w:ascii="Times New Roman" w:hAnsi="Times New Roman"/>
          <w:szCs w:val="24"/>
        </w:rPr>
        <w:t xml:space="preserve"> to negotiate with the convict by requesting the latter to make a ‘genuine apology’ to victims </w:t>
      </w:r>
      <w:r w:rsidR="00AD5D2D">
        <w:rPr>
          <w:rFonts w:ascii="Times New Roman" w:hAnsi="Times New Roman"/>
          <w:szCs w:val="24"/>
        </w:rPr>
        <w:t>because of his culpability</w:t>
      </w:r>
      <w:r w:rsidRPr="0003017A">
        <w:rPr>
          <w:rFonts w:ascii="Times New Roman" w:hAnsi="Times New Roman"/>
          <w:szCs w:val="24"/>
        </w:rPr>
        <w:t>.</w:t>
      </w:r>
      <w:r w:rsidRPr="0003017A">
        <w:rPr>
          <w:rStyle w:val="FootnoteReference"/>
          <w:rFonts w:ascii="Times New Roman" w:hAnsi="Times New Roman"/>
          <w:szCs w:val="24"/>
        </w:rPr>
        <w:footnoteReference w:id="1066"/>
      </w:r>
      <w:r w:rsidRPr="0003017A">
        <w:rPr>
          <w:rFonts w:ascii="Times New Roman" w:hAnsi="Times New Roman"/>
          <w:szCs w:val="24"/>
        </w:rPr>
        <w:t xml:space="preserve"> The Prosecutor assert</w:t>
      </w:r>
      <w:r w:rsidR="00AD5D2D">
        <w:rPr>
          <w:rFonts w:ascii="Times New Roman" w:hAnsi="Times New Roman"/>
          <w:szCs w:val="24"/>
        </w:rPr>
        <w:t>ed</w:t>
      </w:r>
      <w:r w:rsidRPr="0003017A">
        <w:rPr>
          <w:rFonts w:ascii="Times New Roman" w:hAnsi="Times New Roman"/>
          <w:szCs w:val="24"/>
        </w:rPr>
        <w:t xml:space="preserve"> that he would be willing to reduce the request for </w:t>
      </w:r>
      <w:r w:rsidR="00AD5D2D">
        <w:rPr>
          <w:rFonts w:ascii="Times New Roman" w:hAnsi="Times New Roman"/>
          <w:szCs w:val="24"/>
        </w:rPr>
        <w:t xml:space="preserve">a </w:t>
      </w:r>
      <w:r w:rsidRPr="0003017A">
        <w:rPr>
          <w:rFonts w:ascii="Times New Roman" w:hAnsi="Times New Roman"/>
          <w:szCs w:val="24"/>
        </w:rPr>
        <w:t>sentence from proposed 30</w:t>
      </w:r>
      <w:r w:rsidR="00282F03">
        <w:rPr>
          <w:rFonts w:ascii="Times New Roman" w:hAnsi="Times New Roman"/>
          <w:szCs w:val="24"/>
        </w:rPr>
        <w:t xml:space="preserve"> </w:t>
      </w:r>
      <w:r w:rsidRPr="0003017A">
        <w:rPr>
          <w:rFonts w:ascii="Times New Roman" w:hAnsi="Times New Roman"/>
          <w:szCs w:val="24"/>
        </w:rPr>
        <w:t>years to 20</w:t>
      </w:r>
      <w:r w:rsidR="00282F03">
        <w:rPr>
          <w:rFonts w:ascii="Times New Roman" w:hAnsi="Times New Roman"/>
          <w:szCs w:val="24"/>
        </w:rPr>
        <w:t xml:space="preserve"> </w:t>
      </w:r>
      <w:r w:rsidRPr="0003017A">
        <w:rPr>
          <w:rFonts w:ascii="Times New Roman" w:hAnsi="Times New Roman"/>
          <w:szCs w:val="24"/>
        </w:rPr>
        <w:t>years pro</w:t>
      </w:r>
      <w:r w:rsidR="00AD5D2D">
        <w:rPr>
          <w:rFonts w:ascii="Times New Roman" w:hAnsi="Times New Roman"/>
          <w:szCs w:val="24"/>
        </w:rPr>
        <w:t>vided the convicted person made</w:t>
      </w:r>
      <w:r w:rsidRPr="0003017A">
        <w:rPr>
          <w:rFonts w:ascii="Times New Roman" w:hAnsi="Times New Roman"/>
          <w:szCs w:val="24"/>
        </w:rPr>
        <w:t xml:space="preserve"> a ‘genuine apology’ to the victims. </w:t>
      </w:r>
      <w:r w:rsidR="007B2B8E">
        <w:rPr>
          <w:rFonts w:ascii="Times New Roman" w:hAnsi="Times New Roman"/>
          <w:szCs w:val="24"/>
        </w:rPr>
        <w:t>T</w:t>
      </w:r>
      <w:r w:rsidRPr="0003017A">
        <w:rPr>
          <w:rFonts w:ascii="Times New Roman" w:hAnsi="Times New Roman"/>
          <w:szCs w:val="24"/>
        </w:rPr>
        <w:t>he Chamber</w:t>
      </w:r>
      <w:r w:rsidR="007B2B8E">
        <w:rPr>
          <w:rFonts w:ascii="Times New Roman" w:hAnsi="Times New Roman"/>
          <w:szCs w:val="24"/>
        </w:rPr>
        <w:t xml:space="preserve"> eventually</w:t>
      </w:r>
      <w:r w:rsidRPr="0003017A">
        <w:rPr>
          <w:rFonts w:ascii="Times New Roman" w:hAnsi="Times New Roman"/>
          <w:szCs w:val="24"/>
        </w:rPr>
        <w:t xml:space="preserve"> dismissed this request. However, this request she</w:t>
      </w:r>
      <w:r w:rsidR="00AD5D2D">
        <w:rPr>
          <w:rFonts w:ascii="Times New Roman" w:hAnsi="Times New Roman"/>
          <w:szCs w:val="24"/>
        </w:rPr>
        <w:t xml:space="preserve">d light on the significance of </w:t>
      </w:r>
      <w:r w:rsidRPr="0003017A">
        <w:rPr>
          <w:rFonts w:ascii="Times New Roman" w:hAnsi="Times New Roman"/>
          <w:szCs w:val="24"/>
        </w:rPr>
        <w:t>sincere apologies for victims.</w:t>
      </w:r>
      <w:r w:rsidR="00AD5D2D">
        <w:rPr>
          <w:rFonts w:ascii="Times New Roman" w:hAnsi="Times New Roman"/>
          <w:szCs w:val="24"/>
        </w:rPr>
        <w:t xml:space="preserve"> </w:t>
      </w:r>
      <w:r w:rsidRPr="0003017A">
        <w:rPr>
          <w:rFonts w:ascii="Times New Roman" w:hAnsi="Times New Roman"/>
          <w:szCs w:val="24"/>
        </w:rPr>
        <w:t xml:space="preserve">It also shows that apology from the convict may be perceived as </w:t>
      </w:r>
      <w:r w:rsidR="00AD5D2D">
        <w:rPr>
          <w:rFonts w:ascii="Times New Roman" w:hAnsi="Times New Roman"/>
          <w:szCs w:val="24"/>
        </w:rPr>
        <w:t xml:space="preserve">an </w:t>
      </w:r>
      <w:r w:rsidR="007B2B8E">
        <w:rPr>
          <w:rFonts w:ascii="Times New Roman" w:hAnsi="Times New Roman"/>
          <w:szCs w:val="24"/>
        </w:rPr>
        <w:t>essential</w:t>
      </w:r>
      <w:r w:rsidR="0003017A" w:rsidRPr="0003017A">
        <w:rPr>
          <w:rFonts w:ascii="Times New Roman" w:hAnsi="Times New Roman"/>
          <w:szCs w:val="24"/>
        </w:rPr>
        <w:t xml:space="preserve"> aspect </w:t>
      </w:r>
      <w:r w:rsidR="007B2B8E">
        <w:rPr>
          <w:rFonts w:ascii="Times New Roman" w:hAnsi="Times New Roman"/>
          <w:szCs w:val="24"/>
        </w:rPr>
        <w:t>of</w:t>
      </w:r>
      <w:r w:rsidR="0003017A" w:rsidRPr="0003017A">
        <w:rPr>
          <w:rFonts w:ascii="Times New Roman" w:hAnsi="Times New Roman"/>
          <w:szCs w:val="24"/>
        </w:rPr>
        <w:t xml:space="preserve"> sentencing</w:t>
      </w:r>
      <w:r w:rsidR="00282F03">
        <w:rPr>
          <w:rFonts w:ascii="Times New Roman" w:hAnsi="Times New Roman"/>
          <w:szCs w:val="24"/>
        </w:rPr>
        <w:t xml:space="preserve"> and review</w:t>
      </w:r>
      <w:r w:rsidRPr="0003017A">
        <w:rPr>
          <w:rFonts w:ascii="Times New Roman" w:hAnsi="Times New Roman"/>
          <w:szCs w:val="24"/>
        </w:rPr>
        <w:t xml:space="preserve">. </w:t>
      </w:r>
      <w:r w:rsidR="00AD5D2D">
        <w:rPr>
          <w:rFonts w:ascii="Times New Roman" w:hAnsi="Times New Roman"/>
          <w:szCs w:val="24"/>
        </w:rPr>
        <w:t xml:space="preserve">Surprisingly, from the perspective of the defence, </w:t>
      </w:r>
      <w:r w:rsidR="00282F03">
        <w:rPr>
          <w:rFonts w:ascii="Times New Roman" w:hAnsi="Times New Roman"/>
          <w:szCs w:val="24"/>
        </w:rPr>
        <w:t>i</w:t>
      </w:r>
      <w:r w:rsidR="0003017A" w:rsidRPr="0003017A">
        <w:rPr>
          <w:rFonts w:ascii="Times New Roman" w:hAnsi="Times New Roman"/>
          <w:szCs w:val="24"/>
        </w:rPr>
        <w:t>t seems</w:t>
      </w:r>
      <w:r w:rsidRPr="0003017A">
        <w:rPr>
          <w:rFonts w:ascii="Times New Roman" w:hAnsi="Times New Roman"/>
          <w:szCs w:val="24"/>
        </w:rPr>
        <w:t xml:space="preserve"> </w:t>
      </w:r>
      <w:r w:rsidR="0003017A" w:rsidRPr="0003017A">
        <w:rPr>
          <w:rFonts w:ascii="Times New Roman" w:hAnsi="Times New Roman"/>
          <w:szCs w:val="24"/>
        </w:rPr>
        <w:t xml:space="preserve">apology </w:t>
      </w:r>
      <w:r w:rsidR="00AD5D2D">
        <w:rPr>
          <w:rFonts w:ascii="Times New Roman" w:hAnsi="Times New Roman"/>
          <w:szCs w:val="24"/>
        </w:rPr>
        <w:t xml:space="preserve">are mitigating circumstances. </w:t>
      </w:r>
      <w:r w:rsidR="0003017A" w:rsidRPr="0003017A">
        <w:rPr>
          <w:rFonts w:ascii="Times New Roman" w:hAnsi="Times New Roman"/>
          <w:szCs w:val="24"/>
        </w:rPr>
        <w:t xml:space="preserve">Here it performs </w:t>
      </w:r>
      <w:r w:rsidR="00AD5D2D">
        <w:rPr>
          <w:rFonts w:ascii="Times New Roman" w:hAnsi="Times New Roman"/>
          <w:szCs w:val="24"/>
        </w:rPr>
        <w:t xml:space="preserve">a </w:t>
      </w:r>
      <w:r w:rsidR="0003017A" w:rsidRPr="0003017A">
        <w:rPr>
          <w:rFonts w:ascii="Times New Roman" w:hAnsi="Times New Roman"/>
          <w:szCs w:val="24"/>
        </w:rPr>
        <w:t>dual function, as a mitigating</w:t>
      </w:r>
      <w:r w:rsidR="00AD5D2D">
        <w:rPr>
          <w:rFonts w:ascii="Times New Roman" w:hAnsi="Times New Roman"/>
          <w:szCs w:val="24"/>
        </w:rPr>
        <w:t xml:space="preserve"> circumstance for the defence</w:t>
      </w:r>
      <w:r w:rsidR="0003017A" w:rsidRPr="0003017A">
        <w:rPr>
          <w:rFonts w:ascii="Times New Roman" w:hAnsi="Times New Roman"/>
          <w:szCs w:val="24"/>
        </w:rPr>
        <w:t xml:space="preserve"> and, also as a restorative function. As mitigating </w:t>
      </w:r>
      <w:r w:rsidR="0003017A" w:rsidRPr="0003017A">
        <w:rPr>
          <w:rFonts w:ascii="Times New Roman" w:hAnsi="Times New Roman"/>
          <w:szCs w:val="24"/>
        </w:rPr>
        <w:lastRenderedPageBreak/>
        <w:t xml:space="preserve">circumstances, they may be used as metrics for punishment or as an approach to teach offenders lessons, vindicate </w:t>
      </w:r>
      <w:r w:rsidRPr="0003017A">
        <w:rPr>
          <w:rFonts w:ascii="Times New Roman" w:hAnsi="Times New Roman"/>
          <w:szCs w:val="24"/>
        </w:rPr>
        <w:t>and expedite reintegration into the society.</w:t>
      </w:r>
      <w:r w:rsidRPr="0003017A">
        <w:rPr>
          <w:rStyle w:val="FootnoteReference"/>
          <w:rFonts w:ascii="Times New Roman" w:hAnsi="Times New Roman"/>
          <w:szCs w:val="24"/>
        </w:rPr>
        <w:footnoteReference w:id="1067"/>
      </w:r>
      <w:r w:rsidRPr="0003017A">
        <w:rPr>
          <w:rFonts w:ascii="Times New Roman" w:hAnsi="Times New Roman"/>
          <w:szCs w:val="24"/>
        </w:rPr>
        <w:t xml:space="preserve">  </w:t>
      </w:r>
    </w:p>
    <w:p w14:paraId="301D6926" w14:textId="32EBF883" w:rsidR="009917FE" w:rsidRDefault="0000011C" w:rsidP="00FB7B02">
      <w:pPr>
        <w:spacing w:line="480" w:lineRule="auto"/>
        <w:jc w:val="both"/>
        <w:rPr>
          <w:rFonts w:ascii="Times New Roman" w:hAnsi="Times New Roman"/>
          <w:szCs w:val="24"/>
        </w:rPr>
      </w:pPr>
      <w:r>
        <w:rPr>
          <w:rFonts w:ascii="Times New Roman" w:hAnsi="Times New Roman"/>
          <w:szCs w:val="24"/>
        </w:rPr>
        <w:t>Moving on now to consider sentence revie</w:t>
      </w:r>
      <w:r w:rsidR="007611B2">
        <w:rPr>
          <w:rFonts w:ascii="Times New Roman" w:hAnsi="Times New Roman"/>
          <w:szCs w:val="24"/>
        </w:rPr>
        <w:t>w</w:t>
      </w:r>
      <w:r>
        <w:rPr>
          <w:rFonts w:ascii="Times New Roman" w:hAnsi="Times New Roman"/>
          <w:szCs w:val="24"/>
        </w:rPr>
        <w:t xml:space="preserve">, </w:t>
      </w:r>
      <w:r w:rsidR="009917FE" w:rsidRPr="00310C19">
        <w:rPr>
          <w:rFonts w:ascii="Times New Roman" w:hAnsi="Times New Roman"/>
          <w:szCs w:val="24"/>
        </w:rPr>
        <w:t>Hole notes that sentence reduction tries to strike a balance between the interest</w:t>
      </w:r>
      <w:r w:rsidR="00EF5A55">
        <w:rPr>
          <w:rFonts w:ascii="Times New Roman" w:hAnsi="Times New Roman"/>
          <w:szCs w:val="24"/>
        </w:rPr>
        <w:t xml:space="preserve">s of the offender, victims and </w:t>
      </w:r>
      <w:r w:rsidR="009917FE" w:rsidRPr="00310C19">
        <w:rPr>
          <w:rFonts w:ascii="Times New Roman" w:hAnsi="Times New Roman"/>
          <w:szCs w:val="24"/>
        </w:rPr>
        <w:t>the community.  From his perspective, the sentence review checks ‘an arbitrary’ discretion’ to the Court.</w:t>
      </w:r>
      <w:r w:rsidR="009917FE" w:rsidRPr="00310C19">
        <w:rPr>
          <w:rStyle w:val="FootnoteReference"/>
          <w:rFonts w:ascii="Times New Roman" w:hAnsi="Times New Roman"/>
          <w:szCs w:val="24"/>
        </w:rPr>
        <w:footnoteReference w:id="1068"/>
      </w:r>
      <w:r w:rsidR="009917FE" w:rsidRPr="00310C19">
        <w:rPr>
          <w:rFonts w:ascii="Times New Roman" w:hAnsi="Times New Roman"/>
          <w:szCs w:val="24"/>
        </w:rPr>
        <w:t>Arguably, the sentence review gives victims a more</w:t>
      </w:r>
      <w:r w:rsidR="007611B2">
        <w:rPr>
          <w:rFonts w:ascii="Times New Roman" w:hAnsi="Times New Roman"/>
          <w:szCs w:val="24"/>
        </w:rPr>
        <w:t xml:space="preserve"> participatory role- within two polarised parties. </w:t>
      </w:r>
      <w:r w:rsidR="00C56C50" w:rsidRPr="00310C19">
        <w:rPr>
          <w:rFonts w:ascii="Times New Roman" w:hAnsi="Times New Roman"/>
          <w:szCs w:val="24"/>
        </w:rPr>
        <w:t xml:space="preserve"> Similarly</w:t>
      </w:r>
      <w:r w:rsidR="007611B2">
        <w:rPr>
          <w:rFonts w:ascii="Times New Roman" w:hAnsi="Times New Roman"/>
          <w:szCs w:val="24"/>
        </w:rPr>
        <w:t>,</w:t>
      </w:r>
      <w:r w:rsidR="009917FE" w:rsidRPr="00310C19">
        <w:rPr>
          <w:rFonts w:ascii="Times New Roman" w:hAnsi="Times New Roman"/>
          <w:szCs w:val="24"/>
        </w:rPr>
        <w:t xml:space="preserve"> one could argue that it permits a deeper interaction bet</w:t>
      </w:r>
      <w:r w:rsidR="00C56C50" w:rsidRPr="00310C19">
        <w:rPr>
          <w:rFonts w:ascii="Times New Roman" w:hAnsi="Times New Roman"/>
          <w:szCs w:val="24"/>
        </w:rPr>
        <w:t>ween the victims and the sentenced person</w:t>
      </w:r>
      <w:r w:rsidR="009917FE" w:rsidRPr="00310C19">
        <w:rPr>
          <w:rFonts w:ascii="Times New Roman" w:hAnsi="Times New Roman"/>
          <w:szCs w:val="24"/>
        </w:rPr>
        <w:t xml:space="preserve">. The conditions listed in Rule 223 appears to stress an integrative or holistic approach to addressing sentence review. These conditions expressly inform </w:t>
      </w:r>
      <w:r w:rsidR="00167ABD">
        <w:rPr>
          <w:rFonts w:ascii="Times New Roman" w:hAnsi="Times New Roman"/>
          <w:szCs w:val="24"/>
        </w:rPr>
        <w:t>an expectation of the offender’</w:t>
      </w:r>
      <w:r w:rsidR="009917FE" w:rsidRPr="00310C19">
        <w:rPr>
          <w:rFonts w:ascii="Times New Roman" w:hAnsi="Times New Roman"/>
          <w:szCs w:val="24"/>
        </w:rPr>
        <w:t xml:space="preserve">s reformation, particularly </w:t>
      </w:r>
      <w:r w:rsidR="007B2B8E">
        <w:rPr>
          <w:rFonts w:ascii="Times New Roman" w:hAnsi="Times New Roman"/>
          <w:szCs w:val="24"/>
        </w:rPr>
        <w:t>concerning</w:t>
      </w:r>
      <w:r w:rsidR="009917FE" w:rsidRPr="00310C19">
        <w:rPr>
          <w:rFonts w:ascii="Times New Roman" w:hAnsi="Times New Roman"/>
          <w:szCs w:val="24"/>
        </w:rPr>
        <w:t xml:space="preserve"> </w:t>
      </w:r>
      <w:r w:rsidR="00167ABD">
        <w:rPr>
          <w:rFonts w:ascii="Times New Roman" w:hAnsi="Times New Roman"/>
          <w:szCs w:val="24"/>
        </w:rPr>
        <w:t xml:space="preserve">the </w:t>
      </w:r>
      <w:r w:rsidR="00DA3909">
        <w:rPr>
          <w:rFonts w:ascii="Times New Roman" w:hAnsi="Times New Roman"/>
          <w:szCs w:val="24"/>
        </w:rPr>
        <w:t>victims' relationship</w:t>
      </w:r>
      <w:r w:rsidR="009917FE" w:rsidRPr="00310C19">
        <w:rPr>
          <w:rFonts w:ascii="Times New Roman" w:hAnsi="Times New Roman"/>
          <w:szCs w:val="24"/>
        </w:rPr>
        <w:t>.</w:t>
      </w:r>
      <w:r w:rsidR="00167ABD">
        <w:rPr>
          <w:rFonts w:ascii="Times New Roman" w:hAnsi="Times New Roman"/>
          <w:szCs w:val="24"/>
        </w:rPr>
        <w:t xml:space="preserve"> By implication,</w:t>
      </w:r>
      <w:r w:rsidR="009917FE" w:rsidRPr="00310C19">
        <w:rPr>
          <w:rFonts w:ascii="Times New Roman" w:hAnsi="Times New Roman"/>
          <w:szCs w:val="24"/>
        </w:rPr>
        <w:t xml:space="preserve"> the offender’s early release is </w:t>
      </w:r>
      <w:r w:rsidR="00DA3909">
        <w:rPr>
          <w:rFonts w:ascii="Times New Roman" w:hAnsi="Times New Roman"/>
          <w:szCs w:val="24"/>
        </w:rPr>
        <w:t xml:space="preserve">conditioned </w:t>
      </w:r>
      <w:r w:rsidR="009917FE" w:rsidRPr="00310C19">
        <w:rPr>
          <w:rFonts w:ascii="Times New Roman" w:hAnsi="Times New Roman"/>
          <w:szCs w:val="24"/>
        </w:rPr>
        <w:t>on ‘significant actions’ to address the harm caused to the victims.</w:t>
      </w:r>
      <w:r w:rsidR="00167ABD">
        <w:rPr>
          <w:rFonts w:ascii="Times New Roman" w:hAnsi="Times New Roman"/>
          <w:szCs w:val="24"/>
        </w:rPr>
        <w:t xml:space="preserve"> The same </w:t>
      </w:r>
      <w:r w:rsidR="009917FE" w:rsidRPr="00310C19">
        <w:rPr>
          <w:rFonts w:ascii="Times New Roman" w:hAnsi="Times New Roman"/>
          <w:szCs w:val="24"/>
        </w:rPr>
        <w:t xml:space="preserve">rules also </w:t>
      </w:r>
      <w:r w:rsidR="007B2B8E">
        <w:rPr>
          <w:rFonts w:ascii="Times New Roman" w:hAnsi="Times New Roman"/>
          <w:szCs w:val="24"/>
        </w:rPr>
        <w:t>emphasise</w:t>
      </w:r>
      <w:r w:rsidR="009917FE" w:rsidRPr="00310C19">
        <w:rPr>
          <w:rFonts w:ascii="Times New Roman" w:hAnsi="Times New Roman"/>
          <w:szCs w:val="24"/>
        </w:rPr>
        <w:t xml:space="preserve"> the implications of the offender’s releas</w:t>
      </w:r>
      <w:r w:rsidR="00C56C50" w:rsidRPr="00310C19">
        <w:rPr>
          <w:rFonts w:ascii="Times New Roman" w:hAnsi="Times New Roman"/>
          <w:szCs w:val="24"/>
        </w:rPr>
        <w:t xml:space="preserve">e on the community. Therefore, </w:t>
      </w:r>
      <w:r w:rsidR="009917FE" w:rsidRPr="00310C19">
        <w:rPr>
          <w:rFonts w:ascii="Times New Roman" w:hAnsi="Times New Roman"/>
          <w:szCs w:val="24"/>
        </w:rPr>
        <w:t>this explores the interrelationship between the offender, victims and the community.</w:t>
      </w:r>
    </w:p>
    <w:p w14:paraId="7357A21B" w14:textId="005BE237" w:rsidR="00731BC5" w:rsidRDefault="00731BC5" w:rsidP="00FB7B02">
      <w:pPr>
        <w:spacing w:line="480" w:lineRule="auto"/>
        <w:jc w:val="both"/>
        <w:rPr>
          <w:rFonts w:ascii="Times New Roman" w:hAnsi="Times New Roman"/>
          <w:szCs w:val="24"/>
        </w:rPr>
      </w:pPr>
      <w:r>
        <w:rPr>
          <w:rFonts w:ascii="Times New Roman" w:hAnsi="Times New Roman"/>
          <w:szCs w:val="24"/>
        </w:rPr>
        <w:t xml:space="preserve">Furthermore, it </w:t>
      </w:r>
      <w:r w:rsidR="007B2B8E">
        <w:rPr>
          <w:rFonts w:ascii="Times New Roman" w:hAnsi="Times New Roman"/>
          <w:szCs w:val="24"/>
        </w:rPr>
        <w:t>can be</w:t>
      </w:r>
      <w:r>
        <w:rPr>
          <w:rFonts w:ascii="Times New Roman" w:hAnsi="Times New Roman"/>
          <w:szCs w:val="24"/>
        </w:rPr>
        <w:t xml:space="preserve"> </w:t>
      </w:r>
      <w:r w:rsidR="007B2B8E">
        <w:rPr>
          <w:rFonts w:ascii="Times New Roman" w:hAnsi="Times New Roman"/>
          <w:szCs w:val="24"/>
        </w:rPr>
        <w:t xml:space="preserve">seen </w:t>
      </w:r>
      <w:r>
        <w:rPr>
          <w:rFonts w:ascii="Times New Roman" w:hAnsi="Times New Roman"/>
          <w:szCs w:val="24"/>
        </w:rPr>
        <w:t xml:space="preserve">that </w:t>
      </w:r>
      <w:r w:rsidRPr="002A224D">
        <w:rPr>
          <w:rFonts w:ascii="Times New Roman" w:hAnsi="Times New Roman"/>
          <w:szCs w:val="24"/>
        </w:rPr>
        <w:t xml:space="preserve">the victims expressed their dissatisfaction with the review of </w:t>
      </w:r>
      <w:r>
        <w:rPr>
          <w:rFonts w:ascii="Times New Roman" w:hAnsi="Times New Roman"/>
          <w:szCs w:val="24"/>
        </w:rPr>
        <w:t xml:space="preserve">the </w:t>
      </w:r>
      <w:r w:rsidRPr="002A224D">
        <w:rPr>
          <w:rFonts w:ascii="Times New Roman" w:hAnsi="Times New Roman"/>
          <w:szCs w:val="24"/>
        </w:rPr>
        <w:t>sentence by adducing reasons why the convicted person should not be released earlier than envisaged.</w:t>
      </w:r>
      <w:r w:rsidRPr="002A224D">
        <w:rPr>
          <w:rStyle w:val="FootnoteReference"/>
          <w:rFonts w:ascii="Times New Roman" w:hAnsi="Times New Roman"/>
          <w:szCs w:val="24"/>
        </w:rPr>
        <w:footnoteReference w:id="1069"/>
      </w:r>
      <w:r w:rsidRPr="002A224D">
        <w:rPr>
          <w:rFonts w:ascii="Times New Roman" w:hAnsi="Times New Roman"/>
          <w:szCs w:val="24"/>
        </w:rPr>
        <w:t xml:space="preserve"> They argue</w:t>
      </w:r>
      <w:r>
        <w:rPr>
          <w:rFonts w:ascii="Times New Roman" w:hAnsi="Times New Roman"/>
          <w:szCs w:val="24"/>
        </w:rPr>
        <w:t>d</w:t>
      </w:r>
      <w:r w:rsidRPr="002A224D">
        <w:rPr>
          <w:rFonts w:ascii="Times New Roman" w:hAnsi="Times New Roman"/>
          <w:szCs w:val="24"/>
        </w:rPr>
        <w:t xml:space="preserve"> that the convicted person has </w:t>
      </w:r>
      <w:r w:rsidRPr="002A224D">
        <w:rPr>
          <w:rFonts w:ascii="Times New Roman" w:hAnsi="Times New Roman"/>
          <w:szCs w:val="24"/>
        </w:rPr>
        <w:lastRenderedPageBreak/>
        <w:t>consistently denied his responsibility</w:t>
      </w:r>
      <w:r>
        <w:rPr>
          <w:rFonts w:ascii="Times New Roman" w:hAnsi="Times New Roman"/>
          <w:szCs w:val="24"/>
        </w:rPr>
        <w:t>; he had</w:t>
      </w:r>
      <w:r w:rsidRPr="002A224D">
        <w:rPr>
          <w:rFonts w:ascii="Times New Roman" w:hAnsi="Times New Roman"/>
          <w:szCs w:val="24"/>
        </w:rPr>
        <w:t xml:space="preserve"> failed to show remorse or expressed regret, and has refused to acknowledge his crimes. From these victims perspectives, one could argue that justice include</w:t>
      </w:r>
      <w:r>
        <w:rPr>
          <w:rFonts w:ascii="Times New Roman" w:hAnsi="Times New Roman"/>
          <w:szCs w:val="24"/>
        </w:rPr>
        <w:t>s</w:t>
      </w:r>
      <w:r w:rsidRPr="002A224D">
        <w:rPr>
          <w:rFonts w:ascii="Times New Roman" w:hAnsi="Times New Roman"/>
          <w:szCs w:val="24"/>
        </w:rPr>
        <w:t xml:space="preserve"> the factors they listed(which the convicted person refused to do).</w:t>
      </w:r>
      <w:r>
        <w:rPr>
          <w:rFonts w:ascii="Times New Roman" w:hAnsi="Times New Roman"/>
          <w:szCs w:val="24"/>
        </w:rPr>
        <w:t xml:space="preserve"> </w:t>
      </w:r>
      <w:r w:rsidRPr="002A224D">
        <w:rPr>
          <w:rFonts w:ascii="Times New Roman" w:hAnsi="Times New Roman"/>
          <w:szCs w:val="24"/>
        </w:rPr>
        <w:t>The sentence of 14 years might not have meant sufficient justice.</w:t>
      </w:r>
      <w:r w:rsidRPr="002A224D">
        <w:rPr>
          <w:rStyle w:val="FootnoteReference"/>
          <w:rFonts w:ascii="Times New Roman" w:hAnsi="Times New Roman"/>
          <w:szCs w:val="24"/>
        </w:rPr>
        <w:footnoteReference w:id="1070"/>
      </w:r>
      <w:r w:rsidRPr="002A224D">
        <w:rPr>
          <w:rFonts w:ascii="Times New Roman" w:hAnsi="Times New Roman"/>
          <w:szCs w:val="24"/>
        </w:rPr>
        <w:t xml:space="preserve">The </w:t>
      </w:r>
      <w:r w:rsidR="007B2B8E">
        <w:rPr>
          <w:rFonts w:ascii="Times New Roman" w:hAnsi="Times New Roman"/>
          <w:szCs w:val="24"/>
        </w:rPr>
        <w:t>penalty</w:t>
      </w:r>
      <w:r w:rsidRPr="002A224D">
        <w:rPr>
          <w:rFonts w:ascii="Times New Roman" w:hAnsi="Times New Roman"/>
          <w:szCs w:val="24"/>
        </w:rPr>
        <w:t xml:space="preserve"> of 14 years</w:t>
      </w:r>
      <w:r>
        <w:rPr>
          <w:rFonts w:ascii="Times New Roman" w:hAnsi="Times New Roman"/>
          <w:szCs w:val="24"/>
        </w:rPr>
        <w:t xml:space="preserve"> cannot replace sincere apology</w:t>
      </w:r>
      <w:r w:rsidRPr="002A224D">
        <w:rPr>
          <w:rFonts w:ascii="Times New Roman" w:hAnsi="Times New Roman"/>
          <w:szCs w:val="24"/>
        </w:rPr>
        <w:t>,</w:t>
      </w:r>
      <w:r>
        <w:rPr>
          <w:rFonts w:ascii="Times New Roman" w:hAnsi="Times New Roman"/>
          <w:szCs w:val="24"/>
        </w:rPr>
        <w:t xml:space="preserve"> </w:t>
      </w:r>
      <w:r w:rsidRPr="002A224D">
        <w:rPr>
          <w:rFonts w:ascii="Times New Roman" w:hAnsi="Times New Roman"/>
          <w:szCs w:val="24"/>
        </w:rPr>
        <w:t>acknowledgement, and expression of remorse from the convicted person.  In addition, one may deduce that the victims were not in agreement with the sentence review</w:t>
      </w:r>
      <w:r>
        <w:rPr>
          <w:rFonts w:ascii="Times New Roman" w:hAnsi="Times New Roman"/>
          <w:szCs w:val="24"/>
        </w:rPr>
        <w:t>;</w:t>
      </w:r>
      <w:r w:rsidRPr="002A224D">
        <w:rPr>
          <w:rFonts w:ascii="Times New Roman" w:hAnsi="Times New Roman"/>
          <w:szCs w:val="24"/>
        </w:rPr>
        <w:t xml:space="preserve"> that is why they submitted observations to object to the sentence review. They asserted that Mr Lubanga failed to acknowledge that he recruited child soldiers, while he made efforts to frustrate the reparations programme.</w:t>
      </w:r>
      <w:r w:rsidRPr="002A224D">
        <w:rPr>
          <w:rStyle w:val="FootnoteReference"/>
          <w:rFonts w:ascii="Times New Roman" w:hAnsi="Times New Roman"/>
          <w:szCs w:val="24"/>
        </w:rPr>
        <w:footnoteReference w:id="1071"/>
      </w:r>
      <w:r w:rsidRPr="002A224D">
        <w:rPr>
          <w:rFonts w:ascii="Times New Roman" w:hAnsi="Times New Roman"/>
          <w:szCs w:val="24"/>
        </w:rPr>
        <w:t xml:space="preserve"> Th</w:t>
      </w:r>
      <w:r w:rsidR="00282F03">
        <w:rPr>
          <w:rFonts w:ascii="Times New Roman" w:hAnsi="Times New Roman"/>
          <w:szCs w:val="24"/>
        </w:rPr>
        <w:t>ese</w:t>
      </w:r>
      <w:r w:rsidRPr="002A224D">
        <w:rPr>
          <w:rFonts w:ascii="Times New Roman" w:hAnsi="Times New Roman"/>
          <w:szCs w:val="24"/>
        </w:rPr>
        <w:t xml:space="preserve"> </w:t>
      </w:r>
      <w:r w:rsidR="00282F03">
        <w:rPr>
          <w:rFonts w:ascii="Times New Roman" w:hAnsi="Times New Roman"/>
          <w:szCs w:val="24"/>
        </w:rPr>
        <w:t xml:space="preserve">points </w:t>
      </w:r>
      <w:r w:rsidRPr="002A224D">
        <w:rPr>
          <w:rFonts w:ascii="Times New Roman" w:hAnsi="Times New Roman"/>
          <w:szCs w:val="24"/>
        </w:rPr>
        <w:t>reveal that victims need more than the imposition of sentencing. They also expect restorative functions.</w:t>
      </w:r>
      <w:r>
        <w:rPr>
          <w:rFonts w:ascii="Times New Roman" w:hAnsi="Times New Roman"/>
          <w:szCs w:val="24"/>
        </w:rPr>
        <w:t xml:space="preserve"> </w:t>
      </w:r>
      <w:r w:rsidRPr="002A224D">
        <w:rPr>
          <w:rFonts w:ascii="Times New Roman" w:hAnsi="Times New Roman"/>
          <w:szCs w:val="24"/>
        </w:rPr>
        <w:t>Fortunately</w:t>
      </w:r>
      <w:r>
        <w:rPr>
          <w:rFonts w:ascii="Times New Roman" w:hAnsi="Times New Roman"/>
          <w:szCs w:val="24"/>
        </w:rPr>
        <w:t>,</w:t>
      </w:r>
      <w:r w:rsidRPr="002A224D">
        <w:rPr>
          <w:rFonts w:ascii="Times New Roman" w:hAnsi="Times New Roman"/>
          <w:szCs w:val="24"/>
        </w:rPr>
        <w:t xml:space="preserve"> the Chamber acceded to the </w:t>
      </w:r>
      <w:r w:rsidR="00DA3909">
        <w:rPr>
          <w:rFonts w:ascii="Times New Roman" w:hAnsi="Times New Roman"/>
          <w:szCs w:val="24"/>
        </w:rPr>
        <w:t>victims' observation</w:t>
      </w:r>
      <w:r w:rsidRPr="002A224D">
        <w:rPr>
          <w:rFonts w:ascii="Times New Roman" w:hAnsi="Times New Roman"/>
          <w:szCs w:val="24"/>
        </w:rPr>
        <w:t>s, and the sentenced person, Mr Lubanga’s sentence reduction was declined.</w:t>
      </w:r>
    </w:p>
    <w:p w14:paraId="03F2D4B5" w14:textId="4B082776" w:rsidR="001679E7" w:rsidRPr="00660AF5" w:rsidRDefault="00731BC5" w:rsidP="00FB7B02">
      <w:pPr>
        <w:spacing w:line="480" w:lineRule="auto"/>
        <w:jc w:val="both"/>
        <w:rPr>
          <w:rFonts w:ascii="Times New Roman" w:hAnsi="Times New Roman"/>
          <w:szCs w:val="24"/>
        </w:rPr>
      </w:pPr>
      <w:r>
        <w:rPr>
          <w:rFonts w:ascii="Times New Roman" w:hAnsi="Times New Roman"/>
          <w:szCs w:val="24"/>
        </w:rPr>
        <w:t xml:space="preserve">In </w:t>
      </w:r>
      <w:r w:rsidR="00535F01">
        <w:rPr>
          <w:rFonts w:ascii="Times New Roman" w:hAnsi="Times New Roman"/>
          <w:szCs w:val="24"/>
        </w:rPr>
        <w:t xml:space="preserve">a </w:t>
      </w:r>
      <w:r>
        <w:rPr>
          <w:rFonts w:ascii="Times New Roman" w:hAnsi="Times New Roman"/>
          <w:szCs w:val="24"/>
        </w:rPr>
        <w:t>similar vein,</w:t>
      </w:r>
      <w:r w:rsidR="00800E64">
        <w:rPr>
          <w:rFonts w:ascii="Times New Roman" w:hAnsi="Times New Roman"/>
          <w:szCs w:val="24"/>
        </w:rPr>
        <w:t xml:space="preserve"> the current study found that victims prioritised </w:t>
      </w:r>
      <w:r w:rsidR="001679E7" w:rsidRPr="000D53A0">
        <w:rPr>
          <w:rFonts w:ascii="Times New Roman" w:hAnsi="Times New Roman"/>
          <w:szCs w:val="24"/>
        </w:rPr>
        <w:t>apo</w:t>
      </w:r>
      <w:r w:rsidR="00800E64">
        <w:rPr>
          <w:rFonts w:ascii="Times New Roman" w:hAnsi="Times New Roman"/>
          <w:szCs w:val="24"/>
        </w:rPr>
        <w:t>logy and expression of regret from</w:t>
      </w:r>
      <w:r w:rsidR="001679E7" w:rsidRPr="000D53A0">
        <w:rPr>
          <w:rFonts w:ascii="Times New Roman" w:hAnsi="Times New Roman"/>
          <w:szCs w:val="24"/>
        </w:rPr>
        <w:t xml:space="preserve"> the sentenced</w:t>
      </w:r>
      <w:r w:rsidR="00800E64">
        <w:rPr>
          <w:rFonts w:ascii="Times New Roman" w:hAnsi="Times New Roman"/>
          <w:szCs w:val="24"/>
        </w:rPr>
        <w:t>. They believed</w:t>
      </w:r>
      <w:r w:rsidR="001679E7" w:rsidRPr="000D53A0">
        <w:rPr>
          <w:rFonts w:ascii="Times New Roman" w:hAnsi="Times New Roman"/>
          <w:szCs w:val="24"/>
        </w:rPr>
        <w:t xml:space="preserve"> </w:t>
      </w:r>
      <w:r w:rsidR="00800E64">
        <w:rPr>
          <w:rFonts w:ascii="Times New Roman" w:hAnsi="Times New Roman"/>
          <w:szCs w:val="24"/>
        </w:rPr>
        <w:t>it</w:t>
      </w:r>
      <w:r w:rsidR="001679E7" w:rsidRPr="000D53A0">
        <w:rPr>
          <w:rFonts w:ascii="Times New Roman" w:hAnsi="Times New Roman"/>
          <w:szCs w:val="24"/>
        </w:rPr>
        <w:t xml:space="preserve"> would suffice as a step towards reparations.</w:t>
      </w:r>
      <w:r w:rsidR="001679E7" w:rsidRPr="000D53A0">
        <w:rPr>
          <w:rStyle w:val="FootnoteReference"/>
          <w:rFonts w:ascii="Times New Roman" w:hAnsi="Times New Roman"/>
          <w:szCs w:val="24"/>
        </w:rPr>
        <w:footnoteReference w:id="1072"/>
      </w:r>
      <w:r w:rsidR="001679E7" w:rsidRPr="000D53A0">
        <w:rPr>
          <w:rFonts w:ascii="Times New Roman" w:hAnsi="Times New Roman"/>
          <w:szCs w:val="24"/>
        </w:rPr>
        <w:t xml:space="preserve"> One could infer that apology and expression of regret here perform a restorative function for the victims. The fact that Mr Lubanga ‘</w:t>
      </w:r>
      <w:r w:rsidR="001679E7" w:rsidRPr="000D53A0">
        <w:rPr>
          <w:rFonts w:ascii="Times New Roman" w:hAnsi="Times New Roman"/>
          <w:i/>
          <w:szCs w:val="24"/>
        </w:rPr>
        <w:t>consistently denied’</w:t>
      </w:r>
      <w:r w:rsidR="001679E7" w:rsidRPr="000D53A0">
        <w:rPr>
          <w:rFonts w:ascii="Times New Roman" w:hAnsi="Times New Roman"/>
          <w:szCs w:val="24"/>
        </w:rPr>
        <w:t xml:space="preserve"> his responsibility connotes that he did not acknowledge the crimes he committed</w:t>
      </w:r>
      <w:r w:rsidR="00C52A80">
        <w:rPr>
          <w:rFonts w:ascii="Times New Roman" w:hAnsi="Times New Roman"/>
          <w:szCs w:val="24"/>
        </w:rPr>
        <w:t>.</w:t>
      </w:r>
      <w:r w:rsidR="001679E7" w:rsidRPr="000D53A0">
        <w:rPr>
          <w:rFonts w:ascii="Times New Roman" w:hAnsi="Times New Roman"/>
          <w:szCs w:val="24"/>
        </w:rPr>
        <w:t xml:space="preserve">  Neither did he </w:t>
      </w:r>
      <w:r w:rsidR="00C52A80">
        <w:rPr>
          <w:rFonts w:ascii="Times New Roman" w:hAnsi="Times New Roman"/>
          <w:szCs w:val="24"/>
        </w:rPr>
        <w:t>recognis</w:t>
      </w:r>
      <w:r w:rsidR="001679E7" w:rsidRPr="000D53A0">
        <w:rPr>
          <w:rFonts w:ascii="Times New Roman" w:hAnsi="Times New Roman"/>
          <w:szCs w:val="24"/>
        </w:rPr>
        <w:t>e his contribution to the recruitment of child soldiers.</w:t>
      </w:r>
      <w:r w:rsidR="00C52A80">
        <w:rPr>
          <w:rFonts w:ascii="Times New Roman" w:hAnsi="Times New Roman"/>
          <w:szCs w:val="24"/>
        </w:rPr>
        <w:t xml:space="preserve"> </w:t>
      </w:r>
      <w:r w:rsidR="001679E7" w:rsidRPr="000D53A0">
        <w:rPr>
          <w:rFonts w:ascii="Times New Roman" w:hAnsi="Times New Roman"/>
          <w:szCs w:val="24"/>
        </w:rPr>
        <w:t>In this regard, he cannot be coerced to perform these roles.</w:t>
      </w:r>
      <w:r w:rsidR="00C52A80">
        <w:rPr>
          <w:rFonts w:ascii="Times New Roman" w:hAnsi="Times New Roman"/>
          <w:szCs w:val="24"/>
        </w:rPr>
        <w:t xml:space="preserve"> </w:t>
      </w:r>
      <w:r w:rsidR="001679E7" w:rsidRPr="000D53A0">
        <w:rPr>
          <w:rFonts w:ascii="Times New Roman" w:hAnsi="Times New Roman"/>
          <w:szCs w:val="24"/>
        </w:rPr>
        <w:t>It is dependent on him.</w:t>
      </w:r>
      <w:r w:rsidR="00C52A80">
        <w:rPr>
          <w:rFonts w:ascii="Times New Roman" w:hAnsi="Times New Roman"/>
          <w:szCs w:val="24"/>
        </w:rPr>
        <w:t xml:space="preserve"> The victims contested </w:t>
      </w:r>
      <w:r w:rsidR="00C52A80">
        <w:rPr>
          <w:rFonts w:ascii="Times New Roman" w:hAnsi="Times New Roman"/>
          <w:szCs w:val="24"/>
        </w:rPr>
        <w:lastRenderedPageBreak/>
        <w:t>the sincerity of the defence’s apologies.</w:t>
      </w:r>
      <w:r w:rsidR="003A32A6">
        <w:rPr>
          <w:rFonts w:ascii="Times New Roman" w:hAnsi="Times New Roman"/>
          <w:szCs w:val="24"/>
        </w:rPr>
        <w:t xml:space="preserve"> </w:t>
      </w:r>
      <w:r w:rsidR="002A62D1">
        <w:rPr>
          <w:rFonts w:ascii="Times New Roman" w:hAnsi="Times New Roman"/>
          <w:szCs w:val="24"/>
        </w:rPr>
        <w:t xml:space="preserve">It is observed that the </w:t>
      </w:r>
      <w:r w:rsidR="00DA3909">
        <w:rPr>
          <w:rFonts w:ascii="Times New Roman" w:hAnsi="Times New Roman"/>
          <w:szCs w:val="24"/>
        </w:rPr>
        <w:t>offender's failure</w:t>
      </w:r>
      <w:r w:rsidR="002A62D1">
        <w:rPr>
          <w:rFonts w:ascii="Times New Roman" w:hAnsi="Times New Roman"/>
          <w:szCs w:val="24"/>
        </w:rPr>
        <w:t>, Mr Lubanga, to offer sincere apologies and implement significant actions for the benefit of the victims negatively impacted the offender's access to a reduction of sentence. The same issue came up in the second review.</w:t>
      </w:r>
      <w:r w:rsidR="00111F78">
        <w:rPr>
          <w:rFonts w:ascii="Times New Roman" w:hAnsi="Times New Roman"/>
          <w:szCs w:val="24"/>
        </w:rPr>
        <w:t xml:space="preserve"> </w:t>
      </w:r>
      <w:r w:rsidR="002A62D1">
        <w:rPr>
          <w:rFonts w:ascii="Times New Roman" w:hAnsi="Times New Roman"/>
          <w:szCs w:val="24"/>
        </w:rPr>
        <w:t>The offender was denied sentence reduction.</w:t>
      </w:r>
    </w:p>
    <w:p w14:paraId="15D6D0A4" w14:textId="3E35194A" w:rsidR="00C56C50" w:rsidRDefault="00C56C50" w:rsidP="00FB7B02">
      <w:pPr>
        <w:pStyle w:val="FootnoteText"/>
        <w:spacing w:line="480" w:lineRule="auto"/>
        <w:jc w:val="both"/>
        <w:rPr>
          <w:rFonts w:ascii="Times New Roman" w:hAnsi="Times New Roman"/>
          <w:sz w:val="24"/>
          <w:szCs w:val="24"/>
        </w:rPr>
      </w:pPr>
      <w:r w:rsidRPr="00065D1C">
        <w:rPr>
          <w:rFonts w:ascii="Times New Roman" w:hAnsi="Times New Roman"/>
          <w:sz w:val="24"/>
          <w:szCs w:val="24"/>
        </w:rPr>
        <w:t>A comparison of Mr Lubanga’s two</w:t>
      </w:r>
      <w:r w:rsidR="002A62D1">
        <w:rPr>
          <w:rFonts w:ascii="Times New Roman" w:hAnsi="Times New Roman"/>
          <w:sz w:val="24"/>
          <w:szCs w:val="24"/>
        </w:rPr>
        <w:t>-</w:t>
      </w:r>
      <w:r w:rsidRPr="00065D1C">
        <w:rPr>
          <w:rFonts w:ascii="Times New Roman" w:hAnsi="Times New Roman"/>
          <w:sz w:val="24"/>
          <w:szCs w:val="24"/>
        </w:rPr>
        <w:t>sentence reviews reveals that the Panel did not find any significant change in the circumstances that should be taken into consideration within the meaning of Rule 223(e) the Rules and the factors under Article 110(4) of the Statute for the determination of the reduction of sentencing.</w:t>
      </w:r>
      <w:r w:rsidRPr="00065D1C">
        <w:rPr>
          <w:rStyle w:val="FootnoteReference"/>
          <w:rFonts w:ascii="Times New Roman" w:hAnsi="Times New Roman"/>
          <w:sz w:val="24"/>
          <w:szCs w:val="24"/>
        </w:rPr>
        <w:footnoteReference w:id="1073"/>
      </w:r>
      <w:r w:rsidRPr="00065D1C">
        <w:rPr>
          <w:rFonts w:ascii="Times New Roman" w:hAnsi="Times New Roman"/>
          <w:sz w:val="24"/>
          <w:szCs w:val="24"/>
        </w:rPr>
        <w:t xml:space="preserve"> </w:t>
      </w:r>
      <w:r>
        <w:rPr>
          <w:rFonts w:ascii="Times New Roman" w:hAnsi="Times New Roman"/>
          <w:sz w:val="24"/>
          <w:szCs w:val="24"/>
        </w:rPr>
        <w:t>Moreover</w:t>
      </w:r>
      <w:r w:rsidRPr="00065D1C">
        <w:rPr>
          <w:rFonts w:ascii="Times New Roman" w:hAnsi="Times New Roman"/>
          <w:sz w:val="24"/>
          <w:szCs w:val="24"/>
        </w:rPr>
        <w:t>, the panel also observed that Mr Lubanga’s sentence expires on 15 March 2020</w:t>
      </w:r>
      <w:r w:rsidR="002A62D1">
        <w:rPr>
          <w:rFonts w:ascii="Times New Roman" w:hAnsi="Times New Roman"/>
          <w:sz w:val="24"/>
          <w:szCs w:val="24"/>
        </w:rPr>
        <w:t>. Hence, there was</w:t>
      </w:r>
      <w:r w:rsidRPr="00065D1C">
        <w:rPr>
          <w:rFonts w:ascii="Times New Roman" w:hAnsi="Times New Roman"/>
          <w:sz w:val="24"/>
          <w:szCs w:val="24"/>
        </w:rPr>
        <w:t xml:space="preserve"> no reasonable ground to schedule a further review of his sentence.</w:t>
      </w:r>
      <w:r w:rsidRPr="00065D1C">
        <w:rPr>
          <w:rStyle w:val="FootnoteReference"/>
          <w:rFonts w:ascii="Times New Roman" w:hAnsi="Times New Roman"/>
          <w:sz w:val="24"/>
          <w:szCs w:val="24"/>
        </w:rPr>
        <w:footnoteReference w:id="1074"/>
      </w:r>
      <w:r w:rsidRPr="00065D1C">
        <w:rPr>
          <w:rFonts w:ascii="Times New Roman" w:hAnsi="Times New Roman"/>
          <w:sz w:val="24"/>
          <w:szCs w:val="24"/>
        </w:rPr>
        <w:t>Nonetheless, the Panel acknowledged Mr Lubanga’s rights under rule 224(3) of the Rules to apply for a new review of his sentence provided there was a significant change in circumstances.</w:t>
      </w:r>
      <w:r w:rsidRPr="00065D1C">
        <w:rPr>
          <w:rStyle w:val="FootnoteReference"/>
          <w:rFonts w:ascii="Times New Roman" w:hAnsi="Times New Roman"/>
          <w:sz w:val="24"/>
          <w:szCs w:val="24"/>
        </w:rPr>
        <w:footnoteReference w:id="1075"/>
      </w:r>
    </w:p>
    <w:p w14:paraId="16180546" w14:textId="77777777" w:rsidR="00111F78" w:rsidRPr="00065D1C" w:rsidRDefault="00111F78" w:rsidP="00FB7B02">
      <w:pPr>
        <w:pStyle w:val="FootnoteText"/>
        <w:spacing w:line="480" w:lineRule="auto"/>
        <w:jc w:val="both"/>
        <w:rPr>
          <w:sz w:val="24"/>
          <w:szCs w:val="24"/>
        </w:rPr>
      </w:pPr>
    </w:p>
    <w:p w14:paraId="6D0ECF7C" w14:textId="66017365" w:rsidR="00C56C50" w:rsidRPr="00065D1C" w:rsidRDefault="00C56C50" w:rsidP="00FB7B02">
      <w:pPr>
        <w:spacing w:line="480" w:lineRule="auto"/>
        <w:jc w:val="both"/>
        <w:rPr>
          <w:rFonts w:ascii="Times New Roman" w:hAnsi="Times New Roman"/>
          <w:szCs w:val="24"/>
        </w:rPr>
      </w:pPr>
      <w:r w:rsidRPr="00065D1C">
        <w:rPr>
          <w:rFonts w:ascii="Times New Roman" w:hAnsi="Times New Roman"/>
          <w:szCs w:val="24"/>
        </w:rPr>
        <w:t xml:space="preserve">The decision on the review of sentence reduction has shown that victims’ observations of LRV’s V01 and V02 were considered </w:t>
      </w:r>
      <w:r w:rsidR="00DA3909">
        <w:rPr>
          <w:rFonts w:ascii="Times New Roman" w:hAnsi="Times New Roman"/>
          <w:szCs w:val="24"/>
        </w:rPr>
        <w:t>to determine</w:t>
      </w:r>
      <w:r w:rsidRPr="00065D1C">
        <w:rPr>
          <w:rFonts w:ascii="Times New Roman" w:hAnsi="Times New Roman"/>
          <w:szCs w:val="24"/>
        </w:rPr>
        <w:t xml:space="preserve"> whether Mr Lubanga qualified for </w:t>
      </w:r>
      <w:r w:rsidR="002A62D1">
        <w:rPr>
          <w:rFonts w:ascii="Times New Roman" w:hAnsi="Times New Roman"/>
          <w:szCs w:val="24"/>
        </w:rPr>
        <w:t xml:space="preserve">a </w:t>
      </w:r>
      <w:r w:rsidRPr="00065D1C">
        <w:rPr>
          <w:rFonts w:ascii="Times New Roman" w:hAnsi="Times New Roman"/>
          <w:szCs w:val="24"/>
        </w:rPr>
        <w:t>sentence reduction. All the parties</w:t>
      </w:r>
      <w:r w:rsidR="00DA3909">
        <w:rPr>
          <w:rFonts w:ascii="Times New Roman" w:hAnsi="Times New Roman"/>
          <w:szCs w:val="24"/>
        </w:rPr>
        <w:t xml:space="preserve"> and</w:t>
      </w:r>
      <w:r w:rsidRPr="00065D1C">
        <w:rPr>
          <w:rFonts w:ascii="Times New Roman" w:hAnsi="Times New Roman"/>
          <w:szCs w:val="24"/>
        </w:rPr>
        <w:t xml:space="preserve"> the LRVs(V01 and VO2)</w:t>
      </w:r>
      <w:r w:rsidR="002A62D1">
        <w:rPr>
          <w:rFonts w:ascii="Times New Roman" w:hAnsi="Times New Roman"/>
          <w:szCs w:val="24"/>
        </w:rPr>
        <w:t>,</w:t>
      </w:r>
      <w:r w:rsidRPr="00065D1C">
        <w:rPr>
          <w:rFonts w:ascii="Times New Roman" w:hAnsi="Times New Roman"/>
          <w:szCs w:val="24"/>
        </w:rPr>
        <w:t xml:space="preserve"> were ordered to submit observation.</w:t>
      </w:r>
      <w:r w:rsidR="002A62D1">
        <w:rPr>
          <w:rFonts w:ascii="Times New Roman" w:hAnsi="Times New Roman"/>
          <w:szCs w:val="24"/>
        </w:rPr>
        <w:t xml:space="preserve"> </w:t>
      </w:r>
      <w:r w:rsidRPr="00065D1C">
        <w:rPr>
          <w:rFonts w:ascii="Times New Roman" w:hAnsi="Times New Roman"/>
          <w:szCs w:val="24"/>
        </w:rPr>
        <w:t xml:space="preserve">It is not surprising that the factors </w:t>
      </w:r>
      <w:r w:rsidR="00DA3909">
        <w:rPr>
          <w:rFonts w:ascii="Times New Roman" w:hAnsi="Times New Roman"/>
          <w:szCs w:val="24"/>
        </w:rPr>
        <w:t>considered are</w:t>
      </w:r>
      <w:r w:rsidRPr="00065D1C">
        <w:rPr>
          <w:rFonts w:ascii="Times New Roman" w:hAnsi="Times New Roman"/>
          <w:szCs w:val="24"/>
        </w:rPr>
        <w:t xml:space="preserve"> pursuant to Rule 223 of the RPE and Article 110(4). </w:t>
      </w:r>
      <w:r w:rsidR="00282F03">
        <w:rPr>
          <w:rFonts w:ascii="Times New Roman" w:hAnsi="Times New Roman"/>
          <w:szCs w:val="24"/>
        </w:rPr>
        <w:t>A</w:t>
      </w:r>
      <w:r w:rsidRPr="00065D1C">
        <w:rPr>
          <w:rFonts w:ascii="Times New Roman" w:hAnsi="Times New Roman"/>
          <w:szCs w:val="24"/>
        </w:rPr>
        <w:t>rguably, the sentenced person</w:t>
      </w:r>
      <w:r w:rsidR="00A0241C">
        <w:rPr>
          <w:rFonts w:ascii="Times New Roman" w:hAnsi="Times New Roman"/>
          <w:szCs w:val="24"/>
        </w:rPr>
        <w:t>’s denial</w:t>
      </w:r>
      <w:r w:rsidRPr="00065D1C">
        <w:rPr>
          <w:rFonts w:ascii="Times New Roman" w:hAnsi="Times New Roman"/>
          <w:szCs w:val="24"/>
        </w:rPr>
        <w:t xml:space="preserve"> to accept </w:t>
      </w:r>
      <w:r w:rsidR="00696301">
        <w:rPr>
          <w:rFonts w:ascii="Times New Roman" w:hAnsi="Times New Roman"/>
          <w:szCs w:val="24"/>
        </w:rPr>
        <w:t xml:space="preserve">his responsibility </w:t>
      </w:r>
      <w:r w:rsidRPr="00065D1C">
        <w:rPr>
          <w:rFonts w:ascii="Times New Roman" w:hAnsi="Times New Roman"/>
          <w:szCs w:val="24"/>
        </w:rPr>
        <w:t xml:space="preserve">for child soldier’s recruitment and his reluctance to include them in </w:t>
      </w:r>
      <w:r w:rsidRPr="00065D1C">
        <w:rPr>
          <w:rFonts w:ascii="Times New Roman" w:hAnsi="Times New Roman"/>
          <w:szCs w:val="24"/>
        </w:rPr>
        <w:lastRenderedPageBreak/>
        <w:t>the reparations programmes tacitly demonstrates the limit</w:t>
      </w:r>
      <w:r w:rsidR="002A62D1">
        <w:rPr>
          <w:rFonts w:ascii="Times New Roman" w:hAnsi="Times New Roman"/>
          <w:szCs w:val="24"/>
        </w:rPr>
        <w:t xml:space="preserve"> of </w:t>
      </w:r>
      <w:r w:rsidR="0064097E">
        <w:rPr>
          <w:rFonts w:ascii="Times New Roman" w:hAnsi="Times New Roman"/>
          <w:szCs w:val="24"/>
        </w:rPr>
        <w:t>sentencing</w:t>
      </w:r>
      <w:r w:rsidR="00535EE5">
        <w:rPr>
          <w:rFonts w:ascii="Times New Roman" w:hAnsi="Times New Roman"/>
          <w:szCs w:val="24"/>
        </w:rPr>
        <w:t>; r</w:t>
      </w:r>
      <w:r w:rsidR="0064097E">
        <w:rPr>
          <w:rFonts w:ascii="Times New Roman" w:hAnsi="Times New Roman"/>
          <w:szCs w:val="24"/>
        </w:rPr>
        <w:t>etribution's objective</w:t>
      </w:r>
      <w:r w:rsidR="002A62D1">
        <w:rPr>
          <w:rFonts w:ascii="Times New Roman" w:hAnsi="Times New Roman"/>
          <w:szCs w:val="24"/>
        </w:rPr>
        <w:t xml:space="preserve"> </w:t>
      </w:r>
      <w:r w:rsidR="00601B3B">
        <w:rPr>
          <w:rFonts w:ascii="Times New Roman" w:hAnsi="Times New Roman"/>
          <w:szCs w:val="24"/>
        </w:rPr>
        <w:t xml:space="preserve">to </w:t>
      </w:r>
      <w:r w:rsidR="002A62D1">
        <w:rPr>
          <w:rFonts w:ascii="Times New Roman" w:hAnsi="Times New Roman"/>
          <w:szCs w:val="24"/>
        </w:rPr>
        <w:t>ensure he took responsibility for his actions.</w:t>
      </w:r>
    </w:p>
    <w:p w14:paraId="6C3AB2D1" w14:textId="6705F5FF" w:rsidR="001679E7" w:rsidRPr="00A41538" w:rsidRDefault="00BE4E89" w:rsidP="00FB7B02">
      <w:pPr>
        <w:spacing w:line="480" w:lineRule="auto"/>
        <w:jc w:val="both"/>
        <w:rPr>
          <w:szCs w:val="24"/>
        </w:rPr>
      </w:pPr>
      <w:r>
        <w:rPr>
          <w:rFonts w:ascii="Times New Roman" w:hAnsi="Times New Roman"/>
          <w:szCs w:val="24"/>
        </w:rPr>
        <w:t>It is observed that t</w:t>
      </w:r>
      <w:r w:rsidR="001679E7">
        <w:rPr>
          <w:rFonts w:ascii="Times New Roman" w:hAnsi="Times New Roman"/>
          <w:szCs w:val="24"/>
        </w:rPr>
        <w:t xml:space="preserve">he sentenced person’ </w:t>
      </w:r>
      <w:r>
        <w:rPr>
          <w:rFonts w:ascii="Times New Roman" w:hAnsi="Times New Roman"/>
          <w:szCs w:val="24"/>
        </w:rPr>
        <w:t xml:space="preserve">stance can impede rehabilitation or the process restorative justice. The </w:t>
      </w:r>
      <w:r w:rsidR="007B2B8E">
        <w:rPr>
          <w:rFonts w:ascii="Times New Roman" w:hAnsi="Times New Roman"/>
          <w:szCs w:val="24"/>
        </w:rPr>
        <w:t>convict</w:t>
      </w:r>
      <w:r>
        <w:rPr>
          <w:rFonts w:ascii="Times New Roman" w:hAnsi="Times New Roman"/>
          <w:szCs w:val="24"/>
        </w:rPr>
        <w:t>ed person, Lubanga, refus</w:t>
      </w:r>
      <w:r w:rsidR="00DA3909">
        <w:rPr>
          <w:rFonts w:ascii="Times New Roman" w:hAnsi="Times New Roman"/>
          <w:szCs w:val="24"/>
        </w:rPr>
        <w:t>al</w:t>
      </w:r>
      <w:r>
        <w:rPr>
          <w:rFonts w:ascii="Times New Roman" w:hAnsi="Times New Roman"/>
          <w:szCs w:val="24"/>
        </w:rPr>
        <w:t xml:space="preserve"> to acknowledge his crimes;</w:t>
      </w:r>
      <w:r w:rsidR="001679E7">
        <w:rPr>
          <w:rFonts w:ascii="Times New Roman" w:hAnsi="Times New Roman"/>
          <w:szCs w:val="24"/>
        </w:rPr>
        <w:t xml:space="preserve"> </w:t>
      </w:r>
      <w:r>
        <w:rPr>
          <w:rFonts w:ascii="Times New Roman" w:hAnsi="Times New Roman"/>
          <w:szCs w:val="24"/>
        </w:rPr>
        <w:t xml:space="preserve">his lack </w:t>
      </w:r>
      <w:r w:rsidR="001679E7">
        <w:rPr>
          <w:rFonts w:ascii="Times New Roman" w:hAnsi="Times New Roman"/>
          <w:szCs w:val="24"/>
        </w:rPr>
        <w:t>of remorse and sincere apology</w:t>
      </w:r>
      <w:r>
        <w:rPr>
          <w:rFonts w:ascii="Times New Roman" w:hAnsi="Times New Roman"/>
          <w:szCs w:val="24"/>
        </w:rPr>
        <w:t xml:space="preserve"> reveals </w:t>
      </w:r>
      <w:r w:rsidR="00DA3909">
        <w:rPr>
          <w:rFonts w:ascii="Times New Roman" w:hAnsi="Times New Roman"/>
          <w:szCs w:val="24"/>
        </w:rPr>
        <w:t>the implications on victims</w:t>
      </w:r>
      <w:r>
        <w:rPr>
          <w:rFonts w:ascii="Times New Roman" w:hAnsi="Times New Roman"/>
          <w:szCs w:val="24"/>
        </w:rPr>
        <w:t xml:space="preserve">. </w:t>
      </w:r>
      <w:r w:rsidR="001679E7" w:rsidRPr="00D20501">
        <w:rPr>
          <w:rFonts w:ascii="Times New Roman" w:hAnsi="Times New Roman"/>
          <w:szCs w:val="24"/>
        </w:rPr>
        <w:t xml:space="preserve"> </w:t>
      </w:r>
      <w:r w:rsidR="001679E7">
        <w:rPr>
          <w:rFonts w:ascii="Times New Roman" w:hAnsi="Times New Roman"/>
          <w:szCs w:val="24"/>
        </w:rPr>
        <w:t>A reference to Doolin’s proposal supports the idea of using coercion to ensure a stakeholder’s(</w:t>
      </w:r>
      <w:r>
        <w:rPr>
          <w:rFonts w:ascii="Times New Roman" w:hAnsi="Times New Roman"/>
          <w:szCs w:val="24"/>
        </w:rPr>
        <w:t>offender</w:t>
      </w:r>
      <w:r w:rsidR="001679E7">
        <w:rPr>
          <w:rFonts w:ascii="Times New Roman" w:hAnsi="Times New Roman"/>
          <w:szCs w:val="24"/>
        </w:rPr>
        <w:t xml:space="preserve">) presence in </w:t>
      </w:r>
      <w:r w:rsidR="00535F01">
        <w:rPr>
          <w:rFonts w:ascii="Times New Roman" w:hAnsi="Times New Roman"/>
          <w:szCs w:val="24"/>
        </w:rPr>
        <w:t xml:space="preserve">the </w:t>
      </w:r>
      <w:r w:rsidR="001679E7">
        <w:rPr>
          <w:rFonts w:ascii="Times New Roman" w:hAnsi="Times New Roman"/>
          <w:szCs w:val="24"/>
        </w:rPr>
        <w:t>restorative justice process.</w:t>
      </w:r>
      <w:r w:rsidR="001679E7">
        <w:rPr>
          <w:rStyle w:val="FootnoteReference"/>
          <w:rFonts w:ascii="Times New Roman" w:hAnsi="Times New Roman"/>
          <w:szCs w:val="24"/>
        </w:rPr>
        <w:footnoteReference w:id="1076"/>
      </w:r>
      <w:r w:rsidR="001679E7">
        <w:rPr>
          <w:rFonts w:ascii="Times New Roman" w:hAnsi="Times New Roman"/>
          <w:szCs w:val="24"/>
        </w:rPr>
        <w:t xml:space="preserve"> This argument is flawed because coercion may sabotage both process and outcome. </w:t>
      </w:r>
      <w:r w:rsidR="001679E7" w:rsidRPr="00D20501">
        <w:rPr>
          <w:rFonts w:ascii="Times New Roman" w:hAnsi="Times New Roman"/>
          <w:szCs w:val="24"/>
        </w:rPr>
        <w:t>We should bear in mind that at this point,  apology from t</w:t>
      </w:r>
      <w:r w:rsidR="00535F01">
        <w:rPr>
          <w:rFonts w:ascii="Times New Roman" w:hAnsi="Times New Roman"/>
          <w:szCs w:val="24"/>
        </w:rPr>
        <w:t>he convict should be voluntary.</w:t>
      </w:r>
      <w:r w:rsidR="00111F78">
        <w:rPr>
          <w:rFonts w:ascii="Times New Roman" w:hAnsi="Times New Roman"/>
          <w:szCs w:val="24"/>
        </w:rPr>
        <w:t xml:space="preserve"> </w:t>
      </w:r>
      <w:r w:rsidR="00535F01">
        <w:rPr>
          <w:rFonts w:ascii="Times New Roman" w:hAnsi="Times New Roman"/>
          <w:szCs w:val="24"/>
        </w:rPr>
        <w:t>Coercion</w:t>
      </w:r>
      <w:r w:rsidR="001679E7" w:rsidRPr="00D20501">
        <w:rPr>
          <w:rFonts w:ascii="Times New Roman" w:hAnsi="Times New Roman"/>
          <w:szCs w:val="24"/>
        </w:rPr>
        <w:t xml:space="preserve"> is not an effective strategy to receive </w:t>
      </w:r>
      <w:r w:rsidR="00535F01">
        <w:rPr>
          <w:rFonts w:ascii="Times New Roman" w:hAnsi="Times New Roman"/>
          <w:szCs w:val="24"/>
        </w:rPr>
        <w:t xml:space="preserve">an </w:t>
      </w:r>
      <w:r w:rsidR="001679E7" w:rsidRPr="00D20501">
        <w:rPr>
          <w:rFonts w:ascii="Times New Roman" w:hAnsi="Times New Roman"/>
          <w:szCs w:val="24"/>
        </w:rPr>
        <w:t>apology from the convict.</w:t>
      </w:r>
      <w:r w:rsidR="00535F01">
        <w:rPr>
          <w:rFonts w:ascii="Times New Roman" w:hAnsi="Times New Roman"/>
          <w:szCs w:val="24"/>
        </w:rPr>
        <w:t xml:space="preserve"> </w:t>
      </w:r>
      <w:r w:rsidR="00DA3909">
        <w:rPr>
          <w:rFonts w:ascii="Times New Roman" w:hAnsi="Times New Roman"/>
          <w:szCs w:val="24"/>
        </w:rPr>
        <w:t>Nothing</w:t>
      </w:r>
      <w:r w:rsidR="00535F01">
        <w:rPr>
          <w:rFonts w:ascii="Times New Roman" w:hAnsi="Times New Roman"/>
          <w:szCs w:val="24"/>
        </w:rPr>
        <w:t xml:space="preserve"> could </w:t>
      </w:r>
      <w:r>
        <w:rPr>
          <w:rFonts w:ascii="Times New Roman" w:hAnsi="Times New Roman"/>
          <w:szCs w:val="24"/>
        </w:rPr>
        <w:t>have been</w:t>
      </w:r>
      <w:r w:rsidR="00535F01">
        <w:rPr>
          <w:rFonts w:ascii="Times New Roman" w:hAnsi="Times New Roman"/>
          <w:szCs w:val="24"/>
        </w:rPr>
        <w:t xml:space="preserve"> done to </w:t>
      </w:r>
      <w:r>
        <w:rPr>
          <w:rFonts w:ascii="Times New Roman" w:hAnsi="Times New Roman"/>
          <w:szCs w:val="24"/>
        </w:rPr>
        <w:t xml:space="preserve">persuade </w:t>
      </w:r>
      <w:r w:rsidR="00535F01">
        <w:rPr>
          <w:rFonts w:ascii="Times New Roman" w:hAnsi="Times New Roman"/>
          <w:szCs w:val="24"/>
        </w:rPr>
        <w:t>the offender</w:t>
      </w:r>
      <w:r w:rsidR="00A43D2D">
        <w:rPr>
          <w:rFonts w:ascii="Times New Roman" w:hAnsi="Times New Roman"/>
          <w:szCs w:val="24"/>
        </w:rPr>
        <w:t>;</w:t>
      </w:r>
      <w:r w:rsidR="00535F01">
        <w:rPr>
          <w:rFonts w:ascii="Times New Roman" w:hAnsi="Times New Roman"/>
          <w:szCs w:val="24"/>
        </w:rPr>
        <w:t xml:space="preserve"> Lubanga</w:t>
      </w:r>
      <w:r w:rsidR="00111F78">
        <w:rPr>
          <w:rFonts w:ascii="Times New Roman" w:hAnsi="Times New Roman"/>
          <w:szCs w:val="24"/>
        </w:rPr>
        <w:t>;</w:t>
      </w:r>
      <w:r w:rsidR="00535F01">
        <w:rPr>
          <w:rFonts w:ascii="Times New Roman" w:hAnsi="Times New Roman"/>
          <w:szCs w:val="24"/>
        </w:rPr>
        <w:t xml:space="preserve"> even imprisonment</w:t>
      </w:r>
      <w:r w:rsidR="00111F78">
        <w:rPr>
          <w:rFonts w:ascii="Times New Roman" w:hAnsi="Times New Roman"/>
          <w:szCs w:val="24"/>
        </w:rPr>
        <w:t xml:space="preserve"> </w:t>
      </w:r>
      <w:r w:rsidR="00535F01">
        <w:rPr>
          <w:rFonts w:ascii="Times New Roman" w:hAnsi="Times New Roman"/>
          <w:szCs w:val="24"/>
        </w:rPr>
        <w:t xml:space="preserve">could not induce him to apologise to the victims. Voluntariness/willingness on his part was required. </w:t>
      </w:r>
    </w:p>
    <w:p w14:paraId="22EAF5FC" w14:textId="65B6285D" w:rsidR="002A224D" w:rsidRDefault="004B5D5C" w:rsidP="00FB7B02">
      <w:pPr>
        <w:spacing w:line="480" w:lineRule="auto"/>
        <w:jc w:val="both"/>
        <w:rPr>
          <w:rFonts w:ascii="Times New Roman" w:hAnsi="Times New Roman"/>
          <w:szCs w:val="24"/>
        </w:rPr>
      </w:pPr>
      <w:r>
        <w:rPr>
          <w:rFonts w:ascii="Times New Roman" w:hAnsi="Times New Roman"/>
          <w:szCs w:val="24"/>
        </w:rPr>
        <w:t>Be that as it may, i</w:t>
      </w:r>
      <w:r w:rsidR="002A224D">
        <w:rPr>
          <w:rFonts w:ascii="Times New Roman" w:hAnsi="Times New Roman"/>
          <w:szCs w:val="24"/>
        </w:rPr>
        <w:t>t is noted that the</w:t>
      </w:r>
      <w:r w:rsidR="002A224D" w:rsidRPr="004B524A">
        <w:rPr>
          <w:rFonts w:ascii="Times New Roman" w:hAnsi="Times New Roman"/>
          <w:szCs w:val="24"/>
        </w:rPr>
        <w:t xml:space="preserve"> </w:t>
      </w:r>
      <w:r w:rsidR="00DA3909">
        <w:rPr>
          <w:rFonts w:ascii="Times New Roman" w:hAnsi="Times New Roman"/>
          <w:szCs w:val="24"/>
        </w:rPr>
        <w:t>Rome Statute provisions</w:t>
      </w:r>
      <w:r w:rsidR="002A224D" w:rsidRPr="004B524A">
        <w:rPr>
          <w:rFonts w:ascii="Times New Roman" w:hAnsi="Times New Roman"/>
          <w:szCs w:val="24"/>
        </w:rPr>
        <w:t xml:space="preserve"> overlook the consequences that follow the release of the offender as a result of sentence reduction or</w:t>
      </w:r>
      <w:r>
        <w:rPr>
          <w:rFonts w:ascii="Times New Roman" w:hAnsi="Times New Roman"/>
          <w:szCs w:val="24"/>
        </w:rPr>
        <w:t xml:space="preserve"> regular discharge after imprisonment</w:t>
      </w:r>
      <w:r w:rsidR="002A224D">
        <w:rPr>
          <w:rFonts w:ascii="Times New Roman" w:hAnsi="Times New Roman"/>
          <w:szCs w:val="24"/>
        </w:rPr>
        <w:t>.</w:t>
      </w:r>
      <w:r>
        <w:rPr>
          <w:rFonts w:ascii="Times New Roman" w:hAnsi="Times New Roman"/>
          <w:szCs w:val="24"/>
        </w:rPr>
        <w:t xml:space="preserve"> It is not sure if</w:t>
      </w:r>
      <w:r w:rsidR="002A224D" w:rsidRPr="004B524A">
        <w:rPr>
          <w:rFonts w:ascii="Times New Roman" w:hAnsi="Times New Roman"/>
          <w:szCs w:val="24"/>
        </w:rPr>
        <w:t xml:space="preserve"> there </w:t>
      </w:r>
      <w:r>
        <w:rPr>
          <w:rFonts w:ascii="Times New Roman" w:hAnsi="Times New Roman"/>
          <w:szCs w:val="24"/>
        </w:rPr>
        <w:t xml:space="preserve">is </w:t>
      </w:r>
      <w:r w:rsidR="002A224D" w:rsidRPr="004B524A">
        <w:rPr>
          <w:rFonts w:ascii="Times New Roman" w:hAnsi="Times New Roman"/>
          <w:szCs w:val="24"/>
        </w:rPr>
        <w:t xml:space="preserve">any provision to support the offender regarding </w:t>
      </w:r>
      <w:r>
        <w:rPr>
          <w:rFonts w:ascii="Times New Roman" w:hAnsi="Times New Roman"/>
          <w:szCs w:val="24"/>
        </w:rPr>
        <w:t xml:space="preserve">reintegration after his release. </w:t>
      </w:r>
      <w:r w:rsidR="002A224D">
        <w:rPr>
          <w:rFonts w:ascii="Times New Roman" w:hAnsi="Times New Roman"/>
          <w:szCs w:val="24"/>
        </w:rPr>
        <w:t>This gap needs to be filled by</w:t>
      </w:r>
      <w:r w:rsidR="002A224D" w:rsidRPr="004B524A">
        <w:rPr>
          <w:rFonts w:ascii="Times New Roman" w:hAnsi="Times New Roman"/>
          <w:szCs w:val="24"/>
        </w:rPr>
        <w:t xml:space="preserve"> the domesti</w:t>
      </w:r>
      <w:r>
        <w:rPr>
          <w:rFonts w:ascii="Times New Roman" w:hAnsi="Times New Roman"/>
          <w:szCs w:val="24"/>
        </w:rPr>
        <w:t xml:space="preserve">c criminal justice system to promote </w:t>
      </w:r>
      <w:r w:rsidR="00696301">
        <w:rPr>
          <w:rFonts w:ascii="Times New Roman" w:hAnsi="Times New Roman"/>
          <w:szCs w:val="24"/>
        </w:rPr>
        <w:t>offenders' rehabilitation and reintegration</w:t>
      </w:r>
      <w:r>
        <w:rPr>
          <w:rFonts w:ascii="Times New Roman" w:hAnsi="Times New Roman"/>
          <w:szCs w:val="24"/>
        </w:rPr>
        <w:t xml:space="preserve">. </w:t>
      </w:r>
    </w:p>
    <w:p w14:paraId="2AEB9A57" w14:textId="6938DEE2" w:rsidR="002A224D" w:rsidRDefault="002A224D" w:rsidP="00FB7B02">
      <w:pPr>
        <w:spacing w:line="480" w:lineRule="auto"/>
        <w:jc w:val="both"/>
        <w:rPr>
          <w:rFonts w:ascii="Times New Roman" w:hAnsi="Times New Roman"/>
          <w:szCs w:val="24"/>
        </w:rPr>
      </w:pPr>
      <w:r w:rsidRPr="002A224D">
        <w:rPr>
          <w:rFonts w:ascii="Times New Roman" w:hAnsi="Times New Roman"/>
          <w:szCs w:val="24"/>
        </w:rPr>
        <w:t>In general</w:t>
      </w:r>
      <w:r w:rsidR="004B5D5C">
        <w:rPr>
          <w:rFonts w:ascii="Times New Roman" w:hAnsi="Times New Roman"/>
          <w:szCs w:val="24"/>
        </w:rPr>
        <w:t>,</w:t>
      </w:r>
      <w:r w:rsidRPr="002A224D">
        <w:rPr>
          <w:rFonts w:ascii="Times New Roman" w:hAnsi="Times New Roman"/>
          <w:szCs w:val="24"/>
        </w:rPr>
        <w:t xml:space="preserve"> therefore, it seems that the ICC restricts </w:t>
      </w:r>
      <w:r w:rsidR="00DA3909">
        <w:rPr>
          <w:rFonts w:ascii="Times New Roman" w:hAnsi="Times New Roman"/>
          <w:szCs w:val="24"/>
        </w:rPr>
        <w:t>victims' ability</w:t>
      </w:r>
      <w:r w:rsidRPr="002A224D">
        <w:rPr>
          <w:rFonts w:ascii="Times New Roman" w:hAnsi="Times New Roman"/>
          <w:szCs w:val="24"/>
        </w:rPr>
        <w:t xml:space="preserve"> to influence sentencing, particular</w:t>
      </w:r>
      <w:r w:rsidR="003D3013">
        <w:rPr>
          <w:rFonts w:ascii="Times New Roman" w:hAnsi="Times New Roman"/>
          <w:szCs w:val="24"/>
        </w:rPr>
        <w:t xml:space="preserve">ly the term of imprisonments for </w:t>
      </w:r>
      <w:r w:rsidRPr="002A224D">
        <w:rPr>
          <w:rFonts w:ascii="Times New Roman" w:hAnsi="Times New Roman"/>
          <w:szCs w:val="24"/>
        </w:rPr>
        <w:t>the convicted person.</w:t>
      </w:r>
      <w:r w:rsidR="003D3013">
        <w:rPr>
          <w:rFonts w:ascii="Times New Roman" w:hAnsi="Times New Roman"/>
          <w:szCs w:val="24"/>
        </w:rPr>
        <w:t xml:space="preserve"> </w:t>
      </w:r>
      <w:r w:rsidRPr="002A224D">
        <w:rPr>
          <w:rFonts w:ascii="Times New Roman" w:hAnsi="Times New Roman"/>
          <w:szCs w:val="24"/>
        </w:rPr>
        <w:t>Th</w:t>
      </w:r>
      <w:r w:rsidR="00BE4E89">
        <w:rPr>
          <w:rFonts w:ascii="Times New Roman" w:hAnsi="Times New Roman"/>
          <w:szCs w:val="24"/>
        </w:rPr>
        <w:t xml:space="preserve">e </w:t>
      </w:r>
      <w:r w:rsidRPr="002A224D">
        <w:rPr>
          <w:rFonts w:ascii="Times New Roman" w:hAnsi="Times New Roman"/>
          <w:szCs w:val="24"/>
        </w:rPr>
        <w:lastRenderedPageBreak/>
        <w:t>finding observed in this study seem to be consistent with the research of Perez-Leon –</w:t>
      </w:r>
      <w:proofErr w:type="spellStart"/>
      <w:r w:rsidRPr="002A224D">
        <w:rPr>
          <w:rFonts w:ascii="Times New Roman" w:hAnsi="Times New Roman"/>
          <w:szCs w:val="24"/>
        </w:rPr>
        <w:t>Acevado</w:t>
      </w:r>
      <w:proofErr w:type="spellEnd"/>
      <w:r w:rsidRPr="002A224D">
        <w:rPr>
          <w:rFonts w:ascii="Times New Roman" w:hAnsi="Times New Roman"/>
          <w:szCs w:val="24"/>
        </w:rPr>
        <w:t>. Perez-Leon points out that the ICC impose limits on the involvement of victims at the sentencing stage.</w:t>
      </w:r>
      <w:r w:rsidRPr="002A224D">
        <w:rPr>
          <w:rStyle w:val="FootnoteReference"/>
          <w:rFonts w:ascii="Times New Roman" w:hAnsi="Times New Roman"/>
          <w:szCs w:val="24"/>
        </w:rPr>
        <w:footnoteReference w:id="1077"/>
      </w:r>
    </w:p>
    <w:p w14:paraId="2B8CD49F" w14:textId="203BDAC5" w:rsidR="002A224D" w:rsidRPr="002A224D" w:rsidRDefault="002A224D" w:rsidP="00FB7B02">
      <w:pPr>
        <w:spacing w:line="480" w:lineRule="auto"/>
        <w:jc w:val="both"/>
        <w:rPr>
          <w:rFonts w:ascii="Times New Roman" w:hAnsi="Times New Roman"/>
          <w:szCs w:val="24"/>
        </w:rPr>
      </w:pPr>
      <w:r>
        <w:rPr>
          <w:rFonts w:ascii="Times New Roman" w:hAnsi="Times New Roman"/>
          <w:szCs w:val="24"/>
        </w:rPr>
        <w:t xml:space="preserve">Having discussed the </w:t>
      </w:r>
      <w:r w:rsidR="00DA3909">
        <w:rPr>
          <w:rFonts w:ascii="Times New Roman" w:hAnsi="Times New Roman"/>
          <w:szCs w:val="24"/>
        </w:rPr>
        <w:t>Lubanga sentencing findings</w:t>
      </w:r>
      <w:r w:rsidR="00032D5B">
        <w:rPr>
          <w:rFonts w:ascii="Times New Roman" w:hAnsi="Times New Roman"/>
          <w:szCs w:val="24"/>
        </w:rPr>
        <w:t xml:space="preserve">, the next section of the chapter addresses </w:t>
      </w:r>
      <w:r w:rsidR="00535EE5">
        <w:rPr>
          <w:rFonts w:ascii="Times New Roman" w:hAnsi="Times New Roman"/>
          <w:szCs w:val="24"/>
        </w:rPr>
        <w:t>victims' role</w:t>
      </w:r>
      <w:r w:rsidR="003D3013">
        <w:rPr>
          <w:rFonts w:ascii="Times New Roman" w:hAnsi="Times New Roman"/>
          <w:szCs w:val="24"/>
        </w:rPr>
        <w:t xml:space="preserve"> in sentencing and presents the results.</w:t>
      </w:r>
    </w:p>
    <w:p w14:paraId="54C5A982" w14:textId="1E36CF9A" w:rsidR="004D5736" w:rsidRDefault="003D3013" w:rsidP="00364EC8">
      <w:pPr>
        <w:pStyle w:val="Heading2"/>
      </w:pPr>
      <w:bookmarkStart w:id="78" w:name="_Toc21896845"/>
      <w:bookmarkStart w:id="79" w:name="_Toc60235848"/>
      <w:r>
        <w:t>4.7.0</w:t>
      </w:r>
      <w:r w:rsidR="00DA3909">
        <w:t>Victims’role</w:t>
      </w:r>
      <w:r w:rsidR="004D5736" w:rsidRPr="00F265CB">
        <w:t xml:space="preserve"> in sentencing:</w:t>
      </w:r>
      <w:r>
        <w:t xml:space="preserve"> </w:t>
      </w:r>
      <w:r w:rsidR="004D5736" w:rsidRPr="00F265CB">
        <w:t xml:space="preserve">The Prosecutor </w:t>
      </w:r>
      <w:proofErr w:type="spellStart"/>
      <w:r w:rsidR="004D5736" w:rsidRPr="00F265CB">
        <w:t>v.Katanga</w:t>
      </w:r>
      <w:proofErr w:type="spellEnd"/>
      <w:r w:rsidR="004D5736" w:rsidRPr="00F265CB">
        <w:t>.</w:t>
      </w:r>
      <w:bookmarkEnd w:id="78"/>
      <w:bookmarkEnd w:id="79"/>
      <w:r w:rsidR="004D5736" w:rsidRPr="00F265CB">
        <w:t xml:space="preserve"> </w:t>
      </w:r>
    </w:p>
    <w:p w14:paraId="3E04C096" w14:textId="595AD9F6" w:rsidR="003D3013" w:rsidRPr="00C24A28" w:rsidRDefault="003D3013" w:rsidP="007A206C">
      <w:pPr>
        <w:spacing w:line="480" w:lineRule="auto"/>
        <w:jc w:val="both"/>
        <w:rPr>
          <w:rFonts w:ascii="Times New Roman" w:hAnsi="Times New Roman"/>
          <w:lang w:eastAsia="ja-JP"/>
        </w:rPr>
      </w:pPr>
      <w:r w:rsidRPr="00C24A28">
        <w:rPr>
          <w:rFonts w:ascii="Times New Roman" w:hAnsi="Times New Roman"/>
          <w:lang w:eastAsia="ja-JP"/>
        </w:rPr>
        <w:t>The following is an examination of the role of victims in Prosecutor v Katanga.</w:t>
      </w:r>
      <w:r w:rsidR="00C24A28">
        <w:rPr>
          <w:rFonts w:ascii="Times New Roman" w:hAnsi="Times New Roman"/>
          <w:lang w:eastAsia="ja-JP"/>
        </w:rPr>
        <w:t xml:space="preserve"> </w:t>
      </w:r>
      <w:r w:rsidRPr="00C24A28">
        <w:rPr>
          <w:rFonts w:ascii="Times New Roman" w:hAnsi="Times New Roman"/>
          <w:lang w:eastAsia="ja-JP"/>
        </w:rPr>
        <w:t xml:space="preserve">The section below shall address </w:t>
      </w:r>
      <w:r w:rsidR="00C7070D">
        <w:rPr>
          <w:rFonts w:ascii="Times New Roman" w:hAnsi="Times New Roman"/>
          <w:lang w:eastAsia="ja-JP"/>
        </w:rPr>
        <w:t>victims' position</w:t>
      </w:r>
      <w:r w:rsidR="00C24A28" w:rsidRPr="00C24A28">
        <w:rPr>
          <w:rFonts w:ascii="Times New Roman" w:hAnsi="Times New Roman"/>
          <w:lang w:eastAsia="ja-JP"/>
        </w:rPr>
        <w:t xml:space="preserve"> during sentence hearings and </w:t>
      </w:r>
      <w:r w:rsidR="009A47C7">
        <w:rPr>
          <w:rFonts w:ascii="Times New Roman" w:hAnsi="Times New Roman"/>
          <w:lang w:eastAsia="ja-JP"/>
        </w:rPr>
        <w:t>if victim participation affects the sentencing decision.</w:t>
      </w:r>
    </w:p>
    <w:p w14:paraId="575D0498" w14:textId="77777777" w:rsidR="004D5736" w:rsidRPr="00F265CB" w:rsidRDefault="00C24A28" w:rsidP="00364EC8">
      <w:pPr>
        <w:pStyle w:val="Heading3"/>
      </w:pPr>
      <w:bookmarkStart w:id="80" w:name="_Toc60235849"/>
      <w:r>
        <w:t>4.7</w:t>
      </w:r>
      <w:r w:rsidR="009917FE" w:rsidRPr="00F265CB">
        <w:t>.1</w:t>
      </w:r>
      <w:r w:rsidR="00032D5B" w:rsidRPr="00F265CB">
        <w:t>.Overview</w:t>
      </w:r>
      <w:r w:rsidR="009A47C7">
        <w:t>.</w:t>
      </w:r>
      <w:bookmarkEnd w:id="80"/>
    </w:p>
    <w:p w14:paraId="04946794" w14:textId="4533E0C3" w:rsidR="004D274D" w:rsidRDefault="004D274D" w:rsidP="007A206C">
      <w:pPr>
        <w:spacing w:line="480" w:lineRule="auto"/>
        <w:jc w:val="both"/>
        <w:rPr>
          <w:rFonts w:ascii="Times New Roman" w:hAnsi="Times New Roman"/>
          <w:szCs w:val="24"/>
        </w:rPr>
      </w:pPr>
      <w:r w:rsidRPr="00F265CB">
        <w:rPr>
          <w:rFonts w:ascii="Times New Roman" w:hAnsi="Times New Roman"/>
          <w:szCs w:val="24"/>
        </w:rPr>
        <w:t xml:space="preserve">On 20 March 2014, the majority found Katanga guilty </w:t>
      </w:r>
      <w:r>
        <w:rPr>
          <w:rFonts w:ascii="Times New Roman" w:hAnsi="Times New Roman"/>
          <w:szCs w:val="24"/>
        </w:rPr>
        <w:t xml:space="preserve">on one </w:t>
      </w:r>
      <w:r w:rsidRPr="00F265CB">
        <w:rPr>
          <w:rFonts w:ascii="Times New Roman" w:hAnsi="Times New Roman"/>
          <w:szCs w:val="24"/>
        </w:rPr>
        <w:t xml:space="preserve">count(murder) of war crime and four counts(pillaging, </w:t>
      </w:r>
      <w:r>
        <w:rPr>
          <w:rFonts w:ascii="Times New Roman" w:hAnsi="Times New Roman"/>
          <w:szCs w:val="24"/>
        </w:rPr>
        <w:t>killing</w:t>
      </w:r>
      <w:r w:rsidRPr="00F265CB">
        <w:rPr>
          <w:rFonts w:ascii="Times New Roman" w:hAnsi="Times New Roman"/>
          <w:szCs w:val="24"/>
        </w:rPr>
        <w:t xml:space="preserve">, </w:t>
      </w:r>
      <w:r>
        <w:rPr>
          <w:rFonts w:ascii="Times New Roman" w:hAnsi="Times New Roman"/>
          <w:szCs w:val="24"/>
        </w:rPr>
        <w:t xml:space="preserve">an </w:t>
      </w:r>
      <w:r w:rsidRPr="00F265CB">
        <w:rPr>
          <w:rFonts w:ascii="Times New Roman" w:hAnsi="Times New Roman"/>
          <w:szCs w:val="24"/>
        </w:rPr>
        <w:t>attack against civilian population and destruction of property) of crimes against humanity.</w:t>
      </w:r>
      <w:r w:rsidRPr="00F265CB">
        <w:rPr>
          <w:rStyle w:val="FootnoteReference"/>
          <w:rFonts w:ascii="Times New Roman" w:hAnsi="Times New Roman"/>
          <w:szCs w:val="24"/>
        </w:rPr>
        <w:footnoteReference w:id="1078"/>
      </w:r>
      <w:r w:rsidR="000C40C4">
        <w:rPr>
          <w:rFonts w:ascii="Times New Roman" w:hAnsi="Times New Roman"/>
          <w:szCs w:val="24"/>
        </w:rPr>
        <w:t xml:space="preserve"> </w:t>
      </w:r>
      <w:r w:rsidR="00EA058D" w:rsidRPr="00F265CB">
        <w:rPr>
          <w:rFonts w:ascii="Times New Roman" w:hAnsi="Times New Roman"/>
          <w:szCs w:val="24"/>
        </w:rPr>
        <w:t>Sad</w:t>
      </w:r>
      <w:r w:rsidR="00EA058D">
        <w:rPr>
          <w:rFonts w:ascii="Times New Roman" w:hAnsi="Times New Roman"/>
          <w:szCs w:val="24"/>
        </w:rPr>
        <w:t>ly, The Chamber acquitted Katanga of</w:t>
      </w:r>
      <w:r w:rsidR="00EA058D" w:rsidRPr="00F265CB">
        <w:rPr>
          <w:rFonts w:ascii="Times New Roman" w:hAnsi="Times New Roman"/>
          <w:szCs w:val="24"/>
        </w:rPr>
        <w:t xml:space="preserve"> rape and sexual slavery as war crimes and crimes against humanity</w:t>
      </w:r>
      <w:r w:rsidR="00EA058D">
        <w:rPr>
          <w:rFonts w:ascii="Times New Roman" w:hAnsi="Times New Roman"/>
          <w:szCs w:val="24"/>
        </w:rPr>
        <w:t xml:space="preserve">. </w:t>
      </w:r>
      <w:r w:rsidR="00F14137">
        <w:rPr>
          <w:rFonts w:ascii="Times New Roman" w:hAnsi="Times New Roman"/>
          <w:szCs w:val="24"/>
        </w:rPr>
        <w:t xml:space="preserve"> </w:t>
      </w:r>
      <w:r>
        <w:rPr>
          <w:rFonts w:ascii="Times New Roman" w:hAnsi="Times New Roman"/>
          <w:szCs w:val="24"/>
        </w:rPr>
        <w:t>One implication of this is the effect on substantive justice.</w:t>
      </w:r>
      <w:r w:rsidR="00F14137">
        <w:rPr>
          <w:rFonts w:ascii="Times New Roman" w:hAnsi="Times New Roman"/>
          <w:szCs w:val="24"/>
        </w:rPr>
        <w:t xml:space="preserve"> </w:t>
      </w:r>
      <w:r w:rsidR="006B019B">
        <w:rPr>
          <w:rFonts w:ascii="Times New Roman" w:hAnsi="Times New Roman"/>
          <w:szCs w:val="24"/>
        </w:rPr>
        <w:t xml:space="preserve">Judge Bruno </w:t>
      </w:r>
      <w:proofErr w:type="spellStart"/>
      <w:r w:rsidR="00686544">
        <w:rPr>
          <w:rFonts w:ascii="Times New Roman" w:hAnsi="Times New Roman"/>
          <w:szCs w:val="24"/>
        </w:rPr>
        <w:t>Cott</w:t>
      </w:r>
      <w:r w:rsidR="00EA058D">
        <w:rPr>
          <w:rFonts w:ascii="Times New Roman" w:hAnsi="Times New Roman"/>
          <w:szCs w:val="24"/>
        </w:rPr>
        <w:t>e</w:t>
      </w:r>
      <w:proofErr w:type="spellEnd"/>
      <w:r w:rsidR="00DF362A">
        <w:rPr>
          <w:rFonts w:ascii="Times New Roman" w:hAnsi="Times New Roman"/>
          <w:szCs w:val="24"/>
        </w:rPr>
        <w:t xml:space="preserve"> summarised</w:t>
      </w:r>
      <w:r w:rsidR="00686544">
        <w:rPr>
          <w:rFonts w:ascii="Times New Roman" w:hAnsi="Times New Roman"/>
          <w:szCs w:val="24"/>
        </w:rPr>
        <w:t xml:space="preserve"> the implication of </w:t>
      </w:r>
      <w:r w:rsidR="00DF362A">
        <w:rPr>
          <w:rFonts w:ascii="Times New Roman" w:hAnsi="Times New Roman"/>
          <w:szCs w:val="24"/>
        </w:rPr>
        <w:t xml:space="preserve">Katanga’s </w:t>
      </w:r>
      <w:r w:rsidR="00686544">
        <w:rPr>
          <w:rFonts w:ascii="Times New Roman" w:hAnsi="Times New Roman"/>
          <w:szCs w:val="24"/>
        </w:rPr>
        <w:t xml:space="preserve">acquittal </w:t>
      </w:r>
      <w:r w:rsidR="00DF362A">
        <w:rPr>
          <w:rFonts w:ascii="Times New Roman" w:hAnsi="Times New Roman"/>
          <w:szCs w:val="24"/>
        </w:rPr>
        <w:t xml:space="preserve">on </w:t>
      </w:r>
      <w:r w:rsidR="00686544">
        <w:rPr>
          <w:rFonts w:ascii="Times New Roman" w:hAnsi="Times New Roman"/>
          <w:szCs w:val="24"/>
        </w:rPr>
        <w:t>the alleged crimes of sexual violence and the use of child soldiers.</w:t>
      </w:r>
    </w:p>
    <w:p w14:paraId="4C563EAE" w14:textId="77777777" w:rsidR="006B019B" w:rsidRPr="00F265CB" w:rsidRDefault="006B019B" w:rsidP="006B019B">
      <w:pPr>
        <w:spacing w:line="480" w:lineRule="auto"/>
        <w:jc w:val="both"/>
        <w:rPr>
          <w:rFonts w:ascii="Times New Roman" w:hAnsi="Times New Roman"/>
          <w:szCs w:val="24"/>
        </w:rPr>
      </w:pPr>
      <w:r>
        <w:rPr>
          <w:rFonts w:ascii="Times New Roman" w:hAnsi="Times New Roman"/>
          <w:szCs w:val="24"/>
        </w:rPr>
        <w:lastRenderedPageBreak/>
        <w:t xml:space="preserve">In  Judge Bruno </w:t>
      </w:r>
      <w:proofErr w:type="spellStart"/>
      <w:r>
        <w:rPr>
          <w:rFonts w:ascii="Times New Roman" w:hAnsi="Times New Roman"/>
          <w:szCs w:val="24"/>
        </w:rPr>
        <w:t>Cotte’</w:t>
      </w:r>
      <w:r w:rsidRPr="00F265CB">
        <w:rPr>
          <w:rFonts w:ascii="Times New Roman" w:hAnsi="Times New Roman"/>
          <w:szCs w:val="24"/>
        </w:rPr>
        <w:t>s</w:t>
      </w:r>
      <w:proofErr w:type="spellEnd"/>
      <w:r w:rsidRPr="00F265CB">
        <w:rPr>
          <w:rFonts w:ascii="Times New Roman" w:hAnsi="Times New Roman"/>
          <w:szCs w:val="24"/>
        </w:rPr>
        <w:t xml:space="preserve"> words:</w:t>
      </w:r>
    </w:p>
    <w:p w14:paraId="23AF6F9B" w14:textId="7AF3FD0B" w:rsidR="006B019B" w:rsidRPr="00F265CB" w:rsidRDefault="006B019B" w:rsidP="00D17795">
      <w:pPr>
        <w:jc w:val="center"/>
        <w:rPr>
          <w:rFonts w:ascii="Times New Roman" w:hAnsi="Times New Roman"/>
          <w:i/>
          <w:szCs w:val="24"/>
        </w:rPr>
      </w:pPr>
      <w:r w:rsidRPr="00F265CB">
        <w:rPr>
          <w:rFonts w:ascii="Times New Roman" w:hAnsi="Times New Roman"/>
          <w:szCs w:val="24"/>
        </w:rPr>
        <w:t>“</w:t>
      </w:r>
      <w:r w:rsidRPr="0093727B">
        <w:rPr>
          <w:rStyle w:val="QuoteChar"/>
          <w:rFonts w:ascii="Times New Roman" w:hAnsi="Times New Roman"/>
          <w:i w:val="0"/>
        </w:rPr>
        <w:t xml:space="preserve">If an allegation has not been proven beyond </w:t>
      </w:r>
      <w:r w:rsidR="00DF362A" w:rsidRPr="0093727B">
        <w:rPr>
          <w:rStyle w:val="QuoteChar"/>
          <w:rFonts w:ascii="Times New Roman" w:hAnsi="Times New Roman"/>
          <w:i w:val="0"/>
        </w:rPr>
        <w:t xml:space="preserve">a </w:t>
      </w:r>
      <w:r w:rsidRPr="0093727B">
        <w:rPr>
          <w:rStyle w:val="QuoteChar"/>
          <w:rFonts w:ascii="Times New Roman" w:hAnsi="Times New Roman"/>
          <w:i w:val="0"/>
        </w:rPr>
        <w:t>reasonable doubt</w:t>
      </w:r>
      <w:r w:rsidR="00DF362A" w:rsidRPr="0093727B">
        <w:rPr>
          <w:rStyle w:val="QuoteChar"/>
          <w:rFonts w:ascii="Times New Roman" w:hAnsi="Times New Roman"/>
          <w:i w:val="0"/>
        </w:rPr>
        <w:t>,</w:t>
      </w:r>
      <w:r w:rsidRPr="0093727B">
        <w:rPr>
          <w:rStyle w:val="QuoteChar"/>
          <w:rFonts w:ascii="Times New Roman" w:hAnsi="Times New Roman"/>
          <w:i w:val="0"/>
        </w:rPr>
        <w:t xml:space="preserve"> this does not necessarily mean that the alleged act did not occur. Declaring a person not guilty does not mean the Chamber is convinced of the person’s innocence; just that they are not convinced of the person’s </w:t>
      </w:r>
      <w:proofErr w:type="spellStart"/>
      <w:r w:rsidRPr="0093727B">
        <w:rPr>
          <w:rStyle w:val="QuoteChar"/>
          <w:rFonts w:ascii="Times New Roman" w:hAnsi="Times New Roman"/>
          <w:i w:val="0"/>
        </w:rPr>
        <w:t>guilt</w:t>
      </w:r>
      <w:proofErr w:type="spellEnd"/>
      <w:r w:rsidRPr="0093727B">
        <w:rPr>
          <w:rStyle w:val="QuoteChar"/>
          <w:rFonts w:ascii="Times New Roman" w:hAnsi="Times New Roman"/>
          <w:i w:val="0"/>
        </w:rPr>
        <w:t xml:space="preserve"> as charged</w:t>
      </w:r>
      <w:r w:rsidR="00DF362A">
        <w:rPr>
          <w:rFonts w:ascii="Times New Roman" w:hAnsi="Times New Roman"/>
          <w:szCs w:val="24"/>
        </w:rPr>
        <w:t>.</w:t>
      </w:r>
      <w:r w:rsidRPr="00F265CB">
        <w:rPr>
          <w:rFonts w:ascii="Times New Roman" w:hAnsi="Times New Roman"/>
          <w:i/>
          <w:szCs w:val="24"/>
        </w:rPr>
        <w:t>”</w:t>
      </w:r>
      <w:r w:rsidRPr="00F265CB">
        <w:rPr>
          <w:rStyle w:val="FootnoteReference"/>
          <w:rFonts w:ascii="Times New Roman" w:hAnsi="Times New Roman"/>
          <w:i/>
          <w:szCs w:val="24"/>
        </w:rPr>
        <w:footnoteReference w:id="1079"/>
      </w:r>
    </w:p>
    <w:p w14:paraId="1C595159" w14:textId="7E3C65E8" w:rsidR="00284CD2" w:rsidRPr="006D4CC1" w:rsidRDefault="00284CD2" w:rsidP="00D17795">
      <w:pPr>
        <w:spacing w:line="480" w:lineRule="auto"/>
        <w:jc w:val="both"/>
        <w:rPr>
          <w:szCs w:val="24"/>
        </w:rPr>
      </w:pPr>
      <w:r>
        <w:rPr>
          <w:rFonts w:ascii="Times New Roman" w:hAnsi="Times New Roman"/>
          <w:szCs w:val="24"/>
        </w:rPr>
        <w:t xml:space="preserve">Perhaps, one of the challenges, in this case, was </w:t>
      </w:r>
      <w:r w:rsidRPr="006D4CC1">
        <w:rPr>
          <w:rFonts w:ascii="Times New Roman" w:hAnsi="Times New Roman"/>
          <w:szCs w:val="24"/>
        </w:rPr>
        <w:t>the failure of the Prosecutor to obtain and present convincing evidence at the court</w:t>
      </w:r>
      <w:r>
        <w:rPr>
          <w:rFonts w:ascii="Times New Roman" w:hAnsi="Times New Roman"/>
          <w:szCs w:val="24"/>
        </w:rPr>
        <w:t>.</w:t>
      </w:r>
      <w:r w:rsidRPr="006D4CC1">
        <w:rPr>
          <w:rFonts w:ascii="Times New Roman" w:hAnsi="Times New Roman"/>
          <w:szCs w:val="24"/>
        </w:rPr>
        <w:t xml:space="preserve"> </w:t>
      </w:r>
      <w:r w:rsidR="00C7070D">
        <w:rPr>
          <w:rFonts w:ascii="Times New Roman" w:hAnsi="Times New Roman"/>
          <w:szCs w:val="24"/>
        </w:rPr>
        <w:t>Consequently</w:t>
      </w:r>
      <w:r>
        <w:rPr>
          <w:rFonts w:ascii="Times New Roman" w:hAnsi="Times New Roman"/>
          <w:szCs w:val="24"/>
        </w:rPr>
        <w:t>, the victims within this category might not have been able to know the tr</w:t>
      </w:r>
      <w:r w:rsidR="00D17795">
        <w:rPr>
          <w:rFonts w:ascii="Times New Roman" w:hAnsi="Times New Roman"/>
          <w:szCs w:val="24"/>
        </w:rPr>
        <w:t>uth concerning the crime or find closure.</w:t>
      </w:r>
    </w:p>
    <w:p w14:paraId="2992741D" w14:textId="69D86DB4" w:rsidR="004D274D" w:rsidRPr="00F14137" w:rsidRDefault="004D274D" w:rsidP="005D0677">
      <w:pPr>
        <w:spacing w:line="480" w:lineRule="auto"/>
        <w:jc w:val="both"/>
        <w:rPr>
          <w:rFonts w:ascii="Times New Roman" w:hAnsi="Times New Roman"/>
          <w:szCs w:val="24"/>
        </w:rPr>
      </w:pPr>
      <w:r w:rsidRPr="00F14137">
        <w:rPr>
          <w:rFonts w:ascii="Times New Roman" w:hAnsi="Times New Roman"/>
          <w:szCs w:val="24"/>
        </w:rPr>
        <w:t>The Chamber sentenced Katanga to 12 years imprisonment.</w:t>
      </w:r>
      <w:r w:rsidRPr="00F14137">
        <w:rPr>
          <w:rStyle w:val="FootnoteReference"/>
          <w:rFonts w:ascii="Times New Roman" w:hAnsi="Times New Roman"/>
          <w:szCs w:val="24"/>
        </w:rPr>
        <w:footnoteReference w:id="1080"/>
      </w:r>
      <w:r w:rsidRPr="00F14137">
        <w:rPr>
          <w:rFonts w:ascii="Times New Roman" w:hAnsi="Times New Roman"/>
          <w:szCs w:val="24"/>
        </w:rPr>
        <w:t xml:space="preserve"> </w:t>
      </w:r>
      <w:r w:rsidR="00F923A9">
        <w:rPr>
          <w:rFonts w:ascii="Times New Roman" w:hAnsi="Times New Roman"/>
          <w:szCs w:val="24"/>
        </w:rPr>
        <w:t>However</w:t>
      </w:r>
      <w:r w:rsidRPr="00F14137">
        <w:rPr>
          <w:rFonts w:ascii="Times New Roman" w:hAnsi="Times New Roman"/>
          <w:szCs w:val="24"/>
        </w:rPr>
        <w:t xml:space="preserve">, </w:t>
      </w:r>
      <w:r w:rsidR="00F14137">
        <w:rPr>
          <w:rFonts w:ascii="Times New Roman" w:hAnsi="Times New Roman"/>
          <w:szCs w:val="24"/>
        </w:rPr>
        <w:t>since</w:t>
      </w:r>
      <w:r w:rsidRPr="00F14137">
        <w:rPr>
          <w:rFonts w:ascii="Times New Roman" w:hAnsi="Times New Roman"/>
          <w:szCs w:val="24"/>
        </w:rPr>
        <w:t xml:space="preserve"> the convict has been in ICC detention since 18 September 2007, he will serve six years imprisonment.</w:t>
      </w:r>
      <w:r w:rsidRPr="00F14137">
        <w:rPr>
          <w:rStyle w:val="FootnoteReference"/>
          <w:rFonts w:ascii="Times New Roman" w:hAnsi="Times New Roman"/>
          <w:szCs w:val="24"/>
        </w:rPr>
        <w:footnoteReference w:id="1081"/>
      </w:r>
      <w:r w:rsidRPr="00F14137">
        <w:rPr>
          <w:rFonts w:ascii="Times New Roman" w:hAnsi="Times New Roman"/>
          <w:szCs w:val="24"/>
        </w:rPr>
        <w:t xml:space="preserve"> In response to this, the Prosecution made an application for appeal </w:t>
      </w:r>
      <w:r w:rsidR="00F923A9">
        <w:rPr>
          <w:rFonts w:ascii="Times New Roman" w:hAnsi="Times New Roman"/>
          <w:szCs w:val="24"/>
        </w:rPr>
        <w:t>because</w:t>
      </w:r>
      <w:r w:rsidRPr="00F14137">
        <w:rPr>
          <w:rFonts w:ascii="Times New Roman" w:hAnsi="Times New Roman"/>
          <w:szCs w:val="24"/>
        </w:rPr>
        <w:t xml:space="preserve"> the sentencing decision was erroneous and not proportionate to the crimes committed. The Prosecution requested for the sentence to be revised to 22 years imprisonment. Furthermore, the Prosecutor </w:t>
      </w:r>
      <w:r w:rsidR="00F923A9">
        <w:rPr>
          <w:rFonts w:ascii="Times New Roman" w:hAnsi="Times New Roman"/>
          <w:szCs w:val="24"/>
        </w:rPr>
        <w:t>pleaded</w:t>
      </w:r>
      <w:r w:rsidRPr="00F14137">
        <w:rPr>
          <w:rFonts w:ascii="Times New Roman" w:hAnsi="Times New Roman"/>
          <w:szCs w:val="24"/>
        </w:rPr>
        <w:t xml:space="preserve"> the Court to reverse or amend </w:t>
      </w:r>
      <w:r w:rsidR="00C7070D">
        <w:rPr>
          <w:rFonts w:ascii="Times New Roman" w:hAnsi="Times New Roman"/>
          <w:szCs w:val="24"/>
        </w:rPr>
        <w:t>Trial Chamber II's judgment</w:t>
      </w:r>
      <w:r w:rsidRPr="00F14137">
        <w:rPr>
          <w:rFonts w:ascii="Times New Roman" w:hAnsi="Times New Roman"/>
          <w:szCs w:val="24"/>
        </w:rPr>
        <w:t xml:space="preserve"> to organise a new or partial trial before a different trial chamber. Katanga’s defence notified the Chamber of discontinuation of appeal and submitted Katanga’s </w:t>
      </w:r>
      <w:r w:rsidR="00C7070D">
        <w:rPr>
          <w:rFonts w:ascii="Times New Roman" w:hAnsi="Times New Roman"/>
          <w:szCs w:val="24"/>
        </w:rPr>
        <w:t>apology statement</w:t>
      </w:r>
      <w:r w:rsidRPr="00F14137">
        <w:rPr>
          <w:rFonts w:ascii="Times New Roman" w:hAnsi="Times New Roman"/>
          <w:szCs w:val="24"/>
        </w:rPr>
        <w:t xml:space="preserve"> to the victims. An appeal could have given the victims some thread of hope. However, with the discontinuation order by the defence, the</w:t>
      </w:r>
      <w:r w:rsidR="00EA058D">
        <w:rPr>
          <w:rFonts w:ascii="Times New Roman" w:hAnsi="Times New Roman"/>
          <w:szCs w:val="24"/>
        </w:rPr>
        <w:t xml:space="preserve"> </w:t>
      </w:r>
      <w:r w:rsidR="00EA058D">
        <w:rPr>
          <w:rFonts w:ascii="Times New Roman" w:hAnsi="Times New Roman"/>
          <w:szCs w:val="24"/>
        </w:rPr>
        <w:lastRenderedPageBreak/>
        <w:t>chamber</w:t>
      </w:r>
      <w:r w:rsidRPr="00F14137">
        <w:rPr>
          <w:rFonts w:ascii="Times New Roman" w:hAnsi="Times New Roman"/>
          <w:szCs w:val="24"/>
        </w:rPr>
        <w:t xml:space="preserve"> dismissed</w:t>
      </w:r>
      <w:r w:rsidR="00EA058D">
        <w:rPr>
          <w:rFonts w:ascii="Times New Roman" w:hAnsi="Times New Roman"/>
          <w:szCs w:val="24"/>
        </w:rPr>
        <w:t xml:space="preserve"> the appeal</w:t>
      </w:r>
      <w:r w:rsidRPr="00F14137">
        <w:rPr>
          <w:rFonts w:ascii="Times New Roman" w:hAnsi="Times New Roman"/>
          <w:szCs w:val="24"/>
        </w:rPr>
        <w:t>. Some victims relayed their disappointment in the sentencing order of 12 years imprisonment, which they felt was not proportionate to the crime committed</w:t>
      </w:r>
      <w:r w:rsidR="00C7070D">
        <w:rPr>
          <w:rFonts w:ascii="Times New Roman" w:hAnsi="Times New Roman"/>
          <w:szCs w:val="24"/>
        </w:rPr>
        <w:t>. T</w:t>
      </w:r>
      <w:r w:rsidRPr="00F14137">
        <w:rPr>
          <w:rFonts w:ascii="Times New Roman" w:hAnsi="Times New Roman"/>
          <w:szCs w:val="24"/>
        </w:rPr>
        <w:t>hey opined that if</w:t>
      </w:r>
      <w:r w:rsidR="00EA058D">
        <w:rPr>
          <w:rFonts w:ascii="Times New Roman" w:hAnsi="Times New Roman"/>
          <w:szCs w:val="24"/>
        </w:rPr>
        <w:t xml:space="preserve"> the local courts had tried</w:t>
      </w:r>
      <w:r w:rsidR="00F923A9">
        <w:rPr>
          <w:rFonts w:ascii="Times New Roman" w:hAnsi="Times New Roman"/>
          <w:szCs w:val="24"/>
        </w:rPr>
        <w:t xml:space="preserve"> him</w:t>
      </w:r>
      <w:r w:rsidR="00EA058D">
        <w:rPr>
          <w:rFonts w:ascii="Times New Roman" w:hAnsi="Times New Roman"/>
          <w:szCs w:val="24"/>
        </w:rPr>
        <w:t xml:space="preserve">, </w:t>
      </w:r>
      <w:r w:rsidRPr="00F14137">
        <w:rPr>
          <w:rFonts w:ascii="Times New Roman" w:hAnsi="Times New Roman"/>
          <w:szCs w:val="24"/>
        </w:rPr>
        <w:t xml:space="preserve">he could have incurred a </w:t>
      </w:r>
      <w:r w:rsidR="00C33DC9">
        <w:rPr>
          <w:rFonts w:ascii="Times New Roman" w:hAnsi="Times New Roman"/>
          <w:szCs w:val="24"/>
        </w:rPr>
        <w:t>more substantial</w:t>
      </w:r>
      <w:r w:rsidR="005D0677">
        <w:rPr>
          <w:rFonts w:ascii="Times New Roman" w:hAnsi="Times New Roman"/>
          <w:szCs w:val="24"/>
        </w:rPr>
        <w:t xml:space="preserve"> punishment. Katanga’</w:t>
      </w:r>
      <w:r w:rsidRPr="00F14137">
        <w:rPr>
          <w:rFonts w:ascii="Times New Roman" w:hAnsi="Times New Roman"/>
          <w:szCs w:val="24"/>
        </w:rPr>
        <w:t xml:space="preserve">s apology also calls into question the role of apology in retributive and restorative justice for victims. While the LRVs contested </w:t>
      </w:r>
      <w:r w:rsidR="00C7070D">
        <w:rPr>
          <w:rFonts w:ascii="Times New Roman" w:hAnsi="Times New Roman"/>
          <w:szCs w:val="24"/>
        </w:rPr>
        <w:t>Katanga’s apology's authenticit</w:t>
      </w:r>
      <w:r w:rsidRPr="00F14137">
        <w:rPr>
          <w:rFonts w:ascii="Times New Roman" w:hAnsi="Times New Roman"/>
          <w:szCs w:val="24"/>
        </w:rPr>
        <w:t>y, they aver</w:t>
      </w:r>
      <w:r w:rsidR="00C33DC9">
        <w:rPr>
          <w:rFonts w:ascii="Times New Roman" w:hAnsi="Times New Roman"/>
          <w:szCs w:val="24"/>
        </w:rPr>
        <w:t>red</w:t>
      </w:r>
      <w:r w:rsidRPr="00F14137">
        <w:rPr>
          <w:rFonts w:ascii="Times New Roman" w:hAnsi="Times New Roman"/>
          <w:szCs w:val="24"/>
        </w:rPr>
        <w:t xml:space="preserve"> that Katanga’s</w:t>
      </w:r>
      <w:r w:rsidR="00C33DC9">
        <w:rPr>
          <w:rFonts w:ascii="Times New Roman" w:hAnsi="Times New Roman"/>
          <w:szCs w:val="24"/>
        </w:rPr>
        <w:t xml:space="preserve"> apology</w:t>
      </w:r>
      <w:r w:rsidRPr="00F14137">
        <w:rPr>
          <w:rFonts w:ascii="Times New Roman" w:hAnsi="Times New Roman"/>
          <w:szCs w:val="24"/>
        </w:rPr>
        <w:t xml:space="preserve"> was a ploy to avoid the appeal and subsequent increment of </w:t>
      </w:r>
      <w:r w:rsidR="00C33DC9">
        <w:rPr>
          <w:rFonts w:ascii="Times New Roman" w:hAnsi="Times New Roman"/>
          <w:szCs w:val="24"/>
        </w:rPr>
        <w:t xml:space="preserve">a </w:t>
      </w:r>
      <w:r w:rsidRPr="00F14137">
        <w:rPr>
          <w:rFonts w:ascii="Times New Roman" w:hAnsi="Times New Roman"/>
          <w:szCs w:val="24"/>
        </w:rPr>
        <w:t xml:space="preserve">harsher sentence.  </w:t>
      </w:r>
    </w:p>
    <w:p w14:paraId="727D3986" w14:textId="1E254178" w:rsidR="004D5736" w:rsidRPr="00885D81" w:rsidRDefault="004D5736" w:rsidP="005D0677">
      <w:pPr>
        <w:spacing w:line="480" w:lineRule="auto"/>
        <w:jc w:val="both"/>
        <w:rPr>
          <w:rFonts w:ascii="Times New Roman" w:hAnsi="Times New Roman"/>
          <w:szCs w:val="24"/>
        </w:rPr>
      </w:pPr>
      <w:r w:rsidRPr="00885D81">
        <w:rPr>
          <w:rFonts w:ascii="Times New Roman" w:hAnsi="Times New Roman"/>
          <w:szCs w:val="24"/>
        </w:rPr>
        <w:t xml:space="preserve">The dissenting opinion of Judge Christine </w:t>
      </w:r>
      <w:proofErr w:type="spellStart"/>
      <w:r w:rsidRPr="00885D81">
        <w:rPr>
          <w:rFonts w:ascii="Times New Roman" w:hAnsi="Times New Roman"/>
          <w:szCs w:val="24"/>
        </w:rPr>
        <w:t>Wygnaert</w:t>
      </w:r>
      <w:proofErr w:type="spellEnd"/>
      <w:r w:rsidRPr="00885D81">
        <w:rPr>
          <w:rFonts w:ascii="Times New Roman" w:hAnsi="Times New Roman"/>
          <w:szCs w:val="24"/>
        </w:rPr>
        <w:t xml:space="preserve"> questioned the impartiality of t</w:t>
      </w:r>
      <w:r w:rsidR="00885D81">
        <w:rPr>
          <w:rFonts w:ascii="Times New Roman" w:hAnsi="Times New Roman"/>
          <w:szCs w:val="24"/>
        </w:rPr>
        <w:t>he majority in the Katanga case</w:t>
      </w:r>
      <w:r w:rsidRPr="00885D81">
        <w:rPr>
          <w:rFonts w:ascii="Times New Roman" w:hAnsi="Times New Roman"/>
          <w:szCs w:val="24"/>
        </w:rPr>
        <w:t>.</w:t>
      </w:r>
      <w:r w:rsidR="00844A56">
        <w:rPr>
          <w:rFonts w:ascii="Times New Roman" w:hAnsi="Times New Roman"/>
          <w:szCs w:val="24"/>
        </w:rPr>
        <w:t xml:space="preserve"> </w:t>
      </w:r>
      <w:r w:rsidRPr="00885D81">
        <w:rPr>
          <w:rFonts w:ascii="Times New Roman" w:hAnsi="Times New Roman"/>
          <w:szCs w:val="24"/>
        </w:rPr>
        <w:t>She acknowledged that while judges may exercise their truth-seeking roles, it is reasonable that they do not overstretch their boundaries by recklessly shaping the case.</w:t>
      </w:r>
      <w:r w:rsidRPr="00885D81">
        <w:rPr>
          <w:rStyle w:val="FootnoteReference"/>
          <w:rFonts w:ascii="Times New Roman" w:hAnsi="Times New Roman"/>
          <w:szCs w:val="24"/>
        </w:rPr>
        <w:footnoteReference w:id="1082"/>
      </w:r>
      <w:r w:rsidRPr="00885D81">
        <w:rPr>
          <w:rFonts w:ascii="Times New Roman" w:hAnsi="Times New Roman"/>
          <w:szCs w:val="24"/>
        </w:rPr>
        <w:t>She challenged the modification of Katanga’s liability vis-à-vis Regulation 55.</w:t>
      </w:r>
      <w:r w:rsidR="00844A56">
        <w:rPr>
          <w:rFonts w:ascii="Times New Roman" w:hAnsi="Times New Roman"/>
          <w:szCs w:val="24"/>
        </w:rPr>
        <w:t xml:space="preserve"> </w:t>
      </w:r>
      <w:r w:rsidRPr="00885D81">
        <w:rPr>
          <w:rFonts w:ascii="Times New Roman" w:hAnsi="Times New Roman"/>
          <w:szCs w:val="24"/>
        </w:rPr>
        <w:t xml:space="preserve">In her opinion, the change in Katanga’s </w:t>
      </w:r>
      <w:r w:rsidR="00C7070D">
        <w:rPr>
          <w:rFonts w:ascii="Times New Roman" w:hAnsi="Times New Roman"/>
          <w:szCs w:val="24"/>
        </w:rPr>
        <w:t>liability mode</w:t>
      </w:r>
      <w:r w:rsidRPr="00885D81">
        <w:rPr>
          <w:rFonts w:ascii="Times New Roman" w:hAnsi="Times New Roman"/>
          <w:szCs w:val="24"/>
        </w:rPr>
        <w:t xml:space="preserve"> was a deliberate effor</w:t>
      </w:r>
      <w:r w:rsidR="00844A56">
        <w:rPr>
          <w:rFonts w:ascii="Times New Roman" w:hAnsi="Times New Roman"/>
          <w:szCs w:val="24"/>
        </w:rPr>
        <w:t>t to ensure his conviction, which violated</w:t>
      </w:r>
      <w:r w:rsidRPr="00885D81">
        <w:rPr>
          <w:rFonts w:ascii="Times New Roman" w:hAnsi="Times New Roman"/>
          <w:szCs w:val="24"/>
        </w:rPr>
        <w:t xml:space="preserve"> the fair trial principle. This argument is further</w:t>
      </w:r>
      <w:r w:rsidR="00844A56">
        <w:rPr>
          <w:rFonts w:ascii="Times New Roman" w:hAnsi="Times New Roman"/>
          <w:szCs w:val="24"/>
        </w:rPr>
        <w:t xml:space="preserve"> exemplified by McGonigle, who </w:t>
      </w:r>
      <w:r w:rsidRPr="00885D81">
        <w:rPr>
          <w:rFonts w:ascii="Times New Roman" w:hAnsi="Times New Roman"/>
          <w:szCs w:val="24"/>
        </w:rPr>
        <w:t>notes that the Katanga’s judgement illustrates the ‘</w:t>
      </w:r>
      <w:r w:rsidRPr="00844A56">
        <w:rPr>
          <w:rFonts w:ascii="Times New Roman" w:hAnsi="Times New Roman"/>
          <w:szCs w:val="24"/>
        </w:rPr>
        <w:t>impartiality deficit’</w:t>
      </w:r>
      <w:r w:rsidRPr="00885D81">
        <w:rPr>
          <w:rFonts w:ascii="Times New Roman" w:hAnsi="Times New Roman"/>
          <w:szCs w:val="24"/>
        </w:rPr>
        <w:t xml:space="preserve"> of the criminal institution. McGonigle contends that the conviction of Katanga was in a bid to suppress the rights of the accused in order to ‘</w:t>
      </w:r>
      <w:r w:rsidRPr="00844A56">
        <w:rPr>
          <w:rFonts w:ascii="Times New Roman" w:hAnsi="Times New Roman"/>
          <w:szCs w:val="24"/>
        </w:rPr>
        <w:t>fulfil its mandate of ending impunity and providing justice for victims</w:t>
      </w:r>
      <w:r w:rsidR="00F923A9">
        <w:rPr>
          <w:rFonts w:ascii="Times New Roman" w:hAnsi="Times New Roman"/>
          <w:szCs w:val="24"/>
        </w:rPr>
        <w:t>.</w:t>
      </w:r>
      <w:r w:rsidRPr="00844A56">
        <w:rPr>
          <w:rFonts w:ascii="Times New Roman" w:hAnsi="Times New Roman"/>
          <w:szCs w:val="24"/>
        </w:rPr>
        <w:t xml:space="preserve">’ </w:t>
      </w:r>
      <w:r w:rsidRPr="00885D81">
        <w:rPr>
          <w:rStyle w:val="FootnoteReference"/>
          <w:rFonts w:ascii="Times New Roman" w:hAnsi="Times New Roman"/>
          <w:szCs w:val="24"/>
        </w:rPr>
        <w:footnoteReference w:id="1083"/>
      </w:r>
      <w:r w:rsidRPr="00885D81">
        <w:rPr>
          <w:rFonts w:ascii="Times New Roman" w:hAnsi="Times New Roman"/>
          <w:szCs w:val="24"/>
        </w:rPr>
        <w:t xml:space="preserve"> </w:t>
      </w:r>
    </w:p>
    <w:p w14:paraId="4914C456" w14:textId="03487FB0" w:rsidR="00844A56" w:rsidRDefault="004D5736" w:rsidP="004C401D">
      <w:pPr>
        <w:spacing w:line="480" w:lineRule="auto"/>
        <w:jc w:val="both"/>
        <w:rPr>
          <w:rFonts w:ascii="Times New Roman" w:hAnsi="Times New Roman"/>
          <w:szCs w:val="24"/>
        </w:rPr>
      </w:pPr>
      <w:r w:rsidRPr="00885D81">
        <w:rPr>
          <w:rFonts w:ascii="Times New Roman" w:hAnsi="Times New Roman"/>
          <w:szCs w:val="24"/>
        </w:rPr>
        <w:lastRenderedPageBreak/>
        <w:t xml:space="preserve">The majority decision and the dissenting opinion of Judge </w:t>
      </w:r>
      <w:proofErr w:type="spellStart"/>
      <w:r w:rsidRPr="00885D81">
        <w:rPr>
          <w:rFonts w:ascii="Times New Roman" w:hAnsi="Times New Roman"/>
          <w:szCs w:val="24"/>
        </w:rPr>
        <w:t>Wyngaernt</w:t>
      </w:r>
      <w:proofErr w:type="spellEnd"/>
      <w:r w:rsidRPr="00885D81">
        <w:rPr>
          <w:rFonts w:ascii="Times New Roman" w:hAnsi="Times New Roman"/>
          <w:szCs w:val="24"/>
        </w:rPr>
        <w:t xml:space="preserve"> </w:t>
      </w:r>
      <w:r w:rsidR="00C7070D">
        <w:rPr>
          <w:rFonts w:ascii="Times New Roman" w:hAnsi="Times New Roman"/>
          <w:szCs w:val="24"/>
        </w:rPr>
        <w:t>suggest that there i</w:t>
      </w:r>
      <w:r w:rsidRPr="00885D81">
        <w:rPr>
          <w:rFonts w:ascii="Times New Roman" w:hAnsi="Times New Roman"/>
          <w:szCs w:val="24"/>
        </w:rPr>
        <w:t>s division amongst the jud</w:t>
      </w:r>
      <w:r w:rsidR="00885D81">
        <w:rPr>
          <w:rFonts w:ascii="Times New Roman" w:hAnsi="Times New Roman"/>
          <w:szCs w:val="24"/>
        </w:rPr>
        <w:t>ges in addressing</w:t>
      </w:r>
      <w:r w:rsidRPr="00885D81">
        <w:rPr>
          <w:rFonts w:ascii="Times New Roman" w:hAnsi="Times New Roman"/>
          <w:szCs w:val="24"/>
        </w:rPr>
        <w:t xml:space="preserve"> justice for victims and closing the accountability gap. While some judges are pro-victims’ rights and, access to justice for victims, some judges are pro-d</w:t>
      </w:r>
      <w:r w:rsidR="00844A56">
        <w:rPr>
          <w:rFonts w:ascii="Times New Roman" w:hAnsi="Times New Roman"/>
          <w:szCs w:val="24"/>
        </w:rPr>
        <w:t>efendants’ rights. Bearing this</w:t>
      </w:r>
      <w:r w:rsidRPr="00885D81">
        <w:rPr>
          <w:rFonts w:ascii="Times New Roman" w:hAnsi="Times New Roman"/>
          <w:szCs w:val="24"/>
        </w:rPr>
        <w:t xml:space="preserve"> in mind, it is submitted that the ICC as a criminal court founded on criminal law principles and norms</w:t>
      </w:r>
      <w:r w:rsidR="00F923A9">
        <w:rPr>
          <w:rFonts w:ascii="Times New Roman" w:hAnsi="Times New Roman"/>
          <w:szCs w:val="24"/>
        </w:rPr>
        <w:t>,</w:t>
      </w:r>
      <w:r w:rsidR="00844A56">
        <w:rPr>
          <w:rFonts w:ascii="Times New Roman" w:hAnsi="Times New Roman"/>
          <w:szCs w:val="24"/>
        </w:rPr>
        <w:t xml:space="preserve"> </w:t>
      </w:r>
      <w:r w:rsidR="00F923A9">
        <w:rPr>
          <w:rFonts w:ascii="Times New Roman" w:hAnsi="Times New Roman"/>
          <w:szCs w:val="24"/>
        </w:rPr>
        <w:t>h</w:t>
      </w:r>
      <w:r w:rsidR="00844A56">
        <w:rPr>
          <w:rFonts w:ascii="Times New Roman" w:hAnsi="Times New Roman"/>
          <w:szCs w:val="24"/>
        </w:rPr>
        <w:t>owever</w:t>
      </w:r>
      <w:r w:rsidRPr="00885D81">
        <w:rPr>
          <w:rFonts w:ascii="Times New Roman" w:hAnsi="Times New Roman"/>
          <w:szCs w:val="24"/>
        </w:rPr>
        <w:t>, recognise victims’ rights, it still struggles with incorporating</w:t>
      </w:r>
      <w:r w:rsidR="008E3315">
        <w:rPr>
          <w:rFonts w:ascii="Times New Roman" w:hAnsi="Times New Roman"/>
          <w:szCs w:val="24"/>
        </w:rPr>
        <w:t xml:space="preserve"> victims’ rights as a subset of</w:t>
      </w:r>
      <w:r w:rsidRPr="00885D81">
        <w:rPr>
          <w:rFonts w:ascii="Times New Roman" w:hAnsi="Times New Roman"/>
          <w:szCs w:val="24"/>
        </w:rPr>
        <w:t xml:space="preserve"> human rights law within it</w:t>
      </w:r>
      <w:r w:rsidRPr="00A41538">
        <w:rPr>
          <w:szCs w:val="24"/>
        </w:rPr>
        <w:t xml:space="preserve"> </w:t>
      </w:r>
      <w:r w:rsidRPr="00885D81">
        <w:rPr>
          <w:rFonts w:ascii="Times New Roman" w:hAnsi="Times New Roman"/>
          <w:szCs w:val="24"/>
        </w:rPr>
        <w:t xml:space="preserve">jurisprudence. Given that </w:t>
      </w:r>
      <w:r w:rsidR="00844A56">
        <w:rPr>
          <w:rFonts w:ascii="Times New Roman" w:hAnsi="Times New Roman"/>
          <w:szCs w:val="24"/>
        </w:rPr>
        <w:t>A</w:t>
      </w:r>
      <w:r w:rsidRPr="00885D81">
        <w:rPr>
          <w:rFonts w:ascii="Times New Roman" w:hAnsi="Times New Roman"/>
          <w:szCs w:val="24"/>
        </w:rPr>
        <w:t xml:space="preserve">rticle 21 provides that its interpretation should conform </w:t>
      </w:r>
      <w:r w:rsidR="00C7070D">
        <w:rPr>
          <w:rFonts w:ascii="Times New Roman" w:hAnsi="Times New Roman"/>
          <w:szCs w:val="24"/>
        </w:rPr>
        <w:t>to</w:t>
      </w:r>
      <w:r w:rsidRPr="00885D81">
        <w:rPr>
          <w:rFonts w:ascii="Times New Roman" w:hAnsi="Times New Roman"/>
          <w:szCs w:val="24"/>
        </w:rPr>
        <w:t xml:space="preserve"> </w:t>
      </w:r>
      <w:r w:rsidR="00C7070D">
        <w:rPr>
          <w:rFonts w:ascii="Times New Roman" w:hAnsi="Times New Roman"/>
          <w:szCs w:val="24"/>
        </w:rPr>
        <w:t>the human rights standard</w:t>
      </w:r>
      <w:r w:rsidRPr="00885D81">
        <w:rPr>
          <w:rFonts w:ascii="Times New Roman" w:hAnsi="Times New Roman"/>
          <w:szCs w:val="24"/>
        </w:rPr>
        <w:t xml:space="preserve">, the ICC is not a human rights court. </w:t>
      </w:r>
    </w:p>
    <w:p w14:paraId="3CBCFE6B" w14:textId="77777777" w:rsidR="004D5736" w:rsidRPr="00885D81" w:rsidRDefault="00885D81" w:rsidP="004C401D">
      <w:pPr>
        <w:spacing w:line="480" w:lineRule="auto"/>
        <w:jc w:val="both"/>
        <w:rPr>
          <w:rFonts w:ascii="Times New Roman" w:hAnsi="Times New Roman"/>
          <w:szCs w:val="24"/>
        </w:rPr>
      </w:pPr>
      <w:r w:rsidRPr="00885D81">
        <w:rPr>
          <w:rFonts w:ascii="Times New Roman" w:hAnsi="Times New Roman"/>
          <w:szCs w:val="24"/>
        </w:rPr>
        <w:t>T</w:t>
      </w:r>
      <w:r w:rsidR="004D5736" w:rsidRPr="00885D81">
        <w:rPr>
          <w:rFonts w:ascii="Times New Roman" w:hAnsi="Times New Roman"/>
          <w:szCs w:val="24"/>
        </w:rPr>
        <w:t>he following sections shall summarise the arguments of the parties</w:t>
      </w:r>
      <w:r w:rsidR="00844A56">
        <w:rPr>
          <w:rFonts w:ascii="Times New Roman" w:hAnsi="Times New Roman"/>
          <w:szCs w:val="24"/>
        </w:rPr>
        <w:t xml:space="preserve"> in the sentenc</w:t>
      </w:r>
      <w:r w:rsidR="008E3315">
        <w:rPr>
          <w:rFonts w:ascii="Times New Roman" w:hAnsi="Times New Roman"/>
          <w:szCs w:val="24"/>
        </w:rPr>
        <w:t>ing</w:t>
      </w:r>
      <w:r w:rsidR="00844A56">
        <w:rPr>
          <w:rFonts w:ascii="Times New Roman" w:hAnsi="Times New Roman"/>
          <w:szCs w:val="24"/>
        </w:rPr>
        <w:t xml:space="preserve"> hearing</w:t>
      </w:r>
      <w:r w:rsidR="004D5736" w:rsidRPr="00885D81">
        <w:rPr>
          <w:rFonts w:ascii="Times New Roman" w:hAnsi="Times New Roman"/>
          <w:szCs w:val="24"/>
        </w:rPr>
        <w:t xml:space="preserve"> under the headings of gravity of the crimes committed, aggravating circumstances and mitigating circumstances.</w:t>
      </w:r>
    </w:p>
    <w:p w14:paraId="39792D48" w14:textId="01D07DEF" w:rsidR="004D5736" w:rsidRPr="00885D81" w:rsidRDefault="003C2A46" w:rsidP="005725E4">
      <w:pPr>
        <w:pStyle w:val="Heading3"/>
      </w:pPr>
      <w:bookmarkStart w:id="81" w:name="_Toc21896846"/>
      <w:bookmarkStart w:id="82" w:name="_Toc60235850"/>
      <w:r>
        <w:t>4.7.</w:t>
      </w:r>
      <w:r w:rsidR="00885D81" w:rsidRPr="00885D81">
        <w:t>2</w:t>
      </w:r>
      <w:r w:rsidR="00EA058D">
        <w:t xml:space="preserve"> </w:t>
      </w:r>
      <w:r w:rsidR="004D5736" w:rsidRPr="00885D81">
        <w:t>G</w:t>
      </w:r>
      <w:bookmarkEnd w:id="81"/>
      <w:r w:rsidR="004D5736" w:rsidRPr="00885D81">
        <w:t>ravity of the crimes committed</w:t>
      </w:r>
      <w:bookmarkEnd w:id="82"/>
      <w:r w:rsidR="004D5736" w:rsidRPr="00885D81">
        <w:t xml:space="preserve"> </w:t>
      </w:r>
    </w:p>
    <w:p w14:paraId="78CAF7E6" w14:textId="728FCCE6" w:rsidR="00885D81" w:rsidRPr="00914456" w:rsidRDefault="00F923A9" w:rsidP="004C401D">
      <w:pPr>
        <w:spacing w:line="480" w:lineRule="auto"/>
        <w:jc w:val="both"/>
        <w:rPr>
          <w:rFonts w:ascii="Times New Roman" w:hAnsi="Times New Roman"/>
          <w:b/>
          <w:szCs w:val="24"/>
        </w:rPr>
      </w:pPr>
      <w:r>
        <w:rPr>
          <w:rFonts w:ascii="Times New Roman" w:hAnsi="Times New Roman"/>
          <w:szCs w:val="24"/>
        </w:rPr>
        <w:t>T</w:t>
      </w:r>
      <w:r w:rsidR="004D5736" w:rsidRPr="00885D81">
        <w:rPr>
          <w:rFonts w:ascii="Times New Roman" w:hAnsi="Times New Roman"/>
          <w:szCs w:val="24"/>
        </w:rPr>
        <w:t>h</w:t>
      </w:r>
      <w:r>
        <w:rPr>
          <w:rFonts w:ascii="Times New Roman" w:hAnsi="Times New Roman"/>
          <w:szCs w:val="24"/>
        </w:rPr>
        <w:t>is</w:t>
      </w:r>
      <w:r w:rsidR="004D5736" w:rsidRPr="00885D81">
        <w:rPr>
          <w:rFonts w:ascii="Times New Roman" w:hAnsi="Times New Roman"/>
          <w:szCs w:val="24"/>
        </w:rPr>
        <w:t xml:space="preserve"> section will discuss the </w:t>
      </w:r>
      <w:r w:rsidR="00844A56">
        <w:rPr>
          <w:rFonts w:ascii="Times New Roman" w:hAnsi="Times New Roman"/>
          <w:szCs w:val="24"/>
        </w:rPr>
        <w:t>interaction of the victims through the LRVs and the other parties.</w:t>
      </w:r>
      <w:r w:rsidR="00360BBA">
        <w:rPr>
          <w:rFonts w:ascii="Times New Roman" w:hAnsi="Times New Roman"/>
          <w:szCs w:val="24"/>
        </w:rPr>
        <w:t xml:space="preserve"> </w:t>
      </w:r>
      <w:r w:rsidR="00844A56">
        <w:rPr>
          <w:rFonts w:ascii="Times New Roman" w:hAnsi="Times New Roman"/>
          <w:szCs w:val="24"/>
        </w:rPr>
        <w:t>The response of the court shall also be assessed.</w:t>
      </w:r>
    </w:p>
    <w:p w14:paraId="1D951D1B" w14:textId="21985D9F" w:rsidR="00885D81" w:rsidRPr="00885D81" w:rsidRDefault="00EA058D" w:rsidP="004C401D">
      <w:pPr>
        <w:spacing w:line="480" w:lineRule="auto"/>
        <w:jc w:val="both"/>
        <w:rPr>
          <w:rFonts w:ascii="Times New Roman" w:hAnsi="Times New Roman"/>
          <w:szCs w:val="24"/>
        </w:rPr>
      </w:pPr>
      <w:r>
        <w:rPr>
          <w:rFonts w:ascii="Times New Roman" w:hAnsi="Times New Roman"/>
          <w:szCs w:val="24"/>
        </w:rPr>
        <w:t>T</w:t>
      </w:r>
      <w:r w:rsidR="00933C81" w:rsidRPr="00885D81">
        <w:rPr>
          <w:rFonts w:ascii="Times New Roman" w:hAnsi="Times New Roman"/>
          <w:szCs w:val="24"/>
        </w:rPr>
        <w:t xml:space="preserve">he Chamber </w:t>
      </w:r>
      <w:r w:rsidR="00F923A9">
        <w:rPr>
          <w:rFonts w:ascii="Times New Roman" w:hAnsi="Times New Roman"/>
          <w:szCs w:val="24"/>
        </w:rPr>
        <w:t xml:space="preserve">examined </w:t>
      </w:r>
      <w:r w:rsidR="00933C81" w:rsidRPr="00885D81">
        <w:rPr>
          <w:rFonts w:ascii="Times New Roman" w:hAnsi="Times New Roman"/>
          <w:szCs w:val="24"/>
        </w:rPr>
        <w:t xml:space="preserve">the cruelty </w:t>
      </w:r>
      <w:r w:rsidR="00F923A9">
        <w:rPr>
          <w:rFonts w:ascii="Times New Roman" w:hAnsi="Times New Roman"/>
          <w:szCs w:val="24"/>
        </w:rPr>
        <w:t xml:space="preserve">of </w:t>
      </w:r>
      <w:r w:rsidR="00933C81" w:rsidRPr="00885D81">
        <w:rPr>
          <w:rFonts w:ascii="Times New Roman" w:hAnsi="Times New Roman"/>
          <w:szCs w:val="24"/>
        </w:rPr>
        <w:t xml:space="preserve">the crimes against the inhabitants of </w:t>
      </w:r>
      <w:proofErr w:type="spellStart"/>
      <w:r w:rsidR="00933C81" w:rsidRPr="00885D81">
        <w:rPr>
          <w:rFonts w:ascii="Times New Roman" w:hAnsi="Times New Roman"/>
          <w:szCs w:val="24"/>
        </w:rPr>
        <w:t>Bogoro</w:t>
      </w:r>
      <w:proofErr w:type="spellEnd"/>
      <w:r w:rsidR="00933C81" w:rsidRPr="00885D81">
        <w:rPr>
          <w:rFonts w:ascii="Times New Roman" w:hAnsi="Times New Roman"/>
          <w:szCs w:val="24"/>
        </w:rPr>
        <w:t>, including the defenceless children, the discriminatory intent behind the attack and the accused</w:t>
      </w:r>
      <w:r w:rsidR="00360BBA">
        <w:rPr>
          <w:rFonts w:ascii="Times New Roman" w:hAnsi="Times New Roman"/>
          <w:szCs w:val="24"/>
        </w:rPr>
        <w:t>’s</w:t>
      </w:r>
      <w:r w:rsidR="00933C81" w:rsidRPr="00885D81">
        <w:rPr>
          <w:rFonts w:ascii="Times New Roman" w:hAnsi="Times New Roman"/>
          <w:szCs w:val="24"/>
        </w:rPr>
        <w:t xml:space="preserve"> abuse </w:t>
      </w:r>
      <w:r w:rsidR="00360BBA">
        <w:rPr>
          <w:rFonts w:ascii="Times New Roman" w:hAnsi="Times New Roman"/>
          <w:szCs w:val="24"/>
        </w:rPr>
        <w:t>of victims in</w:t>
      </w:r>
      <w:r w:rsidR="00933C81" w:rsidRPr="00885D81">
        <w:rPr>
          <w:rFonts w:ascii="Times New Roman" w:hAnsi="Times New Roman"/>
          <w:szCs w:val="24"/>
        </w:rPr>
        <w:t xml:space="preserve"> </w:t>
      </w:r>
      <w:r w:rsidR="00360BBA">
        <w:rPr>
          <w:rFonts w:ascii="Times New Roman" w:hAnsi="Times New Roman"/>
          <w:szCs w:val="24"/>
        </w:rPr>
        <w:t xml:space="preserve">an </w:t>
      </w:r>
      <w:r w:rsidR="00933C81" w:rsidRPr="00885D81">
        <w:rPr>
          <w:rFonts w:ascii="Times New Roman" w:hAnsi="Times New Roman"/>
          <w:szCs w:val="24"/>
        </w:rPr>
        <w:t>official capacity.</w:t>
      </w:r>
      <w:r w:rsidR="0014700D">
        <w:rPr>
          <w:rStyle w:val="FootnoteReference"/>
          <w:rFonts w:ascii="Times New Roman" w:hAnsi="Times New Roman"/>
          <w:szCs w:val="24"/>
        </w:rPr>
        <w:footnoteReference w:id="1084"/>
      </w:r>
      <w:r w:rsidR="00933C81" w:rsidRPr="00885D81">
        <w:rPr>
          <w:rFonts w:ascii="Times New Roman" w:hAnsi="Times New Roman"/>
          <w:szCs w:val="24"/>
        </w:rPr>
        <w:t xml:space="preserve"> </w:t>
      </w:r>
      <w:r w:rsidR="00885D81" w:rsidRPr="00885D81">
        <w:rPr>
          <w:rFonts w:ascii="Times New Roman" w:hAnsi="Times New Roman"/>
          <w:szCs w:val="24"/>
        </w:rPr>
        <w:t xml:space="preserve">The Chamber specified that the </w:t>
      </w:r>
      <w:r w:rsidR="00C7070D">
        <w:rPr>
          <w:rFonts w:ascii="Times New Roman" w:hAnsi="Times New Roman"/>
          <w:szCs w:val="24"/>
        </w:rPr>
        <w:t>sentence's determination</w:t>
      </w:r>
      <w:r w:rsidR="00885D81" w:rsidRPr="00885D81">
        <w:rPr>
          <w:rFonts w:ascii="Times New Roman" w:hAnsi="Times New Roman"/>
          <w:szCs w:val="24"/>
        </w:rPr>
        <w:t xml:space="preserve"> depended on factors like </w:t>
      </w:r>
      <w:r w:rsidR="00360BBA">
        <w:rPr>
          <w:rFonts w:ascii="Times New Roman" w:hAnsi="Times New Roman"/>
          <w:szCs w:val="24"/>
        </w:rPr>
        <w:t xml:space="preserve">the </w:t>
      </w:r>
      <w:r w:rsidR="00885D81" w:rsidRPr="00885D81">
        <w:rPr>
          <w:rFonts w:ascii="Times New Roman" w:hAnsi="Times New Roman"/>
          <w:szCs w:val="24"/>
        </w:rPr>
        <w:t xml:space="preserve">gravity of the crimes committed, </w:t>
      </w:r>
      <w:r w:rsidR="00885D81" w:rsidRPr="00885D81">
        <w:rPr>
          <w:rFonts w:ascii="Times New Roman" w:hAnsi="Times New Roman"/>
          <w:szCs w:val="24"/>
        </w:rPr>
        <w:lastRenderedPageBreak/>
        <w:t xml:space="preserve">individual circumstances of the convicted person, mitigating circumstances and aggravating circumstances. </w:t>
      </w:r>
    </w:p>
    <w:p w14:paraId="7C8A53AC" w14:textId="6F28A940" w:rsidR="004D5736" w:rsidRPr="00885D81" w:rsidRDefault="00360BBA" w:rsidP="003F308F">
      <w:pPr>
        <w:spacing w:line="480" w:lineRule="auto"/>
        <w:jc w:val="both"/>
        <w:rPr>
          <w:rFonts w:ascii="Times New Roman" w:hAnsi="Times New Roman"/>
          <w:szCs w:val="24"/>
        </w:rPr>
      </w:pPr>
      <w:r>
        <w:rPr>
          <w:rFonts w:ascii="Times New Roman" w:hAnsi="Times New Roman"/>
          <w:szCs w:val="24"/>
        </w:rPr>
        <w:t>T</w:t>
      </w:r>
      <w:r w:rsidR="004D5736" w:rsidRPr="00885D81">
        <w:rPr>
          <w:rFonts w:ascii="Times New Roman" w:hAnsi="Times New Roman"/>
          <w:szCs w:val="24"/>
        </w:rPr>
        <w:t>he gravity of the acts committed by the convicted person</w:t>
      </w:r>
      <w:r>
        <w:rPr>
          <w:rFonts w:ascii="Times New Roman" w:hAnsi="Times New Roman"/>
          <w:szCs w:val="24"/>
        </w:rPr>
        <w:t xml:space="preserve"> is necessary for the determination of sentencing. The gravity</w:t>
      </w:r>
      <w:r w:rsidR="004D5736" w:rsidRPr="00885D81">
        <w:rPr>
          <w:rFonts w:ascii="Times New Roman" w:hAnsi="Times New Roman"/>
          <w:szCs w:val="24"/>
        </w:rPr>
        <w:t xml:space="preserve"> </w:t>
      </w:r>
      <w:r>
        <w:rPr>
          <w:rFonts w:ascii="Times New Roman" w:hAnsi="Times New Roman"/>
          <w:szCs w:val="24"/>
        </w:rPr>
        <w:t>is a determinant of the severity of punishment</w:t>
      </w:r>
      <w:r w:rsidR="004D5736" w:rsidRPr="00885D81">
        <w:rPr>
          <w:rFonts w:ascii="Times New Roman" w:hAnsi="Times New Roman"/>
          <w:szCs w:val="24"/>
        </w:rPr>
        <w:t>.</w:t>
      </w:r>
      <w:r w:rsidR="00885D81">
        <w:rPr>
          <w:rFonts w:ascii="Times New Roman" w:hAnsi="Times New Roman"/>
          <w:szCs w:val="24"/>
        </w:rPr>
        <w:t xml:space="preserve"> </w:t>
      </w:r>
      <w:r w:rsidR="004D5736" w:rsidRPr="00885D81">
        <w:rPr>
          <w:rFonts w:ascii="Times New Roman" w:hAnsi="Times New Roman"/>
          <w:szCs w:val="24"/>
        </w:rPr>
        <w:t xml:space="preserve">As such, the accused person must be aware that the crime he was convicted of is </w:t>
      </w:r>
      <w:r>
        <w:rPr>
          <w:rFonts w:ascii="Times New Roman" w:hAnsi="Times New Roman"/>
          <w:szCs w:val="24"/>
        </w:rPr>
        <w:t xml:space="preserve">the </w:t>
      </w:r>
      <w:r w:rsidR="004D5736" w:rsidRPr="00885D81">
        <w:rPr>
          <w:rFonts w:ascii="Times New Roman" w:hAnsi="Times New Roman"/>
          <w:szCs w:val="24"/>
        </w:rPr>
        <w:t>most se</w:t>
      </w:r>
      <w:r>
        <w:rPr>
          <w:rFonts w:ascii="Times New Roman" w:hAnsi="Times New Roman"/>
          <w:szCs w:val="24"/>
        </w:rPr>
        <w:t>vere</w:t>
      </w:r>
      <w:r w:rsidR="004D5736" w:rsidRPr="00885D81">
        <w:rPr>
          <w:rFonts w:ascii="Times New Roman" w:hAnsi="Times New Roman"/>
          <w:szCs w:val="24"/>
        </w:rPr>
        <w:t xml:space="preserve"> crime</w:t>
      </w:r>
      <w:r w:rsidR="00C7070D">
        <w:rPr>
          <w:rFonts w:ascii="Times New Roman" w:hAnsi="Times New Roman"/>
          <w:szCs w:val="24"/>
        </w:rPr>
        <w:t xml:space="preserve"> of concern to the international community</w:t>
      </w:r>
      <w:r w:rsidR="004D5736" w:rsidRPr="00885D81">
        <w:rPr>
          <w:rFonts w:ascii="Times New Roman" w:hAnsi="Times New Roman"/>
          <w:szCs w:val="24"/>
        </w:rPr>
        <w:t>.</w:t>
      </w:r>
      <w:r w:rsidR="004D5736" w:rsidRPr="00885D81">
        <w:rPr>
          <w:rStyle w:val="FootnoteReference"/>
          <w:rFonts w:ascii="Times New Roman" w:hAnsi="Times New Roman"/>
          <w:szCs w:val="24"/>
        </w:rPr>
        <w:footnoteReference w:id="1085"/>
      </w:r>
      <w:r w:rsidR="004D5736" w:rsidRPr="00885D81">
        <w:rPr>
          <w:rFonts w:ascii="Times New Roman" w:hAnsi="Times New Roman"/>
          <w:szCs w:val="24"/>
        </w:rPr>
        <w:t xml:space="preserve"> It is noteworthy that these crimes are not of </w:t>
      </w:r>
      <w:r>
        <w:rPr>
          <w:rFonts w:ascii="Times New Roman" w:hAnsi="Times New Roman"/>
          <w:szCs w:val="24"/>
        </w:rPr>
        <w:t>similar</w:t>
      </w:r>
      <w:r w:rsidR="004D5736" w:rsidRPr="00885D81">
        <w:rPr>
          <w:rFonts w:ascii="Times New Roman" w:hAnsi="Times New Roman"/>
          <w:szCs w:val="24"/>
        </w:rPr>
        <w:t xml:space="preserve"> gravity. The particular circumstances and the degree of participation of the convicted person in the c</w:t>
      </w:r>
      <w:r w:rsidR="00C7070D">
        <w:rPr>
          <w:rFonts w:ascii="Times New Roman" w:hAnsi="Times New Roman"/>
          <w:szCs w:val="24"/>
        </w:rPr>
        <w:t>rime commission</w:t>
      </w:r>
      <w:r w:rsidR="004D5736" w:rsidRPr="00885D81">
        <w:rPr>
          <w:rFonts w:ascii="Times New Roman" w:hAnsi="Times New Roman"/>
          <w:szCs w:val="24"/>
        </w:rPr>
        <w:t xml:space="preserve"> must be taken into account.</w:t>
      </w:r>
      <w:r w:rsidR="004D5736" w:rsidRPr="00885D81">
        <w:rPr>
          <w:rStyle w:val="FootnoteReference"/>
          <w:rFonts w:ascii="Times New Roman" w:hAnsi="Times New Roman"/>
          <w:szCs w:val="24"/>
        </w:rPr>
        <w:footnoteReference w:id="1086"/>
      </w:r>
    </w:p>
    <w:p w14:paraId="61B8D688" w14:textId="078DCA79" w:rsidR="004D5736" w:rsidRPr="00885D81" w:rsidRDefault="004D5736" w:rsidP="003F308F">
      <w:pPr>
        <w:spacing w:line="480" w:lineRule="auto"/>
        <w:jc w:val="both"/>
        <w:rPr>
          <w:rFonts w:ascii="Times New Roman" w:hAnsi="Times New Roman"/>
          <w:szCs w:val="24"/>
        </w:rPr>
      </w:pPr>
      <w:r w:rsidRPr="00885D81">
        <w:rPr>
          <w:rFonts w:ascii="Times New Roman" w:hAnsi="Times New Roman"/>
          <w:szCs w:val="24"/>
        </w:rPr>
        <w:t>The Chamber noted that not all crimes are equally se</w:t>
      </w:r>
      <w:r w:rsidR="00CE2BE4">
        <w:rPr>
          <w:rFonts w:ascii="Times New Roman" w:hAnsi="Times New Roman"/>
          <w:szCs w:val="24"/>
        </w:rPr>
        <w:t>vere</w:t>
      </w:r>
      <w:r w:rsidRPr="00885D81">
        <w:rPr>
          <w:rFonts w:ascii="Times New Roman" w:hAnsi="Times New Roman"/>
          <w:szCs w:val="24"/>
        </w:rPr>
        <w:t>.</w:t>
      </w:r>
      <w:r w:rsidR="00EA058D">
        <w:rPr>
          <w:rFonts w:ascii="Times New Roman" w:hAnsi="Times New Roman"/>
          <w:szCs w:val="24"/>
        </w:rPr>
        <w:t xml:space="preserve"> </w:t>
      </w:r>
      <w:r w:rsidRPr="00885D81">
        <w:rPr>
          <w:rFonts w:ascii="Times New Roman" w:hAnsi="Times New Roman"/>
          <w:szCs w:val="24"/>
        </w:rPr>
        <w:t>It differentiated between crimes against people and crimes against property.</w:t>
      </w:r>
      <w:r w:rsidRPr="00885D81">
        <w:rPr>
          <w:rStyle w:val="FootnoteReference"/>
          <w:rFonts w:ascii="Times New Roman" w:hAnsi="Times New Roman"/>
          <w:szCs w:val="24"/>
        </w:rPr>
        <w:footnoteReference w:id="1087"/>
      </w:r>
      <w:r w:rsidRPr="00885D81">
        <w:rPr>
          <w:rFonts w:ascii="Times New Roman" w:hAnsi="Times New Roman"/>
          <w:szCs w:val="24"/>
        </w:rPr>
        <w:t xml:space="preserve">The Chamber observed that the crimes committed during the attack in </w:t>
      </w:r>
      <w:proofErr w:type="spellStart"/>
      <w:r w:rsidRPr="00885D81">
        <w:rPr>
          <w:rFonts w:ascii="Times New Roman" w:hAnsi="Times New Roman"/>
          <w:szCs w:val="24"/>
        </w:rPr>
        <w:t>Bogoro</w:t>
      </w:r>
      <w:proofErr w:type="spellEnd"/>
      <w:r w:rsidRPr="00885D81">
        <w:rPr>
          <w:rFonts w:ascii="Times New Roman" w:hAnsi="Times New Roman"/>
          <w:szCs w:val="24"/>
        </w:rPr>
        <w:t xml:space="preserve"> on the 24</w:t>
      </w:r>
      <w:r w:rsidRPr="00885D81">
        <w:rPr>
          <w:rFonts w:ascii="Times New Roman" w:hAnsi="Times New Roman"/>
          <w:szCs w:val="24"/>
          <w:vertAlign w:val="superscript"/>
        </w:rPr>
        <w:t>th</w:t>
      </w:r>
      <w:r w:rsidRPr="00A41538">
        <w:rPr>
          <w:szCs w:val="24"/>
        </w:rPr>
        <w:t xml:space="preserve"> </w:t>
      </w:r>
      <w:r w:rsidRPr="00885D81">
        <w:rPr>
          <w:rFonts w:ascii="Times New Roman" w:hAnsi="Times New Roman"/>
          <w:szCs w:val="24"/>
        </w:rPr>
        <w:t>February 2003 were of questionable magnitude.</w:t>
      </w:r>
      <w:r w:rsidRPr="00885D81">
        <w:rPr>
          <w:rStyle w:val="FootnoteReference"/>
          <w:rFonts w:ascii="Times New Roman" w:hAnsi="Times New Roman"/>
          <w:szCs w:val="24"/>
        </w:rPr>
        <w:footnoteReference w:id="1088"/>
      </w:r>
      <w:r w:rsidRPr="00885D81">
        <w:rPr>
          <w:rFonts w:ascii="Times New Roman" w:hAnsi="Times New Roman"/>
          <w:szCs w:val="24"/>
        </w:rPr>
        <w:t xml:space="preserve">It pointed out that the attack </w:t>
      </w:r>
      <w:r w:rsidR="00696301">
        <w:rPr>
          <w:rFonts w:ascii="Times New Roman" w:hAnsi="Times New Roman"/>
          <w:szCs w:val="24"/>
        </w:rPr>
        <w:t>reflected</w:t>
      </w:r>
      <w:r w:rsidRPr="00A41538">
        <w:rPr>
          <w:szCs w:val="24"/>
        </w:rPr>
        <w:t xml:space="preserve"> </w:t>
      </w:r>
      <w:r w:rsidR="00360BBA">
        <w:rPr>
          <w:rFonts w:ascii="Times New Roman" w:hAnsi="Times New Roman"/>
          <w:szCs w:val="24"/>
        </w:rPr>
        <w:t>explicit</w:t>
      </w:r>
      <w:r w:rsidRPr="00A41538">
        <w:rPr>
          <w:szCs w:val="24"/>
        </w:rPr>
        <w:t xml:space="preserve"> </w:t>
      </w:r>
      <w:r w:rsidRPr="00885D81">
        <w:rPr>
          <w:rFonts w:ascii="Times New Roman" w:hAnsi="Times New Roman"/>
          <w:szCs w:val="24"/>
        </w:rPr>
        <w:t>discriminati</w:t>
      </w:r>
      <w:r w:rsidR="00885D81">
        <w:rPr>
          <w:rFonts w:ascii="Times New Roman" w:hAnsi="Times New Roman"/>
          <w:szCs w:val="24"/>
        </w:rPr>
        <w:t>on against a particular tribe</w:t>
      </w:r>
      <w:r w:rsidR="00C7070D">
        <w:rPr>
          <w:rFonts w:ascii="Times New Roman" w:hAnsi="Times New Roman"/>
          <w:szCs w:val="24"/>
        </w:rPr>
        <w:t xml:space="preserve"> and intended</w:t>
      </w:r>
      <w:r w:rsidRPr="00885D81">
        <w:rPr>
          <w:rFonts w:ascii="Times New Roman" w:hAnsi="Times New Roman"/>
          <w:szCs w:val="24"/>
        </w:rPr>
        <w:t xml:space="preserve"> to wipe out the Hema population.</w:t>
      </w:r>
      <w:r w:rsidR="00360BBA">
        <w:rPr>
          <w:rFonts w:ascii="Times New Roman" w:hAnsi="Times New Roman"/>
          <w:szCs w:val="24"/>
        </w:rPr>
        <w:t xml:space="preserve"> </w:t>
      </w:r>
      <w:r w:rsidRPr="00885D81">
        <w:rPr>
          <w:rFonts w:ascii="Times New Roman" w:hAnsi="Times New Roman"/>
          <w:szCs w:val="24"/>
        </w:rPr>
        <w:t xml:space="preserve">The Chamber stated that Katanga was convicted of contribution </w:t>
      </w:r>
      <w:r w:rsidRPr="00885D81">
        <w:rPr>
          <w:rFonts w:ascii="Times New Roman" w:hAnsi="Times New Roman"/>
          <w:i/>
          <w:szCs w:val="24"/>
        </w:rPr>
        <w:t>‘</w:t>
      </w:r>
      <w:r w:rsidRPr="00360BBA">
        <w:rPr>
          <w:rFonts w:ascii="Times New Roman" w:hAnsi="Times New Roman"/>
          <w:szCs w:val="24"/>
        </w:rPr>
        <w:t>in any other way</w:t>
      </w:r>
      <w:r w:rsidRPr="00885D81">
        <w:rPr>
          <w:rFonts w:ascii="Times New Roman" w:hAnsi="Times New Roman"/>
          <w:i/>
          <w:szCs w:val="24"/>
        </w:rPr>
        <w:t>.’</w:t>
      </w:r>
      <w:r w:rsidR="00360BBA">
        <w:rPr>
          <w:rStyle w:val="FootnoteReference"/>
          <w:rFonts w:ascii="Times New Roman" w:hAnsi="Times New Roman"/>
          <w:i/>
          <w:szCs w:val="24"/>
        </w:rPr>
        <w:footnoteReference w:id="1089"/>
      </w:r>
      <w:r w:rsidRPr="00885D81">
        <w:rPr>
          <w:rFonts w:ascii="Times New Roman" w:hAnsi="Times New Roman"/>
          <w:szCs w:val="24"/>
        </w:rPr>
        <w:t xml:space="preserve"> The Chamber highlighted the implications of the attack on </w:t>
      </w:r>
      <w:proofErr w:type="spellStart"/>
      <w:r w:rsidRPr="00885D81">
        <w:rPr>
          <w:rFonts w:ascii="Times New Roman" w:hAnsi="Times New Roman"/>
          <w:szCs w:val="24"/>
        </w:rPr>
        <w:t>Bogoro</w:t>
      </w:r>
      <w:proofErr w:type="spellEnd"/>
      <w:r w:rsidRPr="00885D81">
        <w:rPr>
          <w:rFonts w:ascii="Times New Roman" w:hAnsi="Times New Roman"/>
          <w:szCs w:val="24"/>
        </w:rPr>
        <w:t xml:space="preserve"> community and the victims.</w:t>
      </w:r>
      <w:r w:rsidR="00885D81">
        <w:rPr>
          <w:rFonts w:ascii="Times New Roman" w:hAnsi="Times New Roman"/>
          <w:szCs w:val="24"/>
        </w:rPr>
        <w:t xml:space="preserve"> </w:t>
      </w:r>
      <w:r w:rsidR="00360BBA">
        <w:rPr>
          <w:rFonts w:ascii="Times New Roman" w:hAnsi="Times New Roman"/>
          <w:szCs w:val="24"/>
        </w:rPr>
        <w:lastRenderedPageBreak/>
        <w:t>Finally, t</w:t>
      </w:r>
      <w:r w:rsidRPr="00885D81">
        <w:rPr>
          <w:rFonts w:ascii="Times New Roman" w:hAnsi="Times New Roman"/>
          <w:szCs w:val="24"/>
        </w:rPr>
        <w:t>he Chamber submitted that the degree of participation of Katanga must not be underestimated and must be included in the gravity of the crimes committed.</w:t>
      </w:r>
    </w:p>
    <w:p w14:paraId="0B0B12B9" w14:textId="77777777" w:rsidR="004D5736" w:rsidRPr="00885D81" w:rsidRDefault="003C2A46" w:rsidP="005725E4">
      <w:pPr>
        <w:pStyle w:val="Heading3"/>
      </w:pPr>
      <w:bookmarkStart w:id="83" w:name="_Toc60235851"/>
      <w:r>
        <w:t>4.7.3</w:t>
      </w:r>
      <w:r w:rsidR="004D5736" w:rsidRPr="00885D81">
        <w:t xml:space="preserve"> </w:t>
      </w:r>
      <w:bookmarkStart w:id="84" w:name="_Toc21896847"/>
      <w:r w:rsidR="004D5736" w:rsidRPr="00885D81">
        <w:t>A</w:t>
      </w:r>
      <w:bookmarkEnd w:id="84"/>
      <w:r w:rsidR="004D5736" w:rsidRPr="00885D81">
        <w:t>ggravating circumstances</w:t>
      </w:r>
      <w:bookmarkEnd w:id="83"/>
    </w:p>
    <w:p w14:paraId="42DA0B97" w14:textId="77777777" w:rsidR="004D5736" w:rsidRPr="00885D81" w:rsidRDefault="004D5736" w:rsidP="003F308F">
      <w:pPr>
        <w:spacing w:line="480" w:lineRule="auto"/>
        <w:jc w:val="both"/>
        <w:rPr>
          <w:rFonts w:ascii="Times New Roman" w:hAnsi="Times New Roman"/>
          <w:szCs w:val="24"/>
        </w:rPr>
      </w:pPr>
      <w:r w:rsidRPr="00885D81">
        <w:rPr>
          <w:rFonts w:ascii="Times New Roman" w:hAnsi="Times New Roman"/>
          <w:szCs w:val="24"/>
        </w:rPr>
        <w:t>The Chamber recalled that the OTP submitted four aggravating circumstances.</w:t>
      </w:r>
      <w:r w:rsidR="00933C81">
        <w:rPr>
          <w:rFonts w:ascii="Times New Roman" w:hAnsi="Times New Roman"/>
          <w:szCs w:val="24"/>
        </w:rPr>
        <w:t xml:space="preserve"> </w:t>
      </w:r>
      <w:r w:rsidRPr="00885D81">
        <w:rPr>
          <w:rFonts w:ascii="Times New Roman" w:hAnsi="Times New Roman"/>
          <w:szCs w:val="24"/>
        </w:rPr>
        <w:t>These aggravating circumstances were:(</w:t>
      </w:r>
      <w:proofErr w:type="spellStart"/>
      <w:r w:rsidRPr="00885D81">
        <w:rPr>
          <w:rFonts w:ascii="Times New Roman" w:hAnsi="Times New Roman"/>
          <w:szCs w:val="24"/>
        </w:rPr>
        <w:t>i</w:t>
      </w:r>
      <w:proofErr w:type="spellEnd"/>
      <w:r w:rsidRPr="00885D81">
        <w:rPr>
          <w:rFonts w:ascii="Times New Roman" w:hAnsi="Times New Roman"/>
          <w:szCs w:val="24"/>
        </w:rPr>
        <w:t xml:space="preserve">) the vulnerability of the victims(defenceless victims). </w:t>
      </w:r>
      <w:r w:rsidR="00360BBA">
        <w:rPr>
          <w:rFonts w:ascii="Times New Roman" w:hAnsi="Times New Roman"/>
          <w:szCs w:val="24"/>
        </w:rPr>
        <w:t>E</w:t>
      </w:r>
      <w:r w:rsidRPr="00885D81">
        <w:rPr>
          <w:rFonts w:ascii="Times New Roman" w:hAnsi="Times New Roman"/>
          <w:szCs w:val="24"/>
        </w:rPr>
        <w:t>specially the children;(ii)cruelty of the commission of the crimes;(iii)discriminatory intent; and,(iv) the accused’s abuse of official power/capacity.</w:t>
      </w:r>
      <w:r w:rsidRPr="00885D81">
        <w:rPr>
          <w:rStyle w:val="FootnoteReference"/>
          <w:rFonts w:ascii="Times New Roman" w:hAnsi="Times New Roman"/>
          <w:szCs w:val="24"/>
        </w:rPr>
        <w:footnoteReference w:id="1090"/>
      </w:r>
    </w:p>
    <w:p w14:paraId="41FB652A" w14:textId="1960976F" w:rsidR="004D5736" w:rsidRPr="0014700D" w:rsidRDefault="00933C81" w:rsidP="003F308F">
      <w:pPr>
        <w:spacing w:line="480" w:lineRule="auto"/>
        <w:jc w:val="both"/>
        <w:rPr>
          <w:rFonts w:ascii="Times New Roman" w:hAnsi="Times New Roman"/>
          <w:szCs w:val="24"/>
        </w:rPr>
      </w:pPr>
      <w:r w:rsidRPr="0014700D">
        <w:rPr>
          <w:rFonts w:ascii="Times New Roman" w:hAnsi="Times New Roman"/>
          <w:szCs w:val="24"/>
        </w:rPr>
        <w:t>The LRV concurred</w:t>
      </w:r>
      <w:r w:rsidR="004D5736" w:rsidRPr="0014700D">
        <w:rPr>
          <w:rFonts w:ascii="Times New Roman" w:hAnsi="Times New Roman"/>
          <w:szCs w:val="24"/>
        </w:rPr>
        <w:t xml:space="preserve"> with the contention of the OTP’s first three aggravating circumstances.</w:t>
      </w:r>
      <w:r w:rsidR="004D5736" w:rsidRPr="0014700D">
        <w:rPr>
          <w:rStyle w:val="FootnoteReference"/>
          <w:rFonts w:ascii="Times New Roman" w:hAnsi="Times New Roman"/>
          <w:szCs w:val="24"/>
        </w:rPr>
        <w:footnoteReference w:id="1091"/>
      </w:r>
      <w:r w:rsidR="004D5736" w:rsidRPr="0014700D">
        <w:rPr>
          <w:rFonts w:ascii="Times New Roman" w:hAnsi="Times New Roman"/>
          <w:szCs w:val="24"/>
        </w:rPr>
        <w:t xml:space="preserve">The Defence averred that the Prosecution misconstrued the </w:t>
      </w:r>
      <w:r w:rsidR="00C7070D">
        <w:rPr>
          <w:rFonts w:ascii="Times New Roman" w:hAnsi="Times New Roman"/>
          <w:szCs w:val="24"/>
        </w:rPr>
        <w:t>accused's official capacity</w:t>
      </w:r>
      <w:r w:rsidR="004D5736" w:rsidRPr="0014700D">
        <w:rPr>
          <w:rFonts w:ascii="Times New Roman" w:hAnsi="Times New Roman"/>
          <w:szCs w:val="24"/>
        </w:rPr>
        <w:t>, he submitted that the accused never abused his power.</w:t>
      </w:r>
      <w:r w:rsidR="00360BBA">
        <w:rPr>
          <w:rFonts w:ascii="Times New Roman" w:hAnsi="Times New Roman"/>
          <w:szCs w:val="24"/>
        </w:rPr>
        <w:t xml:space="preserve"> </w:t>
      </w:r>
      <w:r w:rsidR="004D5736" w:rsidRPr="0014700D">
        <w:rPr>
          <w:rFonts w:ascii="Times New Roman" w:hAnsi="Times New Roman"/>
          <w:szCs w:val="24"/>
        </w:rPr>
        <w:t xml:space="preserve">In the Chamber’s opinion, in order to establish the abuse of power as an aggravating circumstance, it must be shown that </w:t>
      </w:r>
      <w:r w:rsidR="00360BBA">
        <w:rPr>
          <w:rFonts w:ascii="Times New Roman" w:hAnsi="Times New Roman"/>
          <w:szCs w:val="24"/>
        </w:rPr>
        <w:t xml:space="preserve">the </w:t>
      </w:r>
      <w:r w:rsidR="004D5736" w:rsidRPr="0014700D">
        <w:rPr>
          <w:rFonts w:ascii="Times New Roman" w:hAnsi="Times New Roman"/>
          <w:szCs w:val="24"/>
        </w:rPr>
        <w:t>convicted person exercised power and abused power.</w:t>
      </w:r>
      <w:r w:rsidR="004D5736" w:rsidRPr="0014700D">
        <w:rPr>
          <w:rStyle w:val="FootnoteReference"/>
          <w:rFonts w:ascii="Times New Roman" w:hAnsi="Times New Roman"/>
          <w:szCs w:val="24"/>
        </w:rPr>
        <w:footnoteReference w:id="1092"/>
      </w:r>
      <w:r w:rsidR="004D5736" w:rsidRPr="0014700D">
        <w:rPr>
          <w:rFonts w:ascii="Times New Roman" w:hAnsi="Times New Roman"/>
          <w:szCs w:val="24"/>
        </w:rPr>
        <w:t xml:space="preserve"> The Chamber recognised that the accused exercised his authority to make decisions regarding the distribution of weapons</w:t>
      </w:r>
      <w:r w:rsidR="00360BBA">
        <w:rPr>
          <w:rFonts w:ascii="Times New Roman" w:hAnsi="Times New Roman"/>
          <w:szCs w:val="24"/>
        </w:rPr>
        <w:t>. H</w:t>
      </w:r>
      <w:r w:rsidR="004D5736" w:rsidRPr="0014700D">
        <w:rPr>
          <w:rFonts w:ascii="Times New Roman" w:hAnsi="Times New Roman"/>
          <w:szCs w:val="24"/>
        </w:rPr>
        <w:t>owever, he did not exceed the authority nor abuse it. The Chamber noted that it was not convinced that Katanga abused his po</w:t>
      </w:r>
      <w:r w:rsidR="00C7070D">
        <w:rPr>
          <w:rFonts w:ascii="Times New Roman" w:hAnsi="Times New Roman"/>
          <w:szCs w:val="24"/>
        </w:rPr>
        <w:t>wer position</w:t>
      </w:r>
      <w:r w:rsidR="004D5736" w:rsidRPr="0014700D">
        <w:rPr>
          <w:rFonts w:ascii="Times New Roman" w:hAnsi="Times New Roman"/>
          <w:szCs w:val="24"/>
        </w:rPr>
        <w:t xml:space="preserve"> or used his power to “</w:t>
      </w:r>
      <w:r w:rsidR="004D5736" w:rsidRPr="0014700D">
        <w:rPr>
          <w:rFonts w:ascii="Times New Roman" w:hAnsi="Times New Roman"/>
          <w:i/>
          <w:szCs w:val="24"/>
        </w:rPr>
        <w:t>promote the commission of crimes</w:t>
      </w:r>
      <w:r w:rsidR="004D5736" w:rsidRPr="0014700D">
        <w:rPr>
          <w:rFonts w:ascii="Times New Roman" w:hAnsi="Times New Roman"/>
          <w:szCs w:val="24"/>
        </w:rPr>
        <w:t>.”</w:t>
      </w:r>
      <w:r w:rsidR="004D5736" w:rsidRPr="0014700D">
        <w:rPr>
          <w:rStyle w:val="FootnoteReference"/>
          <w:rFonts w:ascii="Times New Roman" w:hAnsi="Times New Roman"/>
          <w:szCs w:val="24"/>
        </w:rPr>
        <w:footnoteReference w:id="1093"/>
      </w:r>
      <w:r w:rsidR="004D5736" w:rsidRPr="0014700D">
        <w:rPr>
          <w:rFonts w:ascii="Times New Roman" w:hAnsi="Times New Roman"/>
          <w:szCs w:val="24"/>
        </w:rPr>
        <w:t xml:space="preserve"> Therefore, the Chamber found no aggravating factor in this.</w:t>
      </w:r>
    </w:p>
    <w:p w14:paraId="6464D6C5" w14:textId="77777777" w:rsidR="004D5736" w:rsidRPr="00A41538" w:rsidRDefault="003C2A46" w:rsidP="005725E4">
      <w:pPr>
        <w:pStyle w:val="Heading3"/>
      </w:pPr>
      <w:bookmarkStart w:id="85" w:name="_Toc60235852"/>
      <w:r>
        <w:lastRenderedPageBreak/>
        <w:t>4.7.4</w:t>
      </w:r>
      <w:r w:rsidR="004D5736" w:rsidRPr="00A41538">
        <w:t xml:space="preserve"> </w:t>
      </w:r>
      <w:bookmarkStart w:id="86" w:name="_Toc21896848"/>
      <w:r w:rsidR="004D5736" w:rsidRPr="00A41538">
        <w:t>M</w:t>
      </w:r>
      <w:bookmarkEnd w:id="86"/>
      <w:r w:rsidR="004D5736" w:rsidRPr="00A41538">
        <w:t>itigating circumstances</w:t>
      </w:r>
      <w:bookmarkEnd w:id="85"/>
      <w:r w:rsidR="004D5736" w:rsidRPr="00A41538">
        <w:t xml:space="preserve"> </w:t>
      </w:r>
    </w:p>
    <w:p w14:paraId="0B902D98" w14:textId="77777777" w:rsidR="004D5736" w:rsidRPr="009E3F55" w:rsidRDefault="009E3F55" w:rsidP="003F308F">
      <w:pPr>
        <w:spacing w:line="480" w:lineRule="auto"/>
        <w:jc w:val="both"/>
        <w:rPr>
          <w:rFonts w:ascii="Times New Roman" w:hAnsi="Times New Roman"/>
          <w:szCs w:val="24"/>
        </w:rPr>
      </w:pPr>
      <w:r w:rsidRPr="009E3F55">
        <w:rPr>
          <w:rFonts w:ascii="Times New Roman" w:hAnsi="Times New Roman"/>
          <w:szCs w:val="24"/>
        </w:rPr>
        <w:t>Regarding mitigating circumstances,</w:t>
      </w:r>
      <w:r>
        <w:rPr>
          <w:rFonts w:ascii="Times New Roman" w:hAnsi="Times New Roman"/>
          <w:szCs w:val="24"/>
        </w:rPr>
        <w:t xml:space="preserve"> </w:t>
      </w:r>
      <w:r w:rsidRPr="009E3F55">
        <w:rPr>
          <w:rFonts w:ascii="Times New Roman" w:hAnsi="Times New Roman"/>
          <w:szCs w:val="24"/>
        </w:rPr>
        <w:t>t</w:t>
      </w:r>
      <w:r>
        <w:rPr>
          <w:rFonts w:ascii="Times New Roman" w:hAnsi="Times New Roman"/>
          <w:szCs w:val="24"/>
        </w:rPr>
        <w:t xml:space="preserve">he Chamber referred to </w:t>
      </w:r>
      <w:r w:rsidR="0051397A">
        <w:rPr>
          <w:rFonts w:ascii="Times New Roman" w:hAnsi="Times New Roman"/>
          <w:szCs w:val="24"/>
        </w:rPr>
        <w:t>the Prosecution and the LRVs submissions, which advanced</w:t>
      </w:r>
      <w:r w:rsidR="004D5736" w:rsidRPr="009E3F55">
        <w:rPr>
          <w:rFonts w:ascii="Times New Roman" w:hAnsi="Times New Roman"/>
          <w:szCs w:val="24"/>
        </w:rPr>
        <w:t xml:space="preserve"> that Germain Katanga must not benefit from the application of mitigating factors to his sentence.</w:t>
      </w:r>
      <w:r w:rsidR="004D5736" w:rsidRPr="009E3F55">
        <w:rPr>
          <w:rStyle w:val="FootnoteReference"/>
          <w:rFonts w:ascii="Times New Roman" w:hAnsi="Times New Roman"/>
          <w:szCs w:val="24"/>
        </w:rPr>
        <w:footnoteReference w:id="1094"/>
      </w:r>
      <w:r w:rsidR="004D5736" w:rsidRPr="009E3F55">
        <w:rPr>
          <w:rFonts w:ascii="Times New Roman" w:hAnsi="Times New Roman"/>
          <w:szCs w:val="24"/>
        </w:rPr>
        <w:t xml:space="preserve"> However, the C</w:t>
      </w:r>
      <w:r w:rsidR="00791C17">
        <w:rPr>
          <w:rFonts w:ascii="Times New Roman" w:hAnsi="Times New Roman"/>
          <w:szCs w:val="24"/>
        </w:rPr>
        <w:t>hamber considered the</w:t>
      </w:r>
      <w:r w:rsidR="004D5736" w:rsidRPr="009E3F55">
        <w:rPr>
          <w:rFonts w:ascii="Times New Roman" w:hAnsi="Times New Roman"/>
          <w:szCs w:val="24"/>
        </w:rPr>
        <w:t xml:space="preserve"> factors presented by the Defence to </w:t>
      </w:r>
      <w:r w:rsidR="00791C17">
        <w:rPr>
          <w:rFonts w:ascii="Times New Roman" w:hAnsi="Times New Roman"/>
          <w:szCs w:val="24"/>
        </w:rPr>
        <w:t>determine the mitigating circumstances</w:t>
      </w:r>
      <w:r w:rsidR="004D5736" w:rsidRPr="009E3F55">
        <w:rPr>
          <w:rFonts w:ascii="Times New Roman" w:hAnsi="Times New Roman"/>
          <w:szCs w:val="24"/>
        </w:rPr>
        <w:t>.</w:t>
      </w:r>
      <w:r>
        <w:rPr>
          <w:rFonts w:ascii="Times New Roman" w:hAnsi="Times New Roman"/>
          <w:szCs w:val="24"/>
        </w:rPr>
        <w:t xml:space="preserve"> </w:t>
      </w:r>
      <w:r w:rsidR="004D5736" w:rsidRPr="009E3F55">
        <w:rPr>
          <w:rFonts w:ascii="Times New Roman" w:hAnsi="Times New Roman"/>
          <w:szCs w:val="24"/>
        </w:rPr>
        <w:t>The Chamber considered age, family and character(good moral standing as mitigating factors.</w:t>
      </w:r>
    </w:p>
    <w:p w14:paraId="3531D485" w14:textId="354C5882" w:rsidR="002315CE" w:rsidRDefault="004D5736" w:rsidP="003F308F">
      <w:pPr>
        <w:spacing w:line="480" w:lineRule="auto"/>
        <w:jc w:val="both"/>
        <w:rPr>
          <w:rFonts w:ascii="Times New Roman" w:hAnsi="Times New Roman"/>
          <w:szCs w:val="24"/>
        </w:rPr>
      </w:pPr>
      <w:r w:rsidRPr="009E3F55">
        <w:rPr>
          <w:rFonts w:ascii="Times New Roman" w:hAnsi="Times New Roman"/>
          <w:szCs w:val="24"/>
        </w:rPr>
        <w:t xml:space="preserve">The mitigating circumstances </w:t>
      </w:r>
      <w:r w:rsidR="00360BBA">
        <w:rPr>
          <w:rFonts w:ascii="Times New Roman" w:hAnsi="Times New Roman"/>
          <w:szCs w:val="24"/>
        </w:rPr>
        <w:t>are</w:t>
      </w:r>
      <w:r w:rsidRPr="009E3F55">
        <w:rPr>
          <w:rFonts w:ascii="Times New Roman" w:hAnsi="Times New Roman"/>
          <w:szCs w:val="24"/>
        </w:rPr>
        <w:t xml:space="preserve"> relevant for reducing the sentence and not the gravity of the crime.</w:t>
      </w:r>
      <w:r w:rsidRPr="009E3F55">
        <w:rPr>
          <w:rStyle w:val="FootnoteReference"/>
          <w:rFonts w:ascii="Times New Roman" w:hAnsi="Times New Roman"/>
          <w:szCs w:val="24"/>
        </w:rPr>
        <w:footnoteReference w:id="1095"/>
      </w:r>
      <w:r w:rsidR="002315CE" w:rsidRPr="00120BAF">
        <w:rPr>
          <w:rFonts w:ascii="Times New Roman" w:hAnsi="Times New Roman"/>
          <w:szCs w:val="24"/>
        </w:rPr>
        <w:t>Mitigating factors is very significant because if considered, it may decrease the term of sentence. Perhaps, the most se</w:t>
      </w:r>
      <w:r w:rsidR="00360BBA">
        <w:rPr>
          <w:rFonts w:ascii="Times New Roman" w:hAnsi="Times New Roman"/>
          <w:szCs w:val="24"/>
        </w:rPr>
        <w:t>vere</w:t>
      </w:r>
      <w:r w:rsidR="002315CE" w:rsidRPr="00120BAF">
        <w:rPr>
          <w:rFonts w:ascii="Times New Roman" w:hAnsi="Times New Roman"/>
          <w:szCs w:val="24"/>
        </w:rPr>
        <w:t xml:space="preserve"> disadvantage of the rule on mitigating circumstances is that it requires proof- </w:t>
      </w:r>
      <w:r w:rsidR="00360BBA">
        <w:rPr>
          <w:rFonts w:ascii="Times New Roman" w:hAnsi="Times New Roman"/>
          <w:szCs w:val="24"/>
        </w:rPr>
        <w:t xml:space="preserve">a </w:t>
      </w:r>
      <w:r w:rsidR="002315CE" w:rsidRPr="00120BAF">
        <w:rPr>
          <w:rFonts w:ascii="Times New Roman" w:hAnsi="Times New Roman"/>
          <w:szCs w:val="24"/>
        </w:rPr>
        <w:t xml:space="preserve">balance of probabilities- </w:t>
      </w:r>
      <w:r w:rsidR="00C7070D">
        <w:rPr>
          <w:rFonts w:ascii="Times New Roman" w:hAnsi="Times New Roman"/>
          <w:szCs w:val="24"/>
        </w:rPr>
        <w:t>instead of</w:t>
      </w:r>
      <w:r w:rsidR="002315CE" w:rsidRPr="00120BAF">
        <w:rPr>
          <w:rFonts w:ascii="Times New Roman" w:hAnsi="Times New Roman"/>
          <w:szCs w:val="24"/>
        </w:rPr>
        <w:t xml:space="preserve"> the aggravating factors. Balance of probabilities is also known as preponderance of the evidence. It does not require a</w:t>
      </w:r>
      <w:r w:rsidR="00360BBA">
        <w:rPr>
          <w:rFonts w:ascii="Times New Roman" w:hAnsi="Times New Roman"/>
          <w:szCs w:val="24"/>
        </w:rPr>
        <w:t xml:space="preserve"> piece of</w:t>
      </w:r>
      <w:r w:rsidR="002315CE" w:rsidRPr="00120BAF">
        <w:rPr>
          <w:rFonts w:ascii="Times New Roman" w:hAnsi="Times New Roman"/>
          <w:szCs w:val="24"/>
        </w:rPr>
        <w:t xml:space="preserve"> overwhelming evidence</w:t>
      </w:r>
      <w:r w:rsidR="00360BBA">
        <w:rPr>
          <w:rFonts w:ascii="Times New Roman" w:hAnsi="Times New Roman"/>
          <w:szCs w:val="24"/>
        </w:rPr>
        <w:t>—a</w:t>
      </w:r>
      <w:r w:rsidR="002315CE" w:rsidRPr="00120BAF">
        <w:rPr>
          <w:rFonts w:ascii="Times New Roman" w:hAnsi="Times New Roman"/>
          <w:szCs w:val="24"/>
        </w:rPr>
        <w:t xml:space="preserve"> reflection of what is applicable in the jurisprudence of the ICTY.</w:t>
      </w:r>
      <w:r w:rsidR="002315CE" w:rsidRPr="00120BAF">
        <w:rPr>
          <w:rStyle w:val="FootnoteReference"/>
          <w:rFonts w:ascii="Times New Roman" w:hAnsi="Times New Roman"/>
          <w:szCs w:val="24"/>
        </w:rPr>
        <w:footnoteReference w:id="1096"/>
      </w:r>
      <w:r w:rsidR="002315CE" w:rsidRPr="00120BAF">
        <w:rPr>
          <w:rFonts w:ascii="Times New Roman" w:hAnsi="Times New Roman"/>
          <w:szCs w:val="24"/>
        </w:rPr>
        <w:t xml:space="preserve"> Hence, the</w:t>
      </w:r>
      <w:r w:rsidR="00360BBA">
        <w:rPr>
          <w:rFonts w:ascii="Times New Roman" w:hAnsi="Times New Roman"/>
          <w:szCs w:val="24"/>
        </w:rPr>
        <w:t xml:space="preserve"> threshold is lower for the balance</w:t>
      </w:r>
      <w:r w:rsidR="002315CE" w:rsidRPr="00120BAF">
        <w:rPr>
          <w:rFonts w:ascii="Times New Roman" w:hAnsi="Times New Roman"/>
          <w:szCs w:val="24"/>
        </w:rPr>
        <w:t xml:space="preserve"> of probabilities.</w:t>
      </w:r>
      <w:r w:rsidR="00360BBA">
        <w:rPr>
          <w:rFonts w:ascii="Times New Roman" w:hAnsi="Times New Roman"/>
          <w:szCs w:val="24"/>
        </w:rPr>
        <w:t xml:space="preserve"> </w:t>
      </w:r>
      <w:r w:rsidR="002315CE" w:rsidRPr="00120BAF">
        <w:rPr>
          <w:rFonts w:ascii="Times New Roman" w:hAnsi="Times New Roman"/>
          <w:szCs w:val="24"/>
        </w:rPr>
        <w:t>F</w:t>
      </w:r>
      <w:r w:rsidR="00360BBA">
        <w:rPr>
          <w:rFonts w:ascii="Times New Roman" w:hAnsi="Times New Roman"/>
          <w:szCs w:val="24"/>
        </w:rPr>
        <w:t>rom the Kat</w:t>
      </w:r>
      <w:r w:rsidR="002315CE" w:rsidRPr="00120BAF">
        <w:rPr>
          <w:rFonts w:ascii="Times New Roman" w:hAnsi="Times New Roman"/>
          <w:szCs w:val="24"/>
        </w:rPr>
        <w:t xml:space="preserve">anga case, one implication of this is that it resulted in </w:t>
      </w:r>
      <w:r w:rsidR="00360BBA">
        <w:rPr>
          <w:rFonts w:ascii="Times New Roman" w:hAnsi="Times New Roman"/>
          <w:szCs w:val="24"/>
        </w:rPr>
        <w:t xml:space="preserve">a </w:t>
      </w:r>
      <w:r w:rsidR="002315CE" w:rsidRPr="00120BAF">
        <w:rPr>
          <w:rFonts w:ascii="Times New Roman" w:hAnsi="Times New Roman"/>
          <w:szCs w:val="24"/>
        </w:rPr>
        <w:t xml:space="preserve">lenient sentence of 12 years imprisonment for the convict. </w:t>
      </w:r>
    </w:p>
    <w:p w14:paraId="53B2C3EA" w14:textId="393DE68B" w:rsidR="004D5736" w:rsidRPr="00E4195F" w:rsidRDefault="00E4195F" w:rsidP="003F308F">
      <w:pPr>
        <w:spacing w:line="480" w:lineRule="auto"/>
        <w:jc w:val="both"/>
        <w:rPr>
          <w:rFonts w:ascii="Times New Roman" w:hAnsi="Times New Roman"/>
          <w:szCs w:val="24"/>
        </w:rPr>
      </w:pPr>
      <w:r w:rsidRPr="00E4195F">
        <w:rPr>
          <w:rFonts w:ascii="Times New Roman" w:hAnsi="Times New Roman"/>
          <w:szCs w:val="24"/>
        </w:rPr>
        <w:lastRenderedPageBreak/>
        <w:t>Moreover,</w:t>
      </w:r>
      <w:r w:rsidR="00360BBA">
        <w:rPr>
          <w:rFonts w:ascii="Times New Roman" w:hAnsi="Times New Roman"/>
          <w:szCs w:val="24"/>
        </w:rPr>
        <w:t xml:space="preserve"> </w:t>
      </w:r>
      <w:r w:rsidR="004D5736" w:rsidRPr="00E4195F">
        <w:rPr>
          <w:rFonts w:ascii="Times New Roman" w:hAnsi="Times New Roman"/>
          <w:szCs w:val="24"/>
        </w:rPr>
        <w:t>the Chamber also considered peace and reconciliation efforts,</w:t>
      </w:r>
      <w:r w:rsidR="00EA058D">
        <w:rPr>
          <w:rFonts w:ascii="Times New Roman" w:hAnsi="Times New Roman"/>
          <w:szCs w:val="24"/>
        </w:rPr>
        <w:t xml:space="preserve"> and</w:t>
      </w:r>
      <w:r w:rsidR="004D5736" w:rsidRPr="00E4195F">
        <w:rPr>
          <w:rFonts w:ascii="Times New Roman" w:hAnsi="Times New Roman"/>
          <w:szCs w:val="24"/>
        </w:rPr>
        <w:t xml:space="preserve"> remorse by the accused towards the victims, </w:t>
      </w:r>
      <w:r w:rsidR="00EA058D">
        <w:rPr>
          <w:rFonts w:ascii="Times New Roman" w:hAnsi="Times New Roman"/>
          <w:szCs w:val="24"/>
        </w:rPr>
        <w:t xml:space="preserve">the </w:t>
      </w:r>
      <w:r w:rsidR="00C7070D">
        <w:rPr>
          <w:rFonts w:ascii="Times New Roman" w:hAnsi="Times New Roman"/>
          <w:szCs w:val="24"/>
        </w:rPr>
        <w:t>accused's conduct</w:t>
      </w:r>
      <w:r w:rsidR="004D5736" w:rsidRPr="00E4195F">
        <w:rPr>
          <w:rFonts w:ascii="Times New Roman" w:hAnsi="Times New Roman"/>
          <w:szCs w:val="24"/>
        </w:rPr>
        <w:t xml:space="preserve"> during proceedings. However, the Chamber did not </w:t>
      </w:r>
      <w:r w:rsidR="00CE2BE4">
        <w:rPr>
          <w:rFonts w:ascii="Times New Roman" w:hAnsi="Times New Roman"/>
          <w:szCs w:val="24"/>
        </w:rPr>
        <w:t>find</w:t>
      </w:r>
      <w:r w:rsidR="004D5736" w:rsidRPr="00E4195F">
        <w:rPr>
          <w:rFonts w:ascii="Times New Roman" w:hAnsi="Times New Roman"/>
          <w:szCs w:val="24"/>
        </w:rPr>
        <w:t xml:space="preserve"> the violation of Mr Katanga’s rights as a mitigating factor because there was no violation of his rights while he was in Court’s authorised detention.</w:t>
      </w:r>
    </w:p>
    <w:p w14:paraId="0C12BA6F" w14:textId="5C3C054C" w:rsidR="00535B5D" w:rsidRPr="00360BBA" w:rsidRDefault="004D5736" w:rsidP="00360BBA">
      <w:pPr>
        <w:spacing w:line="480" w:lineRule="auto"/>
        <w:jc w:val="both"/>
        <w:rPr>
          <w:rFonts w:ascii="Times New Roman" w:hAnsi="Times New Roman"/>
          <w:szCs w:val="24"/>
        </w:rPr>
      </w:pPr>
      <w:r w:rsidRPr="00E4195F">
        <w:rPr>
          <w:rFonts w:ascii="Times New Roman" w:hAnsi="Times New Roman"/>
          <w:szCs w:val="24"/>
        </w:rPr>
        <w:t xml:space="preserve">The following sections shall assess the role of victims </w:t>
      </w:r>
      <w:r w:rsidR="00F923A9">
        <w:rPr>
          <w:rFonts w:ascii="Times New Roman" w:hAnsi="Times New Roman"/>
          <w:szCs w:val="24"/>
        </w:rPr>
        <w:t xml:space="preserve">in the </w:t>
      </w:r>
      <w:r w:rsidRPr="00E4195F">
        <w:rPr>
          <w:rFonts w:ascii="Times New Roman" w:hAnsi="Times New Roman"/>
          <w:szCs w:val="24"/>
        </w:rPr>
        <w:t xml:space="preserve">sentencing hearing, the </w:t>
      </w:r>
      <w:r w:rsidR="00C7070D">
        <w:rPr>
          <w:rFonts w:ascii="Times New Roman" w:hAnsi="Times New Roman"/>
          <w:szCs w:val="24"/>
        </w:rPr>
        <w:t>parties' observations,</w:t>
      </w:r>
      <w:r w:rsidR="00360BBA">
        <w:rPr>
          <w:rFonts w:ascii="Times New Roman" w:hAnsi="Times New Roman"/>
          <w:szCs w:val="24"/>
        </w:rPr>
        <w:t xml:space="preserve"> and the </w:t>
      </w:r>
      <w:r w:rsidR="00696301">
        <w:rPr>
          <w:rFonts w:ascii="Times New Roman" w:hAnsi="Times New Roman"/>
          <w:szCs w:val="24"/>
        </w:rPr>
        <w:t>Court's decision</w:t>
      </w:r>
      <w:r w:rsidR="00360BBA">
        <w:rPr>
          <w:rFonts w:ascii="Times New Roman" w:hAnsi="Times New Roman"/>
          <w:szCs w:val="24"/>
        </w:rPr>
        <w:t>.</w:t>
      </w:r>
    </w:p>
    <w:p w14:paraId="4586E04F" w14:textId="77777777" w:rsidR="004D5736" w:rsidRPr="003C2A46" w:rsidRDefault="003C2A46" w:rsidP="005725E4">
      <w:pPr>
        <w:pStyle w:val="Heading3"/>
      </w:pPr>
      <w:bookmarkStart w:id="87" w:name="_Toc60235853"/>
      <w:r w:rsidRPr="003C2A46">
        <w:rPr>
          <w:rStyle w:val="Heading2Char"/>
          <w:b/>
        </w:rPr>
        <w:t>4.7.5</w:t>
      </w:r>
      <w:r w:rsidR="003B4170" w:rsidRPr="003C2A46">
        <w:rPr>
          <w:rStyle w:val="Heading2Char"/>
          <w:b/>
        </w:rPr>
        <w:t>.</w:t>
      </w:r>
      <w:r w:rsidR="004D5736" w:rsidRPr="003C2A46">
        <w:rPr>
          <w:rStyle w:val="Heading2Char"/>
          <w:b/>
        </w:rPr>
        <w:t xml:space="preserve"> </w:t>
      </w:r>
      <w:bookmarkStart w:id="88" w:name="_Toc21896849"/>
      <w:r w:rsidR="004D5736" w:rsidRPr="003C2A46">
        <w:rPr>
          <w:rStyle w:val="Heading2Char"/>
          <w:b/>
        </w:rPr>
        <w:t>Katanga case</w:t>
      </w:r>
      <w:r w:rsidR="004D5736" w:rsidRPr="003C2A46">
        <w:t>: Victims role in sentencing</w:t>
      </w:r>
      <w:bookmarkEnd w:id="87"/>
      <w:r w:rsidR="004D5736" w:rsidRPr="003C2A46">
        <w:t xml:space="preserve"> </w:t>
      </w:r>
      <w:bookmarkEnd w:id="88"/>
    </w:p>
    <w:p w14:paraId="62580213" w14:textId="3C49D225" w:rsidR="00FB36E6" w:rsidRPr="004A0214" w:rsidRDefault="004D5736" w:rsidP="00791C17">
      <w:pPr>
        <w:spacing w:line="480" w:lineRule="auto"/>
        <w:jc w:val="both"/>
        <w:rPr>
          <w:rFonts w:ascii="Times New Roman" w:hAnsi="Times New Roman"/>
          <w:szCs w:val="24"/>
        </w:rPr>
      </w:pPr>
      <w:r w:rsidRPr="004A0214">
        <w:rPr>
          <w:rFonts w:ascii="Times New Roman" w:hAnsi="Times New Roman"/>
          <w:szCs w:val="24"/>
        </w:rPr>
        <w:t>The sentencing decision of the Katanga case share</w:t>
      </w:r>
      <w:r w:rsidR="00360BBA">
        <w:rPr>
          <w:rFonts w:ascii="Times New Roman" w:hAnsi="Times New Roman"/>
          <w:szCs w:val="24"/>
        </w:rPr>
        <w:t>s</w:t>
      </w:r>
      <w:r w:rsidRPr="004A0214">
        <w:rPr>
          <w:rFonts w:ascii="Times New Roman" w:hAnsi="Times New Roman"/>
          <w:szCs w:val="24"/>
        </w:rPr>
        <w:t xml:space="preserve"> some similarities with the Lubanga case. </w:t>
      </w:r>
      <w:r w:rsidR="00FB36E6" w:rsidRPr="004A0214">
        <w:rPr>
          <w:rFonts w:ascii="Times New Roman" w:hAnsi="Times New Roman"/>
          <w:szCs w:val="24"/>
        </w:rPr>
        <w:t>The Prosecution requested a sentence of 22-25</w:t>
      </w:r>
      <w:r w:rsidR="00F923A9">
        <w:rPr>
          <w:rFonts w:ascii="Times New Roman" w:hAnsi="Times New Roman"/>
          <w:szCs w:val="24"/>
        </w:rPr>
        <w:t xml:space="preserve"> </w:t>
      </w:r>
      <w:r w:rsidR="00FB36E6" w:rsidRPr="004A0214">
        <w:rPr>
          <w:rFonts w:ascii="Times New Roman" w:hAnsi="Times New Roman"/>
          <w:szCs w:val="24"/>
        </w:rPr>
        <w:t>years, after which the parties and participants presented their final submissions.</w:t>
      </w:r>
    </w:p>
    <w:p w14:paraId="655488C3" w14:textId="77777777" w:rsidR="004A0214" w:rsidRPr="004A0214" w:rsidRDefault="004A0214" w:rsidP="004A0214">
      <w:pPr>
        <w:jc w:val="both"/>
        <w:rPr>
          <w:rFonts w:ascii="Times New Roman" w:hAnsi="Times New Roman"/>
          <w:szCs w:val="24"/>
        </w:rPr>
      </w:pPr>
      <w:r w:rsidRPr="004A0214">
        <w:rPr>
          <w:rFonts w:ascii="Times New Roman" w:hAnsi="Times New Roman"/>
          <w:szCs w:val="24"/>
        </w:rPr>
        <w:t xml:space="preserve">In </w:t>
      </w:r>
      <w:r w:rsidR="00673EC1">
        <w:rPr>
          <w:rFonts w:ascii="Times New Roman" w:hAnsi="Times New Roman"/>
          <w:szCs w:val="24"/>
        </w:rPr>
        <w:t>addres</w:t>
      </w:r>
      <w:r w:rsidR="00CE2BE4">
        <w:rPr>
          <w:rFonts w:ascii="Times New Roman" w:hAnsi="Times New Roman"/>
          <w:szCs w:val="24"/>
        </w:rPr>
        <w:t>sing the court, the LRVs reported</w:t>
      </w:r>
      <w:r w:rsidR="00673EC1">
        <w:rPr>
          <w:rFonts w:ascii="Times New Roman" w:hAnsi="Times New Roman"/>
          <w:szCs w:val="24"/>
        </w:rPr>
        <w:t>:</w:t>
      </w:r>
    </w:p>
    <w:p w14:paraId="770F9653" w14:textId="77777777" w:rsidR="004A0214" w:rsidRPr="004A0214" w:rsidRDefault="004A0214" w:rsidP="00791C17">
      <w:pPr>
        <w:jc w:val="center"/>
        <w:rPr>
          <w:rFonts w:ascii="Times New Roman" w:hAnsi="Times New Roman"/>
          <w:i/>
          <w:szCs w:val="24"/>
        </w:rPr>
      </w:pPr>
      <w:r w:rsidRPr="004A0214">
        <w:rPr>
          <w:rFonts w:ascii="Times New Roman" w:hAnsi="Times New Roman"/>
          <w:szCs w:val="24"/>
        </w:rPr>
        <w:t>“</w:t>
      </w:r>
      <w:r w:rsidRPr="00360BBA">
        <w:rPr>
          <w:rFonts w:ascii="Times New Roman" w:hAnsi="Times New Roman"/>
          <w:szCs w:val="24"/>
        </w:rPr>
        <w:t xml:space="preserve">They had lost everything during the attack. Many people were injured and were the victims of cruel attacks. Some still bear the scars of bullets or matches. Mr Byaruhanga also explained to us that the suffering </w:t>
      </w:r>
      <w:r w:rsidR="00993677" w:rsidRPr="00360BBA">
        <w:rPr>
          <w:rFonts w:ascii="Times New Roman" w:hAnsi="Times New Roman"/>
          <w:szCs w:val="24"/>
        </w:rPr>
        <w:t>is continuing for some victims</w:t>
      </w:r>
      <w:r w:rsidR="00360BBA">
        <w:rPr>
          <w:rFonts w:ascii="Times New Roman" w:hAnsi="Times New Roman"/>
          <w:szCs w:val="24"/>
        </w:rPr>
        <w:t>.</w:t>
      </w:r>
      <w:r w:rsidR="00993677" w:rsidRPr="00360BBA">
        <w:rPr>
          <w:rFonts w:ascii="Times New Roman" w:hAnsi="Times New Roman"/>
          <w:szCs w:val="24"/>
        </w:rPr>
        <w:t xml:space="preserve"> </w:t>
      </w:r>
      <w:r w:rsidRPr="00360BBA">
        <w:rPr>
          <w:rFonts w:ascii="Times New Roman" w:hAnsi="Times New Roman"/>
          <w:szCs w:val="24"/>
        </w:rPr>
        <w:t>They still have not been able to obtain adequate care</w:t>
      </w:r>
      <w:r w:rsidRPr="004A0214">
        <w:rPr>
          <w:rFonts w:ascii="Times New Roman" w:hAnsi="Times New Roman"/>
          <w:i/>
          <w:szCs w:val="24"/>
        </w:rPr>
        <w:t>…..”</w:t>
      </w:r>
      <w:r w:rsidRPr="004A0214">
        <w:rPr>
          <w:rStyle w:val="FootnoteReference"/>
          <w:rFonts w:ascii="Times New Roman" w:hAnsi="Times New Roman"/>
          <w:i/>
          <w:szCs w:val="24"/>
        </w:rPr>
        <w:footnoteReference w:id="1097"/>
      </w:r>
    </w:p>
    <w:p w14:paraId="2C06E72A" w14:textId="4FC4D9E5" w:rsidR="004A0214" w:rsidRPr="004A0214" w:rsidRDefault="004A0214" w:rsidP="00791C17">
      <w:pPr>
        <w:jc w:val="center"/>
        <w:rPr>
          <w:rFonts w:ascii="Times New Roman" w:hAnsi="Times New Roman"/>
          <w:i/>
          <w:szCs w:val="24"/>
        </w:rPr>
      </w:pPr>
      <w:r w:rsidRPr="004A0214">
        <w:rPr>
          <w:rFonts w:ascii="Times New Roman" w:hAnsi="Times New Roman"/>
          <w:szCs w:val="24"/>
        </w:rPr>
        <w:t>“</w:t>
      </w:r>
      <w:r w:rsidRPr="00360BBA">
        <w:rPr>
          <w:rFonts w:ascii="Times New Roman" w:hAnsi="Times New Roman"/>
          <w:szCs w:val="24"/>
        </w:rPr>
        <w:t xml:space="preserve">The victims are having </w:t>
      </w:r>
      <w:r w:rsidR="00360BBA">
        <w:rPr>
          <w:rFonts w:ascii="Times New Roman" w:hAnsi="Times New Roman"/>
          <w:szCs w:val="24"/>
        </w:rPr>
        <w:t xml:space="preserve">a </w:t>
      </w:r>
      <w:r w:rsidRPr="00360BBA">
        <w:rPr>
          <w:rFonts w:ascii="Times New Roman" w:hAnsi="Times New Roman"/>
          <w:szCs w:val="24"/>
        </w:rPr>
        <w:t xml:space="preserve">very difficult time going back to their older way of life because, you see, they lost everything………..On 24 February, the attackers wiped </w:t>
      </w:r>
      <w:proofErr w:type="spellStart"/>
      <w:r w:rsidRPr="00360BBA">
        <w:rPr>
          <w:rFonts w:ascii="Times New Roman" w:hAnsi="Times New Roman"/>
          <w:szCs w:val="24"/>
        </w:rPr>
        <w:t>Bogoro</w:t>
      </w:r>
      <w:proofErr w:type="spellEnd"/>
      <w:r w:rsidRPr="00360BBA">
        <w:rPr>
          <w:rFonts w:ascii="Times New Roman" w:hAnsi="Times New Roman"/>
          <w:szCs w:val="24"/>
        </w:rPr>
        <w:t xml:space="preserve"> off the map…we are not talking about minor looting or one or two bui</w:t>
      </w:r>
      <w:r w:rsidR="00314B08" w:rsidRPr="00360BBA">
        <w:rPr>
          <w:rFonts w:ascii="Times New Roman" w:hAnsi="Times New Roman"/>
          <w:szCs w:val="24"/>
        </w:rPr>
        <w:t xml:space="preserve">ldings </w:t>
      </w:r>
      <w:r w:rsidR="00314B08" w:rsidRPr="00360BBA">
        <w:rPr>
          <w:rFonts w:ascii="Times New Roman" w:hAnsi="Times New Roman"/>
          <w:szCs w:val="24"/>
        </w:rPr>
        <w:lastRenderedPageBreak/>
        <w:t>destroyed here and there</w:t>
      </w:r>
      <w:r w:rsidRPr="00360BBA">
        <w:rPr>
          <w:rFonts w:ascii="Times New Roman" w:hAnsi="Times New Roman"/>
          <w:szCs w:val="24"/>
        </w:rPr>
        <w:t>.</w:t>
      </w:r>
      <w:r w:rsidR="00314B08" w:rsidRPr="00360BBA">
        <w:rPr>
          <w:rFonts w:ascii="Times New Roman" w:hAnsi="Times New Roman"/>
          <w:szCs w:val="24"/>
        </w:rPr>
        <w:t xml:space="preserve"> </w:t>
      </w:r>
      <w:r w:rsidRPr="00360BBA">
        <w:rPr>
          <w:rFonts w:ascii="Times New Roman" w:hAnsi="Times New Roman"/>
          <w:szCs w:val="24"/>
        </w:rPr>
        <w:t>In this case</w:t>
      </w:r>
      <w:r w:rsidR="00360BBA">
        <w:rPr>
          <w:rFonts w:ascii="Times New Roman" w:hAnsi="Times New Roman"/>
          <w:szCs w:val="24"/>
        </w:rPr>
        <w:t>,</w:t>
      </w:r>
      <w:r w:rsidRPr="00360BBA">
        <w:rPr>
          <w:rFonts w:ascii="Times New Roman" w:hAnsi="Times New Roman"/>
          <w:szCs w:val="24"/>
        </w:rPr>
        <w:t xml:space="preserve"> an entire village was </w:t>
      </w:r>
      <w:proofErr w:type="spellStart"/>
      <w:r w:rsidRPr="00360BBA">
        <w:rPr>
          <w:rFonts w:ascii="Times New Roman" w:hAnsi="Times New Roman"/>
          <w:szCs w:val="24"/>
        </w:rPr>
        <w:t>struck</w:t>
      </w:r>
      <w:r w:rsidR="00BE4E89">
        <w:rPr>
          <w:rFonts w:ascii="Times New Roman" w:hAnsi="Times New Roman"/>
          <w:szCs w:val="24"/>
        </w:rPr>
        <w:t>.</w:t>
      </w:r>
      <w:r w:rsidRPr="00360BBA">
        <w:rPr>
          <w:rFonts w:ascii="Times New Roman" w:hAnsi="Times New Roman"/>
          <w:szCs w:val="24"/>
        </w:rPr>
        <w:t>.It</w:t>
      </w:r>
      <w:proofErr w:type="spellEnd"/>
      <w:r w:rsidRPr="00360BBA">
        <w:rPr>
          <w:rFonts w:ascii="Times New Roman" w:hAnsi="Times New Roman"/>
          <w:szCs w:val="24"/>
        </w:rPr>
        <w:t xml:space="preserve"> cannot be denied that Germain Katanga played a key role in the commission of the crimes</w:t>
      </w:r>
      <w:r w:rsidRPr="004A0214">
        <w:rPr>
          <w:rFonts w:ascii="Times New Roman" w:hAnsi="Times New Roman"/>
          <w:i/>
          <w:szCs w:val="24"/>
        </w:rPr>
        <w:t>.</w:t>
      </w:r>
      <w:r w:rsidR="00360BBA">
        <w:rPr>
          <w:rFonts w:ascii="Times New Roman" w:hAnsi="Times New Roman"/>
          <w:i/>
          <w:szCs w:val="24"/>
        </w:rPr>
        <w:t>”</w:t>
      </w:r>
      <w:r w:rsidRPr="004A0214">
        <w:rPr>
          <w:rStyle w:val="FootnoteReference"/>
          <w:rFonts w:ascii="Times New Roman" w:hAnsi="Times New Roman"/>
          <w:i/>
          <w:szCs w:val="24"/>
        </w:rPr>
        <w:footnoteReference w:id="1098"/>
      </w:r>
    </w:p>
    <w:p w14:paraId="1FDEF739" w14:textId="34979F5F" w:rsidR="00210E2C" w:rsidRPr="004A0214" w:rsidRDefault="004A0214" w:rsidP="00B804FE">
      <w:pPr>
        <w:spacing w:line="480" w:lineRule="auto"/>
        <w:jc w:val="both"/>
        <w:rPr>
          <w:rFonts w:ascii="Times New Roman" w:hAnsi="Times New Roman"/>
          <w:szCs w:val="24"/>
        </w:rPr>
      </w:pPr>
      <w:r w:rsidRPr="004A0214">
        <w:rPr>
          <w:rFonts w:ascii="Times New Roman" w:hAnsi="Times New Roman"/>
          <w:szCs w:val="24"/>
        </w:rPr>
        <w:t xml:space="preserve">To </w:t>
      </w:r>
      <w:r w:rsidR="00C7070D">
        <w:rPr>
          <w:rFonts w:ascii="Times New Roman" w:hAnsi="Times New Roman"/>
          <w:szCs w:val="24"/>
        </w:rPr>
        <w:t>emphasise</w:t>
      </w:r>
      <w:r w:rsidRPr="004A0214">
        <w:rPr>
          <w:rFonts w:ascii="Times New Roman" w:hAnsi="Times New Roman"/>
          <w:szCs w:val="24"/>
        </w:rPr>
        <w:t xml:space="preserve"> the seriousness of the crimes, the victims persuade</w:t>
      </w:r>
      <w:r w:rsidR="00314B08">
        <w:rPr>
          <w:rFonts w:ascii="Times New Roman" w:hAnsi="Times New Roman"/>
          <w:szCs w:val="24"/>
        </w:rPr>
        <w:t>d</w:t>
      </w:r>
      <w:r w:rsidRPr="004A0214">
        <w:rPr>
          <w:rFonts w:ascii="Times New Roman" w:hAnsi="Times New Roman"/>
          <w:szCs w:val="24"/>
        </w:rPr>
        <w:t xml:space="preserve"> the Court to consider three aggrava</w:t>
      </w:r>
      <w:r w:rsidR="00314B08">
        <w:rPr>
          <w:rFonts w:ascii="Times New Roman" w:hAnsi="Times New Roman"/>
          <w:szCs w:val="24"/>
        </w:rPr>
        <w:t>ting circumstances.</w:t>
      </w:r>
      <w:r w:rsidR="00360BBA">
        <w:rPr>
          <w:rFonts w:ascii="Times New Roman" w:hAnsi="Times New Roman"/>
          <w:szCs w:val="24"/>
        </w:rPr>
        <w:t xml:space="preserve"> </w:t>
      </w:r>
      <w:r w:rsidRPr="004A0214">
        <w:rPr>
          <w:rFonts w:ascii="Times New Roman" w:hAnsi="Times New Roman"/>
          <w:szCs w:val="24"/>
        </w:rPr>
        <w:t xml:space="preserve">These are; ‘the particular vulnerability of the victims. It is noted that some vulnerable individuals(especially civilians) like many women, children, </w:t>
      </w:r>
      <w:r w:rsidR="00360BBA">
        <w:rPr>
          <w:rFonts w:ascii="Times New Roman" w:hAnsi="Times New Roman"/>
          <w:szCs w:val="24"/>
        </w:rPr>
        <w:t>older adults</w:t>
      </w:r>
      <w:r w:rsidRPr="004A0214">
        <w:rPr>
          <w:rFonts w:ascii="Times New Roman" w:hAnsi="Times New Roman"/>
          <w:szCs w:val="24"/>
        </w:rPr>
        <w:t xml:space="preserve"> and </w:t>
      </w:r>
      <w:proofErr w:type="spellStart"/>
      <w:r w:rsidRPr="004A0214">
        <w:rPr>
          <w:rFonts w:ascii="Times New Roman" w:hAnsi="Times New Roman"/>
          <w:szCs w:val="24"/>
        </w:rPr>
        <w:t>newborns</w:t>
      </w:r>
      <w:proofErr w:type="spellEnd"/>
      <w:r w:rsidRPr="004A0214">
        <w:rPr>
          <w:rFonts w:ascii="Times New Roman" w:hAnsi="Times New Roman"/>
          <w:szCs w:val="24"/>
        </w:rPr>
        <w:t xml:space="preserve"> </w:t>
      </w:r>
      <w:r w:rsidR="00202DC2">
        <w:rPr>
          <w:rFonts w:ascii="Times New Roman" w:hAnsi="Times New Roman"/>
          <w:szCs w:val="24"/>
        </w:rPr>
        <w:t xml:space="preserve">became targets </w:t>
      </w:r>
      <w:r w:rsidRPr="004A0214">
        <w:rPr>
          <w:rFonts w:ascii="Times New Roman" w:hAnsi="Times New Roman"/>
          <w:szCs w:val="24"/>
        </w:rPr>
        <w:t>during the attack.</w:t>
      </w:r>
      <w:r w:rsidRPr="004A0214">
        <w:rPr>
          <w:rStyle w:val="FootnoteReference"/>
          <w:rFonts w:ascii="Times New Roman" w:hAnsi="Times New Roman"/>
          <w:szCs w:val="24"/>
        </w:rPr>
        <w:footnoteReference w:id="1099"/>
      </w:r>
      <w:r w:rsidRPr="004A0214">
        <w:rPr>
          <w:rFonts w:ascii="Times New Roman" w:hAnsi="Times New Roman"/>
          <w:szCs w:val="24"/>
        </w:rPr>
        <w:t xml:space="preserve"> They were either killed or injured despite the</w:t>
      </w:r>
      <w:r w:rsidR="00314B08">
        <w:rPr>
          <w:rFonts w:ascii="Times New Roman" w:hAnsi="Times New Roman"/>
          <w:szCs w:val="24"/>
        </w:rPr>
        <w:t>ir vulnerability. The LRV argued</w:t>
      </w:r>
      <w:r w:rsidRPr="004A0214">
        <w:rPr>
          <w:rFonts w:ascii="Times New Roman" w:hAnsi="Times New Roman"/>
          <w:szCs w:val="24"/>
        </w:rPr>
        <w:t xml:space="preserve"> that the second aggravating circumstance is the cruelty of the crimes. In her submissions,</w:t>
      </w:r>
      <w:r w:rsidR="00202DC2">
        <w:rPr>
          <w:rFonts w:ascii="Times New Roman" w:hAnsi="Times New Roman"/>
          <w:szCs w:val="24"/>
        </w:rPr>
        <w:t xml:space="preserve"> the combatants stripped some victims </w:t>
      </w:r>
      <w:r w:rsidRPr="004A0214">
        <w:rPr>
          <w:rFonts w:ascii="Times New Roman" w:hAnsi="Times New Roman"/>
          <w:szCs w:val="24"/>
        </w:rPr>
        <w:t>of their clothing.</w:t>
      </w:r>
      <w:r w:rsidR="00360BBA">
        <w:rPr>
          <w:rFonts w:ascii="Times New Roman" w:hAnsi="Times New Roman"/>
          <w:szCs w:val="24"/>
        </w:rPr>
        <w:t xml:space="preserve"> </w:t>
      </w:r>
      <w:r w:rsidRPr="004A0214">
        <w:rPr>
          <w:rFonts w:ascii="Times New Roman" w:hAnsi="Times New Roman"/>
          <w:szCs w:val="24"/>
        </w:rPr>
        <w:t>Some corpses were dismembered, and some victims were treated without dignity.</w:t>
      </w:r>
      <w:r w:rsidRPr="004A0214">
        <w:rPr>
          <w:rStyle w:val="FootnoteReference"/>
          <w:rFonts w:ascii="Times New Roman" w:hAnsi="Times New Roman"/>
          <w:szCs w:val="24"/>
        </w:rPr>
        <w:footnoteReference w:id="1100"/>
      </w:r>
      <w:r w:rsidR="00314B08">
        <w:rPr>
          <w:rFonts w:ascii="Times New Roman" w:hAnsi="Times New Roman"/>
          <w:szCs w:val="24"/>
        </w:rPr>
        <w:t>They begged to be spared.</w:t>
      </w:r>
      <w:r w:rsidR="00FB36E6">
        <w:rPr>
          <w:rFonts w:ascii="Times New Roman" w:hAnsi="Times New Roman"/>
          <w:szCs w:val="24"/>
        </w:rPr>
        <w:t xml:space="preserve"> </w:t>
      </w:r>
      <w:r w:rsidRPr="004A0214">
        <w:rPr>
          <w:rFonts w:ascii="Times New Roman" w:hAnsi="Times New Roman"/>
          <w:szCs w:val="24"/>
        </w:rPr>
        <w:t>The t</w:t>
      </w:r>
      <w:r w:rsidR="00360BBA">
        <w:rPr>
          <w:rFonts w:ascii="Times New Roman" w:hAnsi="Times New Roman"/>
          <w:szCs w:val="24"/>
        </w:rPr>
        <w:t>hird aggravating circumstance was</w:t>
      </w:r>
      <w:r w:rsidRPr="004A0214">
        <w:rPr>
          <w:rFonts w:ascii="Times New Roman" w:hAnsi="Times New Roman"/>
          <w:szCs w:val="24"/>
        </w:rPr>
        <w:t xml:space="preserve"> the </w:t>
      </w:r>
      <w:r w:rsidR="00C7070D">
        <w:rPr>
          <w:rFonts w:ascii="Times New Roman" w:hAnsi="Times New Roman"/>
          <w:szCs w:val="24"/>
        </w:rPr>
        <w:t>attackers' discriminatory act</w:t>
      </w:r>
      <w:r w:rsidRPr="004A0214">
        <w:rPr>
          <w:rFonts w:ascii="Times New Roman" w:hAnsi="Times New Roman"/>
          <w:szCs w:val="24"/>
        </w:rPr>
        <w:t>s against a particular ethnic group, the Hema. It was reported that every person deemed to be Hema was initially detained and killed.</w:t>
      </w:r>
      <w:r w:rsidRPr="004A0214">
        <w:rPr>
          <w:rStyle w:val="FootnoteReference"/>
          <w:rFonts w:ascii="Times New Roman" w:hAnsi="Times New Roman"/>
          <w:szCs w:val="24"/>
        </w:rPr>
        <w:footnoteReference w:id="1101"/>
      </w:r>
      <w:r w:rsidR="00210E2C" w:rsidRPr="00210E2C">
        <w:rPr>
          <w:rFonts w:ascii="Times New Roman" w:hAnsi="Times New Roman"/>
          <w:szCs w:val="24"/>
        </w:rPr>
        <w:t xml:space="preserve"> </w:t>
      </w:r>
      <w:r w:rsidR="00360BBA">
        <w:rPr>
          <w:rFonts w:ascii="Times New Roman" w:hAnsi="Times New Roman"/>
          <w:szCs w:val="24"/>
        </w:rPr>
        <w:t>The LRV</w:t>
      </w:r>
      <w:r w:rsidR="00210E2C" w:rsidRPr="004A0214">
        <w:rPr>
          <w:rFonts w:ascii="Times New Roman" w:hAnsi="Times New Roman"/>
          <w:szCs w:val="24"/>
        </w:rPr>
        <w:t xml:space="preserve"> found no mitigating circumstances and discountenan</w:t>
      </w:r>
      <w:r w:rsidR="00210E2C">
        <w:rPr>
          <w:rFonts w:ascii="Times New Roman" w:hAnsi="Times New Roman"/>
          <w:szCs w:val="24"/>
        </w:rPr>
        <w:t>ced any potential mitigating cir</w:t>
      </w:r>
      <w:r w:rsidR="00210E2C" w:rsidRPr="004A0214">
        <w:rPr>
          <w:rFonts w:ascii="Times New Roman" w:hAnsi="Times New Roman"/>
          <w:szCs w:val="24"/>
        </w:rPr>
        <w:t>cumstances.</w:t>
      </w:r>
      <w:r w:rsidR="00210E2C" w:rsidRPr="004A0214">
        <w:rPr>
          <w:rStyle w:val="FootnoteReference"/>
          <w:rFonts w:ascii="Times New Roman" w:hAnsi="Times New Roman"/>
          <w:szCs w:val="24"/>
        </w:rPr>
        <w:footnoteReference w:id="1102"/>
      </w:r>
    </w:p>
    <w:p w14:paraId="47BF0BB1" w14:textId="77777777" w:rsidR="004A0214" w:rsidRPr="004A0214" w:rsidRDefault="00314B08" w:rsidP="00B804FE">
      <w:pPr>
        <w:spacing w:line="480" w:lineRule="auto"/>
        <w:jc w:val="both"/>
        <w:rPr>
          <w:rFonts w:ascii="Times New Roman" w:hAnsi="Times New Roman"/>
          <w:szCs w:val="24"/>
        </w:rPr>
      </w:pPr>
      <w:r>
        <w:rPr>
          <w:rFonts w:ascii="Times New Roman" w:hAnsi="Times New Roman"/>
          <w:szCs w:val="24"/>
        </w:rPr>
        <w:t>Fu</w:t>
      </w:r>
      <w:r w:rsidR="003C1277">
        <w:rPr>
          <w:rFonts w:ascii="Times New Roman" w:hAnsi="Times New Roman"/>
          <w:szCs w:val="24"/>
        </w:rPr>
        <w:t>r</w:t>
      </w:r>
      <w:r>
        <w:rPr>
          <w:rFonts w:ascii="Times New Roman" w:hAnsi="Times New Roman"/>
          <w:szCs w:val="24"/>
        </w:rPr>
        <w:t>thermore, t</w:t>
      </w:r>
      <w:r w:rsidR="004A0214" w:rsidRPr="004A0214">
        <w:rPr>
          <w:rFonts w:ascii="Times New Roman" w:hAnsi="Times New Roman"/>
          <w:szCs w:val="24"/>
        </w:rPr>
        <w:t xml:space="preserve">he LRV stressed the culpability of Katanga, </w:t>
      </w:r>
      <w:r w:rsidR="00360BBA">
        <w:rPr>
          <w:rFonts w:ascii="Times New Roman" w:hAnsi="Times New Roman"/>
          <w:szCs w:val="24"/>
        </w:rPr>
        <w:t>notab</w:t>
      </w:r>
      <w:r w:rsidR="004A0214" w:rsidRPr="004A0214">
        <w:rPr>
          <w:rFonts w:ascii="Times New Roman" w:hAnsi="Times New Roman"/>
          <w:szCs w:val="24"/>
        </w:rPr>
        <w:t>ly how he contributed to the wiping o</w:t>
      </w:r>
      <w:r>
        <w:rPr>
          <w:rFonts w:ascii="Times New Roman" w:hAnsi="Times New Roman"/>
          <w:szCs w:val="24"/>
        </w:rPr>
        <w:t xml:space="preserve">ut </w:t>
      </w:r>
      <w:r w:rsidR="00FB36E6">
        <w:rPr>
          <w:rFonts w:ascii="Times New Roman" w:hAnsi="Times New Roman"/>
          <w:szCs w:val="24"/>
        </w:rPr>
        <w:t xml:space="preserve">of </w:t>
      </w:r>
      <w:r>
        <w:rPr>
          <w:rFonts w:ascii="Times New Roman" w:hAnsi="Times New Roman"/>
          <w:szCs w:val="24"/>
        </w:rPr>
        <w:t>an entire village.</w:t>
      </w:r>
      <w:r w:rsidR="00360BBA">
        <w:rPr>
          <w:rFonts w:ascii="Times New Roman" w:hAnsi="Times New Roman"/>
          <w:szCs w:val="24"/>
        </w:rPr>
        <w:t xml:space="preserve"> </w:t>
      </w:r>
      <w:r>
        <w:rPr>
          <w:rFonts w:ascii="Times New Roman" w:hAnsi="Times New Roman"/>
          <w:szCs w:val="24"/>
        </w:rPr>
        <w:t>She posited</w:t>
      </w:r>
      <w:r w:rsidR="004A0214" w:rsidRPr="004A0214">
        <w:rPr>
          <w:rFonts w:ascii="Times New Roman" w:hAnsi="Times New Roman"/>
          <w:szCs w:val="24"/>
        </w:rPr>
        <w:t xml:space="preserve"> that Kata</w:t>
      </w:r>
      <w:r w:rsidR="00FB36E6">
        <w:rPr>
          <w:rFonts w:ascii="Times New Roman" w:hAnsi="Times New Roman"/>
          <w:szCs w:val="24"/>
        </w:rPr>
        <w:t>nga’s moves during the trial had</w:t>
      </w:r>
      <w:r w:rsidR="004A0214" w:rsidRPr="004A0214">
        <w:rPr>
          <w:rFonts w:ascii="Times New Roman" w:hAnsi="Times New Roman"/>
          <w:szCs w:val="24"/>
        </w:rPr>
        <w:t xml:space="preserve"> been a ‘</w:t>
      </w:r>
      <w:r w:rsidR="004A0214" w:rsidRPr="004A0214">
        <w:rPr>
          <w:rFonts w:ascii="Times New Roman" w:hAnsi="Times New Roman"/>
          <w:i/>
          <w:szCs w:val="24"/>
        </w:rPr>
        <w:t>strategic choice’</w:t>
      </w:r>
      <w:r w:rsidR="004A0214" w:rsidRPr="004A0214">
        <w:rPr>
          <w:rFonts w:ascii="Times New Roman" w:hAnsi="Times New Roman"/>
          <w:szCs w:val="24"/>
        </w:rPr>
        <w:t xml:space="preserve"> to defend himself and that he(Katanga ) never for once expressed any remorse or regret for the victims. He was also elusive about </w:t>
      </w:r>
      <w:r w:rsidR="004A0214" w:rsidRPr="004A0214">
        <w:rPr>
          <w:rFonts w:ascii="Times New Roman" w:hAnsi="Times New Roman"/>
          <w:szCs w:val="24"/>
        </w:rPr>
        <w:lastRenderedPageBreak/>
        <w:t>acknowledging that civ</w:t>
      </w:r>
      <w:r w:rsidR="00210E2C">
        <w:rPr>
          <w:rFonts w:ascii="Times New Roman" w:hAnsi="Times New Roman"/>
          <w:szCs w:val="24"/>
        </w:rPr>
        <w:t>ilians were targeted and killed.</w:t>
      </w:r>
      <w:r w:rsidR="00360BBA">
        <w:rPr>
          <w:rFonts w:ascii="Times New Roman" w:hAnsi="Times New Roman"/>
          <w:szCs w:val="24"/>
        </w:rPr>
        <w:t xml:space="preserve"> </w:t>
      </w:r>
      <w:r w:rsidR="00210E2C">
        <w:rPr>
          <w:rFonts w:ascii="Times New Roman" w:hAnsi="Times New Roman"/>
          <w:szCs w:val="24"/>
        </w:rPr>
        <w:t xml:space="preserve">The victims reiterated </w:t>
      </w:r>
      <w:r w:rsidR="00360BBA">
        <w:rPr>
          <w:rFonts w:ascii="Times New Roman" w:hAnsi="Times New Roman"/>
          <w:szCs w:val="24"/>
        </w:rPr>
        <w:t xml:space="preserve">that there were </w:t>
      </w:r>
      <w:r w:rsidR="004A0214" w:rsidRPr="004A0214">
        <w:rPr>
          <w:rFonts w:ascii="Times New Roman" w:hAnsi="Times New Roman"/>
          <w:szCs w:val="24"/>
        </w:rPr>
        <w:t>no extenuating circumstances that could affect the sentencing of the accused.</w:t>
      </w:r>
      <w:r w:rsidR="00360BBA">
        <w:rPr>
          <w:rFonts w:ascii="Times New Roman" w:hAnsi="Times New Roman"/>
          <w:szCs w:val="24"/>
        </w:rPr>
        <w:t xml:space="preserve"> The LRV states:</w:t>
      </w:r>
    </w:p>
    <w:p w14:paraId="073051CE" w14:textId="3A90D860" w:rsidR="004A0214" w:rsidRDefault="004A0214" w:rsidP="0054748B">
      <w:pPr>
        <w:ind w:left="720"/>
      </w:pPr>
      <w:r w:rsidRPr="004A0214">
        <w:t>“</w:t>
      </w:r>
      <w:r w:rsidRPr="0054748B">
        <w:rPr>
          <w:rFonts w:ascii="Times New Roman" w:hAnsi="Times New Roman"/>
        </w:rPr>
        <w:t>We are not here to represent the international community…….we are here to ensure that the victims’ voices are heard</w:t>
      </w:r>
      <w:r w:rsidR="00BE4E89">
        <w:rPr>
          <w:rFonts w:ascii="Times New Roman" w:hAnsi="Times New Roman"/>
        </w:rPr>
        <w:t>..</w:t>
      </w:r>
      <w:r w:rsidRPr="0054748B">
        <w:rPr>
          <w:rFonts w:ascii="Times New Roman" w:hAnsi="Times New Roman"/>
        </w:rPr>
        <w:t>.the seriousness of these crimes cannot be reduced to just a number of casualties.</w:t>
      </w:r>
      <w:r w:rsidR="00360BBA" w:rsidRPr="0054748B">
        <w:rPr>
          <w:rFonts w:ascii="Times New Roman" w:hAnsi="Times New Roman"/>
        </w:rPr>
        <w:t xml:space="preserve"> </w:t>
      </w:r>
      <w:r w:rsidRPr="0054748B">
        <w:rPr>
          <w:rFonts w:ascii="Times New Roman" w:hAnsi="Times New Roman"/>
        </w:rPr>
        <w:t xml:space="preserve">We </w:t>
      </w:r>
      <w:r w:rsidR="00FB36E6" w:rsidRPr="0054748B">
        <w:rPr>
          <w:rFonts w:ascii="Times New Roman" w:hAnsi="Times New Roman"/>
        </w:rPr>
        <w:t>must take into account the long-term effects on the victims</w:t>
      </w:r>
      <w:r w:rsidRPr="0054748B">
        <w:rPr>
          <w:rFonts w:ascii="Times New Roman" w:hAnsi="Times New Roman"/>
        </w:rPr>
        <w:t>.</w:t>
      </w:r>
      <w:r w:rsidR="00360BBA" w:rsidRPr="0054748B">
        <w:rPr>
          <w:rFonts w:ascii="Times New Roman" w:hAnsi="Times New Roman"/>
        </w:rPr>
        <w:t xml:space="preserve"> </w:t>
      </w:r>
      <w:r w:rsidRPr="0054748B">
        <w:rPr>
          <w:rFonts w:ascii="Times New Roman" w:hAnsi="Times New Roman"/>
        </w:rPr>
        <w:t>The harm that has been done has hit an entire community. People will be victimised for generations</w:t>
      </w:r>
      <w:r w:rsidRPr="004A0214">
        <w:t>.</w:t>
      </w:r>
      <w:r w:rsidRPr="004A0214">
        <w:rPr>
          <w:rStyle w:val="FootnoteReference"/>
          <w:rFonts w:ascii="Times New Roman" w:hAnsi="Times New Roman"/>
          <w:szCs w:val="24"/>
        </w:rPr>
        <w:footnoteReference w:id="1103"/>
      </w:r>
    </w:p>
    <w:p w14:paraId="63BF10C5" w14:textId="77777777" w:rsidR="00210E2C" w:rsidRPr="004A0214" w:rsidRDefault="00210E2C" w:rsidP="00360BBA">
      <w:pPr>
        <w:spacing w:line="480" w:lineRule="auto"/>
        <w:jc w:val="both"/>
        <w:rPr>
          <w:rFonts w:ascii="Times New Roman" w:hAnsi="Times New Roman"/>
          <w:szCs w:val="24"/>
        </w:rPr>
      </w:pPr>
      <w:r>
        <w:rPr>
          <w:rFonts w:ascii="Times New Roman" w:hAnsi="Times New Roman"/>
          <w:szCs w:val="24"/>
        </w:rPr>
        <w:t>Fu</w:t>
      </w:r>
      <w:r w:rsidR="00360BBA">
        <w:rPr>
          <w:rFonts w:ascii="Times New Roman" w:hAnsi="Times New Roman"/>
          <w:szCs w:val="24"/>
        </w:rPr>
        <w:t>r</w:t>
      </w:r>
      <w:r>
        <w:rPr>
          <w:rFonts w:ascii="Times New Roman" w:hAnsi="Times New Roman"/>
          <w:szCs w:val="24"/>
        </w:rPr>
        <w:t>thermore, the LRV expressed the victims’ quest for justice.</w:t>
      </w:r>
    </w:p>
    <w:p w14:paraId="33F3339A" w14:textId="77777777" w:rsidR="004A0214" w:rsidRPr="004A0214" w:rsidRDefault="004A0214" w:rsidP="0054748B">
      <w:pPr>
        <w:pStyle w:val="ListParagraph"/>
        <w:rPr>
          <w:i/>
        </w:rPr>
      </w:pPr>
      <w:r w:rsidRPr="0054748B">
        <w:rPr>
          <w:rFonts w:ascii="Times New Roman" w:hAnsi="Times New Roman"/>
        </w:rPr>
        <w:t>“I have met with people who are thirsty, who have a thirst</w:t>
      </w:r>
      <w:r w:rsidR="00360BBA" w:rsidRPr="0054748B">
        <w:rPr>
          <w:rFonts w:ascii="Times New Roman" w:hAnsi="Times New Roman"/>
        </w:rPr>
        <w:t xml:space="preserve"> for justice.</w:t>
      </w:r>
      <w:r w:rsidR="005735AB">
        <w:rPr>
          <w:rFonts w:ascii="Times New Roman" w:hAnsi="Times New Roman"/>
        </w:rPr>
        <w:t xml:space="preserve"> </w:t>
      </w:r>
      <w:r w:rsidR="00360BBA" w:rsidRPr="0054748B">
        <w:rPr>
          <w:rFonts w:ascii="Times New Roman" w:hAnsi="Times New Roman"/>
        </w:rPr>
        <w:t>They only wish for</w:t>
      </w:r>
      <w:r w:rsidRPr="0054748B">
        <w:rPr>
          <w:rFonts w:ascii="Times New Roman" w:hAnsi="Times New Roman"/>
        </w:rPr>
        <w:t xml:space="preserve"> justice, taking into account the key role played by Germain Katanga in the commission of the crimes of the attack on </w:t>
      </w:r>
      <w:proofErr w:type="spellStart"/>
      <w:r w:rsidRPr="0054748B">
        <w:rPr>
          <w:rFonts w:ascii="Times New Roman" w:hAnsi="Times New Roman"/>
        </w:rPr>
        <w:t>Bogoro</w:t>
      </w:r>
      <w:proofErr w:type="spellEnd"/>
      <w:r w:rsidRPr="0054748B">
        <w:rPr>
          <w:rFonts w:ascii="Times New Roman" w:hAnsi="Times New Roman"/>
        </w:rPr>
        <w:t xml:space="preserve"> on 24 February 2003</w:t>
      </w:r>
      <w:r w:rsidRPr="0054748B">
        <w:rPr>
          <w:rFonts w:ascii="Times New Roman" w:hAnsi="Times New Roman"/>
          <w:i/>
        </w:rPr>
        <w:t>.</w:t>
      </w:r>
      <w:r w:rsidR="0054748B">
        <w:rPr>
          <w:rFonts w:ascii="Times New Roman" w:hAnsi="Times New Roman"/>
          <w:i/>
        </w:rPr>
        <w:t>”</w:t>
      </w:r>
      <w:r w:rsidRPr="004A0214">
        <w:rPr>
          <w:rStyle w:val="FootnoteReference"/>
          <w:rFonts w:ascii="Times New Roman" w:hAnsi="Times New Roman"/>
          <w:i/>
          <w:szCs w:val="24"/>
        </w:rPr>
        <w:footnoteReference w:id="1104"/>
      </w:r>
    </w:p>
    <w:p w14:paraId="140F7337" w14:textId="52AD4582" w:rsidR="00F25B38" w:rsidRPr="0054748B" w:rsidRDefault="00FB36E6" w:rsidP="00B804FE">
      <w:pPr>
        <w:spacing w:line="480" w:lineRule="auto"/>
        <w:jc w:val="both"/>
        <w:rPr>
          <w:rFonts w:ascii="Times New Roman" w:hAnsi="Times New Roman"/>
          <w:szCs w:val="24"/>
        </w:rPr>
      </w:pPr>
      <w:r w:rsidRPr="0054748B">
        <w:rPr>
          <w:rFonts w:ascii="Times New Roman" w:hAnsi="Times New Roman"/>
          <w:szCs w:val="24"/>
        </w:rPr>
        <w:t>I</w:t>
      </w:r>
      <w:r w:rsidR="004D5736" w:rsidRPr="0054748B">
        <w:rPr>
          <w:rFonts w:ascii="Times New Roman" w:hAnsi="Times New Roman"/>
          <w:szCs w:val="24"/>
        </w:rPr>
        <w:t>n the Defe</w:t>
      </w:r>
      <w:r w:rsidR="006A48FB">
        <w:rPr>
          <w:rFonts w:ascii="Times New Roman" w:hAnsi="Times New Roman"/>
          <w:szCs w:val="24"/>
        </w:rPr>
        <w:t>nce’s observations, he listed</w:t>
      </w:r>
      <w:r w:rsidR="004D5736" w:rsidRPr="0054748B">
        <w:rPr>
          <w:rFonts w:ascii="Times New Roman" w:hAnsi="Times New Roman"/>
          <w:szCs w:val="24"/>
        </w:rPr>
        <w:t xml:space="preserve"> Katanga’s personal history and his low degree of participation, his passive role in the hostilities, which was limited to weapons distribution.</w:t>
      </w:r>
      <w:r w:rsidR="004D5736" w:rsidRPr="0054748B">
        <w:rPr>
          <w:rStyle w:val="FootnoteReference"/>
          <w:rFonts w:ascii="Times New Roman" w:hAnsi="Times New Roman"/>
          <w:szCs w:val="24"/>
        </w:rPr>
        <w:footnoteReference w:id="1105"/>
      </w:r>
      <w:r w:rsidR="004D5736" w:rsidRPr="0054748B">
        <w:rPr>
          <w:rFonts w:ascii="Times New Roman" w:hAnsi="Times New Roman"/>
          <w:szCs w:val="24"/>
        </w:rPr>
        <w:t>He also observed that Mr Katanga lacked</w:t>
      </w:r>
      <w:r w:rsidRPr="0054748B">
        <w:rPr>
          <w:rFonts w:ascii="Times New Roman" w:hAnsi="Times New Roman"/>
          <w:szCs w:val="24"/>
        </w:rPr>
        <w:t xml:space="preserve"> the </w:t>
      </w:r>
      <w:r w:rsidR="004D5736" w:rsidRPr="0054748B">
        <w:rPr>
          <w:rFonts w:ascii="Times New Roman" w:hAnsi="Times New Roman"/>
          <w:szCs w:val="24"/>
        </w:rPr>
        <w:t>intent</w:t>
      </w:r>
      <w:r w:rsidR="006A48FB">
        <w:rPr>
          <w:rFonts w:ascii="Times New Roman" w:hAnsi="Times New Roman"/>
          <w:szCs w:val="24"/>
        </w:rPr>
        <w:t>,</w:t>
      </w:r>
      <w:r w:rsidR="004D5736" w:rsidRPr="0054748B">
        <w:rPr>
          <w:rFonts w:ascii="Times New Roman" w:hAnsi="Times New Roman"/>
          <w:szCs w:val="24"/>
        </w:rPr>
        <w:t xml:space="preserve"> but he was aware of the c</w:t>
      </w:r>
      <w:r w:rsidR="00C7070D">
        <w:rPr>
          <w:rFonts w:ascii="Times New Roman" w:hAnsi="Times New Roman"/>
          <w:szCs w:val="24"/>
        </w:rPr>
        <w:t>rimes' commission</w:t>
      </w:r>
      <w:r w:rsidR="004D5736" w:rsidRPr="0054748B">
        <w:rPr>
          <w:rFonts w:ascii="Times New Roman" w:hAnsi="Times New Roman"/>
          <w:szCs w:val="24"/>
        </w:rPr>
        <w:t>.</w:t>
      </w:r>
      <w:r w:rsidR="004D5736" w:rsidRPr="0054748B">
        <w:rPr>
          <w:rStyle w:val="FootnoteReference"/>
          <w:rFonts w:ascii="Times New Roman" w:hAnsi="Times New Roman"/>
          <w:szCs w:val="24"/>
        </w:rPr>
        <w:footnoteReference w:id="1106"/>
      </w:r>
      <w:r w:rsidRPr="0054748B">
        <w:rPr>
          <w:rFonts w:ascii="Times New Roman" w:hAnsi="Times New Roman"/>
          <w:szCs w:val="24"/>
        </w:rPr>
        <w:t xml:space="preserve"> He reminded the court about the rule against double counting</w:t>
      </w:r>
      <w:r w:rsidR="005735AB">
        <w:rPr>
          <w:rFonts w:ascii="Times New Roman" w:hAnsi="Times New Roman"/>
          <w:szCs w:val="24"/>
        </w:rPr>
        <w:t>,</w:t>
      </w:r>
      <w:r w:rsidRPr="0054748B">
        <w:rPr>
          <w:rFonts w:ascii="Times New Roman" w:hAnsi="Times New Roman"/>
          <w:szCs w:val="24"/>
        </w:rPr>
        <w:t xml:space="preserve"> i.e</w:t>
      </w:r>
      <w:r w:rsidR="006A48FB">
        <w:rPr>
          <w:rFonts w:ascii="Times New Roman" w:hAnsi="Times New Roman"/>
          <w:szCs w:val="24"/>
        </w:rPr>
        <w:t>.</w:t>
      </w:r>
      <w:r w:rsidRPr="0054748B">
        <w:rPr>
          <w:rFonts w:ascii="Times New Roman" w:hAnsi="Times New Roman"/>
          <w:szCs w:val="24"/>
        </w:rPr>
        <w:t xml:space="preserve"> </w:t>
      </w:r>
      <w:r w:rsidR="004D5736" w:rsidRPr="0054748B">
        <w:rPr>
          <w:rFonts w:ascii="Times New Roman" w:hAnsi="Times New Roman"/>
          <w:szCs w:val="24"/>
        </w:rPr>
        <w:t>no factor taken as an aspect of gravity of the crime might be considered as a separate aggravating circumstance.</w:t>
      </w:r>
      <w:r w:rsidR="004D5736" w:rsidRPr="0054748B">
        <w:rPr>
          <w:rStyle w:val="FootnoteReference"/>
          <w:rFonts w:ascii="Times New Roman" w:hAnsi="Times New Roman"/>
          <w:szCs w:val="24"/>
        </w:rPr>
        <w:footnoteReference w:id="1107"/>
      </w:r>
    </w:p>
    <w:p w14:paraId="2FC3B769" w14:textId="77777777" w:rsidR="004D5736" w:rsidRPr="0054748B" w:rsidRDefault="004D5736" w:rsidP="00B804FE">
      <w:pPr>
        <w:spacing w:line="480" w:lineRule="auto"/>
        <w:jc w:val="both"/>
        <w:rPr>
          <w:rFonts w:ascii="Times New Roman" w:hAnsi="Times New Roman"/>
          <w:szCs w:val="24"/>
        </w:rPr>
      </w:pPr>
      <w:r w:rsidRPr="0054748B">
        <w:rPr>
          <w:rFonts w:ascii="Times New Roman" w:hAnsi="Times New Roman"/>
          <w:szCs w:val="24"/>
        </w:rPr>
        <w:lastRenderedPageBreak/>
        <w:t xml:space="preserve">In the same vein, the Defence listed factors that could be considered as mitigating factors. This </w:t>
      </w:r>
      <w:r w:rsidR="006A48FB">
        <w:rPr>
          <w:rFonts w:ascii="Times New Roman" w:hAnsi="Times New Roman"/>
          <w:szCs w:val="24"/>
        </w:rPr>
        <w:t xml:space="preserve">factors </w:t>
      </w:r>
      <w:r w:rsidRPr="0054748B">
        <w:rPr>
          <w:rFonts w:ascii="Times New Roman" w:hAnsi="Times New Roman"/>
          <w:szCs w:val="24"/>
        </w:rPr>
        <w:t>included the role of Katanga in demobilisation process, the time he had spent in detention in the DRC and the need for the amount of time spent to be taken into consideration, Katanga’ moral standing and Katanga’s behaviour within his community.</w:t>
      </w:r>
      <w:r w:rsidRPr="0054748B">
        <w:rPr>
          <w:rStyle w:val="FootnoteReference"/>
          <w:rFonts w:ascii="Times New Roman" w:hAnsi="Times New Roman"/>
          <w:szCs w:val="24"/>
        </w:rPr>
        <w:footnoteReference w:id="1108"/>
      </w:r>
    </w:p>
    <w:p w14:paraId="025FF3FE" w14:textId="6B725813" w:rsidR="008A24C7" w:rsidRDefault="004D5736" w:rsidP="00B804FE">
      <w:pPr>
        <w:spacing w:line="480" w:lineRule="auto"/>
        <w:jc w:val="both"/>
        <w:rPr>
          <w:rFonts w:ascii="Times New Roman" w:hAnsi="Times New Roman"/>
          <w:szCs w:val="24"/>
        </w:rPr>
      </w:pPr>
      <w:r w:rsidRPr="0054748B">
        <w:rPr>
          <w:rFonts w:ascii="Times New Roman" w:hAnsi="Times New Roman"/>
          <w:szCs w:val="24"/>
        </w:rPr>
        <w:t>In it</w:t>
      </w:r>
      <w:r w:rsidR="008A24C7" w:rsidRPr="0054748B">
        <w:rPr>
          <w:rFonts w:ascii="Times New Roman" w:hAnsi="Times New Roman"/>
          <w:szCs w:val="24"/>
        </w:rPr>
        <w:t>s</w:t>
      </w:r>
      <w:r w:rsidRPr="0054748B">
        <w:rPr>
          <w:rFonts w:ascii="Times New Roman" w:hAnsi="Times New Roman"/>
          <w:szCs w:val="24"/>
        </w:rPr>
        <w:t xml:space="preserve"> closing stat</w:t>
      </w:r>
      <w:r w:rsidR="006A48FB">
        <w:rPr>
          <w:rFonts w:ascii="Times New Roman" w:hAnsi="Times New Roman"/>
          <w:szCs w:val="24"/>
        </w:rPr>
        <w:t>ement, the Defence stressed</w:t>
      </w:r>
      <w:r w:rsidRPr="0054748B">
        <w:rPr>
          <w:rFonts w:ascii="Times New Roman" w:hAnsi="Times New Roman"/>
          <w:szCs w:val="24"/>
        </w:rPr>
        <w:t xml:space="preserve"> the statement made by the accused before the Court and pointed out that Mr Katanga acknowledged the </w:t>
      </w:r>
      <w:r w:rsidR="00C7070D">
        <w:rPr>
          <w:rFonts w:ascii="Times New Roman" w:hAnsi="Times New Roman"/>
          <w:szCs w:val="24"/>
        </w:rPr>
        <w:t>victims' suffering</w:t>
      </w:r>
      <w:r w:rsidRPr="0054748B">
        <w:rPr>
          <w:rFonts w:ascii="Times New Roman" w:hAnsi="Times New Roman"/>
          <w:szCs w:val="24"/>
        </w:rPr>
        <w:t xml:space="preserve"> and the killing of civilians.</w:t>
      </w:r>
      <w:r w:rsidRPr="0054748B">
        <w:rPr>
          <w:rStyle w:val="FootnoteReference"/>
          <w:rFonts w:ascii="Times New Roman" w:hAnsi="Times New Roman"/>
          <w:szCs w:val="24"/>
        </w:rPr>
        <w:footnoteReference w:id="1109"/>
      </w:r>
      <w:r w:rsidR="006A48FB">
        <w:rPr>
          <w:rFonts w:ascii="Times New Roman" w:hAnsi="Times New Roman"/>
          <w:szCs w:val="24"/>
        </w:rPr>
        <w:t>The Defence’s statement</w:t>
      </w:r>
      <w:r w:rsidRPr="0054748B">
        <w:rPr>
          <w:rFonts w:ascii="Times New Roman" w:hAnsi="Times New Roman"/>
          <w:szCs w:val="24"/>
        </w:rPr>
        <w:t xml:space="preserve"> </w:t>
      </w:r>
      <w:r w:rsidR="00F923A9">
        <w:rPr>
          <w:rFonts w:ascii="Times New Roman" w:hAnsi="Times New Roman"/>
          <w:szCs w:val="24"/>
        </w:rPr>
        <w:t>was</w:t>
      </w:r>
      <w:r w:rsidRPr="0054748B">
        <w:rPr>
          <w:rFonts w:ascii="Times New Roman" w:hAnsi="Times New Roman"/>
          <w:szCs w:val="24"/>
        </w:rPr>
        <w:t xml:space="preserve"> in contrary to the assertion of the Prosecution. Additionally, the Defence restated its sympathy and compassion for the victims on behalf of the convicted person.</w:t>
      </w:r>
      <w:r w:rsidRPr="0054748B">
        <w:rPr>
          <w:rStyle w:val="FootnoteReference"/>
          <w:rFonts w:ascii="Times New Roman" w:hAnsi="Times New Roman"/>
          <w:szCs w:val="24"/>
        </w:rPr>
        <w:footnoteReference w:id="1110"/>
      </w:r>
      <w:r w:rsidRPr="0054748B">
        <w:rPr>
          <w:rFonts w:ascii="Times New Roman" w:hAnsi="Times New Roman"/>
          <w:szCs w:val="24"/>
        </w:rPr>
        <w:t>He emphasised that Katanga ha</w:t>
      </w:r>
      <w:r w:rsidR="00F923A9">
        <w:rPr>
          <w:rFonts w:ascii="Times New Roman" w:hAnsi="Times New Roman"/>
          <w:szCs w:val="24"/>
        </w:rPr>
        <w:t>d</w:t>
      </w:r>
      <w:r w:rsidRPr="0054748B">
        <w:rPr>
          <w:rFonts w:ascii="Times New Roman" w:hAnsi="Times New Roman"/>
          <w:szCs w:val="24"/>
        </w:rPr>
        <w:t xml:space="preserve"> always been remorse throughout the proceedings.</w:t>
      </w:r>
      <w:r w:rsidRPr="0054748B">
        <w:rPr>
          <w:rStyle w:val="FootnoteReference"/>
          <w:rFonts w:ascii="Times New Roman" w:hAnsi="Times New Roman"/>
          <w:szCs w:val="24"/>
        </w:rPr>
        <w:footnoteReference w:id="1111"/>
      </w:r>
      <w:r w:rsidRPr="0054748B">
        <w:rPr>
          <w:rFonts w:ascii="Times New Roman" w:hAnsi="Times New Roman"/>
          <w:szCs w:val="24"/>
        </w:rPr>
        <w:t xml:space="preserve">The </w:t>
      </w:r>
      <w:r w:rsidRPr="006A48FB">
        <w:rPr>
          <w:rFonts w:ascii="Times New Roman" w:hAnsi="Times New Roman"/>
          <w:szCs w:val="24"/>
        </w:rPr>
        <w:t xml:space="preserve">Chamber did note that a statement of remorse could be considered as a mitigating circumstance. However, for a </w:t>
      </w:r>
      <w:r w:rsidR="005735AB">
        <w:rPr>
          <w:rFonts w:ascii="Times New Roman" w:hAnsi="Times New Roman"/>
          <w:szCs w:val="24"/>
        </w:rPr>
        <w:t>declaration</w:t>
      </w:r>
      <w:r w:rsidRPr="006A48FB">
        <w:rPr>
          <w:rFonts w:ascii="Times New Roman" w:hAnsi="Times New Roman"/>
          <w:szCs w:val="24"/>
        </w:rPr>
        <w:t xml:space="preserve"> of remorse to qualify as a mitigating circumstance, it must be genuine/sincere.</w:t>
      </w:r>
      <w:r w:rsidR="006A48FB">
        <w:rPr>
          <w:rStyle w:val="FootnoteReference"/>
          <w:rFonts w:ascii="Times New Roman" w:hAnsi="Times New Roman"/>
          <w:szCs w:val="24"/>
        </w:rPr>
        <w:footnoteReference w:id="1112"/>
      </w:r>
      <w:r w:rsidRPr="006A48FB">
        <w:rPr>
          <w:rFonts w:ascii="Times New Roman" w:hAnsi="Times New Roman"/>
          <w:szCs w:val="24"/>
        </w:rPr>
        <w:t xml:space="preserve"> </w:t>
      </w:r>
      <w:r w:rsidR="00C7070D">
        <w:rPr>
          <w:rFonts w:ascii="Times New Roman" w:hAnsi="Times New Roman"/>
          <w:szCs w:val="24"/>
        </w:rPr>
        <w:t>However, the Chamber</w:t>
      </w:r>
      <w:r w:rsidR="008A24C7" w:rsidRPr="006A48FB">
        <w:rPr>
          <w:rFonts w:ascii="Times New Roman" w:hAnsi="Times New Roman"/>
          <w:szCs w:val="24"/>
        </w:rPr>
        <w:t xml:space="preserve"> distinguished between a statement of remorse and the expression of sympathy or genuine compassion for the victims. The Chamber stated that the expression of </w:t>
      </w:r>
      <w:r w:rsidR="00696301">
        <w:rPr>
          <w:rFonts w:ascii="Times New Roman" w:hAnsi="Times New Roman"/>
          <w:szCs w:val="24"/>
        </w:rPr>
        <w:t xml:space="preserve">sympathy </w:t>
      </w:r>
      <w:r w:rsidR="008A24C7" w:rsidRPr="006A48FB">
        <w:rPr>
          <w:rFonts w:ascii="Times New Roman" w:hAnsi="Times New Roman"/>
          <w:szCs w:val="24"/>
        </w:rPr>
        <w:t>and genuine compassion m</w:t>
      </w:r>
      <w:r w:rsidR="006A48FB">
        <w:rPr>
          <w:rFonts w:ascii="Times New Roman" w:hAnsi="Times New Roman"/>
          <w:szCs w:val="24"/>
        </w:rPr>
        <w:t>ight</w:t>
      </w:r>
      <w:r w:rsidR="008A24C7" w:rsidRPr="006A48FB">
        <w:rPr>
          <w:rFonts w:ascii="Times New Roman" w:hAnsi="Times New Roman"/>
          <w:szCs w:val="24"/>
        </w:rPr>
        <w:t xml:space="preserve"> be considered in </w:t>
      </w:r>
      <w:r w:rsidR="00C7070D">
        <w:rPr>
          <w:rFonts w:ascii="Times New Roman" w:hAnsi="Times New Roman"/>
          <w:szCs w:val="24"/>
        </w:rPr>
        <w:t>determining the sentence; nonetheless, it cannot be compared to a statement of remorse because a statement of guilt carries a higher value than an expression of sympathy</w:t>
      </w:r>
      <w:r w:rsidR="008A24C7" w:rsidRPr="006A48FB">
        <w:rPr>
          <w:rFonts w:ascii="Times New Roman" w:hAnsi="Times New Roman"/>
          <w:szCs w:val="24"/>
        </w:rPr>
        <w:t xml:space="preserve"> </w:t>
      </w:r>
      <w:r w:rsidR="008A24C7" w:rsidRPr="006A48FB">
        <w:rPr>
          <w:rFonts w:ascii="Times New Roman" w:hAnsi="Times New Roman"/>
          <w:szCs w:val="24"/>
        </w:rPr>
        <w:lastRenderedPageBreak/>
        <w:t xml:space="preserve">compassion for victims. Hence, an expression of sympathy and compassion for victims </w:t>
      </w:r>
      <w:r w:rsidR="00BE4E89">
        <w:rPr>
          <w:rFonts w:ascii="Times New Roman" w:hAnsi="Times New Roman"/>
          <w:szCs w:val="24"/>
        </w:rPr>
        <w:t>ha</w:t>
      </w:r>
      <w:r w:rsidR="00202DC2">
        <w:rPr>
          <w:rFonts w:ascii="Times New Roman" w:hAnsi="Times New Roman"/>
          <w:szCs w:val="24"/>
        </w:rPr>
        <w:t>d</w:t>
      </w:r>
      <w:r w:rsidR="008A24C7" w:rsidRPr="006A48FB">
        <w:rPr>
          <w:rFonts w:ascii="Times New Roman" w:hAnsi="Times New Roman"/>
          <w:szCs w:val="24"/>
        </w:rPr>
        <w:t xml:space="preserve"> lesser weight.</w:t>
      </w:r>
      <w:r w:rsidR="008A24C7" w:rsidRPr="006A48FB">
        <w:rPr>
          <w:rStyle w:val="FootnoteReference"/>
          <w:rFonts w:ascii="Times New Roman" w:hAnsi="Times New Roman"/>
          <w:szCs w:val="24"/>
        </w:rPr>
        <w:footnoteReference w:id="1113"/>
      </w:r>
    </w:p>
    <w:p w14:paraId="361FF745" w14:textId="2CB153A0" w:rsidR="003E6E6C" w:rsidRPr="006A48FB" w:rsidRDefault="003E6E6C" w:rsidP="00B804FE">
      <w:pPr>
        <w:spacing w:line="480" w:lineRule="auto"/>
        <w:jc w:val="both"/>
        <w:rPr>
          <w:rFonts w:ascii="Times New Roman" w:hAnsi="Times New Roman"/>
          <w:szCs w:val="24"/>
        </w:rPr>
      </w:pPr>
      <w:r>
        <w:rPr>
          <w:rFonts w:ascii="Times New Roman" w:hAnsi="Times New Roman"/>
          <w:szCs w:val="24"/>
        </w:rPr>
        <w:t>Moreover</w:t>
      </w:r>
      <w:r w:rsidRPr="006A48FB">
        <w:rPr>
          <w:rFonts w:ascii="Times New Roman" w:hAnsi="Times New Roman"/>
          <w:szCs w:val="24"/>
        </w:rPr>
        <w:t xml:space="preserve">, the Chamber recalled the </w:t>
      </w:r>
      <w:r w:rsidR="00C7070D">
        <w:rPr>
          <w:rFonts w:ascii="Times New Roman" w:hAnsi="Times New Roman"/>
          <w:szCs w:val="24"/>
        </w:rPr>
        <w:t>legal representatives' observation</w:t>
      </w:r>
      <w:r w:rsidRPr="006A48FB">
        <w:rPr>
          <w:rFonts w:ascii="Times New Roman" w:hAnsi="Times New Roman"/>
          <w:szCs w:val="24"/>
        </w:rPr>
        <w:t xml:space="preserve">s for victims and the </w:t>
      </w:r>
      <w:r w:rsidR="00DD094C">
        <w:rPr>
          <w:rFonts w:ascii="Times New Roman" w:hAnsi="Times New Roman"/>
          <w:szCs w:val="24"/>
        </w:rPr>
        <w:t>prosecutor's closing statement</w:t>
      </w:r>
      <w:r w:rsidRPr="006A48FB">
        <w:rPr>
          <w:rFonts w:ascii="Times New Roman" w:hAnsi="Times New Roman"/>
          <w:szCs w:val="24"/>
        </w:rPr>
        <w:t xml:space="preserve"> that non</w:t>
      </w:r>
      <w:r>
        <w:rPr>
          <w:rFonts w:ascii="Times New Roman" w:hAnsi="Times New Roman"/>
          <w:szCs w:val="24"/>
        </w:rPr>
        <w:t xml:space="preserve">e of Mr Katanga’s statements could </w:t>
      </w:r>
      <w:r w:rsidRPr="006A48FB">
        <w:rPr>
          <w:rFonts w:ascii="Times New Roman" w:hAnsi="Times New Roman"/>
          <w:szCs w:val="24"/>
        </w:rPr>
        <w:t xml:space="preserve">be interpreted as an expression of deep and genuine remorse. The Chamber acknowledged that Mr Katanga made some statements that </w:t>
      </w:r>
      <w:r w:rsidR="00202DC2">
        <w:rPr>
          <w:rFonts w:ascii="Times New Roman" w:hAnsi="Times New Roman"/>
          <w:szCs w:val="24"/>
        </w:rPr>
        <w:t>could qualify</w:t>
      </w:r>
      <w:r w:rsidRPr="006A48FB">
        <w:rPr>
          <w:rFonts w:ascii="Times New Roman" w:hAnsi="Times New Roman"/>
          <w:szCs w:val="24"/>
        </w:rPr>
        <w:t xml:space="preserve"> as </w:t>
      </w:r>
      <w:r>
        <w:rPr>
          <w:rFonts w:ascii="Times New Roman" w:hAnsi="Times New Roman"/>
          <w:szCs w:val="24"/>
        </w:rPr>
        <w:t xml:space="preserve">an </w:t>
      </w:r>
      <w:r w:rsidRPr="006A48FB">
        <w:rPr>
          <w:rFonts w:ascii="Times New Roman" w:hAnsi="Times New Roman"/>
          <w:szCs w:val="24"/>
        </w:rPr>
        <w:t>expression of deep and genuine remorse. Nonetheless, the Chamber observed that Mr Katanga made some statements “</w:t>
      </w:r>
      <w:r w:rsidRPr="006A48FB">
        <w:rPr>
          <w:rFonts w:ascii="Times New Roman" w:hAnsi="Times New Roman"/>
          <w:i/>
          <w:szCs w:val="24"/>
        </w:rPr>
        <w:t>attesting to his compassion for the victims and his desire for justice</w:t>
      </w:r>
      <w:r w:rsidR="005735AB">
        <w:rPr>
          <w:rFonts w:ascii="Times New Roman" w:hAnsi="Times New Roman"/>
          <w:i/>
          <w:szCs w:val="24"/>
        </w:rPr>
        <w:t>.</w:t>
      </w:r>
      <w:r w:rsidRPr="006A48FB">
        <w:rPr>
          <w:rFonts w:ascii="Times New Roman" w:hAnsi="Times New Roman"/>
          <w:i/>
          <w:szCs w:val="24"/>
        </w:rPr>
        <w:t>”</w:t>
      </w:r>
      <w:r w:rsidRPr="006A48FB">
        <w:rPr>
          <w:rStyle w:val="FootnoteReference"/>
          <w:rFonts w:ascii="Times New Roman" w:hAnsi="Times New Roman"/>
          <w:szCs w:val="24"/>
        </w:rPr>
        <w:footnoteReference w:id="1114"/>
      </w:r>
      <w:r w:rsidRPr="006A48FB">
        <w:rPr>
          <w:rFonts w:ascii="Times New Roman" w:hAnsi="Times New Roman"/>
          <w:szCs w:val="24"/>
        </w:rPr>
        <w:t xml:space="preserve"> In the Chamber’s observation, it was noted that at the end of the hearing for the determination of the sentence, Mr Katanga’s statement </w:t>
      </w:r>
      <w:r w:rsidR="00F923A9">
        <w:rPr>
          <w:rFonts w:ascii="Times New Roman" w:hAnsi="Times New Roman"/>
          <w:szCs w:val="24"/>
        </w:rPr>
        <w:t>per</w:t>
      </w:r>
      <w:r w:rsidRPr="006A48FB">
        <w:rPr>
          <w:rFonts w:ascii="Times New Roman" w:hAnsi="Times New Roman"/>
          <w:szCs w:val="24"/>
        </w:rPr>
        <w:t xml:space="preserve"> article 67(1)(h) expressed his compassion in general for victims of “</w:t>
      </w:r>
      <w:r w:rsidRPr="006A48FB">
        <w:rPr>
          <w:rFonts w:ascii="Times New Roman" w:hAnsi="Times New Roman"/>
          <w:i/>
          <w:szCs w:val="24"/>
        </w:rPr>
        <w:t xml:space="preserve">that </w:t>
      </w:r>
      <w:proofErr w:type="spellStart"/>
      <w:r w:rsidRPr="006A48FB">
        <w:rPr>
          <w:rFonts w:ascii="Times New Roman" w:hAnsi="Times New Roman"/>
          <w:i/>
          <w:szCs w:val="24"/>
        </w:rPr>
        <w:t>war</w:t>
      </w:r>
      <w:r w:rsidR="00F923A9">
        <w:rPr>
          <w:rFonts w:ascii="Times New Roman" w:hAnsi="Times New Roman"/>
          <w:i/>
          <w:szCs w:val="24"/>
        </w:rPr>
        <w:t>.</w:t>
      </w:r>
      <w:r w:rsidRPr="006A48FB">
        <w:rPr>
          <w:rFonts w:ascii="Times New Roman" w:hAnsi="Times New Roman"/>
          <w:szCs w:val="24"/>
        </w:rPr>
        <w:t>”The</w:t>
      </w:r>
      <w:proofErr w:type="spellEnd"/>
      <w:r w:rsidRPr="006A48FB">
        <w:rPr>
          <w:rFonts w:ascii="Times New Roman" w:hAnsi="Times New Roman"/>
          <w:szCs w:val="24"/>
        </w:rPr>
        <w:t xml:space="preserve"> term “</w:t>
      </w:r>
      <w:r w:rsidRPr="006A48FB">
        <w:rPr>
          <w:rFonts w:ascii="Times New Roman" w:hAnsi="Times New Roman"/>
          <w:i/>
          <w:szCs w:val="24"/>
        </w:rPr>
        <w:t>that war’</w:t>
      </w:r>
      <w:r w:rsidRPr="006A48FB">
        <w:rPr>
          <w:rFonts w:ascii="Times New Roman" w:hAnsi="Times New Roman"/>
          <w:szCs w:val="24"/>
        </w:rPr>
        <w:t xml:space="preserve"> referred to the ongoing war in </w:t>
      </w:r>
      <w:proofErr w:type="spellStart"/>
      <w:r w:rsidRPr="006A48FB">
        <w:rPr>
          <w:rFonts w:ascii="Times New Roman" w:hAnsi="Times New Roman"/>
          <w:szCs w:val="24"/>
        </w:rPr>
        <w:t>Ituri</w:t>
      </w:r>
      <w:proofErr w:type="spellEnd"/>
      <w:r w:rsidRPr="006A48FB">
        <w:rPr>
          <w:rFonts w:ascii="Times New Roman" w:hAnsi="Times New Roman"/>
          <w:szCs w:val="24"/>
        </w:rPr>
        <w:t>, and victims from his community.</w:t>
      </w:r>
      <w:r w:rsidRPr="006A48FB">
        <w:rPr>
          <w:rStyle w:val="FootnoteReference"/>
          <w:rFonts w:ascii="Times New Roman" w:hAnsi="Times New Roman"/>
          <w:szCs w:val="24"/>
        </w:rPr>
        <w:footnoteReference w:id="1115"/>
      </w:r>
    </w:p>
    <w:p w14:paraId="035DDB0E" w14:textId="34FADE63" w:rsidR="00FC0BB3" w:rsidRPr="003E6E6C" w:rsidRDefault="00C7070D" w:rsidP="00B804FE">
      <w:pPr>
        <w:spacing w:line="480" w:lineRule="auto"/>
        <w:jc w:val="both"/>
        <w:rPr>
          <w:rFonts w:ascii="Times New Roman" w:hAnsi="Times New Roman"/>
          <w:szCs w:val="24"/>
        </w:rPr>
      </w:pPr>
      <w:r>
        <w:rPr>
          <w:rFonts w:ascii="Times New Roman" w:hAnsi="Times New Roman"/>
          <w:szCs w:val="24"/>
        </w:rPr>
        <w:t>In their second submission, the defence</w:t>
      </w:r>
      <w:r w:rsidR="00FC0BB3" w:rsidRPr="003E6E6C">
        <w:rPr>
          <w:rFonts w:ascii="Times New Roman" w:hAnsi="Times New Roman"/>
          <w:szCs w:val="24"/>
        </w:rPr>
        <w:t xml:space="preserve"> stated that “mitigation seeks to diminish the sentence, not the crime”.</w:t>
      </w:r>
      <w:r w:rsidR="00FC0BB3" w:rsidRPr="003E6E6C">
        <w:rPr>
          <w:rStyle w:val="FootnoteReference"/>
          <w:rFonts w:ascii="Times New Roman" w:hAnsi="Times New Roman"/>
          <w:szCs w:val="24"/>
        </w:rPr>
        <w:footnoteReference w:id="1116"/>
      </w:r>
      <w:r w:rsidR="00FC0BB3" w:rsidRPr="003E6E6C">
        <w:rPr>
          <w:rFonts w:ascii="Times New Roman" w:hAnsi="Times New Roman"/>
          <w:i/>
          <w:szCs w:val="24"/>
        </w:rPr>
        <w:t xml:space="preserve"> </w:t>
      </w:r>
      <w:r w:rsidR="00FC0BB3" w:rsidRPr="003E6E6C">
        <w:rPr>
          <w:rFonts w:ascii="Times New Roman" w:hAnsi="Times New Roman"/>
          <w:szCs w:val="24"/>
        </w:rPr>
        <w:t>It is noteworthy that this assertion is flawed.</w:t>
      </w:r>
      <w:r w:rsidR="00F923A9">
        <w:rPr>
          <w:rFonts w:ascii="Times New Roman" w:hAnsi="Times New Roman"/>
          <w:szCs w:val="24"/>
        </w:rPr>
        <w:t xml:space="preserve"> T</w:t>
      </w:r>
      <w:r w:rsidR="00FC0BB3" w:rsidRPr="003E6E6C">
        <w:rPr>
          <w:rFonts w:ascii="Times New Roman" w:hAnsi="Times New Roman"/>
          <w:szCs w:val="24"/>
        </w:rPr>
        <w:t>he punishment(just desert) and proportionality are the theories applicable here</w:t>
      </w:r>
      <w:r w:rsidR="00F923A9">
        <w:rPr>
          <w:rFonts w:ascii="Times New Roman" w:hAnsi="Times New Roman"/>
          <w:szCs w:val="24"/>
        </w:rPr>
        <w:t>. I</w:t>
      </w:r>
      <w:r w:rsidR="00FC0BB3" w:rsidRPr="003E6E6C">
        <w:rPr>
          <w:rFonts w:ascii="Times New Roman" w:hAnsi="Times New Roman"/>
          <w:szCs w:val="24"/>
        </w:rPr>
        <w:t>t is argued that sentencing is punishmen</w:t>
      </w:r>
      <w:r w:rsidR="00F923A9">
        <w:rPr>
          <w:rFonts w:ascii="Times New Roman" w:hAnsi="Times New Roman"/>
          <w:szCs w:val="24"/>
        </w:rPr>
        <w:t>t</w:t>
      </w:r>
      <w:r w:rsidR="00FC0BB3" w:rsidRPr="003E6E6C">
        <w:rPr>
          <w:rFonts w:ascii="Times New Roman" w:hAnsi="Times New Roman"/>
          <w:szCs w:val="24"/>
        </w:rPr>
        <w:t xml:space="preserve">. </w:t>
      </w:r>
      <w:r>
        <w:rPr>
          <w:rFonts w:ascii="Times New Roman" w:hAnsi="Times New Roman"/>
          <w:szCs w:val="24"/>
        </w:rPr>
        <w:t>T</w:t>
      </w:r>
      <w:r w:rsidR="00FC0BB3" w:rsidRPr="003E6E6C">
        <w:rPr>
          <w:rFonts w:ascii="Times New Roman" w:hAnsi="Times New Roman"/>
          <w:szCs w:val="24"/>
        </w:rPr>
        <w:t>he sentenced is reduced</w:t>
      </w:r>
      <w:r>
        <w:rPr>
          <w:rFonts w:ascii="Times New Roman" w:hAnsi="Times New Roman"/>
          <w:szCs w:val="24"/>
        </w:rPr>
        <w:t>;</w:t>
      </w:r>
      <w:r w:rsidR="00FC0BB3" w:rsidRPr="003E6E6C">
        <w:rPr>
          <w:rFonts w:ascii="Times New Roman" w:hAnsi="Times New Roman"/>
          <w:szCs w:val="24"/>
        </w:rPr>
        <w:t xml:space="preserve"> it may indirectly send a message that the </w:t>
      </w:r>
      <w:r>
        <w:rPr>
          <w:rFonts w:ascii="Times New Roman" w:hAnsi="Times New Roman"/>
          <w:szCs w:val="24"/>
        </w:rPr>
        <w:t>crime's severity or gravity</w:t>
      </w:r>
      <w:r w:rsidR="00FC0BB3" w:rsidRPr="003E6E6C">
        <w:rPr>
          <w:rFonts w:ascii="Times New Roman" w:hAnsi="Times New Roman"/>
          <w:szCs w:val="24"/>
        </w:rPr>
        <w:t xml:space="preserve"> has been lowered.</w:t>
      </w:r>
    </w:p>
    <w:p w14:paraId="42A9490E" w14:textId="2AE6DB43" w:rsidR="008A24C7" w:rsidRPr="006A48FB" w:rsidRDefault="008A24C7" w:rsidP="00B804FE">
      <w:pPr>
        <w:spacing w:line="480" w:lineRule="auto"/>
        <w:jc w:val="both"/>
        <w:rPr>
          <w:rFonts w:ascii="Times New Roman" w:hAnsi="Times New Roman"/>
          <w:szCs w:val="24"/>
        </w:rPr>
      </w:pPr>
      <w:r w:rsidRPr="006A48FB">
        <w:rPr>
          <w:rFonts w:ascii="Times New Roman" w:hAnsi="Times New Roman"/>
          <w:szCs w:val="24"/>
        </w:rPr>
        <w:lastRenderedPageBreak/>
        <w:t xml:space="preserve">The defence argued that Katanga expressed his genuine sympathies for the victims, </w:t>
      </w:r>
      <w:r w:rsidR="00B05A05">
        <w:rPr>
          <w:rFonts w:ascii="Times New Roman" w:hAnsi="Times New Roman"/>
          <w:szCs w:val="24"/>
        </w:rPr>
        <w:t>which</w:t>
      </w:r>
      <w:r w:rsidRPr="006A48FB">
        <w:rPr>
          <w:rFonts w:ascii="Times New Roman" w:hAnsi="Times New Roman"/>
          <w:szCs w:val="24"/>
        </w:rPr>
        <w:t xml:space="preserve"> shou</w:t>
      </w:r>
      <w:r w:rsidR="006A48FB">
        <w:rPr>
          <w:rFonts w:ascii="Times New Roman" w:hAnsi="Times New Roman"/>
          <w:szCs w:val="24"/>
        </w:rPr>
        <w:t>ld not be dismissed. The defence submission was</w:t>
      </w:r>
      <w:r w:rsidRPr="006A48FB">
        <w:rPr>
          <w:rFonts w:ascii="Times New Roman" w:hAnsi="Times New Roman"/>
          <w:szCs w:val="24"/>
        </w:rPr>
        <w:t xml:space="preserve"> contrary to the LRVs submission that Katanga never made a genuine sympathy to the victims. He also reiterated that Katanga never denied the </w:t>
      </w:r>
      <w:r w:rsidR="00C7070D">
        <w:rPr>
          <w:rFonts w:ascii="Times New Roman" w:hAnsi="Times New Roman"/>
          <w:szCs w:val="24"/>
        </w:rPr>
        <w:t>civilians' suffering</w:t>
      </w:r>
      <w:r w:rsidRPr="006A48FB">
        <w:rPr>
          <w:rFonts w:ascii="Times New Roman" w:hAnsi="Times New Roman"/>
          <w:szCs w:val="24"/>
        </w:rPr>
        <w:t>, nor failed to acknowledge the</w:t>
      </w:r>
      <w:r w:rsidR="001905DC">
        <w:rPr>
          <w:rFonts w:ascii="Times New Roman" w:hAnsi="Times New Roman"/>
          <w:szCs w:val="24"/>
        </w:rPr>
        <w:t>se civilians' death</w:t>
      </w:r>
      <w:r w:rsidRPr="006A48FB">
        <w:rPr>
          <w:rFonts w:ascii="Times New Roman" w:hAnsi="Times New Roman"/>
          <w:szCs w:val="24"/>
        </w:rPr>
        <w:t>. He cited Katanga’s words:</w:t>
      </w:r>
    </w:p>
    <w:p w14:paraId="736474ED" w14:textId="72A7E613" w:rsidR="008A24C7" w:rsidRPr="006A48FB" w:rsidRDefault="008A24C7" w:rsidP="00B804FE">
      <w:pPr>
        <w:spacing w:line="276" w:lineRule="auto"/>
        <w:ind w:left="720"/>
        <w:jc w:val="center"/>
        <w:rPr>
          <w:rFonts w:ascii="Times New Roman" w:hAnsi="Times New Roman"/>
          <w:i/>
          <w:szCs w:val="24"/>
        </w:rPr>
      </w:pPr>
      <w:r w:rsidRPr="006A48FB">
        <w:rPr>
          <w:rFonts w:ascii="Times New Roman" w:hAnsi="Times New Roman"/>
          <w:szCs w:val="24"/>
        </w:rPr>
        <w:t>“Today</w:t>
      </w:r>
      <w:r w:rsidR="006A48FB">
        <w:rPr>
          <w:rFonts w:ascii="Times New Roman" w:hAnsi="Times New Roman"/>
          <w:szCs w:val="24"/>
        </w:rPr>
        <w:t>,</w:t>
      </w:r>
      <w:r w:rsidRPr="006A48FB">
        <w:rPr>
          <w:rFonts w:ascii="Times New Roman" w:hAnsi="Times New Roman"/>
          <w:szCs w:val="24"/>
        </w:rPr>
        <w:t xml:space="preserve"> my thoughts go out to all victims of the conflicts in </w:t>
      </w:r>
      <w:proofErr w:type="spellStart"/>
      <w:r w:rsidRPr="006A48FB">
        <w:rPr>
          <w:rFonts w:ascii="Times New Roman" w:hAnsi="Times New Roman"/>
          <w:szCs w:val="24"/>
        </w:rPr>
        <w:t>Ituri</w:t>
      </w:r>
      <w:proofErr w:type="spellEnd"/>
      <w:r w:rsidRPr="006A48FB">
        <w:rPr>
          <w:rFonts w:ascii="Times New Roman" w:hAnsi="Times New Roman"/>
          <w:szCs w:val="24"/>
        </w:rPr>
        <w:t xml:space="preserve"> in general and particular</w:t>
      </w:r>
      <w:r w:rsidR="006A48FB">
        <w:rPr>
          <w:rFonts w:ascii="Times New Roman" w:hAnsi="Times New Roman"/>
          <w:szCs w:val="24"/>
        </w:rPr>
        <w:t>l</w:t>
      </w:r>
      <w:r w:rsidRPr="006A48FB">
        <w:rPr>
          <w:rFonts w:ascii="Times New Roman" w:hAnsi="Times New Roman"/>
          <w:szCs w:val="24"/>
        </w:rPr>
        <w:t xml:space="preserve">y the conflict in </w:t>
      </w:r>
      <w:proofErr w:type="spellStart"/>
      <w:r w:rsidRPr="006A48FB">
        <w:rPr>
          <w:rFonts w:ascii="Times New Roman" w:hAnsi="Times New Roman"/>
          <w:szCs w:val="24"/>
        </w:rPr>
        <w:t>Bogoro</w:t>
      </w:r>
      <w:proofErr w:type="spellEnd"/>
      <w:r w:rsidRPr="006A48FB">
        <w:rPr>
          <w:rFonts w:ascii="Times New Roman" w:hAnsi="Times New Roman"/>
          <w:szCs w:val="24"/>
        </w:rPr>
        <w:t>.</w:t>
      </w:r>
      <w:r w:rsidR="003E6E6C">
        <w:rPr>
          <w:rFonts w:ascii="Times New Roman" w:hAnsi="Times New Roman"/>
          <w:szCs w:val="24"/>
        </w:rPr>
        <w:t xml:space="preserve"> </w:t>
      </w:r>
      <w:r w:rsidRPr="006A48FB">
        <w:rPr>
          <w:rFonts w:ascii="Times New Roman" w:hAnsi="Times New Roman"/>
          <w:szCs w:val="24"/>
        </w:rPr>
        <w:t>My thoughts go out to all those who have lost loved ones, who have lost their prosperity and their wealth, for all those whose pride and dignity have suffered.</w:t>
      </w:r>
      <w:r w:rsidR="003E6E6C">
        <w:rPr>
          <w:rFonts w:ascii="Times New Roman" w:hAnsi="Times New Roman"/>
          <w:szCs w:val="24"/>
        </w:rPr>
        <w:t xml:space="preserve"> </w:t>
      </w:r>
      <w:r w:rsidRPr="006A48FB">
        <w:rPr>
          <w:rFonts w:ascii="Times New Roman" w:hAnsi="Times New Roman"/>
          <w:szCs w:val="24"/>
        </w:rPr>
        <w:t>I extend to them my compassion in regard to</w:t>
      </w:r>
      <w:r w:rsidRPr="006A48FB">
        <w:rPr>
          <w:rFonts w:ascii="Times New Roman" w:hAnsi="Times New Roman"/>
          <w:i/>
          <w:szCs w:val="24"/>
        </w:rPr>
        <w:t xml:space="preserve"> </w:t>
      </w:r>
      <w:r w:rsidRPr="00671C4B">
        <w:rPr>
          <w:rFonts w:ascii="Times New Roman" w:hAnsi="Times New Roman"/>
          <w:szCs w:val="24"/>
        </w:rPr>
        <w:t>all the suffering that they have suffered because of the foolishness and wickedness of human nature</w:t>
      </w:r>
      <w:r w:rsidR="006A48FB">
        <w:rPr>
          <w:rFonts w:ascii="Times New Roman" w:hAnsi="Times New Roman"/>
          <w:i/>
          <w:szCs w:val="24"/>
        </w:rPr>
        <w:t>.</w:t>
      </w:r>
      <w:r w:rsidRPr="006A48FB">
        <w:rPr>
          <w:rFonts w:ascii="Times New Roman" w:hAnsi="Times New Roman"/>
          <w:i/>
          <w:szCs w:val="24"/>
        </w:rPr>
        <w:t>”</w:t>
      </w:r>
      <w:r w:rsidRPr="006A48FB">
        <w:rPr>
          <w:rStyle w:val="FootnoteReference"/>
          <w:rFonts w:ascii="Times New Roman" w:hAnsi="Times New Roman"/>
          <w:i/>
          <w:szCs w:val="24"/>
        </w:rPr>
        <w:footnoteReference w:id="1117"/>
      </w:r>
    </w:p>
    <w:p w14:paraId="6FE695F1" w14:textId="1A722FEB" w:rsidR="004D5736" w:rsidRDefault="004D5736" w:rsidP="00B804FE">
      <w:pPr>
        <w:spacing w:line="480" w:lineRule="auto"/>
        <w:jc w:val="both"/>
        <w:rPr>
          <w:rFonts w:ascii="Times New Roman" w:hAnsi="Times New Roman"/>
          <w:szCs w:val="24"/>
        </w:rPr>
      </w:pPr>
      <w:r w:rsidRPr="006A48FB">
        <w:rPr>
          <w:rFonts w:ascii="Times New Roman" w:hAnsi="Times New Roman"/>
          <w:szCs w:val="24"/>
        </w:rPr>
        <w:t>The Chamber opined that Mr Katanga’s statements w</w:t>
      </w:r>
      <w:r w:rsidR="003E6E6C">
        <w:rPr>
          <w:rFonts w:ascii="Times New Roman" w:hAnsi="Times New Roman"/>
          <w:szCs w:val="24"/>
        </w:rPr>
        <w:t>ere</w:t>
      </w:r>
      <w:r w:rsidRPr="006A48FB">
        <w:rPr>
          <w:rFonts w:ascii="Times New Roman" w:hAnsi="Times New Roman"/>
          <w:szCs w:val="24"/>
        </w:rPr>
        <w:t xml:space="preserve"> not an acknowledgement of the crimes he committed.</w:t>
      </w:r>
      <w:r w:rsidRPr="006A48FB">
        <w:rPr>
          <w:rStyle w:val="FootnoteReference"/>
          <w:rFonts w:ascii="Times New Roman" w:hAnsi="Times New Roman"/>
          <w:szCs w:val="24"/>
        </w:rPr>
        <w:footnoteReference w:id="1118"/>
      </w:r>
      <w:r w:rsidR="001E01DA" w:rsidRPr="006A48FB">
        <w:rPr>
          <w:rFonts w:ascii="Times New Roman" w:hAnsi="Times New Roman"/>
          <w:szCs w:val="24"/>
        </w:rPr>
        <w:t xml:space="preserve"> </w:t>
      </w:r>
      <w:r w:rsidR="003E6E6C">
        <w:rPr>
          <w:rFonts w:ascii="Times New Roman" w:hAnsi="Times New Roman"/>
          <w:szCs w:val="24"/>
        </w:rPr>
        <w:t>Instead</w:t>
      </w:r>
      <w:r w:rsidRPr="006A48FB">
        <w:rPr>
          <w:rFonts w:ascii="Times New Roman" w:hAnsi="Times New Roman"/>
          <w:szCs w:val="24"/>
        </w:rPr>
        <w:t>, the statement</w:t>
      </w:r>
      <w:r w:rsidR="003E6E6C">
        <w:rPr>
          <w:rFonts w:ascii="Times New Roman" w:hAnsi="Times New Roman"/>
          <w:szCs w:val="24"/>
        </w:rPr>
        <w:t>s were</w:t>
      </w:r>
      <w:r w:rsidRPr="006A48FB">
        <w:rPr>
          <w:rFonts w:ascii="Times New Roman" w:hAnsi="Times New Roman"/>
          <w:szCs w:val="24"/>
        </w:rPr>
        <w:t xml:space="preserve"> considered as a ‘</w:t>
      </w:r>
      <w:r w:rsidRPr="005735AB">
        <w:rPr>
          <w:rFonts w:ascii="Times New Roman" w:hAnsi="Times New Roman"/>
          <w:szCs w:val="24"/>
        </w:rPr>
        <w:t>mere convention</w:t>
      </w:r>
      <w:r w:rsidR="00F923A9">
        <w:rPr>
          <w:rFonts w:ascii="Times New Roman" w:hAnsi="Times New Roman"/>
          <w:szCs w:val="24"/>
        </w:rPr>
        <w:t>.</w:t>
      </w:r>
      <w:r w:rsidRPr="005735AB">
        <w:rPr>
          <w:rFonts w:ascii="Times New Roman" w:hAnsi="Times New Roman"/>
          <w:szCs w:val="24"/>
        </w:rPr>
        <w:t>’</w:t>
      </w:r>
      <w:r w:rsidRPr="006A48FB">
        <w:rPr>
          <w:rStyle w:val="FootnoteReference"/>
          <w:rFonts w:ascii="Times New Roman" w:hAnsi="Times New Roman"/>
          <w:szCs w:val="24"/>
        </w:rPr>
        <w:footnoteReference w:id="1119"/>
      </w:r>
      <w:r w:rsidRPr="006A48FB">
        <w:rPr>
          <w:rFonts w:ascii="Times New Roman" w:hAnsi="Times New Roman"/>
          <w:szCs w:val="24"/>
        </w:rPr>
        <w:t xml:space="preserve"> In support, the Registry submitted that it had ‘</w:t>
      </w:r>
      <w:r w:rsidRPr="005735AB">
        <w:rPr>
          <w:rFonts w:ascii="Times New Roman" w:hAnsi="Times New Roman"/>
          <w:szCs w:val="24"/>
        </w:rPr>
        <w:t>no reliable information’</w:t>
      </w:r>
      <w:r w:rsidRPr="006A48FB">
        <w:rPr>
          <w:rFonts w:ascii="Times New Roman" w:hAnsi="Times New Roman"/>
          <w:i/>
          <w:szCs w:val="24"/>
        </w:rPr>
        <w:t xml:space="preserve"> </w:t>
      </w:r>
      <w:r w:rsidRPr="006A48FB">
        <w:rPr>
          <w:rFonts w:ascii="Times New Roman" w:hAnsi="Times New Roman"/>
          <w:szCs w:val="24"/>
        </w:rPr>
        <w:t xml:space="preserve">on any measure that Mr Katanga must have taken to ensure </w:t>
      </w:r>
      <w:r w:rsidR="00C7070D">
        <w:rPr>
          <w:rFonts w:ascii="Times New Roman" w:hAnsi="Times New Roman"/>
          <w:szCs w:val="24"/>
        </w:rPr>
        <w:t>the victims' compensation</w:t>
      </w:r>
      <w:r w:rsidRPr="006A48FB">
        <w:rPr>
          <w:rFonts w:ascii="Times New Roman" w:hAnsi="Times New Roman"/>
          <w:szCs w:val="24"/>
        </w:rPr>
        <w:t>.</w:t>
      </w:r>
      <w:r w:rsidRPr="006A48FB">
        <w:rPr>
          <w:rStyle w:val="FootnoteReference"/>
          <w:rFonts w:ascii="Times New Roman" w:hAnsi="Times New Roman"/>
          <w:szCs w:val="24"/>
        </w:rPr>
        <w:footnoteReference w:id="1120"/>
      </w:r>
      <w:r w:rsidRPr="006A48FB">
        <w:rPr>
          <w:rFonts w:ascii="Times New Roman" w:hAnsi="Times New Roman"/>
          <w:szCs w:val="24"/>
        </w:rPr>
        <w:t xml:space="preserve">In the Registry’s report, the village chief revealed that he was unaware of </w:t>
      </w:r>
      <w:r w:rsidRPr="003E6E6C">
        <w:rPr>
          <w:rFonts w:ascii="Times New Roman" w:hAnsi="Times New Roman"/>
          <w:szCs w:val="24"/>
        </w:rPr>
        <w:t>any action/measure put in</w:t>
      </w:r>
      <w:r w:rsidR="001E01DA" w:rsidRPr="003E6E6C">
        <w:rPr>
          <w:rFonts w:ascii="Times New Roman" w:hAnsi="Times New Roman"/>
          <w:szCs w:val="24"/>
        </w:rPr>
        <w:t xml:space="preserve"> place by the convicted person </w:t>
      </w:r>
      <w:r w:rsidRPr="003E6E6C">
        <w:rPr>
          <w:rFonts w:ascii="Times New Roman" w:hAnsi="Times New Roman"/>
          <w:szCs w:val="24"/>
        </w:rPr>
        <w:t xml:space="preserve">in the </w:t>
      </w:r>
      <w:r w:rsidR="00C7070D">
        <w:rPr>
          <w:rFonts w:ascii="Times New Roman" w:hAnsi="Times New Roman"/>
          <w:szCs w:val="24"/>
        </w:rPr>
        <w:t>victim's interest</w:t>
      </w:r>
      <w:r w:rsidRPr="003E6E6C">
        <w:rPr>
          <w:rFonts w:ascii="Times New Roman" w:hAnsi="Times New Roman"/>
          <w:szCs w:val="24"/>
        </w:rPr>
        <w:t>.</w:t>
      </w:r>
      <w:r w:rsidRPr="003E6E6C">
        <w:rPr>
          <w:rStyle w:val="FootnoteReference"/>
          <w:rFonts w:ascii="Times New Roman" w:hAnsi="Times New Roman"/>
          <w:szCs w:val="24"/>
        </w:rPr>
        <w:footnoteReference w:id="1121"/>
      </w:r>
      <w:r w:rsidRPr="003E6E6C">
        <w:rPr>
          <w:rFonts w:ascii="Times New Roman" w:hAnsi="Times New Roman"/>
          <w:szCs w:val="24"/>
        </w:rPr>
        <w:t xml:space="preserve">Based on the above reasons, the Chamber rejected Katanga’s statements </w:t>
      </w:r>
      <w:r w:rsidR="00BE4E89">
        <w:rPr>
          <w:rFonts w:ascii="Times New Roman" w:hAnsi="Times New Roman"/>
          <w:szCs w:val="24"/>
        </w:rPr>
        <w:t>because</w:t>
      </w:r>
      <w:r w:rsidRPr="003E6E6C">
        <w:rPr>
          <w:rFonts w:ascii="Times New Roman" w:hAnsi="Times New Roman"/>
          <w:szCs w:val="24"/>
        </w:rPr>
        <w:t xml:space="preserve"> it did not qualify as an expression of compassion or genuine remorse for the </w:t>
      </w:r>
      <w:r w:rsidRPr="003E6E6C">
        <w:rPr>
          <w:rFonts w:ascii="Times New Roman" w:hAnsi="Times New Roman"/>
          <w:szCs w:val="24"/>
        </w:rPr>
        <w:lastRenderedPageBreak/>
        <w:t xml:space="preserve">victims of </w:t>
      </w:r>
      <w:proofErr w:type="spellStart"/>
      <w:r w:rsidRPr="003E6E6C">
        <w:rPr>
          <w:rFonts w:ascii="Times New Roman" w:hAnsi="Times New Roman"/>
          <w:szCs w:val="24"/>
        </w:rPr>
        <w:t>Bogoro</w:t>
      </w:r>
      <w:proofErr w:type="spellEnd"/>
      <w:r w:rsidRPr="003E6E6C">
        <w:rPr>
          <w:rFonts w:ascii="Times New Roman" w:hAnsi="Times New Roman"/>
          <w:szCs w:val="24"/>
        </w:rPr>
        <w:t>. It also concluded that it was not sufficient to be considered as a mitigating circumstance.</w:t>
      </w:r>
      <w:r w:rsidRPr="003E6E6C">
        <w:rPr>
          <w:rStyle w:val="FootnoteReference"/>
          <w:rFonts w:ascii="Times New Roman" w:hAnsi="Times New Roman"/>
          <w:szCs w:val="24"/>
        </w:rPr>
        <w:footnoteReference w:id="1122"/>
      </w:r>
    </w:p>
    <w:p w14:paraId="7C13237A" w14:textId="5C527C61" w:rsidR="00884539" w:rsidRPr="00A41538" w:rsidRDefault="00884539" w:rsidP="00B804FE">
      <w:pPr>
        <w:spacing w:line="480" w:lineRule="auto"/>
        <w:jc w:val="both"/>
        <w:rPr>
          <w:szCs w:val="24"/>
        </w:rPr>
      </w:pPr>
      <w:r>
        <w:rPr>
          <w:rFonts w:ascii="Times New Roman" w:hAnsi="Times New Roman"/>
          <w:szCs w:val="24"/>
        </w:rPr>
        <w:t>The Chamber sentenced the convicted person, Katanga to 12 years imprisonment.</w:t>
      </w:r>
      <w:r>
        <w:rPr>
          <w:rStyle w:val="FootnoteReference"/>
          <w:rFonts w:ascii="Times New Roman" w:hAnsi="Times New Roman"/>
          <w:szCs w:val="24"/>
        </w:rPr>
        <w:footnoteReference w:id="1123"/>
      </w:r>
      <w:r>
        <w:rPr>
          <w:rFonts w:ascii="Times New Roman" w:hAnsi="Times New Roman"/>
          <w:szCs w:val="24"/>
        </w:rPr>
        <w:t xml:space="preserve">After a few years, the </w:t>
      </w:r>
      <w:r w:rsidR="00CB2025">
        <w:rPr>
          <w:rFonts w:ascii="Times New Roman" w:hAnsi="Times New Roman"/>
          <w:szCs w:val="24"/>
        </w:rPr>
        <w:t>convict</w:t>
      </w:r>
      <w:r>
        <w:rPr>
          <w:rFonts w:ascii="Times New Roman" w:hAnsi="Times New Roman"/>
          <w:szCs w:val="24"/>
        </w:rPr>
        <w:t xml:space="preserve">ed person, Katanga </w:t>
      </w:r>
      <w:r w:rsidR="00BE4E89">
        <w:rPr>
          <w:rFonts w:ascii="Times New Roman" w:hAnsi="Times New Roman"/>
          <w:szCs w:val="24"/>
        </w:rPr>
        <w:t>applied</w:t>
      </w:r>
      <w:r>
        <w:rPr>
          <w:rFonts w:ascii="Times New Roman" w:hAnsi="Times New Roman"/>
          <w:szCs w:val="24"/>
        </w:rPr>
        <w:t xml:space="preserve"> for sentence review.</w:t>
      </w:r>
      <w:r w:rsidR="005735AB">
        <w:rPr>
          <w:rFonts w:ascii="Times New Roman" w:hAnsi="Times New Roman"/>
          <w:szCs w:val="24"/>
        </w:rPr>
        <w:t xml:space="preserve"> </w:t>
      </w:r>
      <w:r>
        <w:rPr>
          <w:rFonts w:ascii="Times New Roman" w:hAnsi="Times New Roman"/>
          <w:szCs w:val="24"/>
        </w:rPr>
        <w:t>The sentence review shall be discussed below.</w:t>
      </w:r>
    </w:p>
    <w:p w14:paraId="0544F2F0" w14:textId="79A01F23" w:rsidR="004D5736" w:rsidRPr="00A41538" w:rsidRDefault="003B4170" w:rsidP="005725E4">
      <w:pPr>
        <w:pStyle w:val="Heading3"/>
      </w:pPr>
      <w:bookmarkStart w:id="89" w:name="_Toc21896850"/>
      <w:bookmarkStart w:id="90" w:name="_Toc60235854"/>
      <w:r>
        <w:t>4.</w:t>
      </w:r>
      <w:r w:rsidR="006E2B55">
        <w:t>7.</w:t>
      </w:r>
      <w:r>
        <w:t>6</w:t>
      </w:r>
      <w:r w:rsidR="004D5736" w:rsidRPr="00A41538">
        <w:t>.R</w:t>
      </w:r>
      <w:r>
        <w:t>eview on sentence reduction-Katanga case</w:t>
      </w:r>
      <w:bookmarkEnd w:id="89"/>
      <w:bookmarkEnd w:id="90"/>
    </w:p>
    <w:p w14:paraId="41289F27" w14:textId="77777777" w:rsidR="002164E9" w:rsidRDefault="003B4170" w:rsidP="004D5736">
      <w:pPr>
        <w:jc w:val="both"/>
        <w:rPr>
          <w:rStyle w:val="Heading4Char"/>
        </w:rPr>
      </w:pPr>
      <w:r w:rsidRPr="003B4170">
        <w:rPr>
          <w:rStyle w:val="Heading4Char"/>
        </w:rPr>
        <w:t>4.6.1</w:t>
      </w:r>
      <w:r w:rsidR="004D5736" w:rsidRPr="003B4170">
        <w:rPr>
          <w:rStyle w:val="Heading4Char"/>
        </w:rPr>
        <w:t xml:space="preserve"> </w:t>
      </w:r>
      <w:r>
        <w:rPr>
          <w:rStyle w:val="Heading4Char"/>
        </w:rPr>
        <w:t>Overview</w:t>
      </w:r>
    </w:p>
    <w:p w14:paraId="4E6E7D53" w14:textId="3679373E" w:rsidR="004D5736" w:rsidRPr="004B45F6" w:rsidRDefault="002164E9" w:rsidP="0093169C">
      <w:pPr>
        <w:spacing w:line="480" w:lineRule="auto"/>
        <w:jc w:val="both"/>
        <w:rPr>
          <w:rFonts w:ascii="Times New Roman" w:hAnsi="Times New Roman"/>
          <w:b/>
          <w:szCs w:val="24"/>
        </w:rPr>
      </w:pPr>
      <w:r w:rsidRPr="004B45F6">
        <w:rPr>
          <w:rFonts w:ascii="Times New Roman" w:hAnsi="Times New Roman"/>
          <w:szCs w:val="24"/>
        </w:rPr>
        <w:t>As mentioned earlier, s</w:t>
      </w:r>
      <w:r w:rsidR="004D5736" w:rsidRPr="004B45F6">
        <w:rPr>
          <w:rFonts w:ascii="Times New Roman" w:hAnsi="Times New Roman"/>
          <w:szCs w:val="24"/>
        </w:rPr>
        <w:t>entence review is not an automatic right. It is regulated by the Rome Statute and the ICC Rules. It is subject to the condition that a se</w:t>
      </w:r>
      <w:r w:rsidR="00884539">
        <w:rPr>
          <w:rFonts w:ascii="Times New Roman" w:hAnsi="Times New Roman"/>
          <w:szCs w:val="24"/>
        </w:rPr>
        <w:t>ntence may be reviewed when two-</w:t>
      </w:r>
      <w:r w:rsidR="004D5736" w:rsidRPr="004B45F6">
        <w:rPr>
          <w:rFonts w:ascii="Times New Roman" w:hAnsi="Times New Roman"/>
          <w:szCs w:val="24"/>
        </w:rPr>
        <w:t>thirds of that sentence has been served.</w:t>
      </w:r>
      <w:r w:rsidR="004D5736" w:rsidRPr="004B45F6">
        <w:rPr>
          <w:rStyle w:val="FootnoteReference"/>
          <w:rFonts w:ascii="Times New Roman" w:hAnsi="Times New Roman"/>
          <w:szCs w:val="24"/>
        </w:rPr>
        <w:footnoteReference w:id="1124"/>
      </w:r>
      <w:r w:rsidR="00106929">
        <w:rPr>
          <w:rFonts w:ascii="Times New Roman" w:hAnsi="Times New Roman"/>
          <w:szCs w:val="24"/>
        </w:rPr>
        <w:t>According to A</w:t>
      </w:r>
      <w:r w:rsidR="004D5736" w:rsidRPr="004B45F6">
        <w:rPr>
          <w:rFonts w:ascii="Times New Roman" w:hAnsi="Times New Roman"/>
          <w:szCs w:val="24"/>
        </w:rPr>
        <w:t>rticle 110(4) of the Statute, a decision on whether to reduce a</w:t>
      </w:r>
      <w:r w:rsidR="00106929">
        <w:rPr>
          <w:rFonts w:ascii="Times New Roman" w:hAnsi="Times New Roman"/>
          <w:szCs w:val="24"/>
        </w:rPr>
        <w:t xml:space="preserve"> sentence is discretionary. It</w:t>
      </w:r>
      <w:r w:rsidR="004D5736" w:rsidRPr="004B45F6">
        <w:rPr>
          <w:rFonts w:ascii="Times New Roman" w:hAnsi="Times New Roman"/>
          <w:szCs w:val="24"/>
        </w:rPr>
        <w:t xml:space="preserve"> is evident in the use of </w:t>
      </w:r>
      <w:r w:rsidR="00106929">
        <w:rPr>
          <w:rFonts w:ascii="Times New Roman" w:hAnsi="Times New Roman"/>
          <w:szCs w:val="24"/>
        </w:rPr>
        <w:t xml:space="preserve">the </w:t>
      </w:r>
      <w:r w:rsidR="004D5736" w:rsidRPr="004B45F6">
        <w:rPr>
          <w:rFonts w:ascii="Times New Roman" w:hAnsi="Times New Roman"/>
          <w:szCs w:val="24"/>
        </w:rPr>
        <w:t xml:space="preserve">phrase ‘may </w:t>
      </w:r>
      <w:proofErr w:type="spellStart"/>
      <w:r w:rsidR="004D5736" w:rsidRPr="004B45F6">
        <w:rPr>
          <w:rFonts w:ascii="Times New Roman" w:hAnsi="Times New Roman"/>
          <w:szCs w:val="24"/>
        </w:rPr>
        <w:t>reduce</w:t>
      </w:r>
      <w:r w:rsidR="00F923A9">
        <w:rPr>
          <w:rFonts w:ascii="Times New Roman" w:hAnsi="Times New Roman"/>
          <w:szCs w:val="24"/>
        </w:rPr>
        <w:t>.</w:t>
      </w:r>
      <w:r w:rsidR="004D5736" w:rsidRPr="004B45F6">
        <w:rPr>
          <w:rFonts w:ascii="Times New Roman" w:hAnsi="Times New Roman"/>
          <w:szCs w:val="24"/>
        </w:rPr>
        <w:t>’The</w:t>
      </w:r>
      <w:proofErr w:type="spellEnd"/>
      <w:r w:rsidR="004D5736" w:rsidRPr="004B45F6">
        <w:rPr>
          <w:rFonts w:ascii="Times New Roman" w:hAnsi="Times New Roman"/>
          <w:szCs w:val="24"/>
        </w:rPr>
        <w:t xml:space="preserve"> presence of one factor is sufficient to</w:t>
      </w:r>
      <w:r w:rsidR="00F923A9">
        <w:rPr>
          <w:rFonts w:ascii="Times New Roman" w:hAnsi="Times New Roman"/>
          <w:szCs w:val="24"/>
        </w:rPr>
        <w:t xml:space="preserve"> decrease</w:t>
      </w:r>
      <w:r w:rsidR="004D5736" w:rsidRPr="004B45F6">
        <w:rPr>
          <w:rFonts w:ascii="Times New Roman" w:hAnsi="Times New Roman"/>
          <w:szCs w:val="24"/>
        </w:rPr>
        <w:t xml:space="preserve"> a sentence.</w:t>
      </w:r>
      <w:r w:rsidR="00106929">
        <w:rPr>
          <w:rFonts w:ascii="Times New Roman" w:hAnsi="Times New Roman"/>
          <w:szCs w:val="24"/>
        </w:rPr>
        <w:t xml:space="preserve"> </w:t>
      </w:r>
      <w:r w:rsidR="004D5736" w:rsidRPr="004B45F6">
        <w:rPr>
          <w:rFonts w:ascii="Times New Roman" w:hAnsi="Times New Roman"/>
          <w:szCs w:val="24"/>
        </w:rPr>
        <w:t>We should bear in mind that the presence of o</w:t>
      </w:r>
      <w:r w:rsidRPr="004B45F6">
        <w:rPr>
          <w:rFonts w:ascii="Times New Roman" w:hAnsi="Times New Roman"/>
          <w:szCs w:val="24"/>
        </w:rPr>
        <w:t xml:space="preserve">ne factor does not guarantee a </w:t>
      </w:r>
      <w:r w:rsidR="004D5736" w:rsidRPr="004B45F6">
        <w:rPr>
          <w:rFonts w:ascii="Times New Roman" w:hAnsi="Times New Roman"/>
          <w:szCs w:val="24"/>
        </w:rPr>
        <w:t>reduction. Furthe</w:t>
      </w:r>
      <w:r w:rsidR="00106929">
        <w:rPr>
          <w:rFonts w:ascii="Times New Roman" w:hAnsi="Times New Roman"/>
          <w:szCs w:val="24"/>
        </w:rPr>
        <w:t>r</w:t>
      </w:r>
      <w:r w:rsidR="004D5736" w:rsidRPr="004B45F6">
        <w:rPr>
          <w:rFonts w:ascii="Times New Roman" w:hAnsi="Times New Roman"/>
          <w:szCs w:val="24"/>
        </w:rPr>
        <w:t xml:space="preserve">more, the presence of a factor against </w:t>
      </w:r>
      <w:r w:rsidR="00B15CF5">
        <w:rPr>
          <w:rFonts w:ascii="Times New Roman" w:hAnsi="Times New Roman"/>
          <w:szCs w:val="24"/>
        </w:rPr>
        <w:t>modifica</w:t>
      </w:r>
      <w:r w:rsidR="004D5736" w:rsidRPr="004B45F6">
        <w:rPr>
          <w:rFonts w:ascii="Times New Roman" w:hAnsi="Times New Roman"/>
          <w:szCs w:val="24"/>
        </w:rPr>
        <w:t xml:space="preserve">tion of </w:t>
      </w:r>
      <w:r w:rsidR="00106929">
        <w:rPr>
          <w:rFonts w:ascii="Times New Roman" w:hAnsi="Times New Roman"/>
          <w:szCs w:val="24"/>
        </w:rPr>
        <w:t xml:space="preserve">a </w:t>
      </w:r>
      <w:r w:rsidR="004D5736" w:rsidRPr="004B45F6">
        <w:rPr>
          <w:rFonts w:ascii="Times New Roman" w:hAnsi="Times New Roman"/>
          <w:szCs w:val="24"/>
        </w:rPr>
        <w:t>sentence does not hinder the exercise of this discretion.</w:t>
      </w:r>
      <w:r w:rsidR="00106929">
        <w:rPr>
          <w:rFonts w:ascii="Times New Roman" w:hAnsi="Times New Roman"/>
          <w:szCs w:val="24"/>
        </w:rPr>
        <w:t xml:space="preserve"> </w:t>
      </w:r>
      <w:r w:rsidR="004D5736" w:rsidRPr="004B45F6">
        <w:rPr>
          <w:rFonts w:ascii="Times New Roman" w:hAnsi="Times New Roman"/>
          <w:szCs w:val="24"/>
        </w:rPr>
        <w:t xml:space="preserve">The factors against </w:t>
      </w:r>
      <w:r w:rsidR="00B15CF5">
        <w:rPr>
          <w:rFonts w:ascii="Times New Roman" w:hAnsi="Times New Roman"/>
          <w:szCs w:val="24"/>
        </w:rPr>
        <w:t>modifica</w:t>
      </w:r>
      <w:r w:rsidR="004D5736" w:rsidRPr="004B45F6">
        <w:rPr>
          <w:rFonts w:ascii="Times New Roman" w:hAnsi="Times New Roman"/>
          <w:szCs w:val="24"/>
        </w:rPr>
        <w:t xml:space="preserve">tion of </w:t>
      </w:r>
      <w:r w:rsidR="00106929">
        <w:rPr>
          <w:rFonts w:ascii="Times New Roman" w:hAnsi="Times New Roman"/>
          <w:szCs w:val="24"/>
        </w:rPr>
        <w:t xml:space="preserve">a </w:t>
      </w:r>
      <w:r w:rsidR="004D5736" w:rsidRPr="004B45F6">
        <w:rPr>
          <w:rFonts w:ascii="Times New Roman" w:hAnsi="Times New Roman"/>
          <w:szCs w:val="24"/>
        </w:rPr>
        <w:t xml:space="preserve">sentence must be weighed against factors in favour of </w:t>
      </w:r>
      <w:r w:rsidR="00202DC2">
        <w:rPr>
          <w:rFonts w:ascii="Times New Roman" w:hAnsi="Times New Roman"/>
          <w:szCs w:val="24"/>
        </w:rPr>
        <w:t xml:space="preserve">review </w:t>
      </w:r>
      <w:r w:rsidR="004D5736" w:rsidRPr="004B45F6">
        <w:rPr>
          <w:rFonts w:ascii="Times New Roman" w:hAnsi="Times New Roman"/>
          <w:szCs w:val="24"/>
        </w:rPr>
        <w:t>in order to determine whether a red</w:t>
      </w:r>
      <w:r w:rsidR="00106929">
        <w:rPr>
          <w:rFonts w:ascii="Times New Roman" w:hAnsi="Times New Roman"/>
          <w:szCs w:val="24"/>
        </w:rPr>
        <w:t xml:space="preserve">uction of </w:t>
      </w:r>
      <w:r w:rsidR="00BE4E89">
        <w:rPr>
          <w:rFonts w:ascii="Times New Roman" w:hAnsi="Times New Roman"/>
          <w:szCs w:val="24"/>
        </w:rPr>
        <w:t>punishment</w:t>
      </w:r>
      <w:r w:rsidR="00106929">
        <w:rPr>
          <w:rFonts w:ascii="Times New Roman" w:hAnsi="Times New Roman"/>
          <w:szCs w:val="24"/>
        </w:rPr>
        <w:t xml:space="preserve"> is justified</w:t>
      </w:r>
      <w:r w:rsidR="004D5736" w:rsidRPr="004B45F6">
        <w:rPr>
          <w:rFonts w:ascii="Times New Roman" w:hAnsi="Times New Roman"/>
          <w:szCs w:val="24"/>
        </w:rPr>
        <w:t>.</w:t>
      </w:r>
      <w:r w:rsidR="004D5736" w:rsidRPr="004B45F6">
        <w:rPr>
          <w:rStyle w:val="FootnoteReference"/>
          <w:rFonts w:ascii="Times New Roman" w:hAnsi="Times New Roman"/>
          <w:szCs w:val="24"/>
        </w:rPr>
        <w:footnoteReference w:id="1125"/>
      </w:r>
    </w:p>
    <w:p w14:paraId="7FCAB10A" w14:textId="77777777" w:rsidR="004D5736" w:rsidRPr="004B45F6" w:rsidRDefault="004D5736" w:rsidP="00BE1BF7">
      <w:pPr>
        <w:spacing w:line="480" w:lineRule="auto"/>
        <w:jc w:val="both"/>
        <w:rPr>
          <w:rFonts w:ascii="Times New Roman" w:hAnsi="Times New Roman"/>
          <w:szCs w:val="24"/>
        </w:rPr>
      </w:pPr>
      <w:r w:rsidRPr="004B45F6">
        <w:rPr>
          <w:rFonts w:ascii="Times New Roman" w:hAnsi="Times New Roman"/>
          <w:szCs w:val="24"/>
        </w:rPr>
        <w:lastRenderedPageBreak/>
        <w:t>Mr Germain Katanga withdrew his appeal against the conviction  decision  and submitted his ‘</w:t>
      </w:r>
      <w:r w:rsidRPr="005D6F6F">
        <w:rPr>
          <w:rFonts w:ascii="Times New Roman" w:hAnsi="Times New Roman"/>
          <w:szCs w:val="24"/>
        </w:rPr>
        <w:t>expression of sincere regret</w:t>
      </w:r>
      <w:r w:rsidRPr="004B45F6">
        <w:rPr>
          <w:rFonts w:ascii="Times New Roman" w:hAnsi="Times New Roman"/>
          <w:i/>
          <w:szCs w:val="24"/>
        </w:rPr>
        <w:t>.’</w:t>
      </w:r>
      <w:r w:rsidRPr="004B45F6">
        <w:rPr>
          <w:rStyle w:val="FootnoteReference"/>
          <w:rFonts w:ascii="Times New Roman" w:hAnsi="Times New Roman"/>
          <w:i/>
          <w:szCs w:val="24"/>
        </w:rPr>
        <w:footnoteReference w:id="1126"/>
      </w:r>
      <w:r w:rsidRPr="004B45F6">
        <w:rPr>
          <w:rFonts w:ascii="Times New Roman" w:hAnsi="Times New Roman"/>
          <w:szCs w:val="24"/>
        </w:rPr>
        <w:t>The prosecutor also withdrew her appeal against the conviction decision. Katanga filed a video recordi</w:t>
      </w:r>
      <w:r w:rsidR="003B4170" w:rsidRPr="004B45F6">
        <w:rPr>
          <w:rFonts w:ascii="Times New Roman" w:hAnsi="Times New Roman"/>
          <w:szCs w:val="24"/>
        </w:rPr>
        <w:t>ng</w:t>
      </w:r>
      <w:r w:rsidR="005D6F6F">
        <w:rPr>
          <w:rFonts w:ascii="Times New Roman" w:hAnsi="Times New Roman"/>
          <w:szCs w:val="24"/>
        </w:rPr>
        <w:t xml:space="preserve"> and transcripts</w:t>
      </w:r>
      <w:r w:rsidR="00BE1BF7">
        <w:rPr>
          <w:rFonts w:ascii="Times New Roman" w:hAnsi="Times New Roman"/>
          <w:szCs w:val="24"/>
        </w:rPr>
        <w:t xml:space="preserve"> of filmed apology,</w:t>
      </w:r>
      <w:r w:rsidR="003B4170" w:rsidRPr="004B45F6">
        <w:rPr>
          <w:rFonts w:ascii="Times New Roman" w:hAnsi="Times New Roman"/>
          <w:szCs w:val="24"/>
        </w:rPr>
        <w:t xml:space="preserve"> where he publicly apologised</w:t>
      </w:r>
      <w:r w:rsidRPr="004B45F6">
        <w:rPr>
          <w:rFonts w:ascii="Times New Roman" w:hAnsi="Times New Roman"/>
          <w:szCs w:val="24"/>
        </w:rPr>
        <w:t xml:space="preserve"> to the victims of the crimes for which he was </w:t>
      </w:r>
      <w:r w:rsidR="00BE1BF7">
        <w:rPr>
          <w:rFonts w:ascii="Times New Roman" w:hAnsi="Times New Roman"/>
          <w:szCs w:val="24"/>
        </w:rPr>
        <w:t>convicted</w:t>
      </w:r>
      <w:r w:rsidRPr="004B45F6">
        <w:rPr>
          <w:rFonts w:ascii="Times New Roman" w:hAnsi="Times New Roman"/>
          <w:szCs w:val="24"/>
        </w:rPr>
        <w:t>.</w:t>
      </w:r>
      <w:r w:rsidRPr="004B45F6">
        <w:rPr>
          <w:rStyle w:val="FootnoteReference"/>
          <w:rFonts w:ascii="Times New Roman" w:hAnsi="Times New Roman"/>
          <w:szCs w:val="24"/>
        </w:rPr>
        <w:footnoteReference w:id="1127"/>
      </w:r>
      <w:r w:rsidRPr="004B45F6">
        <w:rPr>
          <w:rFonts w:ascii="Times New Roman" w:hAnsi="Times New Roman"/>
          <w:szCs w:val="24"/>
        </w:rPr>
        <w:t xml:space="preserve">The legal representatives noted that victims are ‘entitled’ to express their ‘concerns’ on the basis that  Judge Van Den </w:t>
      </w:r>
      <w:proofErr w:type="spellStart"/>
      <w:r w:rsidRPr="004B45F6">
        <w:rPr>
          <w:rFonts w:ascii="Times New Roman" w:hAnsi="Times New Roman"/>
          <w:szCs w:val="24"/>
        </w:rPr>
        <w:t>Wyngeart</w:t>
      </w:r>
      <w:proofErr w:type="spellEnd"/>
      <w:r w:rsidRPr="004B45F6">
        <w:rPr>
          <w:rFonts w:ascii="Times New Roman" w:hAnsi="Times New Roman"/>
          <w:szCs w:val="24"/>
        </w:rPr>
        <w:t xml:space="preserve"> has been requested to rule on a reduc</w:t>
      </w:r>
      <w:r w:rsidR="0085310D">
        <w:rPr>
          <w:rFonts w:ascii="Times New Roman" w:hAnsi="Times New Roman"/>
          <w:szCs w:val="24"/>
        </w:rPr>
        <w:t>ed</w:t>
      </w:r>
      <w:r w:rsidRPr="004B45F6">
        <w:rPr>
          <w:rFonts w:ascii="Times New Roman" w:hAnsi="Times New Roman"/>
          <w:szCs w:val="24"/>
        </w:rPr>
        <w:t xml:space="preserve"> sentence of Germain Katanga.</w:t>
      </w:r>
      <w:r w:rsidRPr="004B45F6">
        <w:rPr>
          <w:rStyle w:val="FootnoteReference"/>
          <w:rFonts w:ascii="Times New Roman" w:hAnsi="Times New Roman"/>
          <w:szCs w:val="24"/>
        </w:rPr>
        <w:footnoteReference w:id="1128"/>
      </w:r>
      <w:r w:rsidRPr="004B45F6">
        <w:rPr>
          <w:rFonts w:ascii="Times New Roman" w:hAnsi="Times New Roman"/>
          <w:szCs w:val="24"/>
        </w:rPr>
        <w:t>It was observed that once a decision of sentence reduction is made, it is final and irreversible.</w:t>
      </w:r>
      <w:r w:rsidRPr="004B45F6">
        <w:rPr>
          <w:rStyle w:val="FootnoteReference"/>
          <w:rFonts w:ascii="Times New Roman" w:hAnsi="Times New Roman"/>
          <w:szCs w:val="24"/>
        </w:rPr>
        <w:footnoteReference w:id="1129"/>
      </w:r>
    </w:p>
    <w:p w14:paraId="1DF6CF4F" w14:textId="38E2088F" w:rsidR="003B4170" w:rsidRDefault="004D5736" w:rsidP="00BE1BF7">
      <w:pPr>
        <w:spacing w:line="480" w:lineRule="auto"/>
        <w:jc w:val="both"/>
        <w:rPr>
          <w:rFonts w:ascii="Times New Roman" w:hAnsi="Times New Roman"/>
          <w:szCs w:val="24"/>
        </w:rPr>
      </w:pPr>
      <w:r w:rsidRPr="004B45F6">
        <w:rPr>
          <w:rFonts w:ascii="Times New Roman" w:hAnsi="Times New Roman"/>
          <w:szCs w:val="24"/>
        </w:rPr>
        <w:t xml:space="preserve">Schabas suggests that </w:t>
      </w:r>
      <w:r w:rsidR="00C7070D">
        <w:rPr>
          <w:rFonts w:ascii="Times New Roman" w:hAnsi="Times New Roman"/>
          <w:szCs w:val="24"/>
        </w:rPr>
        <w:t>early release's primary justification</w:t>
      </w:r>
      <w:r w:rsidRPr="004B45F6">
        <w:rPr>
          <w:rFonts w:ascii="Times New Roman" w:hAnsi="Times New Roman"/>
          <w:szCs w:val="24"/>
        </w:rPr>
        <w:t xml:space="preserve"> is to decide if the prisoner is suitable for social rehabilitation after the sentence.</w:t>
      </w:r>
      <w:r w:rsidRPr="004B45F6">
        <w:rPr>
          <w:rStyle w:val="FootnoteReference"/>
          <w:rFonts w:ascii="Times New Roman" w:hAnsi="Times New Roman"/>
          <w:szCs w:val="24"/>
        </w:rPr>
        <w:footnoteReference w:id="1130"/>
      </w:r>
      <w:r w:rsidRPr="004B45F6">
        <w:rPr>
          <w:rFonts w:ascii="Times New Roman" w:hAnsi="Times New Roman"/>
          <w:szCs w:val="24"/>
        </w:rPr>
        <w:t>Th</w:t>
      </w:r>
      <w:r w:rsidR="00202DC2">
        <w:rPr>
          <w:rFonts w:ascii="Times New Roman" w:hAnsi="Times New Roman"/>
          <w:szCs w:val="24"/>
        </w:rPr>
        <w:t>e Defence cited this point</w:t>
      </w:r>
      <w:r w:rsidRPr="004B45F6">
        <w:rPr>
          <w:rFonts w:ascii="Times New Roman" w:hAnsi="Times New Roman"/>
          <w:szCs w:val="24"/>
        </w:rPr>
        <w:t xml:space="preserve">. Nonetheless, it should be noted that early release is likely to sabotage the deterrent and retributive function of sentencing. </w:t>
      </w:r>
      <w:r w:rsidR="00F923A9">
        <w:rPr>
          <w:rFonts w:ascii="Times New Roman" w:hAnsi="Times New Roman"/>
          <w:szCs w:val="24"/>
        </w:rPr>
        <w:t xml:space="preserve">Perhaps, </w:t>
      </w:r>
      <w:r w:rsidRPr="004B45F6">
        <w:rPr>
          <w:rFonts w:ascii="Times New Roman" w:hAnsi="Times New Roman"/>
          <w:szCs w:val="24"/>
        </w:rPr>
        <w:t>early release or sentence reduction may affect victims’ perspective of justice or how victims perceive the ICC.</w:t>
      </w:r>
      <w:r w:rsidR="00B15CF5">
        <w:rPr>
          <w:rFonts w:ascii="Times New Roman" w:hAnsi="Times New Roman"/>
          <w:szCs w:val="24"/>
        </w:rPr>
        <w:t xml:space="preserve"> </w:t>
      </w:r>
      <w:r w:rsidR="003B4170" w:rsidRPr="004B45F6">
        <w:rPr>
          <w:rFonts w:ascii="Times New Roman" w:hAnsi="Times New Roman"/>
          <w:szCs w:val="24"/>
        </w:rPr>
        <w:t>Where the rationale behind sentencing is classical theories of retributive justice, early release or reduction of sentencing may sabotage the purpose of such punishment.</w:t>
      </w:r>
    </w:p>
    <w:p w14:paraId="4A93054A" w14:textId="77777777" w:rsidR="00114293" w:rsidRPr="004B45F6" w:rsidRDefault="00114293" w:rsidP="0085310D">
      <w:pPr>
        <w:spacing w:line="480" w:lineRule="auto"/>
        <w:jc w:val="both"/>
        <w:rPr>
          <w:rFonts w:ascii="Times New Roman" w:hAnsi="Times New Roman"/>
          <w:szCs w:val="24"/>
        </w:rPr>
      </w:pPr>
      <w:r w:rsidRPr="004B45F6">
        <w:rPr>
          <w:rFonts w:ascii="Times New Roman" w:hAnsi="Times New Roman"/>
          <w:szCs w:val="24"/>
        </w:rPr>
        <w:t xml:space="preserve">The excerpts from victims’ submissions </w:t>
      </w:r>
      <w:r w:rsidR="00B45E3A">
        <w:rPr>
          <w:rFonts w:ascii="Times New Roman" w:hAnsi="Times New Roman"/>
          <w:szCs w:val="24"/>
        </w:rPr>
        <w:t>are</w:t>
      </w:r>
      <w:r w:rsidRPr="004B45F6">
        <w:rPr>
          <w:rFonts w:ascii="Times New Roman" w:hAnsi="Times New Roman"/>
          <w:szCs w:val="24"/>
        </w:rPr>
        <w:t xml:space="preserve"> in </w:t>
      </w:r>
      <w:r w:rsidR="00B45E3A">
        <w:rPr>
          <w:rFonts w:ascii="Times New Roman" w:hAnsi="Times New Roman"/>
          <w:szCs w:val="24"/>
        </w:rPr>
        <w:t xml:space="preserve">the </w:t>
      </w:r>
      <w:r w:rsidRPr="004B45F6">
        <w:rPr>
          <w:rFonts w:ascii="Times New Roman" w:hAnsi="Times New Roman"/>
          <w:szCs w:val="24"/>
        </w:rPr>
        <w:t>quote below:</w:t>
      </w:r>
    </w:p>
    <w:p w14:paraId="53B76696" w14:textId="77777777" w:rsidR="00114293" w:rsidRPr="001F5F21" w:rsidRDefault="00114293" w:rsidP="00202DC2">
      <w:pPr>
        <w:pStyle w:val="Quote"/>
        <w:ind w:left="0"/>
        <w:rPr>
          <w:rFonts w:ascii="Times New Roman" w:hAnsi="Times New Roman"/>
          <w:b/>
          <w:u w:val="single"/>
        </w:rPr>
      </w:pPr>
      <w:r w:rsidRPr="00BE1BF7">
        <w:rPr>
          <w:rFonts w:ascii="Times New Roman" w:hAnsi="Times New Roman"/>
          <w:i w:val="0"/>
        </w:rPr>
        <w:lastRenderedPageBreak/>
        <w:t>“Fu</w:t>
      </w:r>
      <w:r w:rsidR="00B45E3A" w:rsidRPr="00BE1BF7">
        <w:rPr>
          <w:rFonts w:ascii="Times New Roman" w:hAnsi="Times New Roman"/>
          <w:i w:val="0"/>
        </w:rPr>
        <w:t>r</w:t>
      </w:r>
      <w:r w:rsidRPr="00BE1BF7">
        <w:rPr>
          <w:rFonts w:ascii="Times New Roman" w:hAnsi="Times New Roman"/>
          <w:i w:val="0"/>
        </w:rPr>
        <w:t>thermore, having regard to the gravity of the crimes of which he was found guilty and the extent of the harm suffered by the victims, we deplore the 12</w:t>
      </w:r>
      <w:r w:rsidR="00B45E3A" w:rsidRPr="00BE1BF7">
        <w:rPr>
          <w:rFonts w:ascii="Times New Roman" w:hAnsi="Times New Roman"/>
          <w:i w:val="0"/>
        </w:rPr>
        <w:t>-</w:t>
      </w:r>
      <w:r w:rsidRPr="00BE1BF7">
        <w:rPr>
          <w:rFonts w:ascii="Times New Roman" w:hAnsi="Times New Roman"/>
          <w:i w:val="0"/>
        </w:rPr>
        <w:t>year sentence imposed on Germain Katanga by the International Criminal Court …[…..]</w:t>
      </w:r>
      <w:r w:rsidRPr="00BE1BF7">
        <w:rPr>
          <w:rFonts w:ascii="Times New Roman" w:hAnsi="Times New Roman"/>
          <w:i w:val="0"/>
          <w:u w:val="single"/>
        </w:rPr>
        <w:t xml:space="preserve">The victims of the February 2003 attack on </w:t>
      </w:r>
      <w:proofErr w:type="spellStart"/>
      <w:r w:rsidRPr="00BE1BF7">
        <w:rPr>
          <w:rFonts w:ascii="Times New Roman" w:hAnsi="Times New Roman"/>
          <w:i w:val="0"/>
          <w:u w:val="single"/>
        </w:rPr>
        <w:t>Bogoro</w:t>
      </w:r>
      <w:proofErr w:type="spellEnd"/>
      <w:r w:rsidRPr="00BE1BF7">
        <w:rPr>
          <w:rFonts w:ascii="Times New Roman" w:hAnsi="Times New Roman"/>
          <w:i w:val="0"/>
          <w:u w:val="single"/>
        </w:rPr>
        <w:t xml:space="preserve"> consider  that this sentence is not proportionate to the crimes committed and that any reduction would merely exacerbate the feeling of injustice shared by all victims.</w:t>
      </w:r>
      <w:r w:rsidRPr="001F5F21">
        <w:rPr>
          <w:rFonts w:ascii="Times New Roman" w:hAnsi="Times New Roman"/>
          <w:u w:val="single"/>
        </w:rPr>
        <w:t>”</w:t>
      </w:r>
      <w:r w:rsidRPr="001F5F21">
        <w:rPr>
          <w:rStyle w:val="FootnoteReference"/>
          <w:rFonts w:ascii="Times New Roman" w:hAnsi="Times New Roman"/>
          <w:szCs w:val="24"/>
          <w:u w:val="single"/>
        </w:rPr>
        <w:footnoteReference w:id="1131"/>
      </w:r>
    </w:p>
    <w:p w14:paraId="3DE75F09" w14:textId="77777777" w:rsidR="00114293" w:rsidRPr="001F5F21" w:rsidRDefault="00114293" w:rsidP="001F5F21">
      <w:pPr>
        <w:pStyle w:val="Quote"/>
        <w:rPr>
          <w:rFonts w:ascii="Times New Roman" w:hAnsi="Times New Roman"/>
        </w:rPr>
      </w:pPr>
    </w:p>
    <w:p w14:paraId="7035AE3D" w14:textId="77777777" w:rsidR="00114293" w:rsidRPr="004B45F6" w:rsidRDefault="00114293" w:rsidP="001F5F21">
      <w:pPr>
        <w:pStyle w:val="Quote"/>
        <w:rPr>
          <w:b/>
        </w:rPr>
      </w:pPr>
      <w:r w:rsidRPr="001F5F21">
        <w:rPr>
          <w:rFonts w:ascii="Times New Roman" w:hAnsi="Times New Roman"/>
        </w:rPr>
        <w:t xml:space="preserve">  “ </w:t>
      </w:r>
      <w:r w:rsidRPr="00BE1BF7">
        <w:rPr>
          <w:rFonts w:ascii="Times New Roman" w:hAnsi="Times New Roman"/>
          <w:i w:val="0"/>
        </w:rPr>
        <w:t xml:space="preserve">With respect to the victims’ submissions and the observations of the DRC authorities regarding the </w:t>
      </w:r>
      <w:r w:rsidRPr="00BE1BF7">
        <w:rPr>
          <w:rFonts w:ascii="Times New Roman" w:hAnsi="Times New Roman"/>
          <w:i w:val="0"/>
          <w:u w:val="single"/>
        </w:rPr>
        <w:t>victims’ continuing negatives feelings regarding the length of Mr Katanga’s original sentence</w:t>
      </w:r>
      <w:r w:rsidRPr="00BE1BF7">
        <w:rPr>
          <w:rFonts w:ascii="Times New Roman" w:hAnsi="Times New Roman"/>
          <w:i w:val="0"/>
        </w:rPr>
        <w:t>, the panel concurs</w:t>
      </w:r>
      <w:r w:rsidRPr="004B45F6">
        <w:t>…..”</w:t>
      </w:r>
      <w:r w:rsidRPr="004B45F6">
        <w:rPr>
          <w:rStyle w:val="FootnoteReference"/>
          <w:rFonts w:ascii="Times New Roman" w:hAnsi="Times New Roman"/>
          <w:szCs w:val="24"/>
        </w:rPr>
        <w:footnoteReference w:id="1132"/>
      </w:r>
      <w:r w:rsidRPr="004B45F6">
        <w:t xml:space="preserve">    </w:t>
      </w:r>
    </w:p>
    <w:p w14:paraId="566A4F6C" w14:textId="6C0E0772" w:rsidR="00114293" w:rsidRPr="004B45F6" w:rsidRDefault="00114293" w:rsidP="0085310D">
      <w:pPr>
        <w:spacing w:line="480" w:lineRule="auto"/>
        <w:jc w:val="both"/>
        <w:rPr>
          <w:rFonts w:ascii="Times New Roman" w:hAnsi="Times New Roman"/>
          <w:szCs w:val="24"/>
        </w:rPr>
      </w:pPr>
      <w:r w:rsidRPr="004B45F6">
        <w:rPr>
          <w:rFonts w:ascii="Times New Roman" w:hAnsi="Times New Roman"/>
          <w:szCs w:val="24"/>
        </w:rPr>
        <w:t>It is necessary to state here that the above excerpts demonstrate the disappointment of victims in the declared sentence</w:t>
      </w:r>
      <w:r w:rsidR="00F923A9">
        <w:rPr>
          <w:rFonts w:ascii="Times New Roman" w:hAnsi="Times New Roman"/>
          <w:szCs w:val="24"/>
        </w:rPr>
        <w:t xml:space="preserve"> and sentence review</w:t>
      </w:r>
      <w:r w:rsidRPr="004B45F6">
        <w:rPr>
          <w:rFonts w:ascii="Times New Roman" w:hAnsi="Times New Roman"/>
          <w:szCs w:val="24"/>
        </w:rPr>
        <w:t>.</w:t>
      </w:r>
      <w:r w:rsidR="00B45E3A">
        <w:rPr>
          <w:rFonts w:ascii="Times New Roman" w:hAnsi="Times New Roman"/>
          <w:szCs w:val="24"/>
        </w:rPr>
        <w:t xml:space="preserve"> </w:t>
      </w:r>
      <w:r w:rsidRPr="004B45F6">
        <w:rPr>
          <w:rFonts w:ascii="Times New Roman" w:hAnsi="Times New Roman"/>
          <w:szCs w:val="24"/>
        </w:rPr>
        <w:t xml:space="preserve">It seems the victims expected a higher sentence because of the gravity of </w:t>
      </w:r>
      <w:r w:rsidR="003F6F34">
        <w:rPr>
          <w:rFonts w:ascii="Times New Roman" w:hAnsi="Times New Roman"/>
          <w:szCs w:val="24"/>
        </w:rPr>
        <w:t xml:space="preserve">the </w:t>
      </w:r>
      <w:r w:rsidRPr="004B45F6">
        <w:rPr>
          <w:rFonts w:ascii="Times New Roman" w:hAnsi="Times New Roman"/>
          <w:szCs w:val="24"/>
        </w:rPr>
        <w:t>c</w:t>
      </w:r>
      <w:r w:rsidR="00C7070D">
        <w:rPr>
          <w:rFonts w:ascii="Times New Roman" w:hAnsi="Times New Roman"/>
          <w:szCs w:val="24"/>
        </w:rPr>
        <w:t>onvict's crime</w:t>
      </w:r>
      <w:r w:rsidRPr="004B45F6">
        <w:rPr>
          <w:rFonts w:ascii="Times New Roman" w:hAnsi="Times New Roman"/>
          <w:szCs w:val="24"/>
        </w:rPr>
        <w:t>.</w:t>
      </w:r>
      <w:r w:rsidR="00B45E3A">
        <w:rPr>
          <w:rFonts w:ascii="Times New Roman" w:hAnsi="Times New Roman"/>
          <w:szCs w:val="24"/>
        </w:rPr>
        <w:t xml:space="preserve"> </w:t>
      </w:r>
      <w:r w:rsidRPr="004B45F6">
        <w:rPr>
          <w:rFonts w:ascii="Times New Roman" w:hAnsi="Times New Roman"/>
          <w:szCs w:val="24"/>
        </w:rPr>
        <w:t>Both the victims and</w:t>
      </w:r>
      <w:r w:rsidR="00B45E3A">
        <w:rPr>
          <w:rFonts w:ascii="Times New Roman" w:hAnsi="Times New Roman"/>
          <w:szCs w:val="24"/>
        </w:rPr>
        <w:t xml:space="preserve"> the DRC authorities expressed th</w:t>
      </w:r>
      <w:r w:rsidRPr="004B45F6">
        <w:rPr>
          <w:rFonts w:ascii="Times New Roman" w:hAnsi="Times New Roman"/>
          <w:szCs w:val="24"/>
        </w:rPr>
        <w:t xml:space="preserve">at they were not satisfied with the </w:t>
      </w:r>
      <w:r w:rsidR="00C7070D">
        <w:rPr>
          <w:rFonts w:ascii="Times New Roman" w:hAnsi="Times New Roman"/>
          <w:szCs w:val="24"/>
        </w:rPr>
        <w:t>Court's declared sentence</w:t>
      </w:r>
      <w:r w:rsidRPr="004B45F6">
        <w:rPr>
          <w:rFonts w:ascii="Times New Roman" w:hAnsi="Times New Roman"/>
          <w:szCs w:val="24"/>
        </w:rPr>
        <w:t>. Th</w:t>
      </w:r>
      <w:r w:rsidR="00F923A9">
        <w:rPr>
          <w:rFonts w:ascii="Times New Roman" w:hAnsi="Times New Roman"/>
          <w:szCs w:val="24"/>
        </w:rPr>
        <w:t>e dissatisfaction</w:t>
      </w:r>
      <w:r w:rsidRPr="004B45F6">
        <w:rPr>
          <w:rFonts w:ascii="Times New Roman" w:hAnsi="Times New Roman"/>
          <w:szCs w:val="24"/>
        </w:rPr>
        <w:t xml:space="preserve"> is not unconnected to the applicable laws and the jurisprudence in DRC. They believed the convict would have received a harsher sentence in Congo.</w:t>
      </w:r>
    </w:p>
    <w:p w14:paraId="4775C66A" w14:textId="04B06CDE" w:rsidR="00114293" w:rsidRDefault="00114293" w:rsidP="00265D34">
      <w:pPr>
        <w:spacing w:line="480" w:lineRule="auto"/>
        <w:jc w:val="both"/>
        <w:rPr>
          <w:rFonts w:ascii="Times New Roman" w:hAnsi="Times New Roman"/>
          <w:szCs w:val="24"/>
        </w:rPr>
      </w:pPr>
      <w:r w:rsidRPr="004B45F6">
        <w:rPr>
          <w:rFonts w:ascii="Times New Roman" w:hAnsi="Times New Roman"/>
          <w:szCs w:val="24"/>
        </w:rPr>
        <w:t>Similarly, the DRC authorities expressed their reservations regarding the declared sentence for Lubanga.</w:t>
      </w:r>
      <w:r w:rsidR="00B45E3A">
        <w:rPr>
          <w:rFonts w:ascii="Times New Roman" w:hAnsi="Times New Roman"/>
          <w:szCs w:val="24"/>
        </w:rPr>
        <w:t xml:space="preserve"> </w:t>
      </w:r>
      <w:r w:rsidRPr="004B45F6">
        <w:rPr>
          <w:rFonts w:ascii="Times New Roman" w:hAnsi="Times New Roman"/>
          <w:szCs w:val="24"/>
        </w:rPr>
        <w:t xml:space="preserve">They reported that Katanga’s sentence of 12 years came as a </w:t>
      </w:r>
      <w:r w:rsidRPr="004B45F6">
        <w:rPr>
          <w:rFonts w:ascii="Times New Roman" w:hAnsi="Times New Roman"/>
          <w:szCs w:val="24"/>
        </w:rPr>
        <w:lastRenderedPageBreak/>
        <w:t xml:space="preserve">rude shock to the affected population of </w:t>
      </w:r>
      <w:proofErr w:type="spellStart"/>
      <w:r w:rsidRPr="004B45F6">
        <w:rPr>
          <w:rFonts w:ascii="Times New Roman" w:hAnsi="Times New Roman"/>
          <w:szCs w:val="24"/>
        </w:rPr>
        <w:t>Ituri</w:t>
      </w:r>
      <w:proofErr w:type="spellEnd"/>
      <w:r w:rsidRPr="004B45F6">
        <w:rPr>
          <w:rFonts w:ascii="Times New Roman" w:hAnsi="Times New Roman"/>
          <w:szCs w:val="24"/>
        </w:rPr>
        <w:t xml:space="preserve">, </w:t>
      </w:r>
      <w:r w:rsidRPr="00265D34">
        <w:rPr>
          <w:rFonts w:ascii="Times New Roman" w:hAnsi="Times New Roman"/>
          <w:szCs w:val="24"/>
        </w:rPr>
        <w:t>“</w:t>
      </w:r>
      <w:r w:rsidR="00B45E3A" w:rsidRPr="00265D34">
        <w:rPr>
          <w:rFonts w:ascii="Times New Roman" w:hAnsi="Times New Roman"/>
          <w:szCs w:val="24"/>
        </w:rPr>
        <w:t>who, the DRC authorities submit, expected a higher sentence</w:t>
      </w:r>
      <w:r w:rsidRPr="00265D34">
        <w:rPr>
          <w:rFonts w:ascii="Times New Roman" w:hAnsi="Times New Roman"/>
          <w:szCs w:val="24"/>
        </w:rPr>
        <w:t>, given the nature of the crimes committed</w:t>
      </w:r>
      <w:r w:rsidRPr="004B45F6">
        <w:rPr>
          <w:rFonts w:ascii="Times New Roman" w:hAnsi="Times New Roman"/>
          <w:i/>
          <w:szCs w:val="24"/>
        </w:rPr>
        <w:t>.</w:t>
      </w:r>
      <w:r w:rsidRPr="004B45F6">
        <w:rPr>
          <w:rFonts w:ascii="Times New Roman" w:hAnsi="Times New Roman"/>
          <w:szCs w:val="24"/>
        </w:rPr>
        <w:t>”</w:t>
      </w:r>
      <w:r w:rsidRPr="004B45F6">
        <w:rPr>
          <w:rStyle w:val="FootnoteReference"/>
          <w:rFonts w:ascii="Times New Roman" w:hAnsi="Times New Roman"/>
          <w:szCs w:val="24"/>
        </w:rPr>
        <w:footnoteReference w:id="1133"/>
      </w:r>
    </w:p>
    <w:p w14:paraId="0C49A4BB" w14:textId="163C6C55" w:rsidR="003F6F34" w:rsidRDefault="00B45E3A" w:rsidP="00265D34">
      <w:pPr>
        <w:spacing w:line="480" w:lineRule="auto"/>
        <w:jc w:val="both"/>
        <w:rPr>
          <w:rFonts w:ascii="Times New Roman" w:hAnsi="Times New Roman"/>
          <w:szCs w:val="24"/>
        </w:rPr>
      </w:pPr>
      <w:r>
        <w:rPr>
          <w:rFonts w:ascii="Times New Roman" w:hAnsi="Times New Roman"/>
          <w:szCs w:val="24"/>
        </w:rPr>
        <w:t>The panel considered the presence of five factors</w:t>
      </w:r>
      <w:r w:rsidR="00F412A1">
        <w:rPr>
          <w:rFonts w:ascii="Times New Roman" w:hAnsi="Times New Roman"/>
          <w:szCs w:val="24"/>
        </w:rPr>
        <w:t xml:space="preserve"> listed in Lubanga sentencing.</w:t>
      </w:r>
      <w:r>
        <w:rPr>
          <w:rFonts w:ascii="Times New Roman" w:hAnsi="Times New Roman"/>
          <w:szCs w:val="24"/>
        </w:rPr>
        <w:t xml:space="preserve"> </w:t>
      </w:r>
      <w:r w:rsidR="00F412A1">
        <w:rPr>
          <w:rFonts w:ascii="Times New Roman" w:hAnsi="Times New Roman"/>
          <w:szCs w:val="24"/>
        </w:rPr>
        <w:t>In as much as the panel finds information that supports one of the factors in rule 223</w:t>
      </w:r>
      <w:r w:rsidR="00BE4E89">
        <w:rPr>
          <w:rFonts w:ascii="Times New Roman" w:hAnsi="Times New Roman"/>
          <w:szCs w:val="24"/>
        </w:rPr>
        <w:t>,</w:t>
      </w:r>
      <w:r w:rsidR="00F412A1">
        <w:rPr>
          <w:rFonts w:ascii="Times New Roman" w:hAnsi="Times New Roman"/>
          <w:szCs w:val="24"/>
        </w:rPr>
        <w:t xml:space="preserve"> o</w:t>
      </w:r>
      <w:r w:rsidR="00BE4E89">
        <w:rPr>
          <w:rFonts w:ascii="Times New Roman" w:hAnsi="Times New Roman"/>
          <w:szCs w:val="24"/>
        </w:rPr>
        <w:t xml:space="preserve">r </w:t>
      </w:r>
      <w:r w:rsidR="00F412A1">
        <w:rPr>
          <w:rFonts w:ascii="Times New Roman" w:hAnsi="Times New Roman"/>
          <w:szCs w:val="24"/>
        </w:rPr>
        <w:t>article 110, it is left to the discretion of the Court to make a sentence reduction.</w:t>
      </w:r>
      <w:r w:rsidR="00BE4E89">
        <w:rPr>
          <w:rFonts w:ascii="Times New Roman" w:hAnsi="Times New Roman"/>
          <w:szCs w:val="24"/>
        </w:rPr>
        <w:t xml:space="preserve"> </w:t>
      </w:r>
      <w:r w:rsidR="00F412A1">
        <w:rPr>
          <w:rFonts w:ascii="Times New Roman" w:hAnsi="Times New Roman"/>
          <w:szCs w:val="24"/>
        </w:rPr>
        <w:t>According to the panel,</w:t>
      </w:r>
      <w:r w:rsidR="00F923A9">
        <w:rPr>
          <w:rFonts w:ascii="Times New Roman" w:hAnsi="Times New Roman"/>
          <w:szCs w:val="24"/>
        </w:rPr>
        <w:t xml:space="preserve"> </w:t>
      </w:r>
      <w:r w:rsidR="00F412A1">
        <w:rPr>
          <w:rFonts w:ascii="Times New Roman" w:hAnsi="Times New Roman"/>
          <w:szCs w:val="24"/>
        </w:rPr>
        <w:t xml:space="preserve">the reduction is </w:t>
      </w:r>
      <w:r w:rsidR="00F923A9">
        <w:rPr>
          <w:rFonts w:ascii="Times New Roman" w:hAnsi="Times New Roman"/>
          <w:szCs w:val="24"/>
        </w:rPr>
        <w:t>main</w:t>
      </w:r>
      <w:r w:rsidR="00F412A1">
        <w:rPr>
          <w:rFonts w:ascii="Times New Roman" w:hAnsi="Times New Roman"/>
          <w:szCs w:val="24"/>
        </w:rPr>
        <w:t>ly dependent on the information taken into account to establish the presence of the factors in rule 223(a)-(e)</w:t>
      </w:r>
    </w:p>
    <w:p w14:paraId="004153B5" w14:textId="324F0972" w:rsidR="003F6F34" w:rsidRDefault="003F6F34" w:rsidP="00265D34">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On the early release of Mr Katanga, the Panel found that the early release of Mr Katanga would not give rise to “significant” social instability</w:t>
      </w:r>
      <w:r w:rsidR="00F923A9">
        <w:rPr>
          <w:rFonts w:ascii="Times New Roman" w:eastAsia="Cambria" w:hAnsi="Times New Roman"/>
          <w:szCs w:val="24"/>
          <w:lang w:eastAsia="ja-JP"/>
        </w:rPr>
        <w:t>. However,</w:t>
      </w:r>
      <w:r>
        <w:rPr>
          <w:rFonts w:ascii="Times New Roman" w:eastAsia="Cambria" w:hAnsi="Times New Roman"/>
          <w:szCs w:val="24"/>
          <w:lang w:eastAsia="ja-JP"/>
        </w:rPr>
        <w:t xml:space="preserve"> it had found that his early release would give rise to a degree of social </w:t>
      </w:r>
      <w:r w:rsidR="0067695C">
        <w:rPr>
          <w:rFonts w:ascii="Times New Roman" w:eastAsia="Cambria" w:hAnsi="Times New Roman"/>
          <w:szCs w:val="24"/>
          <w:lang w:eastAsia="ja-JP"/>
        </w:rPr>
        <w:t>unrest</w:t>
      </w:r>
      <w:r>
        <w:rPr>
          <w:rFonts w:ascii="Times New Roman" w:eastAsia="Cambria" w:hAnsi="Times New Roman"/>
          <w:szCs w:val="24"/>
          <w:lang w:eastAsia="ja-JP"/>
        </w:rPr>
        <w:t>.</w:t>
      </w:r>
      <w:r w:rsidR="005F000C">
        <w:rPr>
          <w:rFonts w:ascii="Times New Roman" w:eastAsia="Cambria" w:hAnsi="Times New Roman"/>
          <w:szCs w:val="24"/>
          <w:lang w:eastAsia="ja-JP"/>
        </w:rPr>
        <w:t xml:space="preserve"> </w:t>
      </w:r>
    </w:p>
    <w:p w14:paraId="3CB29822" w14:textId="6E64C470" w:rsidR="00114293" w:rsidRPr="004B45F6" w:rsidRDefault="003F6DA9" w:rsidP="000377B5">
      <w:pPr>
        <w:spacing w:line="480" w:lineRule="auto"/>
        <w:jc w:val="both"/>
        <w:rPr>
          <w:rFonts w:ascii="Times New Roman" w:hAnsi="Times New Roman"/>
          <w:szCs w:val="24"/>
        </w:rPr>
      </w:pPr>
      <w:r w:rsidRPr="004B45F6">
        <w:rPr>
          <w:rFonts w:ascii="Times New Roman" w:hAnsi="Times New Roman"/>
          <w:szCs w:val="24"/>
        </w:rPr>
        <w:t>In addressing this point, Mr Katanga</w:t>
      </w:r>
      <w:r w:rsidR="00183F52" w:rsidRPr="004B45F6">
        <w:rPr>
          <w:rFonts w:ascii="Times New Roman" w:hAnsi="Times New Roman"/>
          <w:szCs w:val="24"/>
        </w:rPr>
        <w:t xml:space="preserve"> submitted he took actions for the ben</w:t>
      </w:r>
      <w:r w:rsidR="00C972B3">
        <w:rPr>
          <w:rFonts w:ascii="Times New Roman" w:hAnsi="Times New Roman"/>
          <w:szCs w:val="24"/>
        </w:rPr>
        <w:t>e</w:t>
      </w:r>
      <w:r w:rsidR="00183F52" w:rsidRPr="004B45F6">
        <w:rPr>
          <w:rFonts w:ascii="Times New Roman" w:hAnsi="Times New Roman"/>
          <w:szCs w:val="24"/>
        </w:rPr>
        <w:t>fits of the victims.</w:t>
      </w:r>
      <w:r w:rsidR="00C972B3">
        <w:rPr>
          <w:rFonts w:ascii="Times New Roman" w:hAnsi="Times New Roman"/>
          <w:szCs w:val="24"/>
        </w:rPr>
        <w:t xml:space="preserve"> </w:t>
      </w:r>
      <w:r w:rsidR="00183F52" w:rsidRPr="004B45F6">
        <w:rPr>
          <w:rFonts w:ascii="Times New Roman" w:hAnsi="Times New Roman"/>
          <w:szCs w:val="24"/>
        </w:rPr>
        <w:t>These actions include; withdrawal of his appeal,</w:t>
      </w:r>
      <w:r w:rsidR="00C972B3">
        <w:rPr>
          <w:rFonts w:ascii="Times New Roman" w:hAnsi="Times New Roman"/>
          <w:szCs w:val="24"/>
        </w:rPr>
        <w:t xml:space="preserve"> </w:t>
      </w:r>
      <w:r w:rsidR="00183F52" w:rsidRPr="004B45F6">
        <w:rPr>
          <w:rFonts w:ascii="Times New Roman" w:hAnsi="Times New Roman"/>
          <w:szCs w:val="24"/>
        </w:rPr>
        <w:t>expression of regret, actions towards bring</w:t>
      </w:r>
      <w:r w:rsidR="005D7F8D">
        <w:rPr>
          <w:rFonts w:ascii="Times New Roman" w:hAnsi="Times New Roman"/>
          <w:szCs w:val="24"/>
        </w:rPr>
        <w:t>ing</w:t>
      </w:r>
      <w:r w:rsidR="00183F52" w:rsidRPr="004B45F6">
        <w:rPr>
          <w:rFonts w:ascii="Times New Roman" w:hAnsi="Times New Roman"/>
          <w:szCs w:val="24"/>
        </w:rPr>
        <w:t xml:space="preserve"> the two communities together</w:t>
      </w:r>
      <w:r w:rsidR="005D7F8D">
        <w:rPr>
          <w:rFonts w:ascii="Times New Roman" w:hAnsi="Times New Roman"/>
          <w:szCs w:val="24"/>
        </w:rPr>
        <w:t>,</w:t>
      </w:r>
      <w:r w:rsidR="00BE4E89">
        <w:rPr>
          <w:rFonts w:ascii="Times New Roman" w:hAnsi="Times New Roman"/>
          <w:szCs w:val="24"/>
        </w:rPr>
        <w:t xml:space="preserve"> </w:t>
      </w:r>
      <w:r w:rsidR="00183F52" w:rsidRPr="004B45F6">
        <w:rPr>
          <w:rFonts w:ascii="Times New Roman" w:hAnsi="Times New Roman"/>
          <w:szCs w:val="24"/>
        </w:rPr>
        <w:t>supporting victims in their applications for individual reparations, expressing public apologies.</w:t>
      </w:r>
      <w:r w:rsidR="00183F52" w:rsidRPr="004B45F6">
        <w:rPr>
          <w:rStyle w:val="FootnoteReference"/>
          <w:rFonts w:ascii="Times New Roman" w:hAnsi="Times New Roman"/>
          <w:szCs w:val="24"/>
        </w:rPr>
        <w:footnoteReference w:id="1134"/>
      </w:r>
    </w:p>
    <w:p w14:paraId="2A832612" w14:textId="36A9801E" w:rsidR="003B4170" w:rsidRPr="004B45F6" w:rsidRDefault="003A2746" w:rsidP="000377B5">
      <w:pPr>
        <w:spacing w:line="480" w:lineRule="auto"/>
        <w:jc w:val="both"/>
        <w:rPr>
          <w:rFonts w:ascii="Times New Roman" w:hAnsi="Times New Roman"/>
          <w:szCs w:val="24"/>
        </w:rPr>
      </w:pPr>
      <w:r w:rsidRPr="004B45F6">
        <w:rPr>
          <w:rFonts w:ascii="Times New Roman" w:hAnsi="Times New Roman"/>
          <w:szCs w:val="24"/>
        </w:rPr>
        <w:t>According to the Prosecutor, the sentence</w:t>
      </w:r>
      <w:r w:rsidR="003F6DA9" w:rsidRPr="004B45F6">
        <w:rPr>
          <w:rFonts w:ascii="Times New Roman" w:hAnsi="Times New Roman"/>
          <w:szCs w:val="24"/>
        </w:rPr>
        <w:t xml:space="preserve">d person has not taken any significant action </w:t>
      </w:r>
      <w:r w:rsidR="00C7070D">
        <w:rPr>
          <w:rFonts w:ascii="Times New Roman" w:hAnsi="Times New Roman"/>
          <w:szCs w:val="24"/>
        </w:rPr>
        <w:t>to benefit</w:t>
      </w:r>
      <w:r w:rsidR="003F6DA9" w:rsidRPr="004B45F6">
        <w:rPr>
          <w:rFonts w:ascii="Times New Roman" w:hAnsi="Times New Roman"/>
          <w:szCs w:val="24"/>
        </w:rPr>
        <w:t xml:space="preserve"> victims</w:t>
      </w:r>
      <w:r w:rsidRPr="004B45F6">
        <w:rPr>
          <w:rFonts w:ascii="Times New Roman" w:hAnsi="Times New Roman"/>
          <w:szCs w:val="24"/>
        </w:rPr>
        <w:t xml:space="preserve"> because </w:t>
      </w:r>
      <w:r w:rsidR="00C972B3">
        <w:rPr>
          <w:rFonts w:ascii="Times New Roman" w:hAnsi="Times New Roman"/>
          <w:szCs w:val="24"/>
        </w:rPr>
        <w:t xml:space="preserve">the </w:t>
      </w:r>
      <w:r w:rsidRPr="004B45F6">
        <w:rPr>
          <w:rFonts w:ascii="Times New Roman" w:hAnsi="Times New Roman"/>
          <w:szCs w:val="24"/>
        </w:rPr>
        <w:t>victim</w:t>
      </w:r>
      <w:r w:rsidR="00C972B3">
        <w:rPr>
          <w:rFonts w:ascii="Times New Roman" w:hAnsi="Times New Roman"/>
          <w:szCs w:val="24"/>
        </w:rPr>
        <w:t>s</w:t>
      </w:r>
      <w:r w:rsidRPr="004B45F6">
        <w:rPr>
          <w:rFonts w:ascii="Times New Roman" w:hAnsi="Times New Roman"/>
          <w:szCs w:val="24"/>
        </w:rPr>
        <w:t xml:space="preserve"> rejected Mr Katanga’s apology. In addition, the Prosecutor recall</w:t>
      </w:r>
      <w:r w:rsidR="00F923A9">
        <w:rPr>
          <w:rFonts w:ascii="Times New Roman" w:hAnsi="Times New Roman"/>
          <w:szCs w:val="24"/>
        </w:rPr>
        <w:t>ed</w:t>
      </w:r>
      <w:r w:rsidRPr="004B45F6">
        <w:rPr>
          <w:rFonts w:ascii="Times New Roman" w:hAnsi="Times New Roman"/>
          <w:szCs w:val="24"/>
        </w:rPr>
        <w:t xml:space="preserve"> that in the victims’ submissions, they averred that Mr Katanga’s early release to </w:t>
      </w:r>
      <w:proofErr w:type="spellStart"/>
      <w:r w:rsidRPr="004B45F6">
        <w:rPr>
          <w:rFonts w:ascii="Times New Roman" w:hAnsi="Times New Roman"/>
          <w:szCs w:val="24"/>
        </w:rPr>
        <w:t>Ituri</w:t>
      </w:r>
      <w:proofErr w:type="spellEnd"/>
      <w:r w:rsidRPr="004B45F6">
        <w:rPr>
          <w:rFonts w:ascii="Times New Roman" w:hAnsi="Times New Roman"/>
          <w:szCs w:val="24"/>
        </w:rPr>
        <w:t xml:space="preserve"> would trigger their trauma. She also noted that it was too early to decide if any of the potential actions that Mr Katanga promised to take during </w:t>
      </w:r>
      <w:r w:rsidRPr="004B45F6">
        <w:rPr>
          <w:rFonts w:ascii="Times New Roman" w:hAnsi="Times New Roman"/>
          <w:szCs w:val="24"/>
        </w:rPr>
        <w:lastRenderedPageBreak/>
        <w:t>reparations wou</w:t>
      </w:r>
      <w:r w:rsidR="00C972B3">
        <w:rPr>
          <w:rFonts w:ascii="Times New Roman" w:hAnsi="Times New Roman"/>
          <w:szCs w:val="24"/>
        </w:rPr>
        <w:t>ld be</w:t>
      </w:r>
      <w:r w:rsidR="00C7070D">
        <w:rPr>
          <w:rFonts w:ascii="Times New Roman" w:hAnsi="Times New Roman"/>
          <w:szCs w:val="24"/>
        </w:rPr>
        <w:t>nefit</w:t>
      </w:r>
      <w:r w:rsidR="00C972B3">
        <w:rPr>
          <w:rFonts w:ascii="Times New Roman" w:hAnsi="Times New Roman"/>
          <w:szCs w:val="24"/>
        </w:rPr>
        <w:t xml:space="preserve"> the victim</w:t>
      </w:r>
      <w:r w:rsidR="00F923A9">
        <w:rPr>
          <w:rFonts w:ascii="Times New Roman" w:hAnsi="Times New Roman"/>
          <w:szCs w:val="24"/>
        </w:rPr>
        <w:t>s</w:t>
      </w:r>
      <w:r w:rsidRPr="004B45F6">
        <w:rPr>
          <w:rFonts w:ascii="Times New Roman" w:hAnsi="Times New Roman"/>
          <w:szCs w:val="24"/>
        </w:rPr>
        <w:t>.</w:t>
      </w:r>
      <w:r w:rsidRPr="004B45F6">
        <w:rPr>
          <w:rStyle w:val="FootnoteReference"/>
          <w:rFonts w:ascii="Times New Roman" w:hAnsi="Times New Roman"/>
          <w:szCs w:val="24"/>
        </w:rPr>
        <w:footnoteReference w:id="1135"/>
      </w:r>
      <w:r w:rsidRPr="004B45F6">
        <w:rPr>
          <w:rFonts w:ascii="Times New Roman" w:hAnsi="Times New Roman"/>
          <w:szCs w:val="24"/>
        </w:rPr>
        <w:t>Mr Katanga argued that his withdrawal of appeal against the</w:t>
      </w:r>
      <w:r w:rsidR="005D7F8D">
        <w:rPr>
          <w:rFonts w:ascii="Times New Roman" w:hAnsi="Times New Roman"/>
          <w:szCs w:val="24"/>
        </w:rPr>
        <w:t xml:space="preserve"> conviction decision constituted</w:t>
      </w:r>
      <w:r w:rsidRPr="004B45F6">
        <w:rPr>
          <w:rFonts w:ascii="Times New Roman" w:hAnsi="Times New Roman"/>
          <w:szCs w:val="24"/>
        </w:rPr>
        <w:t xml:space="preserve"> ‘</w:t>
      </w:r>
      <w:r w:rsidRPr="004B45F6">
        <w:rPr>
          <w:rFonts w:ascii="Times New Roman" w:hAnsi="Times New Roman"/>
          <w:i/>
          <w:szCs w:val="24"/>
        </w:rPr>
        <w:t>a significant action’</w:t>
      </w:r>
      <w:r w:rsidRPr="004B45F6">
        <w:rPr>
          <w:rFonts w:ascii="Times New Roman" w:hAnsi="Times New Roman"/>
          <w:szCs w:val="24"/>
        </w:rPr>
        <w:t xml:space="preserve"> that </w:t>
      </w:r>
      <w:r w:rsidR="005D7F8D">
        <w:rPr>
          <w:rFonts w:ascii="Times New Roman" w:hAnsi="Times New Roman"/>
          <w:szCs w:val="24"/>
        </w:rPr>
        <w:t>would benefit</w:t>
      </w:r>
      <w:r w:rsidRPr="004B45F6">
        <w:rPr>
          <w:rFonts w:ascii="Times New Roman" w:hAnsi="Times New Roman"/>
          <w:szCs w:val="24"/>
        </w:rPr>
        <w:t xml:space="preserve"> the victims.</w:t>
      </w:r>
    </w:p>
    <w:p w14:paraId="04585297" w14:textId="186EBDFA" w:rsidR="00A766DD" w:rsidRPr="004B45F6" w:rsidRDefault="00A766DD" w:rsidP="001E3A2D">
      <w:pPr>
        <w:spacing w:line="480" w:lineRule="auto"/>
        <w:jc w:val="both"/>
        <w:rPr>
          <w:rFonts w:ascii="Times New Roman" w:hAnsi="Times New Roman"/>
          <w:szCs w:val="24"/>
        </w:rPr>
      </w:pPr>
      <w:r w:rsidRPr="004B45F6">
        <w:rPr>
          <w:rFonts w:ascii="Times New Roman" w:hAnsi="Times New Roman"/>
          <w:szCs w:val="24"/>
        </w:rPr>
        <w:t>Turning now to the final three actions identified by Katanga: that he has offered support for the Victims’ individual reparations</w:t>
      </w:r>
      <w:r w:rsidR="00F923A9">
        <w:rPr>
          <w:rFonts w:ascii="Times New Roman" w:hAnsi="Times New Roman"/>
          <w:szCs w:val="24"/>
        </w:rPr>
        <w:t>,</w:t>
      </w:r>
      <w:r w:rsidRPr="004B45F6">
        <w:rPr>
          <w:rStyle w:val="FootnoteReference"/>
          <w:rFonts w:ascii="Times New Roman" w:hAnsi="Times New Roman"/>
          <w:szCs w:val="24"/>
        </w:rPr>
        <w:footnoteReference w:id="1136"/>
      </w:r>
      <w:r w:rsidR="001E3A2D">
        <w:rPr>
          <w:rFonts w:ascii="Times New Roman" w:hAnsi="Times New Roman"/>
          <w:szCs w:val="24"/>
        </w:rPr>
        <w:t xml:space="preserve"> t</w:t>
      </w:r>
      <w:r w:rsidRPr="004B45F6">
        <w:rPr>
          <w:rFonts w:ascii="Times New Roman" w:hAnsi="Times New Roman"/>
          <w:szCs w:val="24"/>
        </w:rPr>
        <w:t>hat he has released an a</w:t>
      </w:r>
      <w:r w:rsidR="00C972B3">
        <w:rPr>
          <w:rFonts w:ascii="Times New Roman" w:hAnsi="Times New Roman"/>
          <w:szCs w:val="24"/>
        </w:rPr>
        <w:t>pology video and; that he offered</w:t>
      </w:r>
      <w:r w:rsidRPr="004B45F6">
        <w:rPr>
          <w:rFonts w:ascii="Times New Roman" w:hAnsi="Times New Roman"/>
          <w:szCs w:val="24"/>
        </w:rPr>
        <w:t xml:space="preserve"> to apolo</w:t>
      </w:r>
      <w:r w:rsidR="00C972B3">
        <w:rPr>
          <w:rFonts w:ascii="Times New Roman" w:hAnsi="Times New Roman"/>
          <w:szCs w:val="24"/>
        </w:rPr>
        <w:t xml:space="preserve">gise personally to the </w:t>
      </w:r>
      <w:r w:rsidR="00F923A9">
        <w:rPr>
          <w:rFonts w:ascii="Times New Roman" w:hAnsi="Times New Roman"/>
          <w:szCs w:val="24"/>
        </w:rPr>
        <w:t>v</w:t>
      </w:r>
      <w:r w:rsidR="00C972B3">
        <w:rPr>
          <w:rFonts w:ascii="Times New Roman" w:hAnsi="Times New Roman"/>
          <w:szCs w:val="24"/>
        </w:rPr>
        <w:t>ictims, t</w:t>
      </w:r>
      <w:r w:rsidRPr="004B45F6">
        <w:rPr>
          <w:rFonts w:ascii="Times New Roman" w:hAnsi="Times New Roman"/>
          <w:szCs w:val="24"/>
        </w:rPr>
        <w:t>he Panel noted that the victims’ opposition was based on the fact that</w:t>
      </w:r>
      <w:r w:rsidR="001E3A2D">
        <w:rPr>
          <w:rFonts w:ascii="Times New Roman" w:hAnsi="Times New Roman"/>
          <w:szCs w:val="24"/>
        </w:rPr>
        <w:t xml:space="preserve"> the reparations proceedings were ongoing. Thus, there was</w:t>
      </w:r>
      <w:r w:rsidRPr="004B45F6">
        <w:rPr>
          <w:rFonts w:ascii="Times New Roman" w:hAnsi="Times New Roman"/>
          <w:szCs w:val="24"/>
        </w:rPr>
        <w:t xml:space="preserve"> a  time constraint between </w:t>
      </w:r>
      <w:r w:rsidR="00DD094C">
        <w:rPr>
          <w:rFonts w:ascii="Times New Roman" w:hAnsi="Times New Roman"/>
          <w:szCs w:val="24"/>
        </w:rPr>
        <w:t>completing</w:t>
      </w:r>
      <w:r w:rsidRPr="004B45F6">
        <w:rPr>
          <w:rFonts w:ascii="Times New Roman" w:hAnsi="Times New Roman"/>
          <w:szCs w:val="24"/>
        </w:rPr>
        <w:t xml:space="preserve"> the criminal proceedings against Mr  Katanga and the sentence </w:t>
      </w:r>
      <w:r w:rsidR="00F923A9">
        <w:rPr>
          <w:rFonts w:ascii="Times New Roman" w:hAnsi="Times New Roman"/>
          <w:szCs w:val="24"/>
        </w:rPr>
        <w:t>r</w:t>
      </w:r>
      <w:r w:rsidRPr="004B45F6">
        <w:rPr>
          <w:rFonts w:ascii="Times New Roman" w:hAnsi="Times New Roman"/>
          <w:szCs w:val="24"/>
        </w:rPr>
        <w:t>eview proceedings(two years and a half months).</w:t>
      </w:r>
      <w:r w:rsidRPr="004B45F6">
        <w:rPr>
          <w:rStyle w:val="FootnoteReference"/>
          <w:rFonts w:ascii="Times New Roman" w:hAnsi="Times New Roman"/>
          <w:szCs w:val="24"/>
        </w:rPr>
        <w:footnoteReference w:id="1137"/>
      </w:r>
      <w:r w:rsidRPr="004B45F6">
        <w:rPr>
          <w:rFonts w:ascii="Times New Roman" w:hAnsi="Times New Roman"/>
          <w:szCs w:val="24"/>
        </w:rPr>
        <w:t xml:space="preserve"> The victims rejected Mr Katanga</w:t>
      </w:r>
      <w:r w:rsidR="003B52FA">
        <w:rPr>
          <w:rFonts w:ascii="Times New Roman" w:hAnsi="Times New Roman"/>
          <w:szCs w:val="24"/>
        </w:rPr>
        <w:t>’</w:t>
      </w:r>
      <w:r w:rsidRPr="004B45F6">
        <w:rPr>
          <w:rFonts w:ascii="Times New Roman" w:hAnsi="Times New Roman"/>
          <w:szCs w:val="24"/>
        </w:rPr>
        <w:t>s offer to apologise</w:t>
      </w:r>
      <w:r w:rsidR="00F923A9">
        <w:rPr>
          <w:rFonts w:ascii="Times New Roman" w:hAnsi="Times New Roman"/>
          <w:szCs w:val="24"/>
        </w:rPr>
        <w:t>. They</w:t>
      </w:r>
      <w:r w:rsidRPr="004B45F6">
        <w:rPr>
          <w:rFonts w:ascii="Times New Roman" w:hAnsi="Times New Roman"/>
          <w:szCs w:val="24"/>
        </w:rPr>
        <w:t xml:space="preserve"> averred that accepting his apology is inconsistent with a fundamental principle in Hema culture</w:t>
      </w:r>
      <w:r w:rsidR="00DD094C">
        <w:rPr>
          <w:rFonts w:ascii="Times New Roman" w:hAnsi="Times New Roman"/>
          <w:szCs w:val="24"/>
        </w:rPr>
        <w:t>, articulating</w:t>
      </w:r>
      <w:r w:rsidRPr="004B45F6">
        <w:rPr>
          <w:rFonts w:ascii="Times New Roman" w:hAnsi="Times New Roman"/>
          <w:szCs w:val="24"/>
        </w:rPr>
        <w:t xml:space="preserve"> that an offender must make amends before </w:t>
      </w:r>
      <w:r w:rsidR="00DD094C">
        <w:rPr>
          <w:rFonts w:ascii="Times New Roman" w:hAnsi="Times New Roman"/>
          <w:szCs w:val="24"/>
        </w:rPr>
        <w:t>they</w:t>
      </w:r>
      <w:r w:rsidRPr="004B45F6">
        <w:rPr>
          <w:rFonts w:ascii="Times New Roman" w:hAnsi="Times New Roman"/>
          <w:szCs w:val="24"/>
        </w:rPr>
        <w:t xml:space="preserve"> tender an apology.</w:t>
      </w:r>
      <w:r w:rsidRPr="004B45F6">
        <w:rPr>
          <w:rStyle w:val="FootnoteReference"/>
          <w:rFonts w:ascii="Times New Roman" w:hAnsi="Times New Roman"/>
          <w:szCs w:val="24"/>
        </w:rPr>
        <w:footnoteReference w:id="1138"/>
      </w:r>
      <w:r w:rsidRPr="004B45F6">
        <w:rPr>
          <w:rFonts w:ascii="Times New Roman" w:hAnsi="Times New Roman"/>
          <w:szCs w:val="24"/>
        </w:rPr>
        <w:t xml:space="preserve">The principle of this culture believes that reparations precede an apology. The Panel acknowledged the Prosecutor’s argument that it </w:t>
      </w:r>
      <w:r w:rsidR="00F923A9">
        <w:rPr>
          <w:rFonts w:ascii="Times New Roman" w:hAnsi="Times New Roman"/>
          <w:szCs w:val="24"/>
        </w:rPr>
        <w:t xml:space="preserve">was </w:t>
      </w:r>
      <w:r w:rsidRPr="004B45F6">
        <w:rPr>
          <w:rFonts w:ascii="Times New Roman" w:hAnsi="Times New Roman"/>
          <w:szCs w:val="24"/>
        </w:rPr>
        <w:t>too early in the reparations proceedings to deduce if any of Mr Katanga’s actions benefit</w:t>
      </w:r>
      <w:r w:rsidR="00CB544C">
        <w:rPr>
          <w:rFonts w:ascii="Times New Roman" w:hAnsi="Times New Roman"/>
          <w:szCs w:val="24"/>
        </w:rPr>
        <w:t>ted</w:t>
      </w:r>
      <w:r w:rsidRPr="004B45F6">
        <w:rPr>
          <w:rFonts w:ascii="Times New Roman" w:hAnsi="Times New Roman"/>
          <w:szCs w:val="24"/>
        </w:rPr>
        <w:t xml:space="preserve"> the victims.</w:t>
      </w:r>
      <w:r w:rsidRPr="004B45F6">
        <w:rPr>
          <w:rStyle w:val="FootnoteReference"/>
          <w:rFonts w:ascii="Times New Roman" w:hAnsi="Times New Roman"/>
          <w:szCs w:val="24"/>
        </w:rPr>
        <w:footnoteReference w:id="1139"/>
      </w:r>
      <w:r w:rsidR="00CB544C">
        <w:rPr>
          <w:rFonts w:ascii="Times New Roman" w:hAnsi="Times New Roman"/>
          <w:szCs w:val="24"/>
        </w:rPr>
        <w:t>The Panel reasoned</w:t>
      </w:r>
      <w:r w:rsidRPr="004B45F6">
        <w:rPr>
          <w:rFonts w:ascii="Times New Roman" w:hAnsi="Times New Roman"/>
          <w:szCs w:val="24"/>
        </w:rPr>
        <w:t xml:space="preserve"> that it sh</w:t>
      </w:r>
      <w:r w:rsidR="00C972B3">
        <w:rPr>
          <w:rFonts w:ascii="Times New Roman" w:hAnsi="Times New Roman"/>
          <w:szCs w:val="24"/>
        </w:rPr>
        <w:t>ould</w:t>
      </w:r>
      <w:r w:rsidRPr="004B45F6">
        <w:rPr>
          <w:rFonts w:ascii="Times New Roman" w:hAnsi="Times New Roman"/>
          <w:szCs w:val="24"/>
        </w:rPr>
        <w:t xml:space="preserve"> analyse this factor on a ‘case by case basis.</w:t>
      </w:r>
      <w:r w:rsidRPr="004B45F6">
        <w:rPr>
          <w:rStyle w:val="FootnoteReference"/>
          <w:rFonts w:ascii="Times New Roman" w:hAnsi="Times New Roman"/>
          <w:szCs w:val="24"/>
        </w:rPr>
        <w:footnoteReference w:id="1140"/>
      </w:r>
    </w:p>
    <w:p w14:paraId="51A54E96" w14:textId="7A37C8D7" w:rsidR="00F923A9" w:rsidRDefault="003A2746" w:rsidP="00F923A9">
      <w:pPr>
        <w:spacing w:line="480" w:lineRule="auto"/>
        <w:jc w:val="both"/>
        <w:rPr>
          <w:rFonts w:ascii="Times New Roman" w:eastAsia="Cambria" w:hAnsi="Times New Roman"/>
          <w:szCs w:val="24"/>
          <w:lang w:eastAsia="ja-JP"/>
        </w:rPr>
      </w:pPr>
      <w:r w:rsidRPr="004B45F6">
        <w:rPr>
          <w:rFonts w:ascii="Times New Roman" w:hAnsi="Times New Roman"/>
          <w:szCs w:val="24"/>
        </w:rPr>
        <w:lastRenderedPageBreak/>
        <w:t>The Panel noticed that the filmed apology was not aimed at the ‘</w:t>
      </w:r>
      <w:r w:rsidRPr="004B45F6">
        <w:rPr>
          <w:rFonts w:ascii="Times New Roman" w:hAnsi="Times New Roman"/>
          <w:i/>
          <w:szCs w:val="24"/>
        </w:rPr>
        <w:t>broader community’</w:t>
      </w:r>
      <w:r w:rsidR="003B52FA">
        <w:rPr>
          <w:rFonts w:ascii="Times New Roman" w:hAnsi="Times New Roman"/>
          <w:i/>
          <w:szCs w:val="24"/>
        </w:rPr>
        <w:t>. However,</w:t>
      </w:r>
      <w:r w:rsidRPr="004B45F6">
        <w:rPr>
          <w:rFonts w:ascii="Times New Roman" w:hAnsi="Times New Roman"/>
          <w:szCs w:val="24"/>
        </w:rPr>
        <w:t xml:space="preserve"> it was </w:t>
      </w:r>
      <w:r w:rsidR="00DD094C">
        <w:rPr>
          <w:rFonts w:ascii="Times New Roman" w:hAnsi="Times New Roman"/>
          <w:szCs w:val="24"/>
        </w:rPr>
        <w:t>directed to sp</w:t>
      </w:r>
      <w:r w:rsidRPr="004B45F6">
        <w:rPr>
          <w:rFonts w:ascii="Times New Roman" w:hAnsi="Times New Roman"/>
          <w:szCs w:val="24"/>
        </w:rPr>
        <w:t>ecific victim</w:t>
      </w:r>
      <w:r w:rsidR="00A766DD" w:rsidRPr="004B45F6">
        <w:rPr>
          <w:rFonts w:ascii="Times New Roman" w:hAnsi="Times New Roman"/>
          <w:szCs w:val="24"/>
        </w:rPr>
        <w:t>s</w:t>
      </w:r>
      <w:r w:rsidRPr="004B45F6">
        <w:rPr>
          <w:rFonts w:ascii="Times New Roman" w:hAnsi="Times New Roman"/>
          <w:szCs w:val="24"/>
        </w:rPr>
        <w:t xml:space="preserve"> of the </w:t>
      </w:r>
      <w:proofErr w:type="spellStart"/>
      <w:r w:rsidRPr="004B45F6">
        <w:rPr>
          <w:rFonts w:ascii="Times New Roman" w:hAnsi="Times New Roman"/>
          <w:szCs w:val="24"/>
        </w:rPr>
        <w:t>Bogoro</w:t>
      </w:r>
      <w:proofErr w:type="spellEnd"/>
      <w:r w:rsidRPr="004B45F6">
        <w:rPr>
          <w:rFonts w:ascii="Times New Roman" w:hAnsi="Times New Roman"/>
          <w:szCs w:val="24"/>
        </w:rPr>
        <w:t xml:space="preserve"> attack, who held Mr Katanga </w:t>
      </w:r>
      <w:r w:rsidR="00F923A9">
        <w:rPr>
          <w:rFonts w:ascii="Times New Roman" w:hAnsi="Times New Roman"/>
          <w:szCs w:val="24"/>
        </w:rPr>
        <w:t>liable</w:t>
      </w:r>
      <w:r w:rsidRPr="004B45F6">
        <w:rPr>
          <w:rFonts w:ascii="Times New Roman" w:hAnsi="Times New Roman"/>
          <w:szCs w:val="24"/>
        </w:rPr>
        <w:t>, this led Mr Katanga to extend the filmed apology to more victims.</w:t>
      </w:r>
      <w:r w:rsidRPr="004B45F6">
        <w:rPr>
          <w:rStyle w:val="FootnoteReference"/>
          <w:rFonts w:ascii="Times New Roman" w:hAnsi="Times New Roman"/>
          <w:szCs w:val="24"/>
        </w:rPr>
        <w:footnoteReference w:id="1141"/>
      </w:r>
      <w:r w:rsidRPr="004B45F6">
        <w:rPr>
          <w:rFonts w:ascii="Times New Roman" w:hAnsi="Times New Roman"/>
          <w:szCs w:val="24"/>
        </w:rPr>
        <w:t xml:space="preserve"> However, Mr Katanga did not show the video to the victims </w:t>
      </w:r>
      <w:r w:rsidR="00C7070D">
        <w:rPr>
          <w:rFonts w:ascii="Times New Roman" w:hAnsi="Times New Roman"/>
          <w:szCs w:val="24"/>
        </w:rPr>
        <w:t>because</w:t>
      </w:r>
      <w:r w:rsidRPr="004B45F6">
        <w:rPr>
          <w:rFonts w:ascii="Times New Roman" w:hAnsi="Times New Roman"/>
          <w:szCs w:val="24"/>
        </w:rPr>
        <w:t xml:space="preserve"> it would cause further upset.</w:t>
      </w:r>
      <w:r w:rsidRPr="004B45F6">
        <w:rPr>
          <w:rStyle w:val="FootnoteReference"/>
          <w:rFonts w:ascii="Times New Roman" w:hAnsi="Times New Roman"/>
          <w:szCs w:val="24"/>
        </w:rPr>
        <w:footnoteReference w:id="1142"/>
      </w:r>
      <w:r w:rsidR="00F923A9">
        <w:rPr>
          <w:rFonts w:ascii="Times New Roman" w:hAnsi="Times New Roman"/>
          <w:szCs w:val="24"/>
        </w:rPr>
        <w:t xml:space="preserve"> </w:t>
      </w:r>
      <w:r w:rsidR="00F923A9">
        <w:rPr>
          <w:rFonts w:ascii="Times New Roman" w:eastAsia="Cambria" w:hAnsi="Times New Roman"/>
          <w:szCs w:val="24"/>
          <w:lang w:eastAsia="ja-JP"/>
        </w:rPr>
        <w:t>Therefore the benefit of the filmed apology to the victims was ‘indirect’ and ‘minimal.’</w:t>
      </w:r>
    </w:p>
    <w:p w14:paraId="4B651A5C" w14:textId="4FEE5FF2" w:rsidR="003A2746" w:rsidRDefault="003A2746" w:rsidP="0020199D">
      <w:pPr>
        <w:spacing w:line="480" w:lineRule="auto"/>
        <w:jc w:val="both"/>
        <w:rPr>
          <w:rFonts w:ascii="Times New Roman" w:hAnsi="Times New Roman"/>
          <w:szCs w:val="24"/>
        </w:rPr>
      </w:pPr>
      <w:r w:rsidRPr="004B45F6">
        <w:rPr>
          <w:rFonts w:ascii="Times New Roman" w:hAnsi="Times New Roman"/>
          <w:szCs w:val="24"/>
        </w:rPr>
        <w:t>Mr Katanga showed the filmed apology to members of the broader community.</w:t>
      </w:r>
      <w:r w:rsidR="00C972B3">
        <w:rPr>
          <w:rFonts w:ascii="Times New Roman" w:hAnsi="Times New Roman"/>
          <w:szCs w:val="24"/>
        </w:rPr>
        <w:t xml:space="preserve"> </w:t>
      </w:r>
      <w:r w:rsidRPr="004B45F6">
        <w:rPr>
          <w:rFonts w:ascii="Times New Roman" w:hAnsi="Times New Roman"/>
          <w:szCs w:val="24"/>
        </w:rPr>
        <w:t xml:space="preserve">The </w:t>
      </w:r>
      <w:r w:rsidR="00A766DD" w:rsidRPr="004B45F6">
        <w:rPr>
          <w:rFonts w:ascii="Times New Roman" w:hAnsi="Times New Roman"/>
          <w:szCs w:val="24"/>
        </w:rPr>
        <w:t>Panel also referred</w:t>
      </w:r>
      <w:r w:rsidR="00C972B3">
        <w:rPr>
          <w:rFonts w:ascii="Times New Roman" w:hAnsi="Times New Roman"/>
          <w:szCs w:val="24"/>
        </w:rPr>
        <w:t xml:space="preserve"> to</w:t>
      </w:r>
      <w:r w:rsidR="00A766DD" w:rsidRPr="004B45F6">
        <w:rPr>
          <w:rFonts w:ascii="Times New Roman" w:hAnsi="Times New Roman"/>
          <w:szCs w:val="24"/>
        </w:rPr>
        <w:t xml:space="preserve"> the observations of the HRC/TJI:</w:t>
      </w:r>
      <w:r w:rsidRPr="004B45F6">
        <w:rPr>
          <w:rFonts w:ascii="Times New Roman" w:hAnsi="Times New Roman"/>
          <w:szCs w:val="24"/>
        </w:rPr>
        <w:t xml:space="preserve"> </w:t>
      </w:r>
      <w:r w:rsidRPr="00C972B3">
        <w:rPr>
          <w:rFonts w:ascii="Times New Roman" w:hAnsi="Times New Roman"/>
          <w:szCs w:val="24"/>
        </w:rPr>
        <w:t>“</w:t>
      </w:r>
      <w:r w:rsidR="00C972B3">
        <w:rPr>
          <w:rFonts w:ascii="Times New Roman" w:hAnsi="Times New Roman"/>
          <w:szCs w:val="24"/>
        </w:rPr>
        <w:t>[t]</w:t>
      </w:r>
      <w:proofErr w:type="spellStart"/>
      <w:r w:rsidR="00C972B3">
        <w:rPr>
          <w:rFonts w:ascii="Times New Roman" w:hAnsi="Times New Roman"/>
          <w:szCs w:val="24"/>
        </w:rPr>
        <w:t>hus</w:t>
      </w:r>
      <w:proofErr w:type="spellEnd"/>
      <w:r w:rsidR="00C972B3">
        <w:rPr>
          <w:rFonts w:ascii="Times New Roman" w:hAnsi="Times New Roman"/>
          <w:szCs w:val="24"/>
        </w:rPr>
        <w:t xml:space="preserve"> far</w:t>
      </w:r>
      <w:r w:rsidR="00F923A9">
        <w:rPr>
          <w:rFonts w:ascii="Times New Roman" w:hAnsi="Times New Roman"/>
          <w:szCs w:val="24"/>
        </w:rPr>
        <w:t>. I</w:t>
      </w:r>
      <w:r w:rsidRPr="00C972B3">
        <w:rPr>
          <w:rFonts w:ascii="Times New Roman" w:hAnsi="Times New Roman"/>
          <w:szCs w:val="24"/>
        </w:rPr>
        <w:t xml:space="preserve">t appears that Mr Katanga’s apology </w:t>
      </w:r>
      <w:r w:rsidR="00F923A9">
        <w:rPr>
          <w:rFonts w:ascii="Times New Roman" w:hAnsi="Times New Roman"/>
          <w:szCs w:val="24"/>
        </w:rPr>
        <w:t>has been found</w:t>
      </w:r>
      <w:r w:rsidRPr="00C972B3">
        <w:rPr>
          <w:rFonts w:ascii="Times New Roman" w:hAnsi="Times New Roman"/>
          <w:szCs w:val="24"/>
        </w:rPr>
        <w:t xml:space="preserve"> inadequate for victims</w:t>
      </w:r>
      <w:r w:rsidR="00C972B3">
        <w:rPr>
          <w:rFonts w:ascii="Times New Roman" w:hAnsi="Times New Roman"/>
          <w:szCs w:val="24"/>
        </w:rPr>
        <w:t>.</w:t>
      </w:r>
      <w:r w:rsidRPr="004B45F6">
        <w:rPr>
          <w:rFonts w:ascii="Times New Roman" w:hAnsi="Times New Roman"/>
          <w:i/>
          <w:szCs w:val="24"/>
        </w:rPr>
        <w:t>”</w:t>
      </w:r>
      <w:r w:rsidRPr="004B45F6">
        <w:rPr>
          <w:rStyle w:val="FootnoteReference"/>
          <w:rFonts w:ascii="Times New Roman" w:hAnsi="Times New Roman"/>
          <w:i/>
          <w:szCs w:val="24"/>
        </w:rPr>
        <w:footnoteReference w:id="1143"/>
      </w:r>
      <w:r w:rsidR="00A766DD" w:rsidRPr="004B45F6">
        <w:rPr>
          <w:rFonts w:ascii="Times New Roman" w:hAnsi="Times New Roman"/>
          <w:szCs w:val="24"/>
        </w:rPr>
        <w:t xml:space="preserve"> Consequently, </w:t>
      </w:r>
      <w:r w:rsidRPr="004B45F6">
        <w:rPr>
          <w:rFonts w:ascii="Times New Roman" w:hAnsi="Times New Roman"/>
          <w:szCs w:val="24"/>
        </w:rPr>
        <w:t>this triggered ‘negative reaction’ from the actual victims to the video. As such, the Panel found the victims’ rejection of the filmed apology as reasonable. The Panel conceded that the filmed apolog</w:t>
      </w:r>
      <w:r w:rsidR="00CB544C">
        <w:rPr>
          <w:rFonts w:ascii="Times New Roman" w:hAnsi="Times New Roman"/>
          <w:szCs w:val="24"/>
        </w:rPr>
        <w:t>y was</w:t>
      </w:r>
      <w:r w:rsidR="00A766DD" w:rsidRPr="004B45F6">
        <w:rPr>
          <w:rFonts w:ascii="Times New Roman" w:hAnsi="Times New Roman"/>
          <w:szCs w:val="24"/>
        </w:rPr>
        <w:t xml:space="preserve"> beneficial to the broader </w:t>
      </w:r>
      <w:r w:rsidRPr="004B45F6">
        <w:rPr>
          <w:rFonts w:ascii="Times New Roman" w:hAnsi="Times New Roman"/>
          <w:szCs w:val="24"/>
        </w:rPr>
        <w:t xml:space="preserve">community affected in the DRC. </w:t>
      </w:r>
      <w:r w:rsidR="00F923A9">
        <w:rPr>
          <w:rFonts w:ascii="Times New Roman" w:hAnsi="Times New Roman"/>
          <w:szCs w:val="24"/>
        </w:rPr>
        <w:t>Despite</w:t>
      </w:r>
      <w:r w:rsidRPr="004B45F6">
        <w:rPr>
          <w:rFonts w:ascii="Times New Roman" w:hAnsi="Times New Roman"/>
          <w:szCs w:val="24"/>
        </w:rPr>
        <w:t xml:space="preserve"> that,</w:t>
      </w:r>
      <w:r w:rsidR="00C972B3">
        <w:rPr>
          <w:rFonts w:ascii="Times New Roman" w:hAnsi="Times New Roman"/>
          <w:szCs w:val="24"/>
        </w:rPr>
        <w:t xml:space="preserve"> </w:t>
      </w:r>
      <w:r w:rsidR="00C10173">
        <w:rPr>
          <w:rFonts w:ascii="Times New Roman" w:hAnsi="Times New Roman"/>
          <w:szCs w:val="24"/>
        </w:rPr>
        <w:t>the benefit to the victim was</w:t>
      </w:r>
      <w:r w:rsidRPr="004B45F6">
        <w:rPr>
          <w:rFonts w:ascii="Times New Roman" w:hAnsi="Times New Roman"/>
          <w:szCs w:val="24"/>
        </w:rPr>
        <w:t xml:space="preserve"> ‘</w:t>
      </w:r>
      <w:r w:rsidRPr="004B45F6">
        <w:rPr>
          <w:rFonts w:ascii="Times New Roman" w:hAnsi="Times New Roman"/>
          <w:i/>
          <w:szCs w:val="24"/>
        </w:rPr>
        <w:t>indirect</w:t>
      </w:r>
      <w:r w:rsidRPr="004B45F6">
        <w:rPr>
          <w:rFonts w:ascii="Times New Roman" w:hAnsi="Times New Roman"/>
          <w:szCs w:val="24"/>
        </w:rPr>
        <w:t>’ and ‘</w:t>
      </w:r>
      <w:r w:rsidRPr="004B45F6">
        <w:rPr>
          <w:rFonts w:ascii="Times New Roman" w:hAnsi="Times New Roman"/>
          <w:i/>
          <w:szCs w:val="24"/>
        </w:rPr>
        <w:t>minimal</w:t>
      </w:r>
      <w:r w:rsidRPr="004B45F6">
        <w:rPr>
          <w:rFonts w:ascii="Times New Roman" w:hAnsi="Times New Roman"/>
          <w:szCs w:val="24"/>
        </w:rPr>
        <w:t xml:space="preserve">’. Within this context, for that reason, it does not qualify as </w:t>
      </w:r>
      <w:r w:rsidR="00CB544C">
        <w:rPr>
          <w:rFonts w:ascii="Times New Roman" w:hAnsi="Times New Roman"/>
          <w:szCs w:val="24"/>
        </w:rPr>
        <w:t>a</w:t>
      </w:r>
      <w:r w:rsidRPr="004B45F6">
        <w:rPr>
          <w:rFonts w:ascii="Times New Roman" w:hAnsi="Times New Roman"/>
          <w:szCs w:val="24"/>
        </w:rPr>
        <w:t xml:space="preserve"> significant action’ taken by Mr Katanga for the benefit of the Victims.</w:t>
      </w:r>
    </w:p>
    <w:p w14:paraId="00B11B69" w14:textId="46F010A8" w:rsidR="003A2746" w:rsidRPr="004B45F6" w:rsidRDefault="003B52FA" w:rsidP="0020199D">
      <w:pPr>
        <w:spacing w:line="480" w:lineRule="auto"/>
        <w:jc w:val="both"/>
        <w:rPr>
          <w:rFonts w:ascii="Times New Roman" w:hAnsi="Times New Roman"/>
          <w:szCs w:val="24"/>
        </w:rPr>
      </w:pPr>
      <w:r>
        <w:rPr>
          <w:rFonts w:ascii="Times New Roman" w:hAnsi="Times New Roman"/>
          <w:szCs w:val="24"/>
        </w:rPr>
        <w:t>Concerning</w:t>
      </w:r>
      <w:r w:rsidR="003A2746" w:rsidRPr="004B45F6">
        <w:rPr>
          <w:rFonts w:ascii="Times New Roman" w:hAnsi="Times New Roman"/>
          <w:szCs w:val="24"/>
        </w:rPr>
        <w:t xml:space="preserve"> Mr Katanga’s offer to meet personally with victims to apologise(last identified action), the Panel reasoned that a more personal form of apolog</w:t>
      </w:r>
      <w:r w:rsidR="00C972B3">
        <w:rPr>
          <w:rFonts w:ascii="Times New Roman" w:hAnsi="Times New Roman"/>
          <w:szCs w:val="24"/>
        </w:rPr>
        <w:t>ies</w:t>
      </w:r>
      <w:r w:rsidR="003A2746" w:rsidRPr="004B45F6">
        <w:rPr>
          <w:rFonts w:ascii="Times New Roman" w:hAnsi="Times New Roman"/>
          <w:szCs w:val="24"/>
        </w:rPr>
        <w:t xml:space="preserve"> such as a face to face meeting between the sentenced person and victims m</w:t>
      </w:r>
      <w:r w:rsidR="00C972B3">
        <w:rPr>
          <w:rFonts w:ascii="Times New Roman" w:hAnsi="Times New Roman"/>
          <w:szCs w:val="24"/>
        </w:rPr>
        <w:t>ight</w:t>
      </w:r>
      <w:r w:rsidR="003A2746" w:rsidRPr="004B45F6">
        <w:rPr>
          <w:rFonts w:ascii="Times New Roman" w:hAnsi="Times New Roman"/>
          <w:szCs w:val="24"/>
        </w:rPr>
        <w:t xml:space="preserve"> constitute ‘s</w:t>
      </w:r>
      <w:r w:rsidR="0020199D">
        <w:rPr>
          <w:rFonts w:ascii="Times New Roman" w:hAnsi="Times New Roman"/>
          <w:szCs w:val="24"/>
        </w:rPr>
        <w:t>ignificant action’ that would benefit</w:t>
      </w:r>
      <w:r w:rsidR="003A2746" w:rsidRPr="004B45F6">
        <w:rPr>
          <w:rFonts w:ascii="Times New Roman" w:hAnsi="Times New Roman"/>
          <w:szCs w:val="24"/>
        </w:rPr>
        <w:t xml:space="preserve"> victims. The  Panel observed t</w:t>
      </w:r>
      <w:r w:rsidR="0020199D">
        <w:rPr>
          <w:rFonts w:ascii="Times New Roman" w:hAnsi="Times New Roman"/>
          <w:szCs w:val="24"/>
        </w:rPr>
        <w:t xml:space="preserve">hat in this instance, </w:t>
      </w:r>
      <w:r w:rsidR="0020199D">
        <w:rPr>
          <w:rFonts w:ascii="Times New Roman" w:hAnsi="Times New Roman"/>
          <w:szCs w:val="24"/>
        </w:rPr>
        <w:lastRenderedPageBreak/>
        <w:t>it remained</w:t>
      </w:r>
      <w:r w:rsidR="003A2746" w:rsidRPr="004B45F6">
        <w:rPr>
          <w:rFonts w:ascii="Times New Roman" w:hAnsi="Times New Roman"/>
          <w:szCs w:val="24"/>
        </w:rPr>
        <w:t xml:space="preserve"> uncertain if </w:t>
      </w:r>
      <w:r w:rsidR="003A2746" w:rsidRPr="004B45F6">
        <w:rPr>
          <w:rFonts w:ascii="Times New Roman" w:hAnsi="Times New Roman"/>
          <w:szCs w:val="24"/>
          <w:u w:val="single"/>
        </w:rPr>
        <w:t>the victim wish</w:t>
      </w:r>
      <w:r w:rsidR="00C972B3">
        <w:rPr>
          <w:rFonts w:ascii="Times New Roman" w:hAnsi="Times New Roman"/>
          <w:szCs w:val="24"/>
          <w:u w:val="single"/>
        </w:rPr>
        <w:t>es</w:t>
      </w:r>
      <w:r w:rsidR="003A2746" w:rsidRPr="004B45F6">
        <w:rPr>
          <w:rFonts w:ascii="Times New Roman" w:hAnsi="Times New Roman"/>
          <w:szCs w:val="24"/>
          <w:u w:val="single"/>
        </w:rPr>
        <w:t xml:space="preserve"> to have a face to face encounter with Mr Katanga or whether this action might also cause further upset.</w:t>
      </w:r>
      <w:r w:rsidR="003B6155" w:rsidRPr="004B45F6">
        <w:rPr>
          <w:rFonts w:ascii="Times New Roman" w:hAnsi="Times New Roman"/>
          <w:szCs w:val="24"/>
        </w:rPr>
        <w:t xml:space="preserve">  </w:t>
      </w:r>
      <w:r>
        <w:rPr>
          <w:rFonts w:ascii="Times New Roman" w:hAnsi="Times New Roman"/>
          <w:szCs w:val="24"/>
        </w:rPr>
        <w:t>T</w:t>
      </w:r>
      <w:r w:rsidR="003A2746" w:rsidRPr="004B45F6">
        <w:rPr>
          <w:rFonts w:ascii="Times New Roman" w:hAnsi="Times New Roman"/>
          <w:szCs w:val="24"/>
        </w:rPr>
        <w:t>he Panel recognised that while Mr Katanga’s offer to m</w:t>
      </w:r>
      <w:r w:rsidR="003916BE">
        <w:rPr>
          <w:rFonts w:ascii="Times New Roman" w:hAnsi="Times New Roman"/>
          <w:szCs w:val="24"/>
        </w:rPr>
        <w:t>eet with victims to apologise was</w:t>
      </w:r>
      <w:r w:rsidR="003A2746" w:rsidRPr="004B45F6">
        <w:rPr>
          <w:rFonts w:ascii="Times New Roman" w:hAnsi="Times New Roman"/>
          <w:szCs w:val="24"/>
        </w:rPr>
        <w:t xml:space="preserve"> an action that </w:t>
      </w:r>
      <w:r w:rsidR="003916BE">
        <w:rPr>
          <w:rFonts w:ascii="Times New Roman" w:hAnsi="Times New Roman"/>
          <w:szCs w:val="24"/>
        </w:rPr>
        <w:t>could potentially benefit</w:t>
      </w:r>
      <w:r w:rsidR="003A2746" w:rsidRPr="004B45F6">
        <w:rPr>
          <w:rFonts w:ascii="Times New Roman" w:hAnsi="Times New Roman"/>
          <w:szCs w:val="24"/>
        </w:rPr>
        <w:t xml:space="preserve"> the victims</w:t>
      </w:r>
      <w:r w:rsidR="00E84B8F">
        <w:rPr>
          <w:rFonts w:ascii="Times New Roman" w:hAnsi="Times New Roman"/>
          <w:szCs w:val="24"/>
        </w:rPr>
        <w:t>. H</w:t>
      </w:r>
      <w:r w:rsidR="003A2746" w:rsidRPr="004B45F6">
        <w:rPr>
          <w:rFonts w:ascii="Times New Roman" w:hAnsi="Times New Roman"/>
          <w:szCs w:val="24"/>
        </w:rPr>
        <w:t xml:space="preserve">owever, it </w:t>
      </w:r>
      <w:r w:rsidR="00C7070D">
        <w:rPr>
          <w:rFonts w:ascii="Times New Roman" w:hAnsi="Times New Roman"/>
          <w:szCs w:val="24"/>
        </w:rPr>
        <w:t>was not sufficient as a  significant action because it was probable</w:t>
      </w:r>
      <w:r w:rsidR="003A2746" w:rsidRPr="004B45F6">
        <w:rPr>
          <w:rFonts w:ascii="Times New Roman" w:hAnsi="Times New Roman"/>
          <w:szCs w:val="24"/>
        </w:rPr>
        <w:t xml:space="preserve"> whether such action would be beneficial to the victims. </w:t>
      </w:r>
      <w:r w:rsidR="00F923A9">
        <w:rPr>
          <w:rFonts w:ascii="Times New Roman" w:hAnsi="Times New Roman"/>
          <w:szCs w:val="24"/>
        </w:rPr>
        <w:t>Besides</w:t>
      </w:r>
      <w:r w:rsidR="003A2746" w:rsidRPr="004B45F6">
        <w:rPr>
          <w:rFonts w:ascii="Times New Roman" w:hAnsi="Times New Roman"/>
          <w:szCs w:val="24"/>
        </w:rPr>
        <w:t>, the Panel mentioned that the second clause to the factor, “</w:t>
      </w:r>
      <w:r w:rsidR="003A2746" w:rsidRPr="00C972B3">
        <w:rPr>
          <w:rFonts w:ascii="Times New Roman" w:hAnsi="Times New Roman"/>
          <w:szCs w:val="24"/>
        </w:rPr>
        <w:t>any impact on the victims and their families as a result of the early release</w:t>
      </w:r>
      <w:r w:rsidR="003A2746" w:rsidRPr="004B45F6">
        <w:rPr>
          <w:rFonts w:ascii="Times New Roman" w:hAnsi="Times New Roman"/>
          <w:szCs w:val="24"/>
        </w:rPr>
        <w:t>” recognise</w:t>
      </w:r>
      <w:r w:rsidR="001E17E0">
        <w:rPr>
          <w:rFonts w:ascii="Times New Roman" w:hAnsi="Times New Roman"/>
          <w:szCs w:val="24"/>
        </w:rPr>
        <w:t>d</w:t>
      </w:r>
      <w:r w:rsidR="003A2746" w:rsidRPr="004B45F6">
        <w:rPr>
          <w:rFonts w:ascii="Times New Roman" w:hAnsi="Times New Roman"/>
          <w:szCs w:val="24"/>
        </w:rPr>
        <w:t xml:space="preserve"> the trauma it could cause the victims and their families to be relevant on evaluating this factor.</w:t>
      </w:r>
    </w:p>
    <w:p w14:paraId="25753269" w14:textId="79B94B7E" w:rsidR="003A2746" w:rsidRDefault="003A2746" w:rsidP="00CA1F33">
      <w:pPr>
        <w:spacing w:line="480" w:lineRule="auto"/>
        <w:jc w:val="both"/>
        <w:rPr>
          <w:rFonts w:ascii="Times New Roman" w:hAnsi="Times New Roman"/>
          <w:szCs w:val="24"/>
        </w:rPr>
      </w:pPr>
      <w:r w:rsidRPr="004B45F6">
        <w:rPr>
          <w:rFonts w:ascii="Times New Roman" w:hAnsi="Times New Roman"/>
          <w:szCs w:val="24"/>
        </w:rPr>
        <w:t>Based on the information received, the Panel concluded that from the actions taken by Mr Katanga, there was a ‘</w:t>
      </w:r>
      <w:r w:rsidRPr="004B45F6">
        <w:rPr>
          <w:rFonts w:ascii="Times New Roman" w:hAnsi="Times New Roman"/>
          <w:i/>
          <w:szCs w:val="24"/>
        </w:rPr>
        <w:t>limited benefit’</w:t>
      </w:r>
      <w:r w:rsidRPr="004B45F6">
        <w:rPr>
          <w:rFonts w:ascii="Times New Roman" w:hAnsi="Times New Roman"/>
          <w:szCs w:val="24"/>
        </w:rPr>
        <w:t xml:space="preserve"> to the victims. Hence, all the actions undertaken b</w:t>
      </w:r>
      <w:r w:rsidR="00C972B3">
        <w:rPr>
          <w:rFonts w:ascii="Times New Roman" w:hAnsi="Times New Roman"/>
          <w:szCs w:val="24"/>
        </w:rPr>
        <w:t>y Mr Katanga did not constitute</w:t>
      </w:r>
      <w:r w:rsidRPr="004B45F6">
        <w:rPr>
          <w:rFonts w:ascii="Times New Roman" w:hAnsi="Times New Roman"/>
          <w:szCs w:val="24"/>
        </w:rPr>
        <w:t xml:space="preserve"> a ‘significant action’ for </w:t>
      </w:r>
      <w:r w:rsidR="00C7070D">
        <w:rPr>
          <w:rFonts w:ascii="Times New Roman" w:hAnsi="Times New Roman"/>
          <w:szCs w:val="24"/>
        </w:rPr>
        <w:t>victims' benefit</w:t>
      </w:r>
      <w:r w:rsidRPr="004B45F6">
        <w:rPr>
          <w:rFonts w:ascii="Times New Roman" w:hAnsi="Times New Roman"/>
          <w:szCs w:val="24"/>
        </w:rPr>
        <w:t xml:space="preserve"> within the meaning of rule 223(d) of the Rules of Procedure and Evidence. The Panel also found that the early release of Mr Katanga could negatively affect victims and their families.</w:t>
      </w:r>
      <w:r w:rsidR="00C972B3">
        <w:rPr>
          <w:rFonts w:ascii="Times New Roman" w:hAnsi="Times New Roman"/>
          <w:szCs w:val="24"/>
        </w:rPr>
        <w:t xml:space="preserve"> </w:t>
      </w:r>
      <w:r w:rsidRPr="004B45F6">
        <w:rPr>
          <w:rFonts w:ascii="Times New Roman" w:hAnsi="Times New Roman"/>
          <w:szCs w:val="24"/>
        </w:rPr>
        <w:t xml:space="preserve">Flowing from this, the  Panel submitted that the factor under Rule 223(d) of the RPE was not present </w:t>
      </w:r>
      <w:r w:rsidR="00F923A9">
        <w:rPr>
          <w:rFonts w:ascii="Times New Roman" w:hAnsi="Times New Roman"/>
          <w:szCs w:val="24"/>
        </w:rPr>
        <w:t>to determine</w:t>
      </w:r>
      <w:r w:rsidRPr="004B45F6">
        <w:rPr>
          <w:rFonts w:ascii="Times New Roman" w:hAnsi="Times New Roman"/>
          <w:szCs w:val="24"/>
        </w:rPr>
        <w:t xml:space="preserve"> whether it would be appropriate to reduce Mr Katanga’s sentence.</w:t>
      </w:r>
    </w:p>
    <w:p w14:paraId="1C1BA084" w14:textId="7C22A80C" w:rsidR="004B45F6" w:rsidRDefault="00B24749" w:rsidP="00CA1F33">
      <w:pPr>
        <w:spacing w:line="480" w:lineRule="auto"/>
        <w:jc w:val="both"/>
        <w:rPr>
          <w:rFonts w:ascii="Times New Roman" w:hAnsi="Times New Roman"/>
          <w:szCs w:val="24"/>
        </w:rPr>
      </w:pPr>
      <w:r>
        <w:rPr>
          <w:rFonts w:ascii="Times New Roman" w:hAnsi="Times New Roman"/>
          <w:szCs w:val="24"/>
        </w:rPr>
        <w:t>The Panel</w:t>
      </w:r>
      <w:r w:rsidR="00C972B3" w:rsidRPr="001D2B5A">
        <w:rPr>
          <w:rFonts w:ascii="Times New Roman" w:hAnsi="Times New Roman"/>
          <w:szCs w:val="24"/>
        </w:rPr>
        <w:t xml:space="preserve"> took into account </w:t>
      </w:r>
      <w:r w:rsidR="00C7070D">
        <w:rPr>
          <w:rFonts w:ascii="Times New Roman" w:hAnsi="Times New Roman"/>
          <w:szCs w:val="24"/>
        </w:rPr>
        <w:t>Mr Katanga's cooperation</w:t>
      </w:r>
      <w:r w:rsidR="00C972B3" w:rsidRPr="001D2B5A">
        <w:rPr>
          <w:rFonts w:ascii="Times New Roman" w:hAnsi="Times New Roman"/>
          <w:szCs w:val="24"/>
        </w:rPr>
        <w:t xml:space="preserve"> with the court in its investigations; a genuine dissociation from his crimes,</w:t>
      </w:r>
      <w:r w:rsidR="00C972B3">
        <w:rPr>
          <w:rFonts w:ascii="Times New Roman" w:hAnsi="Times New Roman"/>
          <w:szCs w:val="24"/>
        </w:rPr>
        <w:t xml:space="preserve"> the </w:t>
      </w:r>
      <w:r w:rsidR="00C972B3" w:rsidRPr="001D2B5A">
        <w:rPr>
          <w:rFonts w:ascii="Times New Roman" w:hAnsi="Times New Roman"/>
          <w:szCs w:val="24"/>
        </w:rPr>
        <w:t>prospect of resocialisation and change in Mr Katanga’s circumstances.</w:t>
      </w:r>
      <w:r w:rsidR="00C972B3">
        <w:rPr>
          <w:rFonts w:ascii="Times New Roman" w:hAnsi="Times New Roman"/>
          <w:szCs w:val="24"/>
        </w:rPr>
        <w:t xml:space="preserve"> </w:t>
      </w:r>
      <w:r w:rsidR="00C972B3" w:rsidRPr="001D2B5A">
        <w:rPr>
          <w:rFonts w:ascii="Times New Roman" w:hAnsi="Times New Roman"/>
          <w:szCs w:val="24"/>
        </w:rPr>
        <w:t>The Court a</w:t>
      </w:r>
      <w:r w:rsidR="003B52FA">
        <w:rPr>
          <w:rFonts w:ascii="Times New Roman" w:hAnsi="Times New Roman"/>
          <w:szCs w:val="24"/>
        </w:rPr>
        <w:t>dmitted</w:t>
      </w:r>
      <w:r w:rsidR="00C972B3" w:rsidRPr="001D2B5A">
        <w:rPr>
          <w:rFonts w:ascii="Times New Roman" w:hAnsi="Times New Roman"/>
          <w:szCs w:val="24"/>
        </w:rPr>
        <w:t xml:space="preserve"> Katanga’s expression of regret</w:t>
      </w:r>
      <w:r w:rsidR="00C972B3">
        <w:rPr>
          <w:rFonts w:ascii="Times New Roman" w:hAnsi="Times New Roman"/>
          <w:szCs w:val="24"/>
        </w:rPr>
        <w:t>.</w:t>
      </w:r>
      <w:r w:rsidR="00C972B3" w:rsidRPr="001D2B5A">
        <w:rPr>
          <w:rFonts w:ascii="Times New Roman" w:hAnsi="Times New Roman"/>
          <w:szCs w:val="24"/>
        </w:rPr>
        <w:t xml:space="preserve"> It sh</w:t>
      </w:r>
      <w:r>
        <w:rPr>
          <w:rFonts w:ascii="Times New Roman" w:hAnsi="Times New Roman"/>
          <w:szCs w:val="24"/>
        </w:rPr>
        <w:t>ould be noted that although victims</w:t>
      </w:r>
      <w:r w:rsidR="00C972B3" w:rsidRPr="001D2B5A">
        <w:rPr>
          <w:rFonts w:ascii="Times New Roman" w:hAnsi="Times New Roman"/>
          <w:szCs w:val="24"/>
        </w:rPr>
        <w:t xml:space="preserve"> were allowed by the Panel to submit observations about the benefit</w:t>
      </w:r>
      <w:r w:rsidR="00BE4E89">
        <w:rPr>
          <w:rFonts w:ascii="Times New Roman" w:hAnsi="Times New Roman"/>
          <w:szCs w:val="24"/>
        </w:rPr>
        <w:t>,</w:t>
      </w:r>
      <w:r w:rsidR="00241DC6">
        <w:rPr>
          <w:rFonts w:ascii="Times New Roman" w:hAnsi="Times New Roman"/>
          <w:szCs w:val="24"/>
        </w:rPr>
        <w:t xml:space="preserve"> they had</w:t>
      </w:r>
      <w:r w:rsidR="00C972B3" w:rsidRPr="001D2B5A">
        <w:rPr>
          <w:rFonts w:ascii="Times New Roman" w:hAnsi="Times New Roman"/>
          <w:szCs w:val="24"/>
        </w:rPr>
        <w:t xml:space="preserve"> derived from Katanga’s ‘significant action</w:t>
      </w:r>
      <w:r w:rsidR="00F923A9">
        <w:rPr>
          <w:rFonts w:ascii="Times New Roman" w:hAnsi="Times New Roman"/>
          <w:szCs w:val="24"/>
        </w:rPr>
        <w:t>.</w:t>
      </w:r>
      <w:r w:rsidR="00C972B3" w:rsidRPr="001D2B5A">
        <w:rPr>
          <w:rFonts w:ascii="Times New Roman" w:hAnsi="Times New Roman"/>
          <w:szCs w:val="24"/>
        </w:rPr>
        <w:t>’ Th</w:t>
      </w:r>
      <w:r>
        <w:rPr>
          <w:rFonts w:ascii="Times New Roman" w:hAnsi="Times New Roman"/>
          <w:szCs w:val="24"/>
        </w:rPr>
        <w:t>is fa</w:t>
      </w:r>
      <w:r w:rsidR="00241DC6">
        <w:rPr>
          <w:rFonts w:ascii="Times New Roman" w:hAnsi="Times New Roman"/>
          <w:szCs w:val="24"/>
        </w:rPr>
        <w:t>ctor was considered</w:t>
      </w:r>
      <w:r w:rsidR="00CA60F6">
        <w:rPr>
          <w:rFonts w:ascii="Times New Roman" w:hAnsi="Times New Roman"/>
          <w:szCs w:val="24"/>
        </w:rPr>
        <w:t xml:space="preserve"> but,</w:t>
      </w:r>
      <w:r w:rsidR="00241DC6">
        <w:rPr>
          <w:rFonts w:ascii="Times New Roman" w:hAnsi="Times New Roman"/>
          <w:szCs w:val="24"/>
        </w:rPr>
        <w:t xml:space="preserve"> had li</w:t>
      </w:r>
      <w:r w:rsidR="00F923A9">
        <w:rPr>
          <w:rFonts w:ascii="Times New Roman" w:hAnsi="Times New Roman"/>
          <w:szCs w:val="24"/>
        </w:rPr>
        <w:t>mited</w:t>
      </w:r>
      <w:r w:rsidR="00241DC6">
        <w:rPr>
          <w:rFonts w:ascii="Times New Roman" w:hAnsi="Times New Roman"/>
          <w:szCs w:val="24"/>
        </w:rPr>
        <w:t xml:space="preserve"> influence on the outcome of the sentence </w:t>
      </w:r>
      <w:r w:rsidR="00241DC6">
        <w:rPr>
          <w:rFonts w:ascii="Times New Roman" w:hAnsi="Times New Roman"/>
          <w:szCs w:val="24"/>
        </w:rPr>
        <w:lastRenderedPageBreak/>
        <w:t>review.</w:t>
      </w:r>
      <w:r w:rsidR="00BE4E89">
        <w:rPr>
          <w:rFonts w:ascii="Times New Roman" w:hAnsi="Times New Roman"/>
          <w:szCs w:val="24"/>
        </w:rPr>
        <w:t xml:space="preserve"> </w:t>
      </w:r>
      <w:r w:rsidR="004B45F6">
        <w:rPr>
          <w:rFonts w:ascii="Times New Roman" w:hAnsi="Times New Roman"/>
          <w:szCs w:val="24"/>
        </w:rPr>
        <w:t>In conclusion, th</w:t>
      </w:r>
      <w:r w:rsidR="00C7070D">
        <w:rPr>
          <w:rFonts w:ascii="Times New Roman" w:hAnsi="Times New Roman"/>
          <w:szCs w:val="24"/>
        </w:rPr>
        <w:t>ree judges considered it</w:t>
      </w:r>
      <w:r w:rsidR="004B45F6">
        <w:rPr>
          <w:rFonts w:ascii="Times New Roman" w:hAnsi="Times New Roman"/>
          <w:szCs w:val="24"/>
        </w:rPr>
        <w:t xml:space="preserve"> appropriate to reduce Mr Katanga’s sentence by </w:t>
      </w:r>
      <w:r w:rsidR="00BE4E89">
        <w:rPr>
          <w:rFonts w:ascii="Times New Roman" w:hAnsi="Times New Roman"/>
          <w:szCs w:val="24"/>
        </w:rPr>
        <w:t>three</w:t>
      </w:r>
      <w:r w:rsidR="004B45F6">
        <w:rPr>
          <w:rFonts w:ascii="Times New Roman" w:hAnsi="Times New Roman"/>
          <w:szCs w:val="24"/>
        </w:rPr>
        <w:t xml:space="preserve"> years and </w:t>
      </w:r>
      <w:r w:rsidR="00BE4E89">
        <w:rPr>
          <w:rFonts w:ascii="Times New Roman" w:hAnsi="Times New Roman"/>
          <w:szCs w:val="24"/>
        </w:rPr>
        <w:t xml:space="preserve">eight </w:t>
      </w:r>
      <w:r w:rsidR="004B45F6">
        <w:rPr>
          <w:rFonts w:ascii="Times New Roman" w:hAnsi="Times New Roman"/>
          <w:szCs w:val="24"/>
        </w:rPr>
        <w:t>months.</w:t>
      </w:r>
      <w:r w:rsidR="004B45F6">
        <w:rPr>
          <w:rStyle w:val="FootnoteReference"/>
          <w:rFonts w:ascii="Times New Roman" w:hAnsi="Times New Roman"/>
          <w:szCs w:val="24"/>
        </w:rPr>
        <w:footnoteReference w:id="1144"/>
      </w:r>
    </w:p>
    <w:p w14:paraId="6AE9BA09" w14:textId="0549B3B3" w:rsidR="00522691" w:rsidRDefault="00C31170" w:rsidP="00CA1F33">
      <w:pPr>
        <w:spacing w:line="480" w:lineRule="auto"/>
        <w:jc w:val="both"/>
        <w:rPr>
          <w:rFonts w:ascii="Times New Roman" w:hAnsi="Times New Roman"/>
          <w:szCs w:val="24"/>
        </w:rPr>
      </w:pPr>
      <w:r w:rsidRPr="004B45F6">
        <w:rPr>
          <w:rFonts w:ascii="Times New Roman" w:hAnsi="Times New Roman"/>
          <w:szCs w:val="24"/>
        </w:rPr>
        <w:t xml:space="preserve">This section has </w:t>
      </w:r>
      <w:r w:rsidR="00CA60F6">
        <w:rPr>
          <w:rFonts w:ascii="Times New Roman" w:hAnsi="Times New Roman"/>
          <w:szCs w:val="24"/>
        </w:rPr>
        <w:t xml:space="preserve">reviewed the sentence reduction, the </w:t>
      </w:r>
      <w:r w:rsidRPr="004B45F6">
        <w:rPr>
          <w:rFonts w:ascii="Times New Roman" w:hAnsi="Times New Roman"/>
          <w:szCs w:val="24"/>
        </w:rPr>
        <w:t xml:space="preserve">section that follows moves on to </w:t>
      </w:r>
      <w:r w:rsidR="00BE4E89">
        <w:rPr>
          <w:rFonts w:ascii="Times New Roman" w:hAnsi="Times New Roman"/>
          <w:szCs w:val="24"/>
        </w:rPr>
        <w:t>discuss findings.</w:t>
      </w:r>
    </w:p>
    <w:p w14:paraId="5D992D66" w14:textId="77777777" w:rsidR="00D21C06" w:rsidRPr="00D21C06" w:rsidRDefault="00D21C06" w:rsidP="00D21C06">
      <w:pPr>
        <w:rPr>
          <w:lang w:eastAsia="ja-JP"/>
        </w:rPr>
      </w:pPr>
    </w:p>
    <w:p w14:paraId="2392D7CE" w14:textId="035190FC" w:rsidR="00FD7426" w:rsidRPr="004B45F6" w:rsidRDefault="00FD7426" w:rsidP="005725E4">
      <w:pPr>
        <w:pStyle w:val="Heading3"/>
      </w:pPr>
      <w:bookmarkStart w:id="91" w:name="_Toc60235855"/>
      <w:r w:rsidRPr="004B45F6">
        <w:t>4.7</w:t>
      </w:r>
      <w:r w:rsidR="006E2B55">
        <w:t>.</w:t>
      </w:r>
      <w:r w:rsidR="00787277">
        <w:t>7</w:t>
      </w:r>
      <w:r w:rsidRPr="004B45F6">
        <w:t>Discus</w:t>
      </w:r>
      <w:r w:rsidR="003862D2">
        <w:t>sing findings.</w:t>
      </w:r>
      <w:bookmarkEnd w:id="91"/>
    </w:p>
    <w:p w14:paraId="536DC4B0" w14:textId="6FA46EA7" w:rsidR="00914D8C" w:rsidRPr="004B45F6" w:rsidRDefault="00522691" w:rsidP="00800007">
      <w:pPr>
        <w:spacing w:line="480" w:lineRule="auto"/>
        <w:jc w:val="both"/>
        <w:rPr>
          <w:rFonts w:ascii="Times New Roman" w:hAnsi="Times New Roman"/>
        </w:rPr>
      </w:pPr>
      <w:r w:rsidRPr="004B45F6">
        <w:rPr>
          <w:rFonts w:ascii="Times New Roman" w:hAnsi="Times New Roman"/>
        </w:rPr>
        <w:t>This section summarises and discusses the main findings of the Katanga</w:t>
      </w:r>
      <w:r w:rsidR="00795CE1" w:rsidRPr="004B45F6">
        <w:rPr>
          <w:rFonts w:ascii="Times New Roman" w:hAnsi="Times New Roman"/>
        </w:rPr>
        <w:t xml:space="preserve"> sentencing decision and</w:t>
      </w:r>
      <w:r w:rsidRPr="004B45F6">
        <w:rPr>
          <w:rFonts w:ascii="Times New Roman" w:hAnsi="Times New Roman"/>
        </w:rPr>
        <w:t xml:space="preserve"> sentence review.</w:t>
      </w:r>
      <w:r w:rsidR="003A6499">
        <w:rPr>
          <w:rFonts w:ascii="Times New Roman" w:hAnsi="Times New Roman"/>
        </w:rPr>
        <w:t xml:space="preserve"> </w:t>
      </w:r>
      <w:r w:rsidR="00914D8C" w:rsidRPr="004B45F6">
        <w:rPr>
          <w:rFonts w:ascii="Times New Roman" w:hAnsi="Times New Roman"/>
        </w:rPr>
        <w:t xml:space="preserve">The </w:t>
      </w:r>
      <w:r w:rsidR="00CB2025">
        <w:rPr>
          <w:rFonts w:ascii="Times New Roman" w:hAnsi="Times New Roman"/>
        </w:rPr>
        <w:t>result</w:t>
      </w:r>
      <w:r w:rsidR="00914D8C" w:rsidRPr="004B45F6">
        <w:rPr>
          <w:rFonts w:ascii="Times New Roman" w:hAnsi="Times New Roman"/>
        </w:rPr>
        <w:t>s represent purely data obtained from transcr</w:t>
      </w:r>
      <w:r w:rsidR="00800007">
        <w:rPr>
          <w:rFonts w:ascii="Times New Roman" w:hAnsi="Times New Roman"/>
        </w:rPr>
        <w:t xml:space="preserve">ipts of </w:t>
      </w:r>
      <w:r w:rsidR="003E4438">
        <w:rPr>
          <w:rFonts w:ascii="Times New Roman" w:hAnsi="Times New Roman"/>
        </w:rPr>
        <w:t xml:space="preserve">the </w:t>
      </w:r>
      <w:r w:rsidR="00800007">
        <w:rPr>
          <w:rFonts w:ascii="Times New Roman" w:hAnsi="Times New Roman"/>
        </w:rPr>
        <w:t>decided case</w:t>
      </w:r>
      <w:r w:rsidR="00914D8C" w:rsidRPr="004B45F6">
        <w:rPr>
          <w:rFonts w:ascii="Times New Roman" w:hAnsi="Times New Roman"/>
        </w:rPr>
        <w:t>.</w:t>
      </w:r>
      <w:r w:rsidR="003A6499">
        <w:rPr>
          <w:rFonts w:ascii="Times New Roman" w:hAnsi="Times New Roman"/>
        </w:rPr>
        <w:t xml:space="preserve"> </w:t>
      </w:r>
      <w:r w:rsidR="00914D8C" w:rsidRPr="004B45F6">
        <w:rPr>
          <w:rFonts w:ascii="Times New Roman" w:hAnsi="Times New Roman"/>
        </w:rPr>
        <w:t>Not in</w:t>
      </w:r>
      <w:r w:rsidR="006B7534">
        <w:rPr>
          <w:rFonts w:ascii="Times New Roman" w:hAnsi="Times New Roman"/>
        </w:rPr>
        <w:t>-</w:t>
      </w:r>
      <w:r w:rsidR="00914D8C" w:rsidRPr="004B45F6">
        <w:rPr>
          <w:rFonts w:ascii="Times New Roman" w:hAnsi="Times New Roman"/>
        </w:rPr>
        <w:t>person observations.</w:t>
      </w:r>
    </w:p>
    <w:p w14:paraId="351F7F63" w14:textId="06141521" w:rsidR="00F1717B" w:rsidRPr="001D2B5A" w:rsidRDefault="001E1D1E" w:rsidP="00800007">
      <w:pPr>
        <w:spacing w:line="480" w:lineRule="auto"/>
        <w:jc w:val="both"/>
        <w:rPr>
          <w:rFonts w:ascii="Times New Roman" w:hAnsi="Times New Roman"/>
          <w:szCs w:val="24"/>
        </w:rPr>
      </w:pPr>
      <w:r w:rsidRPr="004B45F6">
        <w:rPr>
          <w:rFonts w:ascii="Times New Roman" w:hAnsi="Times New Roman"/>
        </w:rPr>
        <w:t xml:space="preserve">By carefully examining the data, it </w:t>
      </w:r>
      <w:r w:rsidR="003A6499">
        <w:rPr>
          <w:rFonts w:ascii="Times New Roman" w:hAnsi="Times New Roman"/>
        </w:rPr>
        <w:t xml:space="preserve">is </w:t>
      </w:r>
      <w:r w:rsidRPr="004B45F6">
        <w:rPr>
          <w:rFonts w:ascii="Times New Roman" w:hAnsi="Times New Roman"/>
        </w:rPr>
        <w:t>found that victims were allowe</w:t>
      </w:r>
      <w:r w:rsidR="00471851">
        <w:rPr>
          <w:rFonts w:ascii="Times New Roman" w:hAnsi="Times New Roman"/>
        </w:rPr>
        <w:t xml:space="preserve">d to participate during </w:t>
      </w:r>
      <w:r w:rsidR="003E4438">
        <w:rPr>
          <w:rFonts w:ascii="Times New Roman" w:hAnsi="Times New Roman"/>
        </w:rPr>
        <w:t xml:space="preserve">the </w:t>
      </w:r>
      <w:r w:rsidR="00471851">
        <w:rPr>
          <w:rFonts w:ascii="Times New Roman" w:hAnsi="Times New Roman"/>
        </w:rPr>
        <w:t>sentencing</w:t>
      </w:r>
      <w:r w:rsidRPr="004B45F6">
        <w:rPr>
          <w:rFonts w:ascii="Times New Roman" w:hAnsi="Times New Roman"/>
        </w:rPr>
        <w:t xml:space="preserve"> he</w:t>
      </w:r>
      <w:r w:rsidR="0054579F" w:rsidRPr="004B45F6">
        <w:rPr>
          <w:rFonts w:ascii="Times New Roman" w:hAnsi="Times New Roman"/>
        </w:rPr>
        <w:t>aring and sentence rev</w:t>
      </w:r>
      <w:r w:rsidRPr="004B45F6">
        <w:rPr>
          <w:rFonts w:ascii="Times New Roman" w:hAnsi="Times New Roman"/>
        </w:rPr>
        <w:t>iew.</w:t>
      </w:r>
      <w:r w:rsidR="001D4288" w:rsidRPr="001D4288">
        <w:rPr>
          <w:rFonts w:ascii="Times New Roman" w:hAnsi="Times New Roman"/>
          <w:szCs w:val="24"/>
        </w:rPr>
        <w:t xml:space="preserve"> </w:t>
      </w:r>
      <w:r w:rsidR="001D4288" w:rsidRPr="004B45F6">
        <w:rPr>
          <w:rFonts w:ascii="Times New Roman" w:hAnsi="Times New Roman"/>
          <w:szCs w:val="24"/>
        </w:rPr>
        <w:t>From the data obtained on sentence review reduction, as well as evidential provisions of article 110(4)(b) of the Statute and Rule  223(d) of the RPE, it is shown that</w:t>
      </w:r>
      <w:r w:rsidR="001D4288">
        <w:rPr>
          <w:rFonts w:ascii="Times New Roman" w:hAnsi="Times New Roman"/>
          <w:szCs w:val="24"/>
        </w:rPr>
        <w:t xml:space="preserve"> victims </w:t>
      </w:r>
      <w:r w:rsidR="001D4288" w:rsidRPr="004B45F6">
        <w:rPr>
          <w:rFonts w:ascii="Times New Roman" w:hAnsi="Times New Roman"/>
          <w:szCs w:val="24"/>
        </w:rPr>
        <w:t>participate</w:t>
      </w:r>
      <w:r w:rsidR="005328AA">
        <w:rPr>
          <w:rFonts w:ascii="Times New Roman" w:hAnsi="Times New Roman"/>
          <w:szCs w:val="24"/>
        </w:rPr>
        <w:t>d</w:t>
      </w:r>
      <w:r w:rsidR="001D4288" w:rsidRPr="004B45F6">
        <w:rPr>
          <w:rFonts w:ascii="Times New Roman" w:hAnsi="Times New Roman"/>
          <w:szCs w:val="24"/>
        </w:rPr>
        <w:t xml:space="preserve"> through written and oral observations/submissions.</w:t>
      </w:r>
      <w:r w:rsidR="006B7534">
        <w:rPr>
          <w:rFonts w:ascii="Times New Roman" w:hAnsi="Times New Roman"/>
        </w:rPr>
        <w:t xml:space="preserve"> </w:t>
      </w:r>
      <w:r w:rsidR="003B52FA">
        <w:rPr>
          <w:rFonts w:ascii="Times New Roman" w:hAnsi="Times New Roman"/>
        </w:rPr>
        <w:t>The judges and panel had to balance between defendants, prosecutor, and LRVs’ observations and verbal and written submissions.</w:t>
      </w:r>
      <w:r w:rsidRPr="004B45F6">
        <w:rPr>
          <w:rFonts w:ascii="Times New Roman" w:hAnsi="Times New Roman"/>
        </w:rPr>
        <w:t xml:space="preserve"> </w:t>
      </w:r>
      <w:r w:rsidR="006B7534">
        <w:rPr>
          <w:rFonts w:ascii="Times New Roman" w:hAnsi="Times New Roman"/>
        </w:rPr>
        <w:t>Perhaps, t</w:t>
      </w:r>
      <w:r w:rsidR="0054579F" w:rsidRPr="004B45F6">
        <w:rPr>
          <w:rFonts w:ascii="Times New Roman" w:hAnsi="Times New Roman"/>
        </w:rPr>
        <w:t>he rationale behind this is to give victims a platform to influence the sentencing decision and the sentence review.</w:t>
      </w:r>
      <w:r w:rsidR="0089697E">
        <w:rPr>
          <w:rFonts w:ascii="Times New Roman" w:hAnsi="Times New Roman"/>
        </w:rPr>
        <w:t xml:space="preserve"> </w:t>
      </w:r>
      <w:r w:rsidR="0054579F" w:rsidRPr="004B45F6">
        <w:rPr>
          <w:rFonts w:ascii="Times New Roman" w:hAnsi="Times New Roman"/>
        </w:rPr>
        <w:t xml:space="preserve">Nonetheless, their participation seems to illustrate </w:t>
      </w:r>
      <w:r w:rsidR="0089697E">
        <w:rPr>
          <w:rFonts w:ascii="Times New Roman" w:hAnsi="Times New Roman"/>
        </w:rPr>
        <w:t xml:space="preserve">a </w:t>
      </w:r>
      <w:r w:rsidR="0054579F" w:rsidRPr="004B45F6">
        <w:rPr>
          <w:rFonts w:ascii="Times New Roman" w:hAnsi="Times New Roman"/>
        </w:rPr>
        <w:t>restriction on their ability to influence sentencing.</w:t>
      </w:r>
      <w:r w:rsidR="0089697E">
        <w:rPr>
          <w:rFonts w:ascii="Times New Roman" w:hAnsi="Times New Roman"/>
        </w:rPr>
        <w:t xml:space="preserve"> Even though</w:t>
      </w:r>
      <w:r w:rsidR="005328AA">
        <w:rPr>
          <w:rFonts w:ascii="Times New Roman" w:hAnsi="Times New Roman"/>
        </w:rPr>
        <w:t xml:space="preserve"> the chamber </w:t>
      </w:r>
      <w:r w:rsidR="0054579F" w:rsidRPr="004B45F6">
        <w:rPr>
          <w:rFonts w:ascii="Times New Roman" w:hAnsi="Times New Roman"/>
        </w:rPr>
        <w:t>weighed</w:t>
      </w:r>
      <w:r w:rsidR="005328AA">
        <w:rPr>
          <w:rFonts w:ascii="Times New Roman" w:hAnsi="Times New Roman"/>
        </w:rPr>
        <w:t xml:space="preserve"> LRVs’ </w:t>
      </w:r>
      <w:r w:rsidR="005328AA">
        <w:rPr>
          <w:rFonts w:ascii="Times New Roman" w:hAnsi="Times New Roman"/>
        </w:rPr>
        <w:lastRenderedPageBreak/>
        <w:t>submissions</w:t>
      </w:r>
      <w:r w:rsidR="0054579F" w:rsidRPr="004B45F6">
        <w:rPr>
          <w:rFonts w:ascii="Times New Roman" w:hAnsi="Times New Roman"/>
        </w:rPr>
        <w:t xml:space="preserve"> against other parties involved, </w:t>
      </w:r>
      <w:r w:rsidR="0089697E">
        <w:rPr>
          <w:rFonts w:ascii="Times New Roman" w:hAnsi="Times New Roman"/>
        </w:rPr>
        <w:t xml:space="preserve">the sentencing decision and review were not made based on strictly </w:t>
      </w:r>
      <w:r w:rsidR="0054579F" w:rsidRPr="004B45F6">
        <w:rPr>
          <w:rFonts w:ascii="Times New Roman" w:hAnsi="Times New Roman"/>
        </w:rPr>
        <w:t>victims</w:t>
      </w:r>
      <w:r w:rsidR="0089697E">
        <w:rPr>
          <w:rFonts w:ascii="Times New Roman" w:hAnsi="Times New Roman"/>
        </w:rPr>
        <w:t xml:space="preserve">’ </w:t>
      </w:r>
      <w:r w:rsidR="005328AA">
        <w:rPr>
          <w:rFonts w:ascii="Times New Roman" w:hAnsi="Times New Roman"/>
        </w:rPr>
        <w:t>request</w:t>
      </w:r>
      <w:r w:rsidR="0089697E">
        <w:rPr>
          <w:rFonts w:ascii="Times New Roman" w:hAnsi="Times New Roman"/>
        </w:rPr>
        <w:t>s. The outcome implies that victims could not</w:t>
      </w:r>
      <w:r w:rsidR="0054579F" w:rsidRPr="004B45F6">
        <w:rPr>
          <w:rFonts w:ascii="Times New Roman" w:hAnsi="Times New Roman"/>
        </w:rPr>
        <w:t xml:space="preserve"> determine the term of imprison</w:t>
      </w:r>
      <w:r w:rsidR="0089697E">
        <w:rPr>
          <w:rFonts w:ascii="Times New Roman" w:hAnsi="Times New Roman"/>
        </w:rPr>
        <w:t>ment</w:t>
      </w:r>
      <w:r w:rsidR="0054579F" w:rsidRPr="004B45F6">
        <w:rPr>
          <w:rFonts w:ascii="Times New Roman" w:hAnsi="Times New Roman"/>
        </w:rPr>
        <w:t xml:space="preserve"> against the convicted person, Katanga.</w:t>
      </w:r>
      <w:r w:rsidR="0089697E">
        <w:rPr>
          <w:rFonts w:ascii="Times New Roman" w:hAnsi="Times New Roman"/>
        </w:rPr>
        <w:t xml:space="preserve"> The control resides within the decision-makers, the judges.</w:t>
      </w:r>
      <w:r w:rsidR="001D4288">
        <w:rPr>
          <w:rFonts w:ascii="Times New Roman" w:hAnsi="Times New Roman"/>
        </w:rPr>
        <w:t xml:space="preserve"> </w:t>
      </w:r>
      <w:r w:rsidR="00F1717B">
        <w:rPr>
          <w:rFonts w:ascii="Times New Roman" w:hAnsi="Times New Roman"/>
          <w:szCs w:val="24"/>
        </w:rPr>
        <w:t xml:space="preserve">Therefore, </w:t>
      </w:r>
      <w:r w:rsidR="00F1717B" w:rsidRPr="001D2B5A">
        <w:rPr>
          <w:rFonts w:ascii="Times New Roman" w:hAnsi="Times New Roman"/>
          <w:szCs w:val="24"/>
        </w:rPr>
        <w:t xml:space="preserve">regardless of the extent of </w:t>
      </w:r>
      <w:r w:rsidR="003B52FA">
        <w:rPr>
          <w:rFonts w:ascii="Times New Roman" w:hAnsi="Times New Roman"/>
          <w:szCs w:val="24"/>
        </w:rPr>
        <w:t>victims' participation</w:t>
      </w:r>
      <w:r w:rsidR="00F1717B" w:rsidRPr="001D2B5A">
        <w:rPr>
          <w:rFonts w:ascii="Times New Roman" w:hAnsi="Times New Roman"/>
          <w:szCs w:val="24"/>
        </w:rPr>
        <w:t xml:space="preserve">, </w:t>
      </w:r>
      <w:r w:rsidR="005328AA">
        <w:rPr>
          <w:rFonts w:ascii="Times New Roman" w:hAnsi="Times New Roman"/>
          <w:szCs w:val="24"/>
        </w:rPr>
        <w:t>primari</w:t>
      </w:r>
      <w:r w:rsidR="00F1717B" w:rsidRPr="001D2B5A">
        <w:rPr>
          <w:rFonts w:ascii="Times New Roman" w:hAnsi="Times New Roman"/>
          <w:szCs w:val="24"/>
        </w:rPr>
        <w:t xml:space="preserve">ly through aggravating circumstances and mitigating circumstances, the sentencing decision is </w:t>
      </w:r>
      <w:r w:rsidR="005328AA">
        <w:rPr>
          <w:rFonts w:ascii="Times New Roman" w:hAnsi="Times New Roman"/>
          <w:szCs w:val="24"/>
        </w:rPr>
        <w:t>most</w:t>
      </w:r>
      <w:r w:rsidR="00F1717B" w:rsidRPr="001D2B5A">
        <w:rPr>
          <w:rFonts w:ascii="Times New Roman" w:hAnsi="Times New Roman"/>
          <w:szCs w:val="24"/>
        </w:rPr>
        <w:t>ly dependent on judicial discretion.</w:t>
      </w:r>
      <w:r w:rsidR="00F1717B">
        <w:rPr>
          <w:rFonts w:ascii="Times New Roman" w:hAnsi="Times New Roman"/>
          <w:szCs w:val="24"/>
        </w:rPr>
        <w:t xml:space="preserve"> </w:t>
      </w:r>
      <w:r w:rsidR="00F1717B" w:rsidRPr="001D2B5A">
        <w:rPr>
          <w:rFonts w:ascii="Times New Roman" w:hAnsi="Times New Roman"/>
          <w:szCs w:val="24"/>
        </w:rPr>
        <w:t xml:space="preserve">This finding is consistent with </w:t>
      </w:r>
      <w:proofErr w:type="spellStart"/>
      <w:r w:rsidR="003B52FA">
        <w:rPr>
          <w:rFonts w:ascii="Times New Roman" w:hAnsi="Times New Roman"/>
          <w:szCs w:val="24"/>
        </w:rPr>
        <w:t>Henham's</w:t>
      </w:r>
      <w:proofErr w:type="spellEnd"/>
      <w:r w:rsidR="003B52FA">
        <w:rPr>
          <w:rFonts w:ascii="Times New Roman" w:hAnsi="Times New Roman"/>
          <w:szCs w:val="24"/>
        </w:rPr>
        <w:t xml:space="preserve"> study</w:t>
      </w:r>
      <w:r w:rsidR="00F1717B">
        <w:rPr>
          <w:rFonts w:ascii="Times New Roman" w:hAnsi="Times New Roman"/>
          <w:szCs w:val="24"/>
        </w:rPr>
        <w:t>,</w:t>
      </w:r>
      <w:r w:rsidR="00F1717B" w:rsidRPr="001D2B5A">
        <w:rPr>
          <w:rFonts w:ascii="Times New Roman" w:hAnsi="Times New Roman"/>
          <w:szCs w:val="24"/>
        </w:rPr>
        <w:t xml:space="preserve"> wh</w:t>
      </w:r>
      <w:r w:rsidR="003B52FA">
        <w:rPr>
          <w:rFonts w:ascii="Times New Roman" w:hAnsi="Times New Roman"/>
          <w:szCs w:val="24"/>
        </w:rPr>
        <w:t>ich</w:t>
      </w:r>
      <w:r w:rsidR="00F1717B" w:rsidRPr="001D2B5A">
        <w:rPr>
          <w:rFonts w:ascii="Times New Roman" w:hAnsi="Times New Roman"/>
          <w:szCs w:val="24"/>
        </w:rPr>
        <w:t xml:space="preserve"> suggests that judicial discretion suppresses </w:t>
      </w:r>
      <w:r w:rsidR="003B52FA">
        <w:rPr>
          <w:rFonts w:ascii="Times New Roman" w:hAnsi="Times New Roman"/>
          <w:szCs w:val="24"/>
        </w:rPr>
        <w:t>victims' ability</w:t>
      </w:r>
      <w:r w:rsidR="00F1717B" w:rsidRPr="001D2B5A">
        <w:rPr>
          <w:rFonts w:ascii="Times New Roman" w:hAnsi="Times New Roman"/>
          <w:szCs w:val="24"/>
        </w:rPr>
        <w:t xml:space="preserve"> to </w:t>
      </w:r>
      <w:r w:rsidR="00C7070D">
        <w:rPr>
          <w:rFonts w:ascii="Times New Roman" w:hAnsi="Times New Roman"/>
          <w:szCs w:val="24"/>
        </w:rPr>
        <w:t>effectively influence the sentencing decision</w:t>
      </w:r>
      <w:r w:rsidR="00F1717B" w:rsidRPr="001D2B5A">
        <w:rPr>
          <w:rFonts w:ascii="Times New Roman" w:hAnsi="Times New Roman"/>
          <w:szCs w:val="24"/>
        </w:rPr>
        <w:t>.</w:t>
      </w:r>
      <w:r w:rsidR="00F1717B" w:rsidRPr="001D2B5A">
        <w:rPr>
          <w:rStyle w:val="FootnoteReference"/>
          <w:rFonts w:ascii="Times New Roman" w:hAnsi="Times New Roman"/>
          <w:szCs w:val="24"/>
        </w:rPr>
        <w:footnoteReference w:id="1145"/>
      </w:r>
      <w:r w:rsidR="00F1717B" w:rsidRPr="001D2B5A">
        <w:rPr>
          <w:rFonts w:ascii="Times New Roman" w:hAnsi="Times New Roman"/>
          <w:szCs w:val="24"/>
        </w:rPr>
        <w:t xml:space="preserve"> This </w:t>
      </w:r>
      <w:r w:rsidR="00F1717B">
        <w:rPr>
          <w:rFonts w:ascii="Times New Roman" w:hAnsi="Times New Roman"/>
          <w:szCs w:val="24"/>
        </w:rPr>
        <w:t xml:space="preserve">reasoning </w:t>
      </w:r>
      <w:r w:rsidR="00F1717B" w:rsidRPr="001D2B5A">
        <w:rPr>
          <w:rFonts w:ascii="Times New Roman" w:hAnsi="Times New Roman"/>
          <w:szCs w:val="24"/>
        </w:rPr>
        <w:t xml:space="preserve">underlines the role of judicial discretion in sentencing. </w:t>
      </w:r>
      <w:r w:rsidR="005328AA">
        <w:rPr>
          <w:rFonts w:ascii="Times New Roman" w:hAnsi="Times New Roman"/>
          <w:szCs w:val="24"/>
        </w:rPr>
        <w:t>One could say</w:t>
      </w:r>
      <w:r w:rsidR="00F1717B" w:rsidRPr="001D2B5A">
        <w:rPr>
          <w:rFonts w:ascii="Times New Roman" w:hAnsi="Times New Roman"/>
          <w:szCs w:val="24"/>
        </w:rPr>
        <w:t xml:space="preserve"> that the sentencing decision filters the views and observations of the victims.</w:t>
      </w:r>
    </w:p>
    <w:p w14:paraId="1466BE94" w14:textId="1F316549" w:rsidR="00302B28" w:rsidRPr="004B45F6" w:rsidRDefault="0054579F" w:rsidP="00800007">
      <w:pPr>
        <w:spacing w:line="480" w:lineRule="auto"/>
        <w:jc w:val="both"/>
        <w:rPr>
          <w:rFonts w:ascii="Times New Roman" w:hAnsi="Times New Roman"/>
          <w:szCs w:val="24"/>
        </w:rPr>
      </w:pPr>
      <w:r w:rsidRPr="004B45F6">
        <w:rPr>
          <w:rFonts w:ascii="Times New Roman" w:hAnsi="Times New Roman"/>
        </w:rPr>
        <w:t>This finding seem</w:t>
      </w:r>
      <w:r w:rsidR="001D4288">
        <w:rPr>
          <w:rFonts w:ascii="Times New Roman" w:hAnsi="Times New Roman"/>
        </w:rPr>
        <w:t>s</w:t>
      </w:r>
      <w:r w:rsidRPr="004B45F6">
        <w:rPr>
          <w:rFonts w:ascii="Times New Roman" w:hAnsi="Times New Roman"/>
        </w:rPr>
        <w:t xml:space="preserve"> to be consistent with the research of Perez-Leon-</w:t>
      </w:r>
      <w:proofErr w:type="spellStart"/>
      <w:r w:rsidRPr="004B45F6">
        <w:rPr>
          <w:rFonts w:ascii="Times New Roman" w:hAnsi="Times New Roman"/>
        </w:rPr>
        <w:t>Avecado</w:t>
      </w:r>
      <w:proofErr w:type="spellEnd"/>
      <w:r w:rsidRPr="004B45F6">
        <w:rPr>
          <w:rFonts w:ascii="Times New Roman" w:hAnsi="Times New Roman"/>
        </w:rPr>
        <w:t>.</w:t>
      </w:r>
      <w:r w:rsidRPr="004B45F6">
        <w:rPr>
          <w:rStyle w:val="FootnoteReference"/>
          <w:rFonts w:ascii="Times New Roman" w:hAnsi="Times New Roman"/>
        </w:rPr>
        <w:footnoteReference w:id="1146"/>
      </w:r>
      <w:r w:rsidR="00D34D98" w:rsidRPr="004B45F6">
        <w:rPr>
          <w:rFonts w:ascii="Times New Roman" w:hAnsi="Times New Roman"/>
        </w:rPr>
        <w:t xml:space="preserve">Perez-Leon </w:t>
      </w:r>
      <w:proofErr w:type="spellStart"/>
      <w:r w:rsidR="00D34D98" w:rsidRPr="004B45F6">
        <w:rPr>
          <w:rFonts w:ascii="Times New Roman" w:hAnsi="Times New Roman"/>
        </w:rPr>
        <w:t>Avecado</w:t>
      </w:r>
      <w:proofErr w:type="spellEnd"/>
      <w:r w:rsidR="00D34D98" w:rsidRPr="004B45F6">
        <w:rPr>
          <w:rFonts w:ascii="Times New Roman" w:hAnsi="Times New Roman"/>
        </w:rPr>
        <w:t xml:space="preserve"> points out that the ICC impose</w:t>
      </w:r>
      <w:r w:rsidR="008D2FE8">
        <w:rPr>
          <w:rFonts w:ascii="Times New Roman" w:hAnsi="Times New Roman"/>
        </w:rPr>
        <w:t>s</w:t>
      </w:r>
      <w:r w:rsidR="00D34D98" w:rsidRPr="004B45F6">
        <w:rPr>
          <w:rFonts w:ascii="Times New Roman" w:hAnsi="Times New Roman"/>
        </w:rPr>
        <w:t xml:space="preserve"> limits on the involvement of victims at the sentencing stage.</w:t>
      </w:r>
      <w:r w:rsidR="00D34D98" w:rsidRPr="004B45F6">
        <w:rPr>
          <w:rStyle w:val="FootnoteReference"/>
          <w:rFonts w:ascii="Times New Roman" w:hAnsi="Times New Roman"/>
        </w:rPr>
        <w:footnoteReference w:id="1147"/>
      </w:r>
      <w:r w:rsidR="009F5646" w:rsidRPr="004B45F6">
        <w:rPr>
          <w:rFonts w:ascii="Times New Roman" w:hAnsi="Times New Roman"/>
          <w:szCs w:val="24"/>
        </w:rPr>
        <w:t xml:space="preserve"> Surprisingly, from this data, their </w:t>
      </w:r>
      <w:r w:rsidR="00302B28">
        <w:rPr>
          <w:rFonts w:ascii="Times New Roman" w:hAnsi="Times New Roman"/>
          <w:szCs w:val="24"/>
        </w:rPr>
        <w:t>submission</w:t>
      </w:r>
      <w:r w:rsidR="00150071">
        <w:rPr>
          <w:rFonts w:ascii="Times New Roman" w:hAnsi="Times New Roman"/>
          <w:szCs w:val="24"/>
        </w:rPr>
        <w:t>s did not pla</w:t>
      </w:r>
      <w:r w:rsidR="00302B28">
        <w:rPr>
          <w:rFonts w:ascii="Times New Roman" w:hAnsi="Times New Roman"/>
          <w:szCs w:val="24"/>
        </w:rPr>
        <w:t xml:space="preserve">y a </w:t>
      </w:r>
      <w:r w:rsidR="00150071">
        <w:rPr>
          <w:rFonts w:ascii="Times New Roman" w:hAnsi="Times New Roman"/>
          <w:szCs w:val="24"/>
        </w:rPr>
        <w:t>massiv</w:t>
      </w:r>
      <w:r w:rsidR="00302B28">
        <w:rPr>
          <w:rFonts w:ascii="Times New Roman" w:hAnsi="Times New Roman"/>
          <w:szCs w:val="24"/>
        </w:rPr>
        <w:t>e role in the determination o</w:t>
      </w:r>
      <w:r w:rsidR="00150071">
        <w:rPr>
          <w:rFonts w:ascii="Times New Roman" w:hAnsi="Times New Roman"/>
          <w:szCs w:val="24"/>
        </w:rPr>
        <w:t>f sentencing or sentence review</w:t>
      </w:r>
      <w:r w:rsidR="004700A0">
        <w:rPr>
          <w:rFonts w:ascii="Times New Roman" w:hAnsi="Times New Roman"/>
          <w:szCs w:val="24"/>
        </w:rPr>
        <w:t>, w</w:t>
      </w:r>
      <w:r w:rsidR="00A2572D">
        <w:rPr>
          <w:rFonts w:ascii="Times New Roman" w:hAnsi="Times New Roman"/>
          <w:szCs w:val="24"/>
        </w:rPr>
        <w:t>hich reiterates</w:t>
      </w:r>
      <w:r w:rsidR="00150071">
        <w:rPr>
          <w:rFonts w:ascii="Times New Roman" w:hAnsi="Times New Roman"/>
          <w:szCs w:val="24"/>
        </w:rPr>
        <w:t xml:space="preserve"> that </w:t>
      </w:r>
      <w:r w:rsidR="00302B28">
        <w:rPr>
          <w:rFonts w:ascii="Times New Roman" w:hAnsi="Times New Roman"/>
          <w:szCs w:val="24"/>
        </w:rPr>
        <w:t xml:space="preserve">the Court is vested </w:t>
      </w:r>
      <w:r w:rsidR="00302B28" w:rsidRPr="004B45F6">
        <w:rPr>
          <w:rFonts w:ascii="Times New Roman" w:hAnsi="Times New Roman"/>
          <w:szCs w:val="24"/>
        </w:rPr>
        <w:t xml:space="preserve">with the judicial discretionary power to decide </w:t>
      </w:r>
      <w:r w:rsidR="00A2572D">
        <w:rPr>
          <w:rFonts w:ascii="Times New Roman" w:hAnsi="Times New Roman"/>
          <w:szCs w:val="24"/>
        </w:rPr>
        <w:t>sentence and sentence reduction</w:t>
      </w:r>
      <w:r w:rsidR="005F5800">
        <w:rPr>
          <w:rFonts w:ascii="Times New Roman" w:hAnsi="Times New Roman"/>
          <w:szCs w:val="24"/>
        </w:rPr>
        <w:t>. The impact of victims</w:t>
      </w:r>
      <w:r w:rsidR="008D2FE8">
        <w:rPr>
          <w:rFonts w:ascii="Times New Roman" w:hAnsi="Times New Roman"/>
          <w:szCs w:val="24"/>
        </w:rPr>
        <w:t>'</w:t>
      </w:r>
      <w:r w:rsidR="005F5800">
        <w:rPr>
          <w:rFonts w:ascii="Times New Roman" w:hAnsi="Times New Roman"/>
          <w:szCs w:val="24"/>
        </w:rPr>
        <w:t xml:space="preserve"> participation on the sentencing outcome </w:t>
      </w:r>
      <w:r w:rsidR="005F5800">
        <w:rPr>
          <w:rFonts w:ascii="Times New Roman" w:hAnsi="Times New Roman"/>
          <w:szCs w:val="24"/>
        </w:rPr>
        <w:lastRenderedPageBreak/>
        <w:t>could be described as symbolic</w:t>
      </w:r>
      <w:r w:rsidR="008D2FE8">
        <w:rPr>
          <w:rFonts w:ascii="Times New Roman" w:hAnsi="Times New Roman"/>
          <w:szCs w:val="24"/>
        </w:rPr>
        <w:t>—an impact made by representation through a few victims a means to an end.</w:t>
      </w:r>
    </w:p>
    <w:p w14:paraId="66CF77BD" w14:textId="70E282FD" w:rsidR="00CA07D4" w:rsidRDefault="00150071" w:rsidP="00A2572D">
      <w:pPr>
        <w:spacing w:line="480" w:lineRule="auto"/>
        <w:jc w:val="both"/>
        <w:rPr>
          <w:rFonts w:ascii="Times New Roman" w:hAnsi="Times New Roman"/>
          <w:szCs w:val="24"/>
        </w:rPr>
      </w:pPr>
      <w:r w:rsidRPr="00150071">
        <w:rPr>
          <w:rFonts w:ascii="Times New Roman" w:hAnsi="Times New Roman"/>
          <w:szCs w:val="24"/>
        </w:rPr>
        <w:t xml:space="preserve">The outcome of </w:t>
      </w:r>
      <w:r>
        <w:rPr>
          <w:rFonts w:ascii="Times New Roman" w:hAnsi="Times New Roman"/>
          <w:szCs w:val="24"/>
        </w:rPr>
        <w:t>b</w:t>
      </w:r>
      <w:r w:rsidRPr="00150071">
        <w:rPr>
          <w:rFonts w:ascii="Times New Roman" w:hAnsi="Times New Roman"/>
          <w:szCs w:val="24"/>
        </w:rPr>
        <w:t>oth the sentencing decision and sentence revie</w:t>
      </w:r>
      <w:r w:rsidR="00A2572D">
        <w:rPr>
          <w:rFonts w:ascii="Times New Roman" w:hAnsi="Times New Roman"/>
          <w:szCs w:val="24"/>
        </w:rPr>
        <w:t>w suggests that judges were</w:t>
      </w:r>
      <w:r w:rsidRPr="00150071">
        <w:rPr>
          <w:rFonts w:ascii="Times New Roman" w:hAnsi="Times New Roman"/>
          <w:szCs w:val="24"/>
        </w:rPr>
        <w:t xml:space="preserve"> very cautious not to lose their objectivity based on the </w:t>
      </w:r>
      <w:r w:rsidR="008D2FE8">
        <w:rPr>
          <w:rFonts w:ascii="Times New Roman" w:hAnsi="Times New Roman"/>
          <w:szCs w:val="24"/>
        </w:rPr>
        <w:t>victims' emotional storie</w:t>
      </w:r>
      <w:r w:rsidRPr="00150071">
        <w:rPr>
          <w:rFonts w:ascii="Times New Roman" w:hAnsi="Times New Roman"/>
          <w:szCs w:val="24"/>
        </w:rPr>
        <w:t xml:space="preserve">s. </w:t>
      </w:r>
      <w:r w:rsidR="009E2C87">
        <w:rPr>
          <w:rFonts w:ascii="Times New Roman" w:hAnsi="Times New Roman"/>
          <w:szCs w:val="24"/>
        </w:rPr>
        <w:t>Some instances</w:t>
      </w:r>
      <w:r w:rsidRPr="00150071">
        <w:rPr>
          <w:rFonts w:ascii="Times New Roman" w:hAnsi="Times New Roman"/>
          <w:szCs w:val="24"/>
        </w:rPr>
        <w:t xml:space="preserve"> show </w:t>
      </w:r>
      <w:r w:rsidR="00C7070D">
        <w:rPr>
          <w:rFonts w:ascii="Times New Roman" w:hAnsi="Times New Roman"/>
          <w:szCs w:val="24"/>
        </w:rPr>
        <w:t>Mr Katanga's inadequacy in addressing the victims' concern</w:t>
      </w:r>
      <w:r w:rsidRPr="00150071">
        <w:rPr>
          <w:rFonts w:ascii="Times New Roman" w:hAnsi="Times New Roman"/>
          <w:szCs w:val="24"/>
        </w:rPr>
        <w:t>s</w:t>
      </w:r>
      <w:r w:rsidR="009E2C87">
        <w:rPr>
          <w:rFonts w:ascii="Times New Roman" w:hAnsi="Times New Roman"/>
          <w:szCs w:val="24"/>
        </w:rPr>
        <w:t>;</w:t>
      </w:r>
      <w:r>
        <w:rPr>
          <w:rFonts w:ascii="Times New Roman" w:hAnsi="Times New Roman"/>
          <w:szCs w:val="24"/>
        </w:rPr>
        <w:t xml:space="preserve"> </w:t>
      </w:r>
      <w:r w:rsidRPr="00150071">
        <w:rPr>
          <w:rFonts w:ascii="Times New Roman" w:hAnsi="Times New Roman"/>
          <w:szCs w:val="24"/>
        </w:rPr>
        <w:t xml:space="preserve">most of these concerns </w:t>
      </w:r>
      <w:r w:rsidR="009E2C87">
        <w:rPr>
          <w:rFonts w:ascii="Times New Roman" w:hAnsi="Times New Roman"/>
          <w:szCs w:val="24"/>
        </w:rPr>
        <w:t xml:space="preserve">came </w:t>
      </w:r>
      <w:r w:rsidRPr="00150071">
        <w:rPr>
          <w:rFonts w:ascii="Times New Roman" w:hAnsi="Times New Roman"/>
          <w:szCs w:val="24"/>
        </w:rPr>
        <w:t>from</w:t>
      </w:r>
      <w:r w:rsidR="009E2C87">
        <w:rPr>
          <w:rFonts w:ascii="Times New Roman" w:hAnsi="Times New Roman"/>
          <w:szCs w:val="24"/>
        </w:rPr>
        <w:t xml:space="preserve"> victims’ </w:t>
      </w:r>
      <w:r w:rsidR="00C7070D">
        <w:rPr>
          <w:rFonts w:ascii="Times New Roman" w:hAnsi="Times New Roman"/>
          <w:szCs w:val="24"/>
        </w:rPr>
        <w:t>h</w:t>
      </w:r>
      <w:r w:rsidR="009E2C87">
        <w:rPr>
          <w:rFonts w:ascii="Times New Roman" w:hAnsi="Times New Roman"/>
          <w:szCs w:val="24"/>
        </w:rPr>
        <w:t xml:space="preserve">urtful </w:t>
      </w:r>
      <w:r w:rsidRPr="00150071">
        <w:rPr>
          <w:rFonts w:ascii="Times New Roman" w:hAnsi="Times New Roman"/>
          <w:szCs w:val="24"/>
        </w:rPr>
        <w:t>emotions</w:t>
      </w:r>
      <w:r w:rsidR="009E2C87">
        <w:rPr>
          <w:rFonts w:ascii="Times New Roman" w:hAnsi="Times New Roman"/>
          <w:szCs w:val="24"/>
        </w:rPr>
        <w:t>.</w:t>
      </w:r>
      <w:r w:rsidR="00DB7D9B">
        <w:rPr>
          <w:rFonts w:ascii="Times New Roman" w:hAnsi="Times New Roman"/>
          <w:szCs w:val="24"/>
        </w:rPr>
        <w:t xml:space="preserve"> </w:t>
      </w:r>
      <w:r w:rsidRPr="00150071">
        <w:rPr>
          <w:rFonts w:ascii="Times New Roman" w:hAnsi="Times New Roman"/>
          <w:szCs w:val="24"/>
        </w:rPr>
        <w:t xml:space="preserve">The judges exercised caution in making </w:t>
      </w:r>
      <w:r>
        <w:rPr>
          <w:rFonts w:ascii="Times New Roman" w:hAnsi="Times New Roman"/>
          <w:szCs w:val="24"/>
        </w:rPr>
        <w:t xml:space="preserve">a </w:t>
      </w:r>
      <w:r w:rsidRPr="00150071">
        <w:rPr>
          <w:rFonts w:ascii="Times New Roman" w:hAnsi="Times New Roman"/>
          <w:szCs w:val="24"/>
        </w:rPr>
        <w:t xml:space="preserve">decision. </w:t>
      </w:r>
      <w:r w:rsidR="00654110">
        <w:rPr>
          <w:rFonts w:ascii="Times New Roman" w:hAnsi="Times New Roman"/>
          <w:szCs w:val="24"/>
        </w:rPr>
        <w:t>V</w:t>
      </w:r>
      <w:r w:rsidR="00367711">
        <w:rPr>
          <w:rFonts w:ascii="Times New Roman" w:hAnsi="Times New Roman"/>
          <w:szCs w:val="24"/>
        </w:rPr>
        <w:t>ictims</w:t>
      </w:r>
      <w:r w:rsidR="008D2FE8">
        <w:rPr>
          <w:rFonts w:ascii="Times New Roman" w:hAnsi="Times New Roman"/>
          <w:szCs w:val="24"/>
        </w:rPr>
        <w:t>'</w:t>
      </w:r>
      <w:r w:rsidR="00367711">
        <w:rPr>
          <w:rFonts w:ascii="Times New Roman" w:hAnsi="Times New Roman"/>
          <w:szCs w:val="24"/>
        </w:rPr>
        <w:t xml:space="preserve"> submission</w:t>
      </w:r>
      <w:r w:rsidR="008D2FE8">
        <w:rPr>
          <w:rFonts w:ascii="Times New Roman" w:hAnsi="Times New Roman"/>
          <w:szCs w:val="24"/>
        </w:rPr>
        <w:t>s</w:t>
      </w:r>
      <w:r w:rsidR="00367711">
        <w:rPr>
          <w:rFonts w:ascii="Times New Roman" w:hAnsi="Times New Roman"/>
          <w:szCs w:val="24"/>
        </w:rPr>
        <w:t xml:space="preserve"> </w:t>
      </w:r>
      <w:r w:rsidR="008D2FE8">
        <w:rPr>
          <w:rFonts w:ascii="Times New Roman" w:hAnsi="Times New Roman"/>
          <w:szCs w:val="24"/>
        </w:rPr>
        <w:t>are</w:t>
      </w:r>
      <w:r w:rsidR="00654110">
        <w:rPr>
          <w:rFonts w:ascii="Times New Roman" w:hAnsi="Times New Roman"/>
          <w:szCs w:val="24"/>
        </w:rPr>
        <w:t xml:space="preserve"> most times</w:t>
      </w:r>
      <w:r w:rsidR="00367711">
        <w:rPr>
          <w:rFonts w:ascii="Times New Roman" w:hAnsi="Times New Roman"/>
          <w:szCs w:val="24"/>
        </w:rPr>
        <w:t xml:space="preserve"> subjective.</w:t>
      </w:r>
      <w:r w:rsidR="00304569" w:rsidRPr="00304569">
        <w:rPr>
          <w:rFonts w:ascii="Times New Roman" w:hAnsi="Times New Roman"/>
          <w:szCs w:val="24"/>
        </w:rPr>
        <w:t xml:space="preserve"> </w:t>
      </w:r>
      <w:r w:rsidR="00DB7D9B">
        <w:rPr>
          <w:rFonts w:ascii="Times New Roman" w:hAnsi="Times New Roman"/>
          <w:szCs w:val="24"/>
        </w:rPr>
        <w:t>Perhaps,</w:t>
      </w:r>
      <w:r w:rsidR="00304569" w:rsidRPr="001D2B5A">
        <w:rPr>
          <w:rFonts w:ascii="Times New Roman" w:hAnsi="Times New Roman"/>
          <w:szCs w:val="24"/>
        </w:rPr>
        <w:t xml:space="preserve"> such emotions from victims could</w:t>
      </w:r>
      <w:r w:rsidR="00C139AB">
        <w:rPr>
          <w:rFonts w:ascii="Times New Roman" w:hAnsi="Times New Roman"/>
          <w:szCs w:val="24"/>
        </w:rPr>
        <w:t xml:space="preserve"> affect how the judicial role is performed by</w:t>
      </w:r>
      <w:r w:rsidR="00304569" w:rsidRPr="001D2B5A">
        <w:rPr>
          <w:rFonts w:ascii="Times New Roman" w:hAnsi="Times New Roman"/>
          <w:szCs w:val="24"/>
        </w:rPr>
        <w:t xml:space="preserve"> trigger</w:t>
      </w:r>
      <w:r w:rsidR="00C139AB">
        <w:rPr>
          <w:rFonts w:ascii="Times New Roman" w:hAnsi="Times New Roman"/>
          <w:szCs w:val="24"/>
        </w:rPr>
        <w:t>ing</w:t>
      </w:r>
      <w:r w:rsidR="00304569" w:rsidRPr="001D2B5A">
        <w:rPr>
          <w:rFonts w:ascii="Times New Roman" w:hAnsi="Times New Roman"/>
          <w:szCs w:val="24"/>
        </w:rPr>
        <w:t xml:space="preserve"> </w:t>
      </w:r>
      <w:r w:rsidR="00654110">
        <w:rPr>
          <w:rFonts w:ascii="Times New Roman" w:hAnsi="Times New Roman"/>
          <w:szCs w:val="24"/>
        </w:rPr>
        <w:t>judges</w:t>
      </w:r>
      <w:r w:rsidR="00855108">
        <w:rPr>
          <w:rFonts w:ascii="Times New Roman" w:hAnsi="Times New Roman"/>
          <w:szCs w:val="24"/>
        </w:rPr>
        <w:t>'</w:t>
      </w:r>
      <w:r w:rsidR="00654110">
        <w:rPr>
          <w:rFonts w:ascii="Times New Roman" w:hAnsi="Times New Roman"/>
          <w:szCs w:val="24"/>
        </w:rPr>
        <w:t xml:space="preserve"> sentim</w:t>
      </w:r>
      <w:r w:rsidR="00C139AB">
        <w:rPr>
          <w:rFonts w:ascii="Times New Roman" w:hAnsi="Times New Roman"/>
          <w:szCs w:val="24"/>
        </w:rPr>
        <w:t>ents</w:t>
      </w:r>
      <w:r w:rsidR="00654110">
        <w:rPr>
          <w:rFonts w:ascii="Times New Roman" w:hAnsi="Times New Roman"/>
          <w:szCs w:val="24"/>
        </w:rPr>
        <w:t>.</w:t>
      </w:r>
      <w:r w:rsidR="00304569" w:rsidRPr="001D2B5A">
        <w:rPr>
          <w:rFonts w:ascii="Times New Roman" w:hAnsi="Times New Roman"/>
          <w:szCs w:val="24"/>
        </w:rPr>
        <w:t xml:space="preserve"> </w:t>
      </w:r>
      <w:r w:rsidR="00F913A8">
        <w:rPr>
          <w:rFonts w:ascii="Times New Roman" w:hAnsi="Times New Roman"/>
          <w:szCs w:val="24"/>
        </w:rPr>
        <w:t xml:space="preserve">In making a fair sentencing decision or sentence review, the judges’ reasoning </w:t>
      </w:r>
      <w:r w:rsidR="00B87CA1">
        <w:rPr>
          <w:rFonts w:ascii="Times New Roman" w:hAnsi="Times New Roman"/>
          <w:szCs w:val="24"/>
        </w:rPr>
        <w:t>s</w:t>
      </w:r>
      <w:r w:rsidR="004700A0">
        <w:rPr>
          <w:rFonts w:ascii="Times New Roman" w:hAnsi="Times New Roman"/>
          <w:szCs w:val="24"/>
        </w:rPr>
        <w:t>h</w:t>
      </w:r>
      <w:r w:rsidR="00B87CA1">
        <w:rPr>
          <w:rFonts w:ascii="Times New Roman" w:hAnsi="Times New Roman"/>
          <w:szCs w:val="24"/>
        </w:rPr>
        <w:t xml:space="preserve">ould </w:t>
      </w:r>
      <w:r w:rsidR="00CA07D4">
        <w:rPr>
          <w:rFonts w:ascii="Times New Roman" w:hAnsi="Times New Roman"/>
          <w:szCs w:val="24"/>
        </w:rPr>
        <w:t xml:space="preserve">be objective to a large extent rather than </w:t>
      </w:r>
      <w:r w:rsidR="005328AA">
        <w:rPr>
          <w:rFonts w:ascii="Times New Roman" w:hAnsi="Times New Roman"/>
          <w:szCs w:val="24"/>
        </w:rPr>
        <w:t xml:space="preserve">the </w:t>
      </w:r>
      <w:r w:rsidR="00855108">
        <w:rPr>
          <w:rFonts w:ascii="Times New Roman" w:hAnsi="Times New Roman"/>
          <w:szCs w:val="24"/>
        </w:rPr>
        <w:t>victims' reaction</w:t>
      </w:r>
      <w:r w:rsidR="00C139AB">
        <w:rPr>
          <w:rFonts w:ascii="Times New Roman" w:hAnsi="Times New Roman"/>
          <w:szCs w:val="24"/>
        </w:rPr>
        <w:t>.</w:t>
      </w:r>
      <w:r w:rsidR="00654110">
        <w:rPr>
          <w:rStyle w:val="FootnoteReference"/>
          <w:rFonts w:ascii="Times New Roman" w:hAnsi="Times New Roman"/>
          <w:szCs w:val="24"/>
        </w:rPr>
        <w:footnoteReference w:id="1148"/>
      </w:r>
      <w:r w:rsidR="00C139AB">
        <w:rPr>
          <w:rFonts w:ascii="Times New Roman" w:hAnsi="Times New Roman"/>
          <w:szCs w:val="24"/>
        </w:rPr>
        <w:t>In Gibson’</w:t>
      </w:r>
      <w:r w:rsidR="00855108">
        <w:rPr>
          <w:rFonts w:ascii="Times New Roman" w:hAnsi="Times New Roman"/>
          <w:szCs w:val="24"/>
        </w:rPr>
        <w:t>s</w:t>
      </w:r>
      <w:r w:rsidR="00C139AB">
        <w:rPr>
          <w:rFonts w:ascii="Times New Roman" w:hAnsi="Times New Roman"/>
          <w:szCs w:val="24"/>
        </w:rPr>
        <w:t xml:space="preserve"> words: judicial role theory </w:t>
      </w:r>
      <w:r w:rsidR="00855108">
        <w:rPr>
          <w:rFonts w:ascii="Times New Roman" w:hAnsi="Times New Roman"/>
          <w:szCs w:val="24"/>
        </w:rPr>
        <w:t xml:space="preserve">is </w:t>
      </w:r>
      <w:r w:rsidR="00C31268">
        <w:rPr>
          <w:rFonts w:ascii="Times New Roman" w:hAnsi="Times New Roman"/>
          <w:szCs w:val="24"/>
        </w:rPr>
        <w:t xml:space="preserve"> “a means of moving beyond an exclusive focus on individuals to consider the influence of institutional constraints on decision-making.</w:t>
      </w:r>
      <w:r w:rsidR="00AE6667">
        <w:rPr>
          <w:rFonts w:ascii="Times New Roman" w:hAnsi="Times New Roman"/>
          <w:szCs w:val="24"/>
        </w:rPr>
        <w:t xml:space="preserve"> </w:t>
      </w:r>
      <w:r w:rsidR="00C31268">
        <w:rPr>
          <w:rFonts w:ascii="Times New Roman" w:hAnsi="Times New Roman"/>
          <w:szCs w:val="24"/>
        </w:rPr>
        <w:t>Contexts are always associated with the expectations emanating from others who share the context.”</w:t>
      </w:r>
      <w:r w:rsidR="00C31268">
        <w:rPr>
          <w:rStyle w:val="FootnoteReference"/>
          <w:rFonts w:ascii="Times New Roman" w:hAnsi="Times New Roman"/>
          <w:szCs w:val="24"/>
        </w:rPr>
        <w:footnoteReference w:id="1149"/>
      </w:r>
      <w:r w:rsidR="00654110">
        <w:rPr>
          <w:rFonts w:ascii="Times New Roman" w:hAnsi="Times New Roman"/>
          <w:szCs w:val="24"/>
        </w:rPr>
        <w:t>Judicial r</w:t>
      </w:r>
      <w:r w:rsidR="0053071E">
        <w:rPr>
          <w:rFonts w:ascii="Times New Roman" w:hAnsi="Times New Roman"/>
          <w:szCs w:val="24"/>
        </w:rPr>
        <w:t xml:space="preserve">estraint takes precedent over </w:t>
      </w:r>
      <w:r w:rsidR="0045152B">
        <w:rPr>
          <w:rFonts w:ascii="Times New Roman" w:hAnsi="Times New Roman"/>
          <w:szCs w:val="24"/>
        </w:rPr>
        <w:t>sentiments</w:t>
      </w:r>
      <w:r w:rsidR="00E83912">
        <w:rPr>
          <w:rFonts w:ascii="Times New Roman" w:hAnsi="Times New Roman"/>
          <w:szCs w:val="24"/>
        </w:rPr>
        <w:t>, as sentiments could derail the purpose of sentencing.</w:t>
      </w:r>
    </w:p>
    <w:p w14:paraId="43A07823" w14:textId="0CCE6DEF" w:rsidR="00304569" w:rsidRPr="001D2B5A" w:rsidRDefault="00304569" w:rsidP="00A2572D">
      <w:pPr>
        <w:spacing w:line="480" w:lineRule="auto"/>
        <w:jc w:val="both"/>
        <w:rPr>
          <w:rFonts w:ascii="Times New Roman" w:hAnsi="Times New Roman"/>
          <w:szCs w:val="24"/>
        </w:rPr>
      </w:pPr>
      <w:r w:rsidRPr="001D2B5A">
        <w:rPr>
          <w:rFonts w:ascii="Times New Roman" w:hAnsi="Times New Roman"/>
          <w:szCs w:val="24"/>
        </w:rPr>
        <w:t xml:space="preserve">On the other hand, </w:t>
      </w:r>
      <w:r w:rsidR="00DD094C">
        <w:rPr>
          <w:rFonts w:ascii="Times New Roman" w:hAnsi="Times New Roman"/>
          <w:szCs w:val="24"/>
        </w:rPr>
        <w:t>victims' emotion</w:t>
      </w:r>
      <w:r w:rsidRPr="001D2B5A">
        <w:rPr>
          <w:rFonts w:ascii="Times New Roman" w:hAnsi="Times New Roman"/>
          <w:szCs w:val="24"/>
        </w:rPr>
        <w:t>s could per</w:t>
      </w:r>
      <w:r w:rsidR="00B87CA1">
        <w:rPr>
          <w:rFonts w:ascii="Times New Roman" w:hAnsi="Times New Roman"/>
          <w:szCs w:val="24"/>
        </w:rPr>
        <w:t xml:space="preserve">form </w:t>
      </w:r>
      <w:r w:rsidR="00D72C60">
        <w:rPr>
          <w:rFonts w:ascii="Times New Roman" w:hAnsi="Times New Roman"/>
          <w:szCs w:val="24"/>
        </w:rPr>
        <w:t xml:space="preserve">therapeutic </w:t>
      </w:r>
      <w:r w:rsidR="00B87CA1">
        <w:rPr>
          <w:rFonts w:ascii="Times New Roman" w:hAnsi="Times New Roman"/>
          <w:szCs w:val="24"/>
        </w:rPr>
        <w:t>functions for both victims and the offender.</w:t>
      </w:r>
      <w:r w:rsidR="00D72C60">
        <w:rPr>
          <w:rFonts w:ascii="Times New Roman" w:hAnsi="Times New Roman"/>
          <w:szCs w:val="24"/>
        </w:rPr>
        <w:t xml:space="preserve">, which is best achieved in an informal context. </w:t>
      </w:r>
      <w:r w:rsidR="004700A0">
        <w:rPr>
          <w:rFonts w:ascii="Times New Roman" w:hAnsi="Times New Roman"/>
          <w:szCs w:val="24"/>
        </w:rPr>
        <w:t>Notably,</w:t>
      </w:r>
      <w:r w:rsidRPr="001D2B5A">
        <w:rPr>
          <w:rFonts w:ascii="Times New Roman" w:hAnsi="Times New Roman"/>
          <w:szCs w:val="24"/>
        </w:rPr>
        <w:t xml:space="preserve"> </w:t>
      </w:r>
      <w:r w:rsidRPr="001D2B5A">
        <w:rPr>
          <w:rFonts w:ascii="Times New Roman" w:hAnsi="Times New Roman"/>
          <w:szCs w:val="24"/>
        </w:rPr>
        <w:lastRenderedPageBreak/>
        <w:t xml:space="preserve">victims’ </w:t>
      </w:r>
      <w:r w:rsidR="00367711">
        <w:rPr>
          <w:rFonts w:ascii="Times New Roman" w:hAnsi="Times New Roman"/>
          <w:szCs w:val="24"/>
        </w:rPr>
        <w:t xml:space="preserve">communicated they envisage a more severe punishment for the convicted person. However, </w:t>
      </w:r>
      <w:r w:rsidRPr="001D2B5A">
        <w:rPr>
          <w:rFonts w:ascii="Times New Roman" w:hAnsi="Times New Roman"/>
          <w:szCs w:val="24"/>
        </w:rPr>
        <w:t xml:space="preserve">contrary to </w:t>
      </w:r>
      <w:r w:rsidR="00367711">
        <w:rPr>
          <w:rFonts w:ascii="Times New Roman" w:hAnsi="Times New Roman"/>
          <w:szCs w:val="24"/>
        </w:rPr>
        <w:t xml:space="preserve">their </w:t>
      </w:r>
      <w:r w:rsidRPr="001D2B5A">
        <w:rPr>
          <w:rFonts w:ascii="Times New Roman" w:hAnsi="Times New Roman"/>
          <w:szCs w:val="24"/>
        </w:rPr>
        <w:t>expectations</w:t>
      </w:r>
      <w:r>
        <w:rPr>
          <w:rFonts w:ascii="Times New Roman" w:hAnsi="Times New Roman"/>
          <w:szCs w:val="24"/>
        </w:rPr>
        <w:t>,</w:t>
      </w:r>
      <w:r w:rsidRPr="001D2B5A">
        <w:rPr>
          <w:rFonts w:ascii="Times New Roman" w:hAnsi="Times New Roman"/>
          <w:szCs w:val="24"/>
        </w:rPr>
        <w:t xml:space="preserve"> this study did not find that victims’ observations and submissions influenced sentencing. </w:t>
      </w:r>
      <w:r w:rsidR="005328AA">
        <w:rPr>
          <w:rFonts w:ascii="Times New Roman" w:hAnsi="Times New Roman"/>
          <w:szCs w:val="24"/>
        </w:rPr>
        <w:t>The impact of victims</w:t>
      </w:r>
      <w:r w:rsidR="00855108">
        <w:rPr>
          <w:rFonts w:ascii="Times New Roman" w:hAnsi="Times New Roman"/>
          <w:szCs w:val="24"/>
        </w:rPr>
        <w:t>'</w:t>
      </w:r>
      <w:r w:rsidR="005328AA">
        <w:rPr>
          <w:rFonts w:ascii="Times New Roman" w:hAnsi="Times New Roman"/>
          <w:szCs w:val="24"/>
        </w:rPr>
        <w:t xml:space="preserve"> participation on the sentencing outcome could be described as partly symbolic. </w:t>
      </w:r>
      <w:r w:rsidRPr="001D2B5A">
        <w:rPr>
          <w:rFonts w:ascii="Times New Roman" w:hAnsi="Times New Roman"/>
          <w:szCs w:val="24"/>
        </w:rPr>
        <w:t xml:space="preserve">Some commentators have argued that most victims’ </w:t>
      </w:r>
      <w:r>
        <w:rPr>
          <w:rFonts w:ascii="Times New Roman" w:hAnsi="Times New Roman"/>
          <w:szCs w:val="24"/>
        </w:rPr>
        <w:t>represent</w:t>
      </w:r>
      <w:r w:rsidRPr="001D2B5A">
        <w:rPr>
          <w:rFonts w:ascii="Times New Roman" w:hAnsi="Times New Roman"/>
          <w:szCs w:val="24"/>
        </w:rPr>
        <w:t>ations are beclouded with emotions rather than objectivity</w:t>
      </w:r>
      <w:r>
        <w:rPr>
          <w:rFonts w:ascii="Times New Roman" w:hAnsi="Times New Roman"/>
          <w:szCs w:val="24"/>
        </w:rPr>
        <w:t>.</w:t>
      </w:r>
      <w:r w:rsidR="007A0F05">
        <w:rPr>
          <w:rStyle w:val="FootnoteReference"/>
          <w:rFonts w:ascii="Times New Roman" w:hAnsi="Times New Roman"/>
          <w:szCs w:val="24"/>
        </w:rPr>
        <w:footnoteReference w:id="1150"/>
      </w:r>
      <w:r>
        <w:rPr>
          <w:rFonts w:ascii="Times New Roman" w:hAnsi="Times New Roman"/>
          <w:szCs w:val="24"/>
        </w:rPr>
        <w:t xml:space="preserve"> T</w:t>
      </w:r>
      <w:r w:rsidRPr="001D2B5A">
        <w:rPr>
          <w:rFonts w:ascii="Times New Roman" w:hAnsi="Times New Roman"/>
          <w:szCs w:val="24"/>
        </w:rPr>
        <w:t xml:space="preserve">hus, it may be difficult for the Chamber </w:t>
      </w:r>
      <w:r>
        <w:rPr>
          <w:rFonts w:ascii="Times New Roman" w:hAnsi="Times New Roman"/>
          <w:szCs w:val="24"/>
        </w:rPr>
        <w:t xml:space="preserve">to </w:t>
      </w:r>
      <w:r w:rsidRPr="001D2B5A">
        <w:rPr>
          <w:rFonts w:ascii="Times New Roman" w:hAnsi="Times New Roman"/>
          <w:szCs w:val="24"/>
        </w:rPr>
        <w:t>consider their observations in the determination of sentencing.</w:t>
      </w:r>
      <w:r w:rsidRPr="001D2B5A">
        <w:rPr>
          <w:rStyle w:val="FootnoteReference"/>
          <w:rFonts w:ascii="Times New Roman" w:hAnsi="Times New Roman"/>
          <w:szCs w:val="24"/>
        </w:rPr>
        <w:footnoteReference w:id="1151"/>
      </w:r>
      <w:r w:rsidRPr="001D2B5A">
        <w:rPr>
          <w:rFonts w:ascii="Times New Roman" w:hAnsi="Times New Roman"/>
          <w:szCs w:val="24"/>
        </w:rPr>
        <w:t xml:space="preserve"> </w:t>
      </w:r>
      <w:r w:rsidR="00421262">
        <w:rPr>
          <w:rFonts w:ascii="Times New Roman" w:hAnsi="Times New Roman"/>
          <w:szCs w:val="24"/>
        </w:rPr>
        <w:t>According to the classical theories of punishment, Sentencing</w:t>
      </w:r>
      <w:r w:rsidRPr="001D2B5A">
        <w:rPr>
          <w:rFonts w:ascii="Times New Roman" w:hAnsi="Times New Roman"/>
          <w:szCs w:val="24"/>
        </w:rPr>
        <w:t xml:space="preserve"> is mostly devoid of emotions</w:t>
      </w:r>
      <w:r>
        <w:rPr>
          <w:rFonts w:ascii="Times New Roman" w:hAnsi="Times New Roman"/>
          <w:szCs w:val="24"/>
        </w:rPr>
        <w:t>,</w:t>
      </w:r>
      <w:r>
        <w:rPr>
          <w:rStyle w:val="FootnoteReference"/>
          <w:rFonts w:ascii="Times New Roman" w:hAnsi="Times New Roman"/>
          <w:szCs w:val="24"/>
        </w:rPr>
        <w:footnoteReference w:id="1152"/>
      </w:r>
      <w:r>
        <w:rPr>
          <w:rFonts w:ascii="Times New Roman" w:hAnsi="Times New Roman"/>
          <w:szCs w:val="24"/>
        </w:rPr>
        <w:t xml:space="preserve"> which</w:t>
      </w:r>
      <w:r w:rsidRPr="001D2B5A">
        <w:rPr>
          <w:rFonts w:ascii="Times New Roman" w:hAnsi="Times New Roman"/>
          <w:szCs w:val="24"/>
        </w:rPr>
        <w:t xml:space="preserve"> could ensure that sentiments and </w:t>
      </w:r>
      <w:r>
        <w:rPr>
          <w:rFonts w:ascii="Times New Roman" w:hAnsi="Times New Roman"/>
          <w:szCs w:val="24"/>
        </w:rPr>
        <w:t>feeling</w:t>
      </w:r>
      <w:r w:rsidRPr="001D2B5A">
        <w:rPr>
          <w:rFonts w:ascii="Times New Roman" w:hAnsi="Times New Roman"/>
          <w:szCs w:val="24"/>
        </w:rPr>
        <w:t xml:space="preserve">s do not compromise the </w:t>
      </w:r>
      <w:r w:rsidR="00C7070D">
        <w:rPr>
          <w:rFonts w:ascii="Times New Roman" w:hAnsi="Times New Roman"/>
          <w:szCs w:val="24"/>
        </w:rPr>
        <w:t>court's integrity</w:t>
      </w:r>
      <w:r w:rsidRPr="001D2B5A">
        <w:rPr>
          <w:rFonts w:ascii="Times New Roman" w:hAnsi="Times New Roman"/>
          <w:szCs w:val="24"/>
        </w:rPr>
        <w:t>. Nevertheless, in the realm of restorative justice, emotions from victims and remorse from the offender could impact the sentence and repair relationships.</w:t>
      </w:r>
      <w:r w:rsidRPr="001D2B5A">
        <w:rPr>
          <w:rStyle w:val="FootnoteReference"/>
          <w:rFonts w:ascii="Times New Roman" w:hAnsi="Times New Roman"/>
          <w:szCs w:val="24"/>
        </w:rPr>
        <w:footnoteReference w:id="1153"/>
      </w:r>
      <w:r w:rsidRPr="001D2B5A">
        <w:rPr>
          <w:rFonts w:ascii="Times New Roman" w:hAnsi="Times New Roman"/>
          <w:szCs w:val="24"/>
        </w:rPr>
        <w:t xml:space="preserve"> </w:t>
      </w:r>
    </w:p>
    <w:p w14:paraId="2B12A73B" w14:textId="43723656" w:rsidR="00421262" w:rsidRDefault="00C85B3A" w:rsidP="00800007">
      <w:pPr>
        <w:spacing w:line="480" w:lineRule="auto"/>
        <w:jc w:val="both"/>
        <w:rPr>
          <w:rFonts w:ascii="Times New Roman" w:hAnsi="Times New Roman"/>
          <w:szCs w:val="24"/>
        </w:rPr>
      </w:pPr>
      <w:r w:rsidRPr="001D2B5A">
        <w:rPr>
          <w:rFonts w:ascii="Times New Roman" w:hAnsi="Times New Roman"/>
          <w:szCs w:val="24"/>
        </w:rPr>
        <w:t>It is worthy of mention that international sentencing at the ICC is influenced by the western</w:t>
      </w:r>
      <w:r w:rsidR="00164079">
        <w:rPr>
          <w:rFonts w:ascii="Times New Roman" w:hAnsi="Times New Roman"/>
          <w:szCs w:val="24"/>
        </w:rPr>
        <w:t xml:space="preserve"> liberal rules and human rights</w:t>
      </w:r>
      <w:r w:rsidRPr="001D2B5A">
        <w:rPr>
          <w:rFonts w:ascii="Times New Roman" w:hAnsi="Times New Roman"/>
          <w:szCs w:val="24"/>
        </w:rPr>
        <w:t>.</w:t>
      </w:r>
      <w:r w:rsidR="00D72C60" w:rsidRPr="00D72C60">
        <w:rPr>
          <w:rFonts w:ascii="Times New Roman" w:hAnsi="Times New Roman"/>
          <w:szCs w:val="24"/>
        </w:rPr>
        <w:t xml:space="preserve"> </w:t>
      </w:r>
      <w:r w:rsidR="00D72C60">
        <w:rPr>
          <w:rFonts w:ascii="Times New Roman" w:hAnsi="Times New Roman"/>
          <w:szCs w:val="24"/>
        </w:rPr>
        <w:t>The conclusion on penalties during the Rome negotiations highlights a more humane approach to punishments.</w:t>
      </w:r>
      <w:r w:rsidRPr="001D2B5A">
        <w:rPr>
          <w:rFonts w:ascii="Times New Roman" w:hAnsi="Times New Roman"/>
          <w:szCs w:val="24"/>
        </w:rPr>
        <w:t xml:space="preserve"> </w:t>
      </w:r>
      <w:r w:rsidR="00421262">
        <w:rPr>
          <w:rFonts w:ascii="Times New Roman" w:hAnsi="Times New Roman"/>
          <w:szCs w:val="24"/>
        </w:rPr>
        <w:t>It</w:t>
      </w:r>
      <w:r w:rsidRPr="001D2B5A">
        <w:rPr>
          <w:rFonts w:ascii="Times New Roman" w:hAnsi="Times New Roman"/>
          <w:szCs w:val="24"/>
        </w:rPr>
        <w:t xml:space="preserve"> also reflects a shift </w:t>
      </w:r>
      <w:r w:rsidRPr="001D2B5A">
        <w:rPr>
          <w:rFonts w:ascii="Times New Roman" w:hAnsi="Times New Roman"/>
          <w:szCs w:val="24"/>
        </w:rPr>
        <w:lastRenderedPageBreak/>
        <w:t xml:space="preserve">from a purely vengeful notion of </w:t>
      </w:r>
      <w:r w:rsidRPr="001D2B5A">
        <w:rPr>
          <w:rFonts w:ascii="Times New Roman" w:hAnsi="Times New Roman"/>
          <w:i/>
          <w:szCs w:val="24"/>
        </w:rPr>
        <w:t>‘</w:t>
      </w:r>
      <w:r w:rsidRPr="00164079">
        <w:rPr>
          <w:rFonts w:ascii="Times New Roman" w:hAnsi="Times New Roman"/>
          <w:szCs w:val="24"/>
        </w:rPr>
        <w:t>an eye for an eye or a tooth for a tooth</w:t>
      </w:r>
      <w:r w:rsidRPr="001D2B5A">
        <w:rPr>
          <w:rFonts w:ascii="Times New Roman" w:hAnsi="Times New Roman"/>
          <w:i/>
          <w:szCs w:val="24"/>
        </w:rPr>
        <w:t xml:space="preserve">’  </w:t>
      </w:r>
      <w:r w:rsidRPr="001D2B5A">
        <w:rPr>
          <w:rFonts w:ascii="Times New Roman" w:hAnsi="Times New Roman"/>
          <w:szCs w:val="24"/>
        </w:rPr>
        <w:t xml:space="preserve">to a more </w:t>
      </w:r>
      <w:r w:rsidR="009E2C87">
        <w:rPr>
          <w:rFonts w:ascii="Times New Roman" w:hAnsi="Times New Roman"/>
          <w:szCs w:val="24"/>
        </w:rPr>
        <w:t>liberal</w:t>
      </w:r>
      <w:r w:rsidRPr="001D2B5A">
        <w:rPr>
          <w:rFonts w:ascii="Times New Roman" w:hAnsi="Times New Roman"/>
          <w:szCs w:val="24"/>
        </w:rPr>
        <w:t xml:space="preserve"> </w:t>
      </w:r>
      <w:r w:rsidR="00164079">
        <w:rPr>
          <w:rFonts w:ascii="Times New Roman" w:hAnsi="Times New Roman"/>
          <w:szCs w:val="24"/>
        </w:rPr>
        <w:t xml:space="preserve">approach </w:t>
      </w:r>
      <w:r w:rsidR="00421262">
        <w:rPr>
          <w:rFonts w:ascii="Times New Roman" w:hAnsi="Times New Roman"/>
          <w:szCs w:val="24"/>
        </w:rPr>
        <w:t>to</w:t>
      </w:r>
      <w:r w:rsidR="00164079">
        <w:rPr>
          <w:rFonts w:ascii="Times New Roman" w:hAnsi="Times New Roman"/>
          <w:szCs w:val="24"/>
        </w:rPr>
        <w:t xml:space="preserve"> punishment. It could be inferre</w:t>
      </w:r>
      <w:r w:rsidR="00F1717B">
        <w:rPr>
          <w:rFonts w:ascii="Times New Roman" w:hAnsi="Times New Roman"/>
          <w:szCs w:val="24"/>
        </w:rPr>
        <w:t>d</w:t>
      </w:r>
      <w:r w:rsidRPr="001D2B5A">
        <w:rPr>
          <w:rFonts w:ascii="Times New Roman" w:hAnsi="Times New Roman"/>
          <w:szCs w:val="24"/>
        </w:rPr>
        <w:t xml:space="preserve"> that the ICC does not adhere to the principle of </w:t>
      </w:r>
      <w:r w:rsidR="00F1717B">
        <w:rPr>
          <w:rFonts w:ascii="Times New Roman" w:hAnsi="Times New Roman"/>
          <w:szCs w:val="24"/>
        </w:rPr>
        <w:t xml:space="preserve">ordinal </w:t>
      </w:r>
      <w:r w:rsidRPr="001D2B5A">
        <w:rPr>
          <w:rFonts w:ascii="Times New Roman" w:hAnsi="Times New Roman"/>
          <w:szCs w:val="24"/>
        </w:rPr>
        <w:t xml:space="preserve">proportionality. </w:t>
      </w:r>
      <w:r w:rsidR="00D72C60">
        <w:rPr>
          <w:rFonts w:ascii="Times New Roman" w:hAnsi="Times New Roman"/>
          <w:szCs w:val="24"/>
        </w:rPr>
        <w:t xml:space="preserve">A </w:t>
      </w:r>
      <w:r w:rsidRPr="001D2B5A">
        <w:rPr>
          <w:rFonts w:ascii="Times New Roman" w:hAnsi="Times New Roman"/>
          <w:szCs w:val="24"/>
        </w:rPr>
        <w:t>contrast to the application of retributive justice’s principle of ordinal proportionality in some national jurisdictions.</w:t>
      </w:r>
      <w:r w:rsidRPr="001D2B5A">
        <w:rPr>
          <w:rStyle w:val="FootnoteReference"/>
          <w:rFonts w:ascii="Times New Roman" w:hAnsi="Times New Roman"/>
          <w:szCs w:val="24"/>
        </w:rPr>
        <w:footnoteReference w:id="1154"/>
      </w:r>
    </w:p>
    <w:p w14:paraId="0B4C0855" w14:textId="7A5ADC6C" w:rsidR="00D72C60" w:rsidRDefault="00C85B3A" w:rsidP="002120E3">
      <w:pPr>
        <w:spacing w:line="480" w:lineRule="auto"/>
        <w:jc w:val="both"/>
        <w:rPr>
          <w:rFonts w:ascii="Times New Roman" w:hAnsi="Times New Roman"/>
          <w:szCs w:val="24"/>
        </w:rPr>
      </w:pPr>
      <w:r w:rsidRPr="001D2B5A">
        <w:rPr>
          <w:rFonts w:ascii="Times New Roman" w:hAnsi="Times New Roman"/>
          <w:szCs w:val="24"/>
        </w:rPr>
        <w:t>Given this, most victims of international crimes participate</w:t>
      </w:r>
      <w:r w:rsidR="00F1717B">
        <w:rPr>
          <w:rFonts w:ascii="Times New Roman" w:hAnsi="Times New Roman"/>
          <w:szCs w:val="24"/>
        </w:rPr>
        <w:t>d</w:t>
      </w:r>
      <w:r w:rsidRPr="001D2B5A">
        <w:rPr>
          <w:rFonts w:ascii="Times New Roman" w:hAnsi="Times New Roman"/>
          <w:szCs w:val="24"/>
        </w:rPr>
        <w:t xml:space="preserve"> in the proceedings with higher expectati</w:t>
      </w:r>
      <w:r w:rsidR="00F1717B">
        <w:rPr>
          <w:rFonts w:ascii="Times New Roman" w:hAnsi="Times New Roman"/>
          <w:szCs w:val="24"/>
        </w:rPr>
        <w:t>ons of sentencing</w:t>
      </w:r>
      <w:r w:rsidR="009E2C87">
        <w:rPr>
          <w:rFonts w:ascii="Times New Roman" w:hAnsi="Times New Roman"/>
          <w:szCs w:val="24"/>
        </w:rPr>
        <w:t>. Still,</w:t>
      </w:r>
      <w:r w:rsidR="00F1717B">
        <w:rPr>
          <w:rFonts w:ascii="Times New Roman" w:hAnsi="Times New Roman"/>
          <w:szCs w:val="24"/>
        </w:rPr>
        <w:t xml:space="preserve"> they felt</w:t>
      </w:r>
      <w:r w:rsidRPr="001D2B5A">
        <w:rPr>
          <w:rFonts w:ascii="Times New Roman" w:hAnsi="Times New Roman"/>
          <w:szCs w:val="24"/>
        </w:rPr>
        <w:t xml:space="preserve"> disappointed or not satis</w:t>
      </w:r>
      <w:r w:rsidR="00F1717B">
        <w:rPr>
          <w:rFonts w:ascii="Times New Roman" w:hAnsi="Times New Roman"/>
          <w:szCs w:val="24"/>
        </w:rPr>
        <w:t xml:space="preserve">fied when the </w:t>
      </w:r>
      <w:r w:rsidR="009E2C87">
        <w:rPr>
          <w:rFonts w:ascii="Times New Roman" w:hAnsi="Times New Roman"/>
          <w:szCs w:val="24"/>
        </w:rPr>
        <w:t xml:space="preserve">Chambers sentenced the </w:t>
      </w:r>
      <w:r w:rsidR="00F1717B">
        <w:rPr>
          <w:rFonts w:ascii="Times New Roman" w:hAnsi="Times New Roman"/>
          <w:szCs w:val="24"/>
        </w:rPr>
        <w:t xml:space="preserve">convict </w:t>
      </w:r>
      <w:r w:rsidR="008F4DEB">
        <w:rPr>
          <w:rFonts w:ascii="Times New Roman" w:hAnsi="Times New Roman"/>
          <w:szCs w:val="24"/>
        </w:rPr>
        <w:t>to 12 years imprisonment-</w:t>
      </w:r>
      <w:r w:rsidR="00F1717B">
        <w:rPr>
          <w:rFonts w:ascii="Times New Roman" w:hAnsi="Times New Roman"/>
          <w:szCs w:val="24"/>
        </w:rPr>
        <w:t xml:space="preserve"> which was considered</w:t>
      </w:r>
      <w:r w:rsidRPr="001D2B5A">
        <w:rPr>
          <w:rFonts w:ascii="Times New Roman" w:hAnsi="Times New Roman"/>
          <w:szCs w:val="24"/>
        </w:rPr>
        <w:t xml:space="preserve"> </w:t>
      </w:r>
      <w:r w:rsidR="00F1717B">
        <w:rPr>
          <w:rFonts w:ascii="Times New Roman" w:hAnsi="Times New Roman"/>
          <w:szCs w:val="24"/>
        </w:rPr>
        <w:t xml:space="preserve">a </w:t>
      </w:r>
      <w:r w:rsidR="008F4DEB">
        <w:rPr>
          <w:rFonts w:ascii="Times New Roman" w:hAnsi="Times New Roman"/>
          <w:szCs w:val="24"/>
        </w:rPr>
        <w:t>lesser punishment-</w:t>
      </w:r>
      <w:r w:rsidRPr="001D2B5A">
        <w:rPr>
          <w:rFonts w:ascii="Times New Roman" w:hAnsi="Times New Roman"/>
          <w:szCs w:val="24"/>
        </w:rPr>
        <w:t xml:space="preserve"> as opposed to what is applicable in their respective national jurisdictions.</w:t>
      </w:r>
      <w:r w:rsidR="00F1717B">
        <w:rPr>
          <w:rFonts w:ascii="Times New Roman" w:hAnsi="Times New Roman"/>
          <w:szCs w:val="24"/>
        </w:rPr>
        <w:t xml:space="preserve"> </w:t>
      </w:r>
      <w:r w:rsidR="009F5646" w:rsidRPr="001D2B5A">
        <w:rPr>
          <w:rFonts w:ascii="Times New Roman" w:hAnsi="Times New Roman"/>
          <w:szCs w:val="24"/>
        </w:rPr>
        <w:t>The DRC authorities and victims’ submissions</w:t>
      </w:r>
      <w:r w:rsidR="009F5646" w:rsidRPr="001D2B5A">
        <w:rPr>
          <w:rStyle w:val="FootnoteReference"/>
          <w:rFonts w:ascii="Times New Roman" w:hAnsi="Times New Roman"/>
          <w:szCs w:val="24"/>
        </w:rPr>
        <w:footnoteReference w:id="1155"/>
      </w:r>
      <w:r w:rsidR="009F5646" w:rsidRPr="001D2B5A">
        <w:rPr>
          <w:rFonts w:ascii="Times New Roman" w:hAnsi="Times New Roman"/>
          <w:szCs w:val="24"/>
        </w:rPr>
        <w:t xml:space="preserve"> </w:t>
      </w:r>
      <w:r w:rsidR="00D72C60">
        <w:rPr>
          <w:rFonts w:ascii="Times New Roman" w:hAnsi="Times New Roman"/>
          <w:szCs w:val="24"/>
        </w:rPr>
        <w:t xml:space="preserve">demonstrated they expected severe punishment. Hence, they lamented </w:t>
      </w:r>
      <w:r w:rsidR="009F5646" w:rsidRPr="001D2B5A">
        <w:rPr>
          <w:rFonts w:ascii="Times New Roman" w:hAnsi="Times New Roman"/>
          <w:szCs w:val="24"/>
        </w:rPr>
        <w:t>on the</w:t>
      </w:r>
      <w:r w:rsidR="00D72C60">
        <w:rPr>
          <w:rFonts w:ascii="Times New Roman" w:hAnsi="Times New Roman"/>
          <w:szCs w:val="24"/>
        </w:rPr>
        <w:t xml:space="preserve"> supposed disproportionality between Katanga’s declared sentence and the </w:t>
      </w:r>
      <w:r w:rsidR="00C7070D">
        <w:rPr>
          <w:rFonts w:ascii="Times New Roman" w:hAnsi="Times New Roman"/>
          <w:szCs w:val="24"/>
        </w:rPr>
        <w:t>crime's gravity</w:t>
      </w:r>
      <w:r w:rsidR="00D72C60">
        <w:rPr>
          <w:rFonts w:ascii="Times New Roman" w:hAnsi="Times New Roman"/>
          <w:szCs w:val="24"/>
        </w:rPr>
        <w:t>.</w:t>
      </w:r>
      <w:r w:rsidR="009E7E12" w:rsidRPr="009E7E12">
        <w:rPr>
          <w:rFonts w:ascii="Times New Roman" w:hAnsi="Times New Roman"/>
          <w:szCs w:val="24"/>
        </w:rPr>
        <w:t xml:space="preserve"> </w:t>
      </w:r>
      <w:r w:rsidR="009E7E12" w:rsidRPr="001D2B5A">
        <w:rPr>
          <w:rFonts w:ascii="Times New Roman" w:hAnsi="Times New Roman"/>
          <w:szCs w:val="24"/>
        </w:rPr>
        <w:t>They reasoned that a term of 12 years</w:t>
      </w:r>
      <w:r w:rsidR="009E7E12">
        <w:rPr>
          <w:rFonts w:ascii="Times New Roman" w:hAnsi="Times New Roman"/>
          <w:szCs w:val="24"/>
        </w:rPr>
        <w:t>,</w:t>
      </w:r>
      <w:r w:rsidR="009E7E12" w:rsidRPr="001D2B5A">
        <w:rPr>
          <w:rFonts w:ascii="Times New Roman" w:hAnsi="Times New Roman"/>
          <w:szCs w:val="24"/>
        </w:rPr>
        <w:t xml:space="preserve"> excluding the six years Katanga h</w:t>
      </w:r>
      <w:r w:rsidR="009E7E12">
        <w:rPr>
          <w:rFonts w:ascii="Times New Roman" w:hAnsi="Times New Roman"/>
          <w:szCs w:val="24"/>
        </w:rPr>
        <w:t>ad spent in the ICC’s custody was</w:t>
      </w:r>
      <w:r w:rsidR="009E7E12" w:rsidRPr="001D2B5A">
        <w:rPr>
          <w:rFonts w:ascii="Times New Roman" w:hAnsi="Times New Roman"/>
          <w:szCs w:val="24"/>
        </w:rPr>
        <w:t xml:space="preserve"> not proportion</w:t>
      </w:r>
      <w:r w:rsidR="009E7E12">
        <w:rPr>
          <w:rFonts w:ascii="Times New Roman" w:hAnsi="Times New Roman"/>
          <w:szCs w:val="24"/>
        </w:rPr>
        <w:t xml:space="preserve">ate to the </w:t>
      </w:r>
      <w:r w:rsidR="00C7070D">
        <w:rPr>
          <w:rFonts w:ascii="Times New Roman" w:hAnsi="Times New Roman"/>
          <w:szCs w:val="24"/>
        </w:rPr>
        <w:t>crime's gravity</w:t>
      </w:r>
      <w:r w:rsidR="009E7E12" w:rsidRPr="001D2B5A">
        <w:rPr>
          <w:rFonts w:ascii="Times New Roman" w:hAnsi="Times New Roman"/>
          <w:szCs w:val="24"/>
        </w:rPr>
        <w:t>.</w:t>
      </w:r>
      <w:r w:rsidR="009E7E12" w:rsidRPr="00603A38">
        <w:rPr>
          <w:rFonts w:ascii="Times New Roman" w:hAnsi="Times New Roman"/>
          <w:szCs w:val="24"/>
        </w:rPr>
        <w:t xml:space="preserve"> </w:t>
      </w:r>
      <w:r w:rsidR="009E7E12">
        <w:rPr>
          <w:rFonts w:ascii="Times New Roman" w:hAnsi="Times New Roman"/>
          <w:szCs w:val="24"/>
        </w:rPr>
        <w:t xml:space="preserve">The Rome Statute and RPE are silent on the determinant of proportionality. </w:t>
      </w:r>
      <w:r w:rsidR="009E7E12" w:rsidRPr="001D2B5A">
        <w:rPr>
          <w:rFonts w:ascii="Times New Roman" w:hAnsi="Times New Roman"/>
          <w:szCs w:val="24"/>
        </w:rPr>
        <w:t>These victims felt that their national court would have met a harsher punishment than what the ICC gave Katanga.</w:t>
      </w:r>
      <w:r w:rsidR="009F5646" w:rsidRPr="001D2B5A">
        <w:rPr>
          <w:rFonts w:ascii="Times New Roman" w:hAnsi="Times New Roman"/>
          <w:szCs w:val="24"/>
        </w:rPr>
        <w:t xml:space="preserve"> </w:t>
      </w:r>
      <w:r w:rsidR="00D72C60">
        <w:rPr>
          <w:rFonts w:ascii="Times New Roman" w:hAnsi="Times New Roman"/>
          <w:szCs w:val="24"/>
        </w:rPr>
        <w:t xml:space="preserve">Moreover, </w:t>
      </w:r>
      <w:r w:rsidR="00524EF4" w:rsidRPr="001D2B5A">
        <w:rPr>
          <w:rFonts w:ascii="Times New Roman" w:hAnsi="Times New Roman"/>
          <w:szCs w:val="24"/>
        </w:rPr>
        <w:t>the finding on sentencing</w:t>
      </w:r>
      <w:r w:rsidR="001A06E6">
        <w:rPr>
          <w:rFonts w:ascii="Times New Roman" w:hAnsi="Times New Roman"/>
          <w:szCs w:val="24"/>
        </w:rPr>
        <w:t xml:space="preserve"> outcome</w:t>
      </w:r>
      <w:r w:rsidR="00524EF4" w:rsidRPr="001D2B5A">
        <w:rPr>
          <w:rFonts w:ascii="Times New Roman" w:hAnsi="Times New Roman"/>
          <w:szCs w:val="24"/>
        </w:rPr>
        <w:t xml:space="preserve"> reinforce</w:t>
      </w:r>
      <w:r w:rsidR="00F1717B">
        <w:rPr>
          <w:rFonts w:ascii="Times New Roman" w:hAnsi="Times New Roman"/>
          <w:szCs w:val="24"/>
        </w:rPr>
        <w:t>s</w:t>
      </w:r>
      <w:r w:rsidR="00524EF4" w:rsidRPr="001D2B5A">
        <w:rPr>
          <w:rFonts w:ascii="Times New Roman" w:hAnsi="Times New Roman"/>
          <w:szCs w:val="24"/>
        </w:rPr>
        <w:t xml:space="preserve"> the general belief that </w:t>
      </w:r>
      <w:r w:rsidR="00DD094C">
        <w:rPr>
          <w:rFonts w:ascii="Times New Roman" w:hAnsi="Times New Roman"/>
          <w:szCs w:val="24"/>
        </w:rPr>
        <w:t>cultural differences exist</w:t>
      </w:r>
      <w:r w:rsidR="00F92CDA" w:rsidRPr="001D2B5A">
        <w:rPr>
          <w:rFonts w:ascii="Times New Roman" w:hAnsi="Times New Roman"/>
          <w:szCs w:val="24"/>
        </w:rPr>
        <w:t xml:space="preserve"> between sentencing in some domestic jurisdictions and the </w:t>
      </w:r>
      <w:r w:rsidR="00C7070D">
        <w:rPr>
          <w:rFonts w:ascii="Times New Roman" w:hAnsi="Times New Roman"/>
          <w:szCs w:val="24"/>
        </w:rPr>
        <w:t>ICC's jurisprudence</w:t>
      </w:r>
      <w:r w:rsidR="00F92CDA" w:rsidRPr="001D2B5A">
        <w:rPr>
          <w:rFonts w:ascii="Times New Roman" w:hAnsi="Times New Roman"/>
          <w:szCs w:val="24"/>
        </w:rPr>
        <w:t>.</w:t>
      </w:r>
    </w:p>
    <w:p w14:paraId="261EF1B1" w14:textId="5A573F6A" w:rsidR="00787277" w:rsidRDefault="005328AA" w:rsidP="002120E3">
      <w:pPr>
        <w:spacing w:line="480" w:lineRule="auto"/>
        <w:jc w:val="both"/>
        <w:rPr>
          <w:rFonts w:ascii="Times New Roman" w:hAnsi="Times New Roman"/>
          <w:szCs w:val="24"/>
        </w:rPr>
      </w:pPr>
      <w:r>
        <w:rPr>
          <w:rFonts w:ascii="Times New Roman" w:hAnsi="Times New Roman"/>
          <w:szCs w:val="24"/>
        </w:rPr>
        <w:t>In comparison,</w:t>
      </w:r>
      <w:r w:rsidR="00F92CDA" w:rsidRPr="001D2B5A">
        <w:rPr>
          <w:rFonts w:ascii="Times New Roman" w:hAnsi="Times New Roman"/>
          <w:szCs w:val="24"/>
        </w:rPr>
        <w:t xml:space="preserve"> th</w:t>
      </w:r>
      <w:r w:rsidR="00F1717B">
        <w:rPr>
          <w:rFonts w:ascii="Times New Roman" w:hAnsi="Times New Roman"/>
          <w:szCs w:val="24"/>
        </w:rPr>
        <w:t>is</w:t>
      </w:r>
      <w:r w:rsidR="00F92CDA" w:rsidRPr="001D2B5A">
        <w:rPr>
          <w:rFonts w:ascii="Times New Roman" w:hAnsi="Times New Roman"/>
          <w:szCs w:val="24"/>
        </w:rPr>
        <w:t xml:space="preserve"> difference flows from the objectives of sentencing within these jurisdictions</w:t>
      </w:r>
      <w:r>
        <w:rPr>
          <w:rFonts w:ascii="Times New Roman" w:hAnsi="Times New Roman"/>
          <w:szCs w:val="24"/>
        </w:rPr>
        <w:t xml:space="preserve">. </w:t>
      </w:r>
      <w:r w:rsidR="00F92CDA" w:rsidRPr="001D2B5A">
        <w:rPr>
          <w:rFonts w:ascii="Times New Roman" w:hAnsi="Times New Roman"/>
          <w:szCs w:val="24"/>
        </w:rPr>
        <w:t xml:space="preserve">Unfortunately, it appears </w:t>
      </w:r>
      <w:r w:rsidR="00D72C60">
        <w:rPr>
          <w:rFonts w:ascii="Times New Roman" w:hAnsi="Times New Roman"/>
          <w:szCs w:val="24"/>
        </w:rPr>
        <w:t xml:space="preserve">that </w:t>
      </w:r>
      <w:r w:rsidR="00F92CDA" w:rsidRPr="001D2B5A">
        <w:rPr>
          <w:rFonts w:ascii="Times New Roman" w:hAnsi="Times New Roman"/>
          <w:szCs w:val="24"/>
        </w:rPr>
        <w:t xml:space="preserve">the objective of sentencing at the ICC is </w:t>
      </w:r>
      <w:r w:rsidR="00F92CDA" w:rsidRPr="001D2B5A">
        <w:rPr>
          <w:rFonts w:ascii="Times New Roman" w:hAnsi="Times New Roman"/>
          <w:szCs w:val="24"/>
        </w:rPr>
        <w:lastRenderedPageBreak/>
        <w:t>entirely different from what victims expected.</w:t>
      </w:r>
      <w:r w:rsidR="00F1717B">
        <w:rPr>
          <w:rFonts w:ascii="Times New Roman" w:hAnsi="Times New Roman"/>
          <w:szCs w:val="24"/>
        </w:rPr>
        <w:t xml:space="preserve"> </w:t>
      </w:r>
      <w:r w:rsidR="00F92CDA" w:rsidRPr="001D2B5A">
        <w:rPr>
          <w:rFonts w:ascii="Times New Roman" w:hAnsi="Times New Roman"/>
          <w:szCs w:val="24"/>
        </w:rPr>
        <w:t xml:space="preserve">For instance, the declared term of imprisonment for the convicted person,12 years is considered low, compared to if the offender was prosecuted in the national court. </w:t>
      </w:r>
      <w:r w:rsidR="00F1717B">
        <w:rPr>
          <w:rFonts w:ascii="Times New Roman" w:hAnsi="Times New Roman"/>
          <w:szCs w:val="24"/>
        </w:rPr>
        <w:t xml:space="preserve"> Therefore, t</w:t>
      </w:r>
      <w:r w:rsidR="00F92CDA" w:rsidRPr="001D2B5A">
        <w:rPr>
          <w:rFonts w:ascii="Times New Roman" w:hAnsi="Times New Roman"/>
          <w:szCs w:val="24"/>
        </w:rPr>
        <w:t>his</w:t>
      </w:r>
      <w:r w:rsidR="00F1717B">
        <w:rPr>
          <w:rFonts w:ascii="Times New Roman" w:hAnsi="Times New Roman"/>
          <w:szCs w:val="24"/>
        </w:rPr>
        <w:t xml:space="preserve"> finding</w:t>
      </w:r>
      <w:r w:rsidR="007C1AF3">
        <w:rPr>
          <w:rFonts w:ascii="Times New Roman" w:hAnsi="Times New Roman"/>
          <w:szCs w:val="24"/>
        </w:rPr>
        <w:t xml:space="preserve"> underscores the differences</w:t>
      </w:r>
      <w:r w:rsidR="00F92CDA" w:rsidRPr="001D2B5A">
        <w:rPr>
          <w:rFonts w:ascii="Times New Roman" w:hAnsi="Times New Roman"/>
          <w:szCs w:val="24"/>
        </w:rPr>
        <w:t xml:space="preserve"> between </w:t>
      </w:r>
      <w:r w:rsidR="00C7070D">
        <w:rPr>
          <w:rFonts w:ascii="Times New Roman" w:hAnsi="Times New Roman"/>
          <w:szCs w:val="24"/>
        </w:rPr>
        <w:t>punishment approaches</w:t>
      </w:r>
      <w:r w:rsidR="00F92CDA" w:rsidRPr="001D2B5A">
        <w:rPr>
          <w:rFonts w:ascii="Times New Roman" w:hAnsi="Times New Roman"/>
          <w:szCs w:val="24"/>
        </w:rPr>
        <w:t xml:space="preserve"> at the ICC and the concerned</w:t>
      </w:r>
      <w:r w:rsidR="00CB2025">
        <w:rPr>
          <w:rFonts w:ascii="Times New Roman" w:hAnsi="Times New Roman"/>
          <w:szCs w:val="24"/>
        </w:rPr>
        <w:t xml:space="preserve"> domestic</w:t>
      </w:r>
      <w:r w:rsidR="00F92CDA" w:rsidRPr="001D2B5A">
        <w:rPr>
          <w:rFonts w:ascii="Times New Roman" w:hAnsi="Times New Roman"/>
          <w:szCs w:val="24"/>
        </w:rPr>
        <w:t xml:space="preserve"> jurisdiction(DRC).</w:t>
      </w:r>
      <w:r w:rsidR="00761629">
        <w:rPr>
          <w:rFonts w:ascii="Times New Roman" w:hAnsi="Times New Roman"/>
          <w:szCs w:val="24"/>
        </w:rPr>
        <w:t xml:space="preserve"> </w:t>
      </w:r>
      <w:r>
        <w:rPr>
          <w:rFonts w:ascii="Times New Roman" w:hAnsi="Times New Roman"/>
          <w:szCs w:val="24"/>
        </w:rPr>
        <w:t>T</w:t>
      </w:r>
      <w:r w:rsidR="00FC0BB3" w:rsidRPr="001D2B5A">
        <w:rPr>
          <w:rFonts w:ascii="Times New Roman" w:hAnsi="Times New Roman"/>
          <w:szCs w:val="24"/>
        </w:rPr>
        <w:t xml:space="preserve">he Chamber declared 12 years for the convicted person(Katanga)based on a few mitigating factors. While this 12 years imprisonment serves as a general </w:t>
      </w:r>
      <w:r w:rsidR="00DB74BA">
        <w:rPr>
          <w:rFonts w:ascii="Times New Roman" w:hAnsi="Times New Roman"/>
          <w:szCs w:val="24"/>
        </w:rPr>
        <w:t>deterrent function because it was</w:t>
      </w:r>
      <w:r w:rsidR="00FC0BB3" w:rsidRPr="001D2B5A">
        <w:rPr>
          <w:rFonts w:ascii="Times New Roman" w:hAnsi="Times New Roman"/>
          <w:szCs w:val="24"/>
        </w:rPr>
        <w:t xml:space="preserve"> interpreted as a stern warning for future offenders that the Court frowns at impunity. The Chamber stated that Katanga’s sentence must reflect both punishment and deterrence.</w:t>
      </w:r>
      <w:r w:rsidR="00FC0BB3" w:rsidRPr="001D2B5A">
        <w:rPr>
          <w:rStyle w:val="FootnoteReference"/>
          <w:rFonts w:ascii="Times New Roman" w:hAnsi="Times New Roman"/>
          <w:szCs w:val="24"/>
        </w:rPr>
        <w:footnoteReference w:id="1156"/>
      </w:r>
      <w:r w:rsidR="00FC0BB3" w:rsidRPr="001D2B5A">
        <w:rPr>
          <w:rFonts w:ascii="Times New Roman" w:hAnsi="Times New Roman"/>
          <w:szCs w:val="24"/>
        </w:rPr>
        <w:t xml:space="preserve"> From the trans</w:t>
      </w:r>
      <w:r w:rsidR="00761629">
        <w:rPr>
          <w:rFonts w:ascii="Times New Roman" w:hAnsi="Times New Roman"/>
          <w:szCs w:val="24"/>
        </w:rPr>
        <w:t>cripts(quoted under Rule 223(c)</w:t>
      </w:r>
      <w:r w:rsidR="00FC0BB3" w:rsidRPr="001D2B5A">
        <w:rPr>
          <w:rFonts w:ascii="Times New Roman" w:hAnsi="Times New Roman"/>
          <w:szCs w:val="24"/>
        </w:rPr>
        <w:t xml:space="preserve"> the declared sentence does not seem to resonate with the </w:t>
      </w:r>
      <w:r w:rsidR="00C7070D">
        <w:rPr>
          <w:rFonts w:ascii="Times New Roman" w:hAnsi="Times New Roman"/>
          <w:szCs w:val="24"/>
        </w:rPr>
        <w:t>victims' expectation</w:t>
      </w:r>
      <w:r w:rsidR="00FC0BB3" w:rsidRPr="001D2B5A">
        <w:rPr>
          <w:rFonts w:ascii="Times New Roman" w:hAnsi="Times New Roman"/>
          <w:szCs w:val="24"/>
        </w:rPr>
        <w:t>s. They expecte</w:t>
      </w:r>
      <w:r w:rsidR="00603A38">
        <w:rPr>
          <w:rFonts w:ascii="Times New Roman" w:hAnsi="Times New Roman"/>
          <w:szCs w:val="24"/>
        </w:rPr>
        <w:t xml:space="preserve">d a higher </w:t>
      </w:r>
      <w:r w:rsidR="00787277">
        <w:rPr>
          <w:rFonts w:ascii="Times New Roman" w:hAnsi="Times New Roman"/>
          <w:szCs w:val="24"/>
        </w:rPr>
        <w:t>penalty</w:t>
      </w:r>
      <w:r w:rsidR="00603A38">
        <w:rPr>
          <w:rFonts w:ascii="Times New Roman" w:hAnsi="Times New Roman"/>
          <w:szCs w:val="24"/>
        </w:rPr>
        <w:t xml:space="preserve">. Their expectation </w:t>
      </w:r>
      <w:r w:rsidR="00FC0BB3" w:rsidRPr="001D2B5A">
        <w:rPr>
          <w:rFonts w:ascii="Times New Roman" w:hAnsi="Times New Roman"/>
          <w:szCs w:val="24"/>
        </w:rPr>
        <w:t>could be due to the corresponding punishment in Congo’s laws. One reasonable explanation for this is not unconnected to the fact that the convict, Katanga was acquitted of some crimes such as the use of child soldiers to participate actively in hostilities and the charges of sexual violence.</w:t>
      </w:r>
      <w:r w:rsidR="009E7E12" w:rsidRPr="009E7E12">
        <w:rPr>
          <w:rFonts w:ascii="Times New Roman" w:hAnsi="Times New Roman"/>
          <w:szCs w:val="24"/>
        </w:rPr>
        <w:t xml:space="preserve"> </w:t>
      </w:r>
      <w:r w:rsidR="009E7E12">
        <w:rPr>
          <w:rFonts w:ascii="Times New Roman" w:hAnsi="Times New Roman"/>
          <w:szCs w:val="24"/>
        </w:rPr>
        <w:t>One of the victims’ submissions also expressed their disappointments about the request for Katanga’s sentence reduction. From their perspectives, it is inferred that the early release</w:t>
      </w:r>
      <w:r w:rsidR="009E7E12" w:rsidRPr="001D2B5A">
        <w:rPr>
          <w:rFonts w:ascii="Times New Roman" w:hAnsi="Times New Roman"/>
          <w:szCs w:val="24"/>
        </w:rPr>
        <w:t xml:space="preserve"> </w:t>
      </w:r>
      <w:r w:rsidR="009E7E12">
        <w:rPr>
          <w:rFonts w:ascii="Times New Roman" w:hAnsi="Times New Roman"/>
          <w:szCs w:val="24"/>
        </w:rPr>
        <w:t xml:space="preserve">potentially lessens the penalty, which may, in turn, decrease the gravity of the crime. The victims’ complaint about </w:t>
      </w:r>
      <w:r w:rsidR="00C7070D">
        <w:rPr>
          <w:rFonts w:ascii="Times New Roman" w:hAnsi="Times New Roman"/>
          <w:szCs w:val="24"/>
        </w:rPr>
        <w:t>reducing</w:t>
      </w:r>
      <w:r w:rsidR="009E7E12">
        <w:rPr>
          <w:rFonts w:ascii="Times New Roman" w:hAnsi="Times New Roman"/>
          <w:szCs w:val="24"/>
        </w:rPr>
        <w:t xml:space="preserve"> the sentence reinforces their conception of sentencing as mainly retributive justice.</w:t>
      </w:r>
      <w:r w:rsidR="00FC0BB3" w:rsidRPr="001D2B5A">
        <w:rPr>
          <w:rFonts w:ascii="Times New Roman" w:hAnsi="Times New Roman"/>
          <w:szCs w:val="24"/>
        </w:rPr>
        <w:t xml:space="preserve"> </w:t>
      </w:r>
    </w:p>
    <w:p w14:paraId="7D85D50C" w14:textId="110A652B" w:rsidR="00F92CDA" w:rsidRPr="001D2B5A" w:rsidRDefault="00603A38" w:rsidP="002120E3">
      <w:pPr>
        <w:spacing w:line="480" w:lineRule="auto"/>
        <w:jc w:val="both"/>
        <w:rPr>
          <w:rFonts w:ascii="Times New Roman" w:hAnsi="Times New Roman"/>
          <w:szCs w:val="24"/>
        </w:rPr>
      </w:pPr>
      <w:r w:rsidRPr="001D2B5A">
        <w:rPr>
          <w:rFonts w:ascii="Times New Roman" w:hAnsi="Times New Roman"/>
          <w:szCs w:val="24"/>
        </w:rPr>
        <w:t xml:space="preserve">Given that in their </w:t>
      </w:r>
      <w:r w:rsidR="00CB2025">
        <w:rPr>
          <w:rFonts w:ascii="Times New Roman" w:hAnsi="Times New Roman"/>
          <w:szCs w:val="24"/>
        </w:rPr>
        <w:t>domestic</w:t>
      </w:r>
      <w:r w:rsidRPr="001D2B5A">
        <w:rPr>
          <w:rFonts w:ascii="Times New Roman" w:hAnsi="Times New Roman"/>
          <w:szCs w:val="24"/>
        </w:rPr>
        <w:t xml:space="preserve"> jurisdiction, the options of sentencing spans from </w:t>
      </w:r>
      <w:r>
        <w:rPr>
          <w:rFonts w:ascii="Times New Roman" w:hAnsi="Times New Roman"/>
          <w:szCs w:val="24"/>
        </w:rPr>
        <w:t xml:space="preserve">the </w:t>
      </w:r>
      <w:r w:rsidRPr="001D2B5A">
        <w:rPr>
          <w:rFonts w:ascii="Times New Roman" w:hAnsi="Times New Roman"/>
          <w:szCs w:val="24"/>
        </w:rPr>
        <w:t>death penalty, terms of imprisonment to life imprisonment.</w:t>
      </w:r>
      <w:r w:rsidRPr="00603A38">
        <w:rPr>
          <w:rFonts w:ascii="Times New Roman" w:hAnsi="Times New Roman"/>
          <w:szCs w:val="24"/>
        </w:rPr>
        <w:t xml:space="preserve"> </w:t>
      </w:r>
      <w:r w:rsidRPr="001D2B5A">
        <w:rPr>
          <w:rFonts w:ascii="Times New Roman" w:hAnsi="Times New Roman"/>
          <w:szCs w:val="24"/>
        </w:rPr>
        <w:t xml:space="preserve">The DRC maintains </w:t>
      </w:r>
      <w:r>
        <w:rPr>
          <w:rFonts w:ascii="Times New Roman" w:hAnsi="Times New Roman"/>
          <w:szCs w:val="24"/>
        </w:rPr>
        <w:t xml:space="preserve">the </w:t>
      </w:r>
      <w:r w:rsidRPr="001D2B5A">
        <w:rPr>
          <w:rFonts w:ascii="Times New Roman" w:hAnsi="Times New Roman"/>
          <w:szCs w:val="24"/>
        </w:rPr>
        <w:t xml:space="preserve">death </w:t>
      </w:r>
      <w:r w:rsidRPr="001D2B5A">
        <w:rPr>
          <w:rFonts w:ascii="Times New Roman" w:hAnsi="Times New Roman"/>
          <w:szCs w:val="24"/>
        </w:rPr>
        <w:lastRenderedPageBreak/>
        <w:t>penalty in its legislation.</w:t>
      </w:r>
      <w:r w:rsidRPr="001D2B5A">
        <w:rPr>
          <w:rStyle w:val="FootnoteReference"/>
          <w:rFonts w:ascii="Times New Roman" w:hAnsi="Times New Roman"/>
          <w:szCs w:val="24"/>
        </w:rPr>
        <w:footnoteReference w:id="1157"/>
      </w:r>
      <w:r w:rsidR="002120E3">
        <w:rPr>
          <w:rFonts w:ascii="Times New Roman" w:hAnsi="Times New Roman"/>
          <w:szCs w:val="24"/>
        </w:rPr>
        <w:t xml:space="preserve"> In DRC</w:t>
      </w:r>
      <w:r w:rsidRPr="001D2B5A">
        <w:rPr>
          <w:rFonts w:ascii="Times New Roman" w:hAnsi="Times New Roman"/>
          <w:szCs w:val="24"/>
        </w:rPr>
        <w:t xml:space="preserve">, </w:t>
      </w:r>
      <w:r>
        <w:rPr>
          <w:rFonts w:ascii="Times New Roman" w:hAnsi="Times New Roman"/>
          <w:szCs w:val="24"/>
        </w:rPr>
        <w:t xml:space="preserve">the </w:t>
      </w:r>
      <w:r w:rsidRPr="001D2B5A">
        <w:rPr>
          <w:rFonts w:ascii="Times New Roman" w:hAnsi="Times New Roman"/>
          <w:szCs w:val="24"/>
        </w:rPr>
        <w:t xml:space="preserve">death penalty is regarded as </w:t>
      </w:r>
      <w:r>
        <w:rPr>
          <w:rFonts w:ascii="Times New Roman" w:hAnsi="Times New Roman"/>
          <w:szCs w:val="24"/>
        </w:rPr>
        <w:t xml:space="preserve">the </w:t>
      </w:r>
      <w:r w:rsidRPr="001D2B5A">
        <w:rPr>
          <w:rFonts w:ascii="Times New Roman" w:hAnsi="Times New Roman"/>
          <w:szCs w:val="24"/>
        </w:rPr>
        <w:t>highest form of punishment, as well as capital punishment for grave and heinous crimes. The nearest to this capital punishment is life imprisonment</w:t>
      </w:r>
      <w:r>
        <w:rPr>
          <w:rFonts w:ascii="Times New Roman" w:hAnsi="Times New Roman"/>
          <w:szCs w:val="24"/>
        </w:rPr>
        <w:t>.</w:t>
      </w:r>
      <w:r w:rsidRPr="00603A38">
        <w:rPr>
          <w:rFonts w:ascii="Times New Roman" w:hAnsi="Times New Roman"/>
          <w:szCs w:val="24"/>
        </w:rPr>
        <w:t xml:space="preserve"> </w:t>
      </w:r>
      <w:r w:rsidRPr="001D2B5A">
        <w:rPr>
          <w:rFonts w:ascii="Times New Roman" w:hAnsi="Times New Roman"/>
          <w:szCs w:val="24"/>
        </w:rPr>
        <w:t>It is possible t</w:t>
      </w:r>
      <w:r>
        <w:rPr>
          <w:rFonts w:ascii="Times New Roman" w:hAnsi="Times New Roman"/>
          <w:szCs w:val="24"/>
        </w:rPr>
        <w:t xml:space="preserve">hat that the victims expected  </w:t>
      </w:r>
      <w:r w:rsidRPr="001D2B5A">
        <w:rPr>
          <w:rFonts w:ascii="Times New Roman" w:hAnsi="Times New Roman"/>
          <w:szCs w:val="24"/>
        </w:rPr>
        <w:t xml:space="preserve">‘capital punishment’ of </w:t>
      </w:r>
      <w:r w:rsidR="00CB2025">
        <w:rPr>
          <w:rFonts w:ascii="Times New Roman" w:hAnsi="Times New Roman"/>
          <w:szCs w:val="24"/>
        </w:rPr>
        <w:t>the</w:t>
      </w:r>
      <w:r>
        <w:rPr>
          <w:rFonts w:ascii="Times New Roman" w:hAnsi="Times New Roman"/>
          <w:szCs w:val="24"/>
        </w:rPr>
        <w:t xml:space="preserve"> </w:t>
      </w:r>
      <w:r w:rsidRPr="001D2B5A">
        <w:rPr>
          <w:rFonts w:ascii="Times New Roman" w:hAnsi="Times New Roman"/>
          <w:szCs w:val="24"/>
        </w:rPr>
        <w:t>death penalty or at least life imprisonment</w:t>
      </w:r>
      <w:r>
        <w:rPr>
          <w:rFonts w:ascii="Times New Roman" w:hAnsi="Times New Roman"/>
          <w:szCs w:val="24"/>
        </w:rPr>
        <w:t>.</w:t>
      </w:r>
      <w:r w:rsidRPr="001D2B5A">
        <w:rPr>
          <w:rFonts w:ascii="Times New Roman" w:hAnsi="Times New Roman"/>
          <w:szCs w:val="24"/>
        </w:rPr>
        <w:t xml:space="preserve"> </w:t>
      </w:r>
      <w:r w:rsidR="00FC0BB3" w:rsidRPr="001D2B5A">
        <w:rPr>
          <w:rFonts w:ascii="Times New Roman" w:hAnsi="Times New Roman"/>
          <w:szCs w:val="24"/>
        </w:rPr>
        <w:t xml:space="preserve"> Thus, for this particular case point, it could be argued that the ICC was unable to</w:t>
      </w:r>
      <w:r w:rsidR="00CB2025">
        <w:rPr>
          <w:rFonts w:ascii="Times New Roman" w:hAnsi="Times New Roman"/>
          <w:szCs w:val="24"/>
        </w:rPr>
        <w:t xml:space="preserve"> fulfil</w:t>
      </w:r>
      <w:r w:rsidR="00FC0BB3" w:rsidRPr="001D2B5A">
        <w:rPr>
          <w:rFonts w:ascii="Times New Roman" w:hAnsi="Times New Roman"/>
          <w:szCs w:val="24"/>
        </w:rPr>
        <w:t xml:space="preserve"> or manage the </w:t>
      </w:r>
      <w:r w:rsidR="00DD094C">
        <w:rPr>
          <w:rFonts w:ascii="Times New Roman" w:hAnsi="Times New Roman"/>
          <w:szCs w:val="24"/>
        </w:rPr>
        <w:t>victims' expectation</w:t>
      </w:r>
      <w:r w:rsidR="00FC0BB3" w:rsidRPr="001D2B5A">
        <w:rPr>
          <w:rFonts w:ascii="Times New Roman" w:hAnsi="Times New Roman"/>
          <w:szCs w:val="24"/>
        </w:rPr>
        <w:t>s.</w:t>
      </w:r>
      <w:r>
        <w:rPr>
          <w:rFonts w:ascii="Times New Roman" w:hAnsi="Times New Roman"/>
          <w:szCs w:val="24"/>
        </w:rPr>
        <w:t xml:space="preserve"> </w:t>
      </w:r>
      <w:r w:rsidR="00F92CDA" w:rsidRPr="001D2B5A">
        <w:rPr>
          <w:rFonts w:ascii="Times New Roman" w:hAnsi="Times New Roman"/>
          <w:szCs w:val="24"/>
        </w:rPr>
        <w:t>The Rome Statute‘s provision on sentencing states a three</w:t>
      </w:r>
      <w:r>
        <w:rPr>
          <w:rFonts w:ascii="Times New Roman" w:hAnsi="Times New Roman"/>
          <w:szCs w:val="24"/>
        </w:rPr>
        <w:t>-</w:t>
      </w:r>
      <w:r w:rsidR="00F92CDA" w:rsidRPr="001D2B5A">
        <w:rPr>
          <w:rFonts w:ascii="Times New Roman" w:hAnsi="Times New Roman"/>
          <w:szCs w:val="24"/>
        </w:rPr>
        <w:t xml:space="preserve">step process to determine what law is applicable. These are the provision of the Statute, elements of </w:t>
      </w:r>
      <w:r w:rsidR="005328AA">
        <w:rPr>
          <w:rFonts w:ascii="Times New Roman" w:hAnsi="Times New Roman"/>
          <w:szCs w:val="24"/>
        </w:rPr>
        <w:t xml:space="preserve">the </w:t>
      </w:r>
      <w:r w:rsidR="00F92CDA" w:rsidRPr="001D2B5A">
        <w:rPr>
          <w:rFonts w:ascii="Times New Roman" w:hAnsi="Times New Roman"/>
          <w:szCs w:val="24"/>
        </w:rPr>
        <w:t>crime and the RPE.</w:t>
      </w:r>
      <w:r w:rsidR="00F92CDA" w:rsidRPr="001D2B5A">
        <w:rPr>
          <w:rStyle w:val="FootnoteReference"/>
          <w:rFonts w:ascii="Times New Roman" w:hAnsi="Times New Roman"/>
          <w:szCs w:val="24"/>
        </w:rPr>
        <w:footnoteReference w:id="1158"/>
      </w:r>
      <w:r w:rsidR="00F92CDA" w:rsidRPr="001D2B5A">
        <w:rPr>
          <w:rFonts w:ascii="Times New Roman" w:hAnsi="Times New Roman"/>
          <w:szCs w:val="24"/>
        </w:rPr>
        <w:t xml:space="preserve"> Where this is not applicable, then the court shall refer to </w:t>
      </w:r>
      <w:r>
        <w:rPr>
          <w:rFonts w:ascii="Times New Roman" w:hAnsi="Times New Roman"/>
          <w:szCs w:val="24"/>
        </w:rPr>
        <w:t>relevant</w:t>
      </w:r>
      <w:r w:rsidR="00F92CDA" w:rsidRPr="001D2B5A">
        <w:rPr>
          <w:rFonts w:ascii="Times New Roman" w:hAnsi="Times New Roman"/>
          <w:szCs w:val="24"/>
        </w:rPr>
        <w:t xml:space="preserve"> treaties and the principles and rules of international law. Where this does not suffice, the court should resort to general principles of law derived from national jurisdictions.</w:t>
      </w:r>
      <w:r w:rsidR="00F92CDA" w:rsidRPr="001D2B5A">
        <w:rPr>
          <w:rStyle w:val="FootnoteReference"/>
          <w:rFonts w:ascii="Times New Roman" w:hAnsi="Times New Roman"/>
          <w:szCs w:val="24"/>
        </w:rPr>
        <w:footnoteReference w:id="1159"/>
      </w:r>
    </w:p>
    <w:p w14:paraId="269201E7" w14:textId="5D25F17C" w:rsidR="003B52FA" w:rsidRPr="004B45F6" w:rsidRDefault="003B52FA" w:rsidP="003B52FA">
      <w:pPr>
        <w:spacing w:line="480" w:lineRule="auto"/>
        <w:jc w:val="both"/>
        <w:rPr>
          <w:rFonts w:ascii="Times New Roman" w:hAnsi="Times New Roman"/>
          <w:szCs w:val="24"/>
        </w:rPr>
      </w:pPr>
      <w:r>
        <w:rPr>
          <w:rFonts w:ascii="Times New Roman" w:hAnsi="Times New Roman"/>
          <w:szCs w:val="24"/>
        </w:rPr>
        <w:t>The victims did not accede to have benefited from any significant actions taken by Mr Katanga. They acknowledged the reception of Mr Katanga’s filmed apology. Nonetheless, the apology should be taken with caution because the ‘affected victims’ have not seen Mr Katanga’s filmed apology.</w:t>
      </w:r>
      <w:r w:rsidRPr="00B45E3A">
        <w:rPr>
          <w:rFonts w:ascii="Times New Roman" w:hAnsi="Times New Roman"/>
          <w:szCs w:val="24"/>
        </w:rPr>
        <w:t xml:space="preserve"> </w:t>
      </w:r>
      <w:r>
        <w:rPr>
          <w:rFonts w:ascii="Times New Roman" w:hAnsi="Times New Roman"/>
          <w:szCs w:val="24"/>
        </w:rPr>
        <w:t>The victims averred that apologies at this stage were incompatible with a “fundamental principle in Hema culture,</w:t>
      </w:r>
      <w:r w:rsidRPr="00B45E3A">
        <w:rPr>
          <w:rFonts w:ascii="Times New Roman" w:hAnsi="Times New Roman"/>
          <w:szCs w:val="24"/>
        </w:rPr>
        <w:t xml:space="preserve"> according to which a person who has done someone wrong must make amends before he or she </w:t>
      </w:r>
      <w:r w:rsidRPr="00B45E3A">
        <w:rPr>
          <w:rFonts w:ascii="Times New Roman" w:hAnsi="Times New Roman"/>
          <w:szCs w:val="24"/>
        </w:rPr>
        <w:lastRenderedPageBreak/>
        <w:t>makes an apology</w:t>
      </w:r>
      <w:r>
        <w:rPr>
          <w:rFonts w:ascii="Times New Roman" w:hAnsi="Times New Roman"/>
          <w:szCs w:val="24"/>
        </w:rPr>
        <w:t>.</w:t>
      </w:r>
      <w:r w:rsidRPr="004B45F6">
        <w:rPr>
          <w:rFonts w:ascii="Times New Roman" w:hAnsi="Times New Roman"/>
          <w:szCs w:val="24"/>
        </w:rPr>
        <w:t>”</w:t>
      </w:r>
      <w:r w:rsidRPr="004B45F6">
        <w:rPr>
          <w:rStyle w:val="FootnoteReference"/>
          <w:rFonts w:ascii="Times New Roman" w:hAnsi="Times New Roman"/>
          <w:szCs w:val="24"/>
        </w:rPr>
        <w:footnoteReference w:id="1160"/>
      </w:r>
      <w:r w:rsidR="002304EB">
        <w:rPr>
          <w:rFonts w:ascii="Times New Roman" w:hAnsi="Times New Roman"/>
          <w:szCs w:val="24"/>
        </w:rPr>
        <w:t xml:space="preserve">This development highlights the intersection between law and culture. The clash between the Hema cultural precedent and the dictates of the law reminds us of the connection between law and culture. At this stage, the </w:t>
      </w:r>
      <w:r w:rsidR="00BD25F3">
        <w:rPr>
          <w:rFonts w:ascii="Times New Roman" w:hAnsi="Times New Roman"/>
          <w:szCs w:val="24"/>
        </w:rPr>
        <w:t>affected jurisdiction context</w:t>
      </w:r>
      <w:r w:rsidR="002304EB">
        <w:rPr>
          <w:rFonts w:ascii="Times New Roman" w:hAnsi="Times New Roman"/>
          <w:szCs w:val="24"/>
        </w:rPr>
        <w:t xml:space="preserve"> cannot be entirely detached from prosecution, sentencing and review.</w:t>
      </w:r>
    </w:p>
    <w:p w14:paraId="619C91AD" w14:textId="31B8E932" w:rsidR="0015495D" w:rsidRDefault="002304EB" w:rsidP="0099345E">
      <w:pPr>
        <w:spacing w:line="480" w:lineRule="auto"/>
        <w:jc w:val="both"/>
        <w:rPr>
          <w:rFonts w:ascii="Times New Roman" w:hAnsi="Times New Roman"/>
          <w:szCs w:val="24"/>
        </w:rPr>
      </w:pPr>
      <w:r>
        <w:rPr>
          <w:rFonts w:ascii="Times New Roman" w:hAnsi="Times New Roman"/>
          <w:szCs w:val="24"/>
        </w:rPr>
        <w:t xml:space="preserve">Therefore, the ICC’s failure </w:t>
      </w:r>
      <w:r w:rsidR="00CB2025">
        <w:rPr>
          <w:rFonts w:ascii="Times New Roman" w:hAnsi="Times New Roman"/>
          <w:szCs w:val="24"/>
        </w:rPr>
        <w:t xml:space="preserve">to meet </w:t>
      </w:r>
      <w:r w:rsidR="00F92CDA" w:rsidRPr="001D2B5A">
        <w:rPr>
          <w:rFonts w:ascii="Times New Roman" w:hAnsi="Times New Roman"/>
          <w:szCs w:val="24"/>
        </w:rPr>
        <w:t xml:space="preserve">victims’ </w:t>
      </w:r>
      <w:r w:rsidR="00CB2025">
        <w:rPr>
          <w:rFonts w:ascii="Times New Roman" w:hAnsi="Times New Roman"/>
          <w:szCs w:val="24"/>
        </w:rPr>
        <w:t xml:space="preserve">expectations </w:t>
      </w:r>
      <w:r>
        <w:rPr>
          <w:rFonts w:ascii="Times New Roman" w:hAnsi="Times New Roman"/>
          <w:szCs w:val="24"/>
        </w:rPr>
        <w:t xml:space="preserve">is attributed to the </w:t>
      </w:r>
      <w:r w:rsidR="00C7070D">
        <w:rPr>
          <w:rFonts w:ascii="Times New Roman" w:hAnsi="Times New Roman"/>
          <w:szCs w:val="24"/>
        </w:rPr>
        <w:t>ICC's restrictive/liberal approach</w:t>
      </w:r>
      <w:r w:rsidR="00F92CDA" w:rsidRPr="001D2B5A">
        <w:rPr>
          <w:rFonts w:ascii="Times New Roman" w:hAnsi="Times New Roman"/>
          <w:szCs w:val="24"/>
        </w:rPr>
        <w:t xml:space="preserve"> to sentencing. Basset and </w:t>
      </w:r>
      <w:proofErr w:type="spellStart"/>
      <w:r w:rsidR="00F92CDA" w:rsidRPr="001D2B5A">
        <w:rPr>
          <w:rFonts w:ascii="Times New Roman" w:hAnsi="Times New Roman"/>
          <w:szCs w:val="24"/>
        </w:rPr>
        <w:t>Drumbl</w:t>
      </w:r>
      <w:proofErr w:type="spellEnd"/>
      <w:r w:rsidR="00F92CDA" w:rsidRPr="001D2B5A">
        <w:rPr>
          <w:rFonts w:ascii="Times New Roman" w:hAnsi="Times New Roman"/>
          <w:szCs w:val="24"/>
        </w:rPr>
        <w:t xml:space="preserve"> opine that international sentencing is </w:t>
      </w:r>
      <w:r w:rsidR="00B54B55">
        <w:rPr>
          <w:rFonts w:ascii="Times New Roman" w:hAnsi="Times New Roman"/>
          <w:szCs w:val="24"/>
        </w:rPr>
        <w:t>primari</w:t>
      </w:r>
      <w:r w:rsidR="00F92CDA" w:rsidRPr="001D2B5A">
        <w:rPr>
          <w:rFonts w:ascii="Times New Roman" w:hAnsi="Times New Roman"/>
          <w:szCs w:val="24"/>
        </w:rPr>
        <w:t>ly influenced by objective universalism.</w:t>
      </w:r>
      <w:r w:rsidR="00F92CDA" w:rsidRPr="001D2B5A">
        <w:rPr>
          <w:rStyle w:val="FootnoteReference"/>
          <w:rFonts w:ascii="Times New Roman" w:hAnsi="Times New Roman"/>
          <w:szCs w:val="24"/>
        </w:rPr>
        <w:footnoteReference w:id="1161"/>
      </w:r>
      <w:r w:rsidR="00F92CDA" w:rsidRPr="001D2B5A">
        <w:rPr>
          <w:rFonts w:ascii="Times New Roman" w:hAnsi="Times New Roman"/>
          <w:szCs w:val="24"/>
        </w:rPr>
        <w:t xml:space="preserve"> From the universalist approach, consistent rules </w:t>
      </w:r>
      <w:r w:rsidR="00C7070D">
        <w:rPr>
          <w:rFonts w:ascii="Times New Roman" w:hAnsi="Times New Roman"/>
          <w:szCs w:val="24"/>
        </w:rPr>
        <w:t>that preclude subjectivism and moral relativism are the appropriate methods for</w:t>
      </w:r>
      <w:r w:rsidR="00F92CDA" w:rsidRPr="001D2B5A">
        <w:rPr>
          <w:rFonts w:ascii="Times New Roman" w:hAnsi="Times New Roman"/>
          <w:szCs w:val="24"/>
        </w:rPr>
        <w:t xml:space="preserve"> determining </w:t>
      </w:r>
      <w:r w:rsidR="00B54B55">
        <w:rPr>
          <w:rFonts w:ascii="Times New Roman" w:hAnsi="Times New Roman"/>
          <w:szCs w:val="24"/>
        </w:rPr>
        <w:t>the</w:t>
      </w:r>
      <w:r w:rsidR="00603A38">
        <w:rPr>
          <w:rFonts w:ascii="Times New Roman" w:hAnsi="Times New Roman"/>
          <w:szCs w:val="24"/>
        </w:rPr>
        <w:t xml:space="preserve"> sentence</w:t>
      </w:r>
      <w:r w:rsidR="00F92CDA" w:rsidRPr="001D2B5A">
        <w:rPr>
          <w:rFonts w:ascii="Times New Roman" w:hAnsi="Times New Roman"/>
          <w:szCs w:val="24"/>
        </w:rPr>
        <w:t>.</w:t>
      </w:r>
      <w:r w:rsidR="00B54B55">
        <w:rPr>
          <w:rStyle w:val="FootnoteReference"/>
          <w:rFonts w:ascii="Times New Roman" w:hAnsi="Times New Roman"/>
          <w:szCs w:val="24"/>
        </w:rPr>
        <w:footnoteReference w:id="1162"/>
      </w:r>
      <w:r w:rsidR="00F92CDA" w:rsidRPr="001D2B5A">
        <w:rPr>
          <w:rFonts w:ascii="Times New Roman" w:hAnsi="Times New Roman"/>
          <w:szCs w:val="24"/>
        </w:rPr>
        <w:t xml:space="preserve">  </w:t>
      </w:r>
      <w:r w:rsidR="0015495D">
        <w:rPr>
          <w:rFonts w:ascii="Times New Roman" w:hAnsi="Times New Roman"/>
          <w:szCs w:val="24"/>
        </w:rPr>
        <w:t>T</w:t>
      </w:r>
      <w:r w:rsidR="00F92CDA" w:rsidRPr="001D2B5A">
        <w:rPr>
          <w:rFonts w:ascii="Times New Roman" w:hAnsi="Times New Roman"/>
          <w:szCs w:val="24"/>
        </w:rPr>
        <w:t xml:space="preserve">he observed difference between the </w:t>
      </w:r>
      <w:r w:rsidR="0015495D">
        <w:rPr>
          <w:rFonts w:ascii="Times New Roman" w:hAnsi="Times New Roman"/>
          <w:szCs w:val="24"/>
        </w:rPr>
        <w:t xml:space="preserve">imposed sentence </w:t>
      </w:r>
      <w:r w:rsidR="00F92CDA" w:rsidRPr="001D2B5A">
        <w:rPr>
          <w:rFonts w:ascii="Times New Roman" w:hAnsi="Times New Roman"/>
          <w:szCs w:val="24"/>
        </w:rPr>
        <w:t xml:space="preserve">and the </w:t>
      </w:r>
      <w:r w:rsidR="00DD094C">
        <w:rPr>
          <w:rFonts w:ascii="Times New Roman" w:hAnsi="Times New Roman"/>
          <w:szCs w:val="24"/>
        </w:rPr>
        <w:t>victims' projection</w:t>
      </w:r>
      <w:r w:rsidR="00F92CDA" w:rsidRPr="001D2B5A">
        <w:rPr>
          <w:rFonts w:ascii="Times New Roman" w:hAnsi="Times New Roman"/>
          <w:szCs w:val="24"/>
        </w:rPr>
        <w:t>s in this study reveal</w:t>
      </w:r>
      <w:r w:rsidR="00C7070D">
        <w:rPr>
          <w:rFonts w:ascii="Times New Roman" w:hAnsi="Times New Roman"/>
          <w:szCs w:val="24"/>
        </w:rPr>
        <w:t>s a transformative ICC approach</w:t>
      </w:r>
      <w:r w:rsidR="00F92CDA" w:rsidRPr="001D2B5A">
        <w:rPr>
          <w:rFonts w:ascii="Times New Roman" w:hAnsi="Times New Roman"/>
          <w:szCs w:val="24"/>
        </w:rPr>
        <w:t xml:space="preserve"> towards sentencing. One could infer that the ICC was lenient </w:t>
      </w:r>
      <w:r w:rsidR="005328AA">
        <w:rPr>
          <w:rFonts w:ascii="Times New Roman" w:hAnsi="Times New Roman"/>
          <w:szCs w:val="24"/>
        </w:rPr>
        <w:t>about</w:t>
      </w:r>
      <w:r w:rsidR="00F92CDA" w:rsidRPr="001D2B5A">
        <w:rPr>
          <w:rFonts w:ascii="Times New Roman" w:hAnsi="Times New Roman"/>
          <w:szCs w:val="24"/>
        </w:rPr>
        <w:t xml:space="preserve"> this sentencing.</w:t>
      </w:r>
      <w:r w:rsidR="0015495D">
        <w:rPr>
          <w:rFonts w:ascii="Times New Roman" w:hAnsi="Times New Roman"/>
          <w:szCs w:val="24"/>
        </w:rPr>
        <w:t xml:space="preserve"> It strengthens the place of </w:t>
      </w:r>
      <w:r w:rsidR="00F92CDA" w:rsidRPr="001D2B5A">
        <w:rPr>
          <w:rFonts w:ascii="Times New Roman" w:hAnsi="Times New Roman"/>
          <w:szCs w:val="24"/>
        </w:rPr>
        <w:t xml:space="preserve">rehabilitation </w:t>
      </w:r>
      <w:r w:rsidR="0015495D">
        <w:rPr>
          <w:rFonts w:ascii="Times New Roman" w:hAnsi="Times New Roman"/>
          <w:szCs w:val="24"/>
        </w:rPr>
        <w:t>of convicts within</w:t>
      </w:r>
      <w:r w:rsidR="00F92CDA" w:rsidRPr="001D2B5A">
        <w:rPr>
          <w:rFonts w:ascii="Times New Roman" w:hAnsi="Times New Roman"/>
          <w:szCs w:val="24"/>
        </w:rPr>
        <w:t xml:space="preserve"> a purely retributive goal. While the ICC aims to work towards rehabilitative justifications for sentencing, </w:t>
      </w:r>
      <w:r w:rsidR="00C7070D">
        <w:rPr>
          <w:rFonts w:ascii="Times New Roman" w:hAnsi="Times New Roman"/>
          <w:szCs w:val="24"/>
        </w:rPr>
        <w:t>the victims expected a strictly punitive sentencing approach</w:t>
      </w:r>
      <w:r w:rsidR="00B54B55">
        <w:rPr>
          <w:rFonts w:ascii="Times New Roman" w:hAnsi="Times New Roman"/>
          <w:szCs w:val="24"/>
        </w:rPr>
        <w:t xml:space="preserve">. </w:t>
      </w:r>
      <w:r w:rsidR="00F92CDA" w:rsidRPr="001D2B5A">
        <w:rPr>
          <w:rFonts w:ascii="Times New Roman" w:hAnsi="Times New Roman"/>
          <w:szCs w:val="24"/>
        </w:rPr>
        <w:t xml:space="preserve">This finding accords with Schabas argument that international sentencing should be guided by </w:t>
      </w:r>
      <w:r w:rsidR="00F92CDA" w:rsidRPr="001D2B5A">
        <w:rPr>
          <w:rFonts w:ascii="Times New Roman" w:hAnsi="Times New Roman"/>
          <w:szCs w:val="24"/>
        </w:rPr>
        <w:lastRenderedPageBreak/>
        <w:t>human rights principles which enhances rehabilitation objectives rather</w:t>
      </w:r>
      <w:r w:rsidR="0015495D">
        <w:rPr>
          <w:rFonts w:ascii="Times New Roman" w:hAnsi="Times New Roman"/>
          <w:szCs w:val="24"/>
        </w:rPr>
        <w:t xml:space="preserve"> than purely</w:t>
      </w:r>
      <w:r w:rsidR="00F92CDA" w:rsidRPr="001D2B5A">
        <w:rPr>
          <w:rFonts w:ascii="Times New Roman" w:hAnsi="Times New Roman"/>
          <w:szCs w:val="24"/>
        </w:rPr>
        <w:t xml:space="preserve"> retributi</w:t>
      </w:r>
      <w:r w:rsidR="0015495D">
        <w:rPr>
          <w:rFonts w:ascii="Times New Roman" w:hAnsi="Times New Roman"/>
          <w:szCs w:val="24"/>
        </w:rPr>
        <w:t>on goals</w:t>
      </w:r>
      <w:r w:rsidR="00F92CDA" w:rsidRPr="001D2B5A">
        <w:rPr>
          <w:rFonts w:ascii="Times New Roman" w:hAnsi="Times New Roman"/>
          <w:szCs w:val="24"/>
        </w:rPr>
        <w:t>.</w:t>
      </w:r>
      <w:r w:rsidR="00F92CDA" w:rsidRPr="001D2B5A">
        <w:rPr>
          <w:rStyle w:val="FootnoteReference"/>
          <w:rFonts w:ascii="Times New Roman" w:hAnsi="Times New Roman"/>
          <w:szCs w:val="24"/>
        </w:rPr>
        <w:footnoteReference w:id="1163"/>
      </w:r>
      <w:r w:rsidR="00F92CDA" w:rsidRPr="001D2B5A">
        <w:rPr>
          <w:rFonts w:ascii="Times New Roman" w:hAnsi="Times New Roman"/>
          <w:szCs w:val="24"/>
        </w:rPr>
        <w:t xml:space="preserve"> </w:t>
      </w:r>
    </w:p>
    <w:p w14:paraId="64CAD13F" w14:textId="3340EE55" w:rsidR="003B52FA" w:rsidRPr="001D2B5A" w:rsidRDefault="0015495D" w:rsidP="0099345E">
      <w:pPr>
        <w:spacing w:line="480" w:lineRule="auto"/>
        <w:jc w:val="both"/>
        <w:rPr>
          <w:rFonts w:ascii="Times New Roman" w:hAnsi="Times New Roman"/>
          <w:szCs w:val="24"/>
        </w:rPr>
      </w:pPr>
      <w:r>
        <w:rPr>
          <w:rFonts w:ascii="Times New Roman" w:hAnsi="Times New Roman"/>
          <w:szCs w:val="24"/>
        </w:rPr>
        <w:t>Suppose</w:t>
      </w:r>
      <w:r w:rsidR="00F92CDA" w:rsidRPr="001D2B5A">
        <w:rPr>
          <w:rFonts w:ascii="Times New Roman" w:hAnsi="Times New Roman"/>
          <w:szCs w:val="24"/>
        </w:rPr>
        <w:t xml:space="preserve"> the ICC’s justification for sentencing is rehabilitation</w:t>
      </w:r>
      <w:r w:rsidR="00C7070D">
        <w:rPr>
          <w:rFonts w:ascii="Times New Roman" w:hAnsi="Times New Roman"/>
          <w:szCs w:val="24"/>
        </w:rPr>
        <w:t>. The approach connotes that it accords priority to the offender's needs</w:t>
      </w:r>
      <w:r w:rsidR="00F92CDA" w:rsidRPr="001D2B5A">
        <w:rPr>
          <w:rFonts w:ascii="Times New Roman" w:hAnsi="Times New Roman"/>
          <w:szCs w:val="24"/>
        </w:rPr>
        <w:t xml:space="preserve"> over the victims</w:t>
      </w:r>
      <w:r>
        <w:rPr>
          <w:rFonts w:ascii="Times New Roman" w:hAnsi="Times New Roman"/>
          <w:szCs w:val="24"/>
        </w:rPr>
        <w:t xml:space="preserve"> or balances the difference between offender and victims</w:t>
      </w:r>
      <w:r w:rsidR="00F92CDA" w:rsidRPr="001D2B5A">
        <w:rPr>
          <w:rFonts w:ascii="Times New Roman" w:hAnsi="Times New Roman"/>
          <w:szCs w:val="24"/>
        </w:rPr>
        <w:t>.</w:t>
      </w:r>
      <w:r w:rsidR="00F92CDA" w:rsidRPr="001D2B5A">
        <w:rPr>
          <w:rStyle w:val="FootnoteReference"/>
          <w:rFonts w:ascii="Times New Roman" w:hAnsi="Times New Roman"/>
          <w:szCs w:val="24"/>
        </w:rPr>
        <w:footnoteReference w:id="1164"/>
      </w:r>
      <w:r w:rsidR="00B54B55">
        <w:rPr>
          <w:rFonts w:ascii="Times New Roman" w:hAnsi="Times New Roman"/>
          <w:szCs w:val="24"/>
        </w:rPr>
        <w:t>With t</w:t>
      </w:r>
      <w:r w:rsidR="00F92CDA" w:rsidRPr="001D2B5A">
        <w:rPr>
          <w:rFonts w:ascii="Times New Roman" w:hAnsi="Times New Roman"/>
          <w:szCs w:val="24"/>
        </w:rPr>
        <w:t>his</w:t>
      </w:r>
      <w:r w:rsidR="00B54B55">
        <w:rPr>
          <w:rFonts w:ascii="Times New Roman" w:hAnsi="Times New Roman"/>
          <w:szCs w:val="24"/>
        </w:rPr>
        <w:t xml:space="preserve">, the support of the communities </w:t>
      </w:r>
      <w:r w:rsidR="00F92CDA" w:rsidRPr="001D2B5A">
        <w:rPr>
          <w:rFonts w:ascii="Times New Roman" w:hAnsi="Times New Roman"/>
          <w:szCs w:val="24"/>
        </w:rPr>
        <w:t>is usually</w:t>
      </w:r>
      <w:r w:rsidR="00B54B55">
        <w:rPr>
          <w:rFonts w:ascii="Times New Roman" w:hAnsi="Times New Roman"/>
          <w:szCs w:val="24"/>
        </w:rPr>
        <w:t xml:space="preserve"> required.</w:t>
      </w:r>
      <w:r w:rsidR="00F92CDA" w:rsidRPr="001D2B5A">
        <w:rPr>
          <w:rFonts w:ascii="Times New Roman" w:hAnsi="Times New Roman"/>
          <w:szCs w:val="24"/>
        </w:rPr>
        <w:t xml:space="preserve"> </w:t>
      </w:r>
      <w:r>
        <w:rPr>
          <w:rFonts w:ascii="Times New Roman" w:hAnsi="Times New Roman"/>
          <w:szCs w:val="24"/>
        </w:rPr>
        <w:t>T</w:t>
      </w:r>
      <w:r w:rsidR="00F92CDA" w:rsidRPr="001D2B5A">
        <w:rPr>
          <w:rFonts w:ascii="Times New Roman" w:hAnsi="Times New Roman"/>
          <w:szCs w:val="24"/>
        </w:rPr>
        <w:t xml:space="preserve">he </w:t>
      </w:r>
      <w:r w:rsidR="00983842">
        <w:rPr>
          <w:rFonts w:ascii="Times New Roman" w:hAnsi="Times New Roman"/>
          <w:szCs w:val="24"/>
        </w:rPr>
        <w:t>sentence</w:t>
      </w:r>
      <w:r w:rsidR="00F92CDA" w:rsidRPr="001D2B5A">
        <w:rPr>
          <w:rFonts w:ascii="Times New Roman" w:hAnsi="Times New Roman"/>
          <w:szCs w:val="24"/>
        </w:rPr>
        <w:t xml:space="preserve"> does not preclude general deterrence and the ‘expressive notions of punishment’. Sloane, in his study</w:t>
      </w:r>
      <w:r w:rsidR="001B5D76">
        <w:rPr>
          <w:rFonts w:ascii="Times New Roman" w:hAnsi="Times New Roman"/>
          <w:szCs w:val="24"/>
        </w:rPr>
        <w:t>,</w:t>
      </w:r>
      <w:r w:rsidR="00F92CDA" w:rsidRPr="001D2B5A">
        <w:rPr>
          <w:rFonts w:ascii="Times New Roman" w:hAnsi="Times New Roman"/>
          <w:szCs w:val="24"/>
        </w:rPr>
        <w:t xml:space="preserve"> posit</w:t>
      </w:r>
      <w:r w:rsidR="001B5D76">
        <w:rPr>
          <w:rFonts w:ascii="Times New Roman" w:hAnsi="Times New Roman"/>
          <w:szCs w:val="24"/>
        </w:rPr>
        <w:t>s</w:t>
      </w:r>
      <w:r w:rsidR="00F92CDA" w:rsidRPr="001D2B5A">
        <w:rPr>
          <w:rFonts w:ascii="Times New Roman" w:hAnsi="Times New Roman"/>
          <w:szCs w:val="24"/>
        </w:rPr>
        <w:t xml:space="preserve"> that international punishment should have the value of expressing punishment.</w:t>
      </w:r>
      <w:r w:rsidR="00F92CDA" w:rsidRPr="001D2B5A">
        <w:rPr>
          <w:rStyle w:val="FootnoteReference"/>
          <w:rFonts w:ascii="Times New Roman" w:hAnsi="Times New Roman"/>
          <w:szCs w:val="24"/>
        </w:rPr>
        <w:footnoteReference w:id="1165"/>
      </w:r>
      <w:r w:rsidR="00F92CDA" w:rsidRPr="001D2B5A">
        <w:rPr>
          <w:rFonts w:ascii="Times New Roman" w:hAnsi="Times New Roman"/>
          <w:szCs w:val="24"/>
        </w:rPr>
        <w:t xml:space="preserve">Sloane’s argument does not </w:t>
      </w:r>
      <w:r w:rsidR="00C7070D">
        <w:rPr>
          <w:rFonts w:ascii="Times New Roman" w:hAnsi="Times New Roman"/>
          <w:szCs w:val="24"/>
        </w:rPr>
        <w:t>referenc</w:t>
      </w:r>
      <w:r w:rsidR="00F92CDA" w:rsidRPr="001D2B5A">
        <w:rPr>
          <w:rFonts w:ascii="Times New Roman" w:hAnsi="Times New Roman"/>
          <w:szCs w:val="24"/>
        </w:rPr>
        <w:t xml:space="preserve">e proportionality, but there must be </w:t>
      </w:r>
      <w:r w:rsidR="001B5D76">
        <w:rPr>
          <w:rFonts w:ascii="Times New Roman" w:hAnsi="Times New Roman"/>
          <w:szCs w:val="24"/>
        </w:rPr>
        <w:t>a</w:t>
      </w:r>
      <w:r w:rsidR="00F92CDA" w:rsidRPr="001D2B5A">
        <w:rPr>
          <w:rFonts w:ascii="Times New Roman" w:hAnsi="Times New Roman"/>
          <w:szCs w:val="24"/>
        </w:rPr>
        <w:t xml:space="preserve"> value of expressing </w:t>
      </w:r>
      <w:r w:rsidR="001B5D76">
        <w:rPr>
          <w:rFonts w:ascii="Times New Roman" w:hAnsi="Times New Roman"/>
          <w:szCs w:val="24"/>
        </w:rPr>
        <w:t>a sentence</w:t>
      </w:r>
      <w:r w:rsidR="00F92CDA" w:rsidRPr="001D2B5A">
        <w:rPr>
          <w:rFonts w:ascii="Times New Roman" w:hAnsi="Times New Roman"/>
          <w:szCs w:val="24"/>
        </w:rPr>
        <w:t>, which could be incapacitation</w:t>
      </w:r>
      <w:r w:rsidR="004F28B0">
        <w:rPr>
          <w:rFonts w:ascii="Times New Roman" w:hAnsi="Times New Roman"/>
          <w:szCs w:val="24"/>
        </w:rPr>
        <w:t xml:space="preserve"> or other objectives</w:t>
      </w:r>
      <w:r w:rsidR="00F92CDA" w:rsidRPr="001D2B5A">
        <w:rPr>
          <w:rFonts w:ascii="Times New Roman" w:hAnsi="Times New Roman"/>
          <w:szCs w:val="24"/>
        </w:rPr>
        <w:t>.</w:t>
      </w:r>
      <w:r w:rsidR="007C10AC">
        <w:rPr>
          <w:rStyle w:val="FootnoteReference"/>
          <w:rFonts w:ascii="Times New Roman" w:hAnsi="Times New Roman"/>
          <w:szCs w:val="24"/>
        </w:rPr>
        <w:footnoteReference w:id="1166"/>
      </w:r>
      <w:r w:rsidR="00F92CDA" w:rsidRPr="001D2B5A">
        <w:rPr>
          <w:rFonts w:ascii="Times New Roman" w:hAnsi="Times New Roman"/>
          <w:szCs w:val="24"/>
        </w:rPr>
        <w:t xml:space="preserve"> </w:t>
      </w:r>
      <w:r w:rsidR="007C10AC">
        <w:rPr>
          <w:rFonts w:ascii="Times New Roman" w:hAnsi="Times New Roman"/>
          <w:szCs w:val="24"/>
        </w:rPr>
        <w:t>Perhaps,</w:t>
      </w:r>
      <w:r w:rsidR="00983842">
        <w:rPr>
          <w:rFonts w:ascii="Times New Roman" w:hAnsi="Times New Roman"/>
          <w:szCs w:val="24"/>
        </w:rPr>
        <w:t xml:space="preserve"> </w:t>
      </w:r>
      <w:r w:rsidR="005328AA">
        <w:rPr>
          <w:rFonts w:ascii="Times New Roman" w:hAnsi="Times New Roman"/>
          <w:szCs w:val="24"/>
        </w:rPr>
        <w:t>because</w:t>
      </w:r>
      <w:r w:rsidR="00F92CDA" w:rsidRPr="001D2B5A">
        <w:rPr>
          <w:rFonts w:ascii="Times New Roman" w:hAnsi="Times New Roman"/>
          <w:szCs w:val="24"/>
        </w:rPr>
        <w:t xml:space="preserve"> the international crimes committed within this context is on a large scale, and regarded as </w:t>
      </w:r>
      <w:r w:rsidR="001B5D76">
        <w:rPr>
          <w:rFonts w:ascii="Times New Roman" w:hAnsi="Times New Roman"/>
          <w:szCs w:val="24"/>
        </w:rPr>
        <w:t xml:space="preserve">a </w:t>
      </w:r>
      <w:r w:rsidR="00F92CDA" w:rsidRPr="001D2B5A">
        <w:rPr>
          <w:rFonts w:ascii="Times New Roman" w:hAnsi="Times New Roman"/>
          <w:szCs w:val="24"/>
        </w:rPr>
        <w:t xml:space="preserve">mass atrocity, the victims had expected a </w:t>
      </w:r>
      <w:r w:rsidR="00D74AFA">
        <w:rPr>
          <w:rFonts w:ascii="Times New Roman" w:hAnsi="Times New Roman"/>
          <w:szCs w:val="24"/>
        </w:rPr>
        <w:t>‘</w:t>
      </w:r>
      <w:r w:rsidR="00F92CDA" w:rsidRPr="001D2B5A">
        <w:rPr>
          <w:rFonts w:ascii="Times New Roman" w:hAnsi="Times New Roman"/>
          <w:szCs w:val="24"/>
        </w:rPr>
        <w:t>severe</w:t>
      </w:r>
      <w:r w:rsidR="00D74AFA">
        <w:rPr>
          <w:rFonts w:ascii="Times New Roman" w:hAnsi="Times New Roman"/>
          <w:szCs w:val="24"/>
        </w:rPr>
        <w:t>’</w:t>
      </w:r>
      <w:r w:rsidR="0099345E">
        <w:rPr>
          <w:rFonts w:ascii="Times New Roman" w:hAnsi="Times New Roman"/>
          <w:szCs w:val="24"/>
        </w:rPr>
        <w:t xml:space="preserve"> penalty for</w:t>
      </w:r>
      <w:r w:rsidR="00F92CDA" w:rsidRPr="001D2B5A">
        <w:rPr>
          <w:rFonts w:ascii="Times New Roman" w:hAnsi="Times New Roman"/>
          <w:szCs w:val="24"/>
        </w:rPr>
        <w:t xml:space="preserve"> Katanga.</w:t>
      </w:r>
      <w:r w:rsidR="00C7070D">
        <w:rPr>
          <w:rFonts w:ascii="Times New Roman" w:hAnsi="Times New Roman"/>
          <w:szCs w:val="24"/>
        </w:rPr>
        <w:t xml:space="preserve"> </w:t>
      </w:r>
      <w:r w:rsidR="004F28B0">
        <w:rPr>
          <w:rFonts w:ascii="Times New Roman" w:hAnsi="Times New Roman"/>
          <w:szCs w:val="24"/>
        </w:rPr>
        <w:t>I</w:t>
      </w:r>
      <w:r w:rsidR="00983842">
        <w:rPr>
          <w:rFonts w:ascii="Times New Roman" w:hAnsi="Times New Roman"/>
          <w:szCs w:val="24"/>
        </w:rPr>
        <w:t>t is suggested that</w:t>
      </w:r>
      <w:r w:rsidR="001B5D76" w:rsidRPr="001D2B5A">
        <w:rPr>
          <w:rFonts w:ascii="Times New Roman" w:hAnsi="Times New Roman"/>
          <w:szCs w:val="24"/>
        </w:rPr>
        <w:t xml:space="preserve"> the court s</w:t>
      </w:r>
      <w:r w:rsidR="00C5640F">
        <w:rPr>
          <w:rFonts w:ascii="Times New Roman" w:hAnsi="Times New Roman"/>
          <w:szCs w:val="24"/>
        </w:rPr>
        <w:t>trike a balance between considering the victims' concerns and interests and</w:t>
      </w:r>
      <w:r w:rsidR="001B5D76" w:rsidRPr="001D2B5A">
        <w:rPr>
          <w:rFonts w:ascii="Times New Roman" w:hAnsi="Times New Roman"/>
          <w:szCs w:val="24"/>
        </w:rPr>
        <w:t xml:space="preserve"> </w:t>
      </w:r>
      <w:r w:rsidR="001B5D76">
        <w:rPr>
          <w:rFonts w:ascii="Times New Roman" w:hAnsi="Times New Roman"/>
          <w:szCs w:val="24"/>
        </w:rPr>
        <w:t xml:space="preserve">the </w:t>
      </w:r>
      <w:r w:rsidR="001B5D76" w:rsidRPr="001D2B5A">
        <w:rPr>
          <w:rFonts w:ascii="Times New Roman" w:hAnsi="Times New Roman"/>
          <w:szCs w:val="24"/>
        </w:rPr>
        <w:t xml:space="preserve">integrity of the sentencing process. </w:t>
      </w:r>
    </w:p>
    <w:p w14:paraId="6DA6C244" w14:textId="4BD56C82" w:rsidR="00983842" w:rsidRDefault="00F92CDA" w:rsidP="0099345E">
      <w:pPr>
        <w:spacing w:line="480" w:lineRule="auto"/>
        <w:jc w:val="both"/>
        <w:rPr>
          <w:rFonts w:ascii="Times New Roman" w:hAnsi="Times New Roman"/>
          <w:szCs w:val="24"/>
        </w:rPr>
      </w:pPr>
      <w:r w:rsidRPr="001D2B5A">
        <w:rPr>
          <w:rFonts w:ascii="Times New Roman" w:hAnsi="Times New Roman"/>
          <w:szCs w:val="24"/>
        </w:rPr>
        <w:t>Having discussed</w:t>
      </w:r>
      <w:r w:rsidR="00302B28" w:rsidRPr="001D2B5A">
        <w:rPr>
          <w:rFonts w:ascii="Times New Roman" w:hAnsi="Times New Roman"/>
          <w:szCs w:val="24"/>
        </w:rPr>
        <w:t xml:space="preserve"> the findings</w:t>
      </w:r>
      <w:r w:rsidR="00983842">
        <w:rPr>
          <w:rFonts w:ascii="Times New Roman" w:hAnsi="Times New Roman"/>
          <w:szCs w:val="24"/>
        </w:rPr>
        <w:t xml:space="preserve"> in Katanga</w:t>
      </w:r>
      <w:r w:rsidR="00302B28" w:rsidRPr="001D2B5A">
        <w:rPr>
          <w:rFonts w:ascii="Times New Roman" w:hAnsi="Times New Roman"/>
          <w:szCs w:val="24"/>
        </w:rPr>
        <w:t>,</w:t>
      </w:r>
      <w:r w:rsidRPr="001D2B5A">
        <w:rPr>
          <w:rFonts w:ascii="Times New Roman" w:hAnsi="Times New Roman"/>
          <w:szCs w:val="24"/>
        </w:rPr>
        <w:t xml:space="preserve"> </w:t>
      </w:r>
      <w:r w:rsidR="00983842">
        <w:rPr>
          <w:rFonts w:ascii="Times New Roman" w:hAnsi="Times New Roman"/>
          <w:szCs w:val="24"/>
        </w:rPr>
        <w:t>t</w:t>
      </w:r>
      <w:r w:rsidR="00983842" w:rsidRPr="001D2B5A">
        <w:rPr>
          <w:rFonts w:ascii="Times New Roman" w:hAnsi="Times New Roman"/>
          <w:szCs w:val="24"/>
        </w:rPr>
        <w:t xml:space="preserve">he next section </w:t>
      </w:r>
      <w:r w:rsidR="00BE4E89">
        <w:rPr>
          <w:rFonts w:ascii="Times New Roman" w:hAnsi="Times New Roman"/>
          <w:szCs w:val="24"/>
        </w:rPr>
        <w:t>shall explore how to address sentencing with restorative justice and procedural justice.</w:t>
      </w:r>
    </w:p>
    <w:p w14:paraId="703E9BEB" w14:textId="7DCACF09" w:rsidR="00BE4E89" w:rsidRDefault="00BE4E89" w:rsidP="005725E4">
      <w:pPr>
        <w:pStyle w:val="Heading3"/>
      </w:pPr>
      <w:bookmarkStart w:id="92" w:name="_Toc60235856"/>
      <w:r>
        <w:lastRenderedPageBreak/>
        <w:t>4.</w:t>
      </w:r>
      <w:r w:rsidR="00CE1ABB">
        <w:t>7</w:t>
      </w:r>
      <w:r>
        <w:t>.</w:t>
      </w:r>
      <w:r w:rsidR="00787277" w:rsidRPr="00787277">
        <w:t>8</w:t>
      </w:r>
      <w:r w:rsidR="00CE1ABB">
        <w:t xml:space="preserve"> </w:t>
      </w:r>
      <w:r w:rsidR="00B64886">
        <w:t>Procedural and Restorative justice</w:t>
      </w:r>
      <w:r>
        <w:t xml:space="preserve">: A viable way to enhance </w:t>
      </w:r>
      <w:r w:rsidR="00C7070D">
        <w:t>victims' impact</w:t>
      </w:r>
      <w:r>
        <w:t xml:space="preserve"> on the sentencing outcome</w:t>
      </w:r>
      <w:r w:rsidR="00B64886">
        <w:t>?</w:t>
      </w:r>
      <w:bookmarkEnd w:id="92"/>
    </w:p>
    <w:p w14:paraId="071FC025" w14:textId="206CD846" w:rsidR="00B64886" w:rsidRDefault="005A3B27" w:rsidP="00DA298B">
      <w:pPr>
        <w:spacing w:line="480" w:lineRule="auto"/>
        <w:jc w:val="both"/>
        <w:rPr>
          <w:rFonts w:ascii="Times New Roman" w:hAnsi="Times New Roman"/>
          <w:lang w:eastAsia="ja-JP"/>
        </w:rPr>
      </w:pPr>
      <w:r w:rsidRPr="005A3B27">
        <w:rPr>
          <w:rFonts w:ascii="Times New Roman" w:hAnsi="Times New Roman"/>
          <w:lang w:eastAsia="ja-JP"/>
        </w:rPr>
        <w:t xml:space="preserve">Sentencing </w:t>
      </w:r>
      <w:r>
        <w:rPr>
          <w:rFonts w:ascii="Times New Roman" w:hAnsi="Times New Roman"/>
          <w:lang w:eastAsia="ja-JP"/>
        </w:rPr>
        <w:t>is</w:t>
      </w:r>
      <w:r w:rsidR="002969D9">
        <w:rPr>
          <w:rFonts w:ascii="Times New Roman" w:hAnsi="Times New Roman"/>
          <w:lang w:eastAsia="ja-JP"/>
        </w:rPr>
        <w:t xml:space="preserve"> </w:t>
      </w:r>
      <w:r>
        <w:rPr>
          <w:rFonts w:ascii="Times New Roman" w:hAnsi="Times New Roman"/>
          <w:lang w:eastAsia="ja-JP"/>
        </w:rPr>
        <w:t xml:space="preserve">the </w:t>
      </w:r>
      <w:r w:rsidR="00B64886">
        <w:rPr>
          <w:rFonts w:ascii="Times New Roman" w:hAnsi="Times New Roman"/>
          <w:lang w:eastAsia="ja-JP"/>
        </w:rPr>
        <w:t>pinnacle</w:t>
      </w:r>
      <w:r>
        <w:rPr>
          <w:rFonts w:ascii="Times New Roman" w:hAnsi="Times New Roman"/>
          <w:lang w:eastAsia="ja-JP"/>
        </w:rPr>
        <w:t xml:space="preserve"> of the criminal process.</w:t>
      </w:r>
      <w:r>
        <w:rPr>
          <w:rStyle w:val="FootnoteReference"/>
          <w:rFonts w:ascii="Times New Roman" w:hAnsi="Times New Roman"/>
          <w:lang w:eastAsia="ja-JP"/>
        </w:rPr>
        <w:footnoteReference w:id="1167"/>
      </w:r>
      <w:r>
        <w:rPr>
          <w:rFonts w:ascii="Times New Roman" w:hAnsi="Times New Roman"/>
          <w:lang w:eastAsia="ja-JP"/>
        </w:rPr>
        <w:t xml:space="preserve">It </w:t>
      </w:r>
      <w:r w:rsidR="00045251">
        <w:rPr>
          <w:rFonts w:ascii="Times New Roman" w:hAnsi="Times New Roman"/>
          <w:lang w:eastAsia="ja-JP"/>
        </w:rPr>
        <w:t xml:space="preserve">unravels the punishment and its </w:t>
      </w:r>
      <w:r>
        <w:rPr>
          <w:rFonts w:ascii="Times New Roman" w:hAnsi="Times New Roman"/>
          <w:lang w:eastAsia="ja-JP"/>
        </w:rPr>
        <w:t>justifications</w:t>
      </w:r>
      <w:r w:rsidR="002969D9">
        <w:rPr>
          <w:rFonts w:ascii="Times New Roman" w:hAnsi="Times New Roman"/>
          <w:lang w:eastAsia="ja-JP"/>
        </w:rPr>
        <w:t xml:space="preserve">; </w:t>
      </w:r>
      <w:r>
        <w:rPr>
          <w:rFonts w:ascii="Times New Roman" w:hAnsi="Times New Roman"/>
          <w:lang w:eastAsia="ja-JP"/>
        </w:rPr>
        <w:t>the most public face of the criminal trial.</w:t>
      </w:r>
      <w:r>
        <w:rPr>
          <w:rStyle w:val="FootnoteReference"/>
          <w:rFonts w:ascii="Times New Roman" w:hAnsi="Times New Roman"/>
          <w:lang w:eastAsia="ja-JP"/>
        </w:rPr>
        <w:footnoteReference w:id="1168"/>
      </w:r>
      <w:r w:rsidR="002969D9">
        <w:rPr>
          <w:rFonts w:ascii="Times New Roman" w:hAnsi="Times New Roman"/>
          <w:lang w:eastAsia="ja-JP"/>
        </w:rPr>
        <w:t xml:space="preserve"> Plausibly,</w:t>
      </w:r>
      <w:r w:rsidR="00BC438B">
        <w:rPr>
          <w:rFonts w:ascii="Times New Roman" w:hAnsi="Times New Roman"/>
          <w:lang w:eastAsia="ja-JP"/>
        </w:rPr>
        <w:t xml:space="preserve"> procedural justice and restorative justice are pathways to enhance victims’ experiences during the sentencing process. </w:t>
      </w:r>
      <w:r w:rsidR="00B64886">
        <w:rPr>
          <w:rFonts w:ascii="Times New Roman" w:hAnsi="Times New Roman"/>
          <w:lang w:eastAsia="ja-JP"/>
        </w:rPr>
        <w:t>Suppose the court effectively utilises</w:t>
      </w:r>
      <w:r w:rsidR="002969D9" w:rsidRPr="002969D9">
        <w:rPr>
          <w:rFonts w:ascii="Times New Roman" w:hAnsi="Times New Roman"/>
          <w:szCs w:val="24"/>
        </w:rPr>
        <w:t xml:space="preserve"> </w:t>
      </w:r>
      <w:r w:rsidR="002969D9">
        <w:rPr>
          <w:rFonts w:ascii="Times New Roman" w:hAnsi="Times New Roman"/>
          <w:szCs w:val="24"/>
        </w:rPr>
        <w:t>Victim Impact Statement</w:t>
      </w:r>
      <w:r w:rsidR="002969D9">
        <w:rPr>
          <w:rFonts w:ascii="Times New Roman" w:hAnsi="Times New Roman"/>
          <w:lang w:eastAsia="ja-JP"/>
        </w:rPr>
        <w:t>(</w:t>
      </w:r>
      <w:r w:rsidR="00B64886">
        <w:rPr>
          <w:rFonts w:ascii="Times New Roman" w:hAnsi="Times New Roman"/>
          <w:lang w:eastAsia="ja-JP"/>
        </w:rPr>
        <w:t>VIS</w:t>
      </w:r>
      <w:r w:rsidR="002969D9">
        <w:rPr>
          <w:rFonts w:ascii="Times New Roman" w:hAnsi="Times New Roman"/>
          <w:lang w:eastAsia="ja-JP"/>
        </w:rPr>
        <w:t>)</w:t>
      </w:r>
      <w:r w:rsidR="00B64886">
        <w:rPr>
          <w:rFonts w:ascii="Times New Roman" w:hAnsi="Times New Roman"/>
          <w:lang w:eastAsia="ja-JP"/>
        </w:rPr>
        <w:t xml:space="preserve"> vis-à-vis procedural justice and </w:t>
      </w:r>
      <w:r w:rsidR="00C7070D">
        <w:rPr>
          <w:rFonts w:ascii="Times New Roman" w:hAnsi="Times New Roman"/>
          <w:lang w:eastAsia="ja-JP"/>
        </w:rPr>
        <w:t>restorative justice elements</w:t>
      </w:r>
      <w:r w:rsidR="00B64886">
        <w:rPr>
          <w:rFonts w:ascii="Times New Roman" w:hAnsi="Times New Roman"/>
          <w:lang w:eastAsia="ja-JP"/>
        </w:rPr>
        <w:t>. In that cas</w:t>
      </w:r>
      <w:r w:rsidR="00BC438B">
        <w:rPr>
          <w:rFonts w:ascii="Times New Roman" w:hAnsi="Times New Roman"/>
          <w:lang w:eastAsia="ja-JP"/>
        </w:rPr>
        <w:t xml:space="preserve">e, </w:t>
      </w:r>
      <w:r w:rsidR="00C7070D">
        <w:rPr>
          <w:rFonts w:ascii="Times New Roman" w:hAnsi="Times New Roman"/>
          <w:lang w:eastAsia="ja-JP"/>
        </w:rPr>
        <w:t>combining</w:t>
      </w:r>
      <w:r w:rsidR="00BC438B">
        <w:rPr>
          <w:rFonts w:ascii="Times New Roman" w:hAnsi="Times New Roman"/>
          <w:lang w:eastAsia="ja-JP"/>
        </w:rPr>
        <w:t xml:space="preserve"> these two will positively impact the sentencing outcome and victims’ satisfaction with the sentencing decision.</w:t>
      </w:r>
    </w:p>
    <w:p w14:paraId="71F2EA42" w14:textId="60839198" w:rsidR="00DA298B" w:rsidRPr="00B64886" w:rsidRDefault="00B64886" w:rsidP="00DA298B">
      <w:pPr>
        <w:spacing w:line="480" w:lineRule="auto"/>
        <w:jc w:val="both"/>
        <w:rPr>
          <w:rFonts w:ascii="Times New Roman" w:hAnsi="Times New Roman"/>
          <w:lang w:eastAsia="ja-JP"/>
        </w:rPr>
      </w:pPr>
      <w:r>
        <w:rPr>
          <w:rFonts w:ascii="Times New Roman" w:hAnsi="Times New Roman"/>
          <w:lang w:eastAsia="ja-JP"/>
        </w:rPr>
        <w:t>Findings reveal</w:t>
      </w:r>
      <w:r w:rsidR="00DA298B">
        <w:rPr>
          <w:rFonts w:ascii="Times New Roman" w:hAnsi="Times New Roman"/>
          <w:lang w:eastAsia="ja-JP"/>
        </w:rPr>
        <w:t xml:space="preserve"> that victims participate through verbal and written submission</w:t>
      </w:r>
      <w:r>
        <w:rPr>
          <w:rFonts w:ascii="Times New Roman" w:hAnsi="Times New Roman"/>
          <w:lang w:eastAsia="ja-JP"/>
        </w:rPr>
        <w:t xml:space="preserve">s; the impact of this medium of </w:t>
      </w:r>
      <w:r w:rsidR="00DA298B">
        <w:rPr>
          <w:rFonts w:ascii="Times New Roman" w:hAnsi="Times New Roman"/>
          <w:lang w:eastAsia="ja-JP"/>
        </w:rPr>
        <w:t xml:space="preserve">participation on the sentencing decision </w:t>
      </w:r>
      <w:r w:rsidR="002969D9">
        <w:rPr>
          <w:rFonts w:ascii="Times New Roman" w:hAnsi="Times New Roman"/>
          <w:lang w:eastAsia="ja-JP"/>
        </w:rPr>
        <w:t>is</w:t>
      </w:r>
      <w:r w:rsidR="00DA298B">
        <w:rPr>
          <w:rFonts w:ascii="Times New Roman" w:hAnsi="Times New Roman"/>
          <w:lang w:eastAsia="ja-JP"/>
        </w:rPr>
        <w:t xml:space="preserve"> </w:t>
      </w:r>
      <w:r w:rsidR="00045251">
        <w:rPr>
          <w:rFonts w:ascii="Times New Roman" w:hAnsi="Times New Roman"/>
          <w:lang w:eastAsia="ja-JP"/>
        </w:rPr>
        <w:t>minimal</w:t>
      </w:r>
      <w:r w:rsidR="00DA298B">
        <w:rPr>
          <w:rFonts w:ascii="Times New Roman" w:hAnsi="Times New Roman"/>
          <w:lang w:eastAsia="ja-JP"/>
        </w:rPr>
        <w:t xml:space="preserve">. One implication of this observation is that </w:t>
      </w:r>
      <w:r>
        <w:rPr>
          <w:rFonts w:ascii="Times New Roman" w:hAnsi="Times New Roman"/>
          <w:lang w:eastAsia="ja-JP"/>
        </w:rPr>
        <w:t>the balance of</w:t>
      </w:r>
      <w:r w:rsidR="00DA298B">
        <w:rPr>
          <w:rFonts w:ascii="Times New Roman" w:hAnsi="Times New Roman"/>
          <w:lang w:eastAsia="ja-JP"/>
        </w:rPr>
        <w:t xml:space="preserve"> </w:t>
      </w:r>
      <w:r w:rsidR="00DA298B">
        <w:rPr>
          <w:rFonts w:ascii="Times New Roman" w:hAnsi="Times New Roman"/>
          <w:szCs w:val="24"/>
        </w:rPr>
        <w:t xml:space="preserve">different views on </w:t>
      </w:r>
      <w:r w:rsidR="00C7070D">
        <w:rPr>
          <w:rFonts w:ascii="Times New Roman" w:hAnsi="Times New Roman"/>
          <w:szCs w:val="24"/>
        </w:rPr>
        <w:t>victims' rights and interest</w:t>
      </w:r>
      <w:r w:rsidR="00DA298B">
        <w:rPr>
          <w:rFonts w:ascii="Times New Roman" w:hAnsi="Times New Roman"/>
          <w:szCs w:val="24"/>
        </w:rPr>
        <w:t xml:space="preserve">s results </w:t>
      </w:r>
      <w:r>
        <w:rPr>
          <w:rFonts w:ascii="Times New Roman" w:hAnsi="Times New Roman"/>
          <w:szCs w:val="24"/>
        </w:rPr>
        <w:t>in</w:t>
      </w:r>
      <w:r w:rsidR="00DA298B">
        <w:rPr>
          <w:rFonts w:ascii="Times New Roman" w:hAnsi="Times New Roman"/>
          <w:szCs w:val="24"/>
        </w:rPr>
        <w:t xml:space="preserve"> </w:t>
      </w:r>
      <w:r>
        <w:rPr>
          <w:rFonts w:ascii="Times New Roman" w:hAnsi="Times New Roman"/>
          <w:szCs w:val="24"/>
        </w:rPr>
        <w:t>extra</w:t>
      </w:r>
      <w:r w:rsidR="00DA298B">
        <w:rPr>
          <w:rFonts w:ascii="Times New Roman" w:hAnsi="Times New Roman"/>
          <w:szCs w:val="24"/>
        </w:rPr>
        <w:t xml:space="preserve"> weight and values of submission of victims in sentencing, which is subject to judicial discretion.</w:t>
      </w:r>
    </w:p>
    <w:p w14:paraId="51F64858" w14:textId="1DD6E4CE" w:rsidR="00986CF6" w:rsidRPr="00505D18" w:rsidRDefault="00A85EA6" w:rsidP="00986CF6">
      <w:pPr>
        <w:spacing w:before="240" w:line="480" w:lineRule="auto"/>
        <w:jc w:val="both"/>
        <w:rPr>
          <w:rFonts w:ascii="Times New Roman" w:hAnsi="Times New Roman"/>
          <w:szCs w:val="24"/>
        </w:rPr>
      </w:pPr>
      <w:r>
        <w:rPr>
          <w:rFonts w:ascii="Times New Roman" w:hAnsi="Times New Roman"/>
          <w:szCs w:val="24"/>
        </w:rPr>
        <w:t>VIS</w:t>
      </w:r>
      <w:r>
        <w:rPr>
          <w:rStyle w:val="FootnoteReference"/>
          <w:rFonts w:ascii="Times New Roman" w:hAnsi="Times New Roman"/>
          <w:szCs w:val="24"/>
        </w:rPr>
        <w:footnoteReference w:id="1169"/>
      </w:r>
      <w:r>
        <w:rPr>
          <w:rFonts w:ascii="Times New Roman" w:hAnsi="Times New Roman"/>
          <w:szCs w:val="24"/>
        </w:rPr>
        <w:t xml:space="preserve"> </w:t>
      </w:r>
      <w:r w:rsidR="00CC1410">
        <w:rPr>
          <w:rFonts w:ascii="Times New Roman" w:hAnsi="Times New Roman"/>
          <w:szCs w:val="24"/>
        </w:rPr>
        <w:t xml:space="preserve">is a written or verbal statement by the victims presented to the court at the </w:t>
      </w:r>
      <w:r w:rsidR="00C7070D">
        <w:rPr>
          <w:rFonts w:ascii="Times New Roman" w:hAnsi="Times New Roman"/>
          <w:szCs w:val="24"/>
        </w:rPr>
        <w:t>defendant's sentencing</w:t>
      </w:r>
      <w:r w:rsidR="00CC1410">
        <w:rPr>
          <w:rFonts w:ascii="Times New Roman" w:hAnsi="Times New Roman"/>
          <w:szCs w:val="24"/>
        </w:rPr>
        <w:t>.</w:t>
      </w:r>
      <w:r w:rsidR="00CC1410">
        <w:rPr>
          <w:rStyle w:val="FootnoteReference"/>
          <w:rFonts w:ascii="Times New Roman" w:hAnsi="Times New Roman"/>
          <w:szCs w:val="24"/>
        </w:rPr>
        <w:footnoteReference w:id="1170"/>
      </w:r>
      <w:r w:rsidR="00CB6A08">
        <w:rPr>
          <w:rFonts w:ascii="Times New Roman" w:hAnsi="Times New Roman"/>
          <w:szCs w:val="24"/>
        </w:rPr>
        <w:t xml:space="preserve">  </w:t>
      </w:r>
      <w:r w:rsidR="00CC1410">
        <w:rPr>
          <w:rFonts w:ascii="Times New Roman" w:hAnsi="Times New Roman"/>
          <w:szCs w:val="24"/>
        </w:rPr>
        <w:t>Th</w:t>
      </w:r>
      <w:r w:rsidR="00420A81">
        <w:rPr>
          <w:rFonts w:ascii="Times New Roman" w:hAnsi="Times New Roman"/>
          <w:szCs w:val="24"/>
        </w:rPr>
        <w:t xml:space="preserve">us, </w:t>
      </w:r>
      <w:r w:rsidR="00C7070D">
        <w:rPr>
          <w:rFonts w:ascii="Times New Roman" w:hAnsi="Times New Roman"/>
          <w:szCs w:val="24"/>
        </w:rPr>
        <w:t>as a medium, VIS</w:t>
      </w:r>
      <w:r w:rsidR="00CC1410">
        <w:rPr>
          <w:rFonts w:ascii="Times New Roman" w:hAnsi="Times New Roman"/>
          <w:szCs w:val="24"/>
        </w:rPr>
        <w:t xml:space="preserve"> express</w:t>
      </w:r>
      <w:r w:rsidR="00420A81">
        <w:rPr>
          <w:rFonts w:ascii="Times New Roman" w:hAnsi="Times New Roman"/>
          <w:szCs w:val="24"/>
        </w:rPr>
        <w:t xml:space="preserve">es victims’ </w:t>
      </w:r>
      <w:r w:rsidR="00CC1410">
        <w:rPr>
          <w:rFonts w:ascii="Times New Roman" w:hAnsi="Times New Roman"/>
          <w:szCs w:val="24"/>
        </w:rPr>
        <w:t>emotions and concerns about the implications of the crime on them.</w:t>
      </w:r>
      <w:r w:rsidR="00986CF6">
        <w:rPr>
          <w:rFonts w:ascii="Times New Roman" w:hAnsi="Times New Roman"/>
          <w:szCs w:val="24"/>
        </w:rPr>
        <w:t xml:space="preserve"> </w:t>
      </w:r>
      <w:r w:rsidR="00986CF6" w:rsidRPr="00505D18">
        <w:rPr>
          <w:rFonts w:ascii="Times New Roman" w:hAnsi="Times New Roman"/>
          <w:szCs w:val="24"/>
        </w:rPr>
        <w:t xml:space="preserve">It is worthy </w:t>
      </w:r>
      <w:r w:rsidR="00986CF6">
        <w:rPr>
          <w:rFonts w:ascii="Times New Roman" w:hAnsi="Times New Roman"/>
          <w:szCs w:val="24"/>
        </w:rPr>
        <w:t>of mentioning</w:t>
      </w:r>
      <w:r w:rsidR="00986CF6" w:rsidRPr="00505D18">
        <w:rPr>
          <w:rFonts w:ascii="Times New Roman" w:hAnsi="Times New Roman"/>
          <w:szCs w:val="24"/>
        </w:rPr>
        <w:t xml:space="preserve"> that there are pros and cons to VIS. </w:t>
      </w:r>
      <w:r w:rsidR="00C7070D">
        <w:rPr>
          <w:rFonts w:ascii="Times New Roman" w:hAnsi="Times New Roman"/>
          <w:szCs w:val="24"/>
        </w:rPr>
        <w:t>VIS proponents</w:t>
      </w:r>
      <w:r w:rsidR="00986CF6" w:rsidRPr="00505D18">
        <w:rPr>
          <w:rFonts w:ascii="Times New Roman" w:hAnsi="Times New Roman"/>
          <w:szCs w:val="24"/>
        </w:rPr>
        <w:t xml:space="preserve"> contend that it is a medium for victims </w:t>
      </w:r>
      <w:r w:rsidR="00986CF6" w:rsidRPr="00505D18">
        <w:rPr>
          <w:rFonts w:ascii="Times New Roman" w:hAnsi="Times New Roman"/>
          <w:szCs w:val="24"/>
        </w:rPr>
        <w:lastRenderedPageBreak/>
        <w:t>to emote and express themselves about how the crime affected them.</w:t>
      </w:r>
      <w:r w:rsidR="00986CF6">
        <w:rPr>
          <w:rStyle w:val="FootnoteReference"/>
          <w:rFonts w:ascii="Times New Roman" w:hAnsi="Times New Roman"/>
          <w:szCs w:val="24"/>
        </w:rPr>
        <w:footnoteReference w:id="1171"/>
      </w:r>
      <w:r w:rsidR="00986CF6" w:rsidRPr="00505D18">
        <w:rPr>
          <w:rFonts w:ascii="Times New Roman" w:hAnsi="Times New Roman"/>
          <w:szCs w:val="24"/>
        </w:rPr>
        <w:t xml:space="preserve"> With VIS, victims are </w:t>
      </w:r>
      <w:r w:rsidR="00986CF6">
        <w:rPr>
          <w:rFonts w:ascii="Times New Roman" w:hAnsi="Times New Roman"/>
          <w:szCs w:val="24"/>
        </w:rPr>
        <w:t>allowed</w:t>
      </w:r>
      <w:r w:rsidR="00986CF6" w:rsidRPr="00505D18">
        <w:rPr>
          <w:rFonts w:ascii="Times New Roman" w:hAnsi="Times New Roman"/>
          <w:szCs w:val="24"/>
        </w:rPr>
        <w:t xml:space="preserve"> to tell the court the effect of the crime on them. </w:t>
      </w:r>
      <w:r w:rsidR="00986CF6">
        <w:rPr>
          <w:rFonts w:ascii="Times New Roman" w:hAnsi="Times New Roman"/>
          <w:szCs w:val="24"/>
        </w:rPr>
        <w:t>T</w:t>
      </w:r>
      <w:r w:rsidR="00986CF6" w:rsidRPr="00505D18">
        <w:rPr>
          <w:rFonts w:ascii="Times New Roman" w:hAnsi="Times New Roman"/>
          <w:szCs w:val="24"/>
        </w:rPr>
        <w:t>he input of victim</w:t>
      </w:r>
      <w:r w:rsidR="00986CF6">
        <w:rPr>
          <w:rFonts w:ascii="Times New Roman" w:hAnsi="Times New Roman"/>
          <w:szCs w:val="24"/>
        </w:rPr>
        <w:t>s is likely to contribute towards the restoration of their dignity</w:t>
      </w:r>
      <w:r w:rsidR="00986CF6" w:rsidRPr="00505D18">
        <w:rPr>
          <w:rFonts w:ascii="Times New Roman" w:hAnsi="Times New Roman"/>
          <w:szCs w:val="24"/>
        </w:rPr>
        <w:t>.</w:t>
      </w:r>
      <w:r w:rsidR="00986CF6" w:rsidRPr="00505D18">
        <w:rPr>
          <w:rStyle w:val="FootnoteReference"/>
          <w:rFonts w:ascii="Times New Roman" w:hAnsi="Times New Roman"/>
          <w:szCs w:val="24"/>
        </w:rPr>
        <w:footnoteReference w:id="1172"/>
      </w:r>
      <w:r w:rsidR="00986CF6" w:rsidRPr="00206168">
        <w:rPr>
          <w:rFonts w:ascii="Times New Roman" w:hAnsi="Times New Roman"/>
          <w:szCs w:val="24"/>
        </w:rPr>
        <w:t xml:space="preserve"> </w:t>
      </w:r>
      <w:r w:rsidR="00986CF6" w:rsidRPr="00505D18">
        <w:rPr>
          <w:rFonts w:ascii="Times New Roman" w:hAnsi="Times New Roman"/>
          <w:szCs w:val="24"/>
        </w:rPr>
        <w:t xml:space="preserve">As good as it sounds, </w:t>
      </w:r>
      <w:r w:rsidR="00986CF6">
        <w:rPr>
          <w:rFonts w:ascii="Times New Roman" w:hAnsi="Times New Roman"/>
          <w:szCs w:val="24"/>
        </w:rPr>
        <w:t xml:space="preserve">we should be careful </w:t>
      </w:r>
      <w:r w:rsidR="00986CF6" w:rsidRPr="00505D18">
        <w:rPr>
          <w:rFonts w:ascii="Times New Roman" w:hAnsi="Times New Roman"/>
          <w:szCs w:val="24"/>
        </w:rPr>
        <w:t xml:space="preserve">not to </w:t>
      </w:r>
      <w:r w:rsidR="00986CF6">
        <w:rPr>
          <w:rFonts w:ascii="Times New Roman" w:hAnsi="Times New Roman"/>
          <w:szCs w:val="24"/>
        </w:rPr>
        <w:t xml:space="preserve">allow </w:t>
      </w:r>
      <w:r w:rsidR="00986CF6" w:rsidRPr="00505D18">
        <w:rPr>
          <w:rFonts w:ascii="Times New Roman" w:hAnsi="Times New Roman"/>
          <w:szCs w:val="24"/>
        </w:rPr>
        <w:t xml:space="preserve">victims’ emotion </w:t>
      </w:r>
      <w:r w:rsidR="00986CF6">
        <w:rPr>
          <w:rFonts w:ascii="Times New Roman" w:hAnsi="Times New Roman"/>
          <w:szCs w:val="24"/>
        </w:rPr>
        <w:t>to override the sentencing decision.</w:t>
      </w:r>
      <w:r w:rsidR="00986CF6" w:rsidRPr="00505D18">
        <w:rPr>
          <w:rFonts w:ascii="Times New Roman" w:hAnsi="Times New Roman"/>
          <w:szCs w:val="24"/>
        </w:rPr>
        <w:t xml:space="preserve"> </w:t>
      </w:r>
    </w:p>
    <w:p w14:paraId="70424762" w14:textId="5A0990CE" w:rsidR="00986CF6" w:rsidRDefault="00C7070D" w:rsidP="00986CF6">
      <w:pPr>
        <w:spacing w:before="240" w:line="480" w:lineRule="auto"/>
        <w:jc w:val="both"/>
        <w:rPr>
          <w:rFonts w:ascii="Times New Roman" w:hAnsi="Times New Roman"/>
          <w:szCs w:val="24"/>
        </w:rPr>
      </w:pPr>
      <w:r>
        <w:rPr>
          <w:rFonts w:ascii="Times New Roman" w:hAnsi="Times New Roman"/>
          <w:szCs w:val="24"/>
        </w:rPr>
        <w:t xml:space="preserve">VIS critics have cautioned that the stage of intervention-sentencing </w:t>
      </w:r>
      <w:r w:rsidR="00986CF6" w:rsidRPr="00505D18">
        <w:rPr>
          <w:rFonts w:ascii="Times New Roman" w:hAnsi="Times New Roman"/>
          <w:szCs w:val="24"/>
        </w:rPr>
        <w:t>is rather too late to address victims’ suffering</w:t>
      </w:r>
      <w:r w:rsidR="00986CF6">
        <w:rPr>
          <w:rFonts w:ascii="Times New Roman" w:hAnsi="Times New Roman"/>
          <w:szCs w:val="24"/>
        </w:rPr>
        <w:t>.</w:t>
      </w:r>
      <w:r w:rsidR="00986CF6" w:rsidRPr="00505D18">
        <w:rPr>
          <w:rStyle w:val="FootnoteReference"/>
          <w:rFonts w:ascii="Times New Roman" w:hAnsi="Times New Roman"/>
          <w:szCs w:val="24"/>
        </w:rPr>
        <w:footnoteReference w:id="1173"/>
      </w:r>
      <w:r w:rsidR="00986CF6" w:rsidRPr="00505D18">
        <w:rPr>
          <w:rFonts w:ascii="Times New Roman" w:hAnsi="Times New Roman"/>
          <w:szCs w:val="24"/>
        </w:rPr>
        <w:t xml:space="preserve">  They </w:t>
      </w:r>
      <w:r w:rsidR="00986CF6">
        <w:rPr>
          <w:rFonts w:ascii="Times New Roman" w:hAnsi="Times New Roman"/>
          <w:szCs w:val="24"/>
        </w:rPr>
        <w:t xml:space="preserve">also </w:t>
      </w:r>
      <w:r w:rsidR="00986CF6" w:rsidRPr="00505D18">
        <w:rPr>
          <w:rFonts w:ascii="Times New Roman" w:hAnsi="Times New Roman"/>
          <w:szCs w:val="24"/>
        </w:rPr>
        <w:t xml:space="preserve">argue that VIS may tilt the balance of justice because it is a </w:t>
      </w:r>
      <w:r>
        <w:rPr>
          <w:rFonts w:ascii="Times New Roman" w:hAnsi="Times New Roman"/>
          <w:szCs w:val="24"/>
        </w:rPr>
        <w:t>victim's subjective expression</w:t>
      </w:r>
      <w:r w:rsidR="00986CF6" w:rsidRPr="00505D18">
        <w:rPr>
          <w:rFonts w:ascii="Times New Roman" w:hAnsi="Times New Roman"/>
          <w:szCs w:val="24"/>
        </w:rPr>
        <w:t>.</w:t>
      </w:r>
      <w:r w:rsidR="00986CF6" w:rsidRPr="00505D18">
        <w:rPr>
          <w:rStyle w:val="FootnoteReference"/>
          <w:rFonts w:ascii="Times New Roman" w:hAnsi="Times New Roman"/>
          <w:szCs w:val="24"/>
        </w:rPr>
        <w:footnoteReference w:id="1174"/>
      </w:r>
      <w:r>
        <w:rPr>
          <w:rFonts w:ascii="Times New Roman" w:hAnsi="Times New Roman"/>
          <w:szCs w:val="24"/>
        </w:rPr>
        <w:t>Some have contended that VIS is not suitable for an adversarial system that</w:t>
      </w:r>
      <w:r w:rsidR="00986CF6" w:rsidRPr="00505D18">
        <w:rPr>
          <w:rFonts w:ascii="Times New Roman" w:hAnsi="Times New Roman"/>
          <w:szCs w:val="24"/>
        </w:rPr>
        <w:t xml:space="preserve"> focuses on the Prosecutor and the defendant. It may disrupt the notion that crime is committed against the state, not an individual.</w:t>
      </w:r>
      <w:r w:rsidR="00986CF6" w:rsidRPr="00505D18">
        <w:rPr>
          <w:rStyle w:val="FootnoteReference"/>
          <w:rFonts w:ascii="Times New Roman" w:hAnsi="Times New Roman"/>
          <w:szCs w:val="24"/>
        </w:rPr>
        <w:footnoteReference w:id="1175"/>
      </w:r>
      <w:r w:rsidR="00986CF6" w:rsidRPr="00505D18">
        <w:rPr>
          <w:rFonts w:ascii="Times New Roman" w:hAnsi="Times New Roman"/>
          <w:szCs w:val="24"/>
        </w:rPr>
        <w:t xml:space="preserve"> They also argue that it may blur the objectivity of the decision</w:t>
      </w:r>
      <w:r w:rsidR="00986CF6">
        <w:rPr>
          <w:rFonts w:ascii="Times New Roman" w:hAnsi="Times New Roman"/>
          <w:szCs w:val="24"/>
        </w:rPr>
        <w:t>-</w:t>
      </w:r>
      <w:r w:rsidR="00986CF6" w:rsidRPr="00505D18">
        <w:rPr>
          <w:rFonts w:ascii="Times New Roman" w:hAnsi="Times New Roman"/>
          <w:szCs w:val="24"/>
        </w:rPr>
        <w:t>maker.</w:t>
      </w:r>
      <w:r w:rsidR="00986CF6" w:rsidRPr="00505D18">
        <w:rPr>
          <w:rStyle w:val="FootnoteReference"/>
          <w:rFonts w:ascii="Times New Roman" w:hAnsi="Times New Roman"/>
          <w:szCs w:val="24"/>
        </w:rPr>
        <w:footnoteReference w:id="1176"/>
      </w:r>
      <w:r w:rsidR="00986CF6" w:rsidRPr="00505D18">
        <w:rPr>
          <w:rFonts w:ascii="Times New Roman" w:hAnsi="Times New Roman"/>
          <w:szCs w:val="24"/>
        </w:rPr>
        <w:t>This argument overlooks the</w:t>
      </w:r>
      <w:r w:rsidR="00986CF6">
        <w:rPr>
          <w:rFonts w:ascii="Times New Roman" w:hAnsi="Times New Roman"/>
          <w:szCs w:val="24"/>
        </w:rPr>
        <w:t xml:space="preserve"> role of victims’ harm in aggravating the sentence. While also questioning the proportionality between the gravity of the crime to the seriousness of the </w:t>
      </w:r>
      <w:r w:rsidR="00986CF6" w:rsidRPr="00505D18">
        <w:rPr>
          <w:rFonts w:ascii="Times New Roman" w:hAnsi="Times New Roman"/>
          <w:szCs w:val="24"/>
        </w:rPr>
        <w:t>punishment</w:t>
      </w:r>
      <w:r w:rsidR="00986CF6">
        <w:rPr>
          <w:rFonts w:ascii="Times New Roman" w:hAnsi="Times New Roman"/>
          <w:szCs w:val="24"/>
        </w:rPr>
        <w:t>.</w:t>
      </w:r>
      <w:r w:rsidR="00986CF6" w:rsidRPr="00505D18">
        <w:rPr>
          <w:rFonts w:ascii="Times New Roman" w:hAnsi="Times New Roman"/>
          <w:szCs w:val="24"/>
        </w:rPr>
        <w:t xml:space="preserve"> </w:t>
      </w:r>
      <w:r w:rsidR="00986CF6">
        <w:rPr>
          <w:rFonts w:ascii="Times New Roman" w:hAnsi="Times New Roman"/>
          <w:szCs w:val="24"/>
        </w:rPr>
        <w:t>Probably, VIS might be situated within the</w:t>
      </w:r>
      <w:r w:rsidR="00986CF6" w:rsidRPr="00505D18">
        <w:rPr>
          <w:rFonts w:ascii="Times New Roman" w:hAnsi="Times New Roman"/>
          <w:szCs w:val="24"/>
        </w:rPr>
        <w:t xml:space="preserve"> context of retributive justice</w:t>
      </w:r>
      <w:r w:rsidR="00986CF6">
        <w:rPr>
          <w:rFonts w:ascii="Times New Roman" w:hAnsi="Times New Roman"/>
          <w:szCs w:val="24"/>
        </w:rPr>
        <w:t xml:space="preserve">, </w:t>
      </w:r>
      <w:r w:rsidR="00986CF6" w:rsidRPr="00505D18">
        <w:rPr>
          <w:rFonts w:ascii="Times New Roman" w:hAnsi="Times New Roman"/>
          <w:szCs w:val="24"/>
        </w:rPr>
        <w:t xml:space="preserve">as </w:t>
      </w:r>
      <w:r w:rsidR="00986CF6">
        <w:rPr>
          <w:rFonts w:ascii="Times New Roman" w:hAnsi="Times New Roman"/>
          <w:szCs w:val="24"/>
        </w:rPr>
        <w:t xml:space="preserve">an aggravating factor. However, we have to be careful not to </w:t>
      </w:r>
      <w:r>
        <w:rPr>
          <w:rFonts w:ascii="Times New Roman" w:hAnsi="Times New Roman"/>
          <w:szCs w:val="24"/>
        </w:rPr>
        <w:t>raise the expectations of victims with VIS inadvertently</w:t>
      </w:r>
      <w:r w:rsidR="00986CF6">
        <w:rPr>
          <w:rFonts w:ascii="Times New Roman" w:hAnsi="Times New Roman"/>
          <w:szCs w:val="24"/>
        </w:rPr>
        <w:t xml:space="preserve">. </w:t>
      </w:r>
    </w:p>
    <w:p w14:paraId="3D258600" w14:textId="3C0515F0" w:rsidR="00BC0D5C" w:rsidRPr="00B809AC" w:rsidRDefault="00CC1410" w:rsidP="00BC0D5C">
      <w:pPr>
        <w:spacing w:before="240" w:line="480" w:lineRule="auto"/>
        <w:jc w:val="both"/>
        <w:rPr>
          <w:rFonts w:ascii="Times New Roman" w:hAnsi="Times New Roman"/>
          <w:szCs w:val="24"/>
        </w:rPr>
      </w:pPr>
      <w:r>
        <w:rPr>
          <w:rFonts w:ascii="Times New Roman" w:hAnsi="Times New Roman"/>
          <w:szCs w:val="24"/>
        </w:rPr>
        <w:lastRenderedPageBreak/>
        <w:t xml:space="preserve"> </w:t>
      </w:r>
      <w:proofErr w:type="spellStart"/>
      <w:r w:rsidR="00BC0D5C" w:rsidRPr="001B6D0F">
        <w:rPr>
          <w:rFonts w:ascii="Times New Roman" w:hAnsi="Times New Roman"/>
          <w:szCs w:val="24"/>
        </w:rPr>
        <w:t>Manikis</w:t>
      </w:r>
      <w:proofErr w:type="spellEnd"/>
      <w:r w:rsidR="00BC0D5C" w:rsidRPr="001B6D0F">
        <w:rPr>
          <w:rFonts w:ascii="Times New Roman" w:hAnsi="Times New Roman"/>
          <w:szCs w:val="24"/>
        </w:rPr>
        <w:t xml:space="preserve"> contends that the use of VIS is not clearly articulated</w:t>
      </w:r>
      <w:r w:rsidR="00BC0D5C">
        <w:rPr>
          <w:rFonts w:ascii="Times New Roman" w:hAnsi="Times New Roman"/>
          <w:szCs w:val="24"/>
        </w:rPr>
        <w:t>;</w:t>
      </w:r>
      <w:r w:rsidR="00BC0D5C" w:rsidRPr="001B6D0F">
        <w:rPr>
          <w:rFonts w:ascii="Times New Roman" w:hAnsi="Times New Roman"/>
          <w:szCs w:val="24"/>
        </w:rPr>
        <w:t xml:space="preserve"> as such, there are inconsistencies as to its effectiveness during criminal proceedings.</w:t>
      </w:r>
      <w:r w:rsidR="00BC0D5C" w:rsidRPr="001B6D0F">
        <w:rPr>
          <w:rStyle w:val="FootnoteReference"/>
          <w:rFonts w:ascii="Times New Roman" w:hAnsi="Times New Roman"/>
          <w:szCs w:val="24"/>
        </w:rPr>
        <w:footnoteReference w:id="1177"/>
      </w:r>
      <w:r w:rsidR="00BC0D5C" w:rsidRPr="001B6D0F">
        <w:rPr>
          <w:rFonts w:ascii="Times New Roman" w:hAnsi="Times New Roman"/>
          <w:szCs w:val="24"/>
        </w:rPr>
        <w:t xml:space="preserve"> She categorised VIS into instrumental and expressive.</w:t>
      </w:r>
      <w:r w:rsidR="00BC0D5C" w:rsidRPr="001B6D0F">
        <w:rPr>
          <w:rStyle w:val="FootnoteReference"/>
          <w:rFonts w:ascii="Times New Roman" w:hAnsi="Times New Roman"/>
          <w:szCs w:val="24"/>
        </w:rPr>
        <w:footnoteReference w:id="1178"/>
      </w:r>
      <w:r w:rsidR="00BC0D5C" w:rsidRPr="001B6D0F">
        <w:rPr>
          <w:rFonts w:ascii="Times New Roman" w:hAnsi="Times New Roman"/>
          <w:szCs w:val="24"/>
        </w:rPr>
        <w:t xml:space="preserve">From her perspective, VIS is instrumental because it is regarded as </w:t>
      </w:r>
      <w:r w:rsidR="00BC0D5C">
        <w:rPr>
          <w:rFonts w:ascii="Times New Roman" w:hAnsi="Times New Roman"/>
          <w:szCs w:val="24"/>
        </w:rPr>
        <w:t xml:space="preserve">a </w:t>
      </w:r>
      <w:r w:rsidR="00BC0D5C" w:rsidRPr="001B6D0F">
        <w:rPr>
          <w:rFonts w:ascii="Times New Roman" w:hAnsi="Times New Roman"/>
          <w:szCs w:val="24"/>
        </w:rPr>
        <w:t xml:space="preserve">procedural right that empowers victims with an active role </w:t>
      </w:r>
      <w:r w:rsidR="00BC0D5C" w:rsidRPr="00B809AC">
        <w:rPr>
          <w:rFonts w:ascii="Times New Roman" w:hAnsi="Times New Roman"/>
          <w:szCs w:val="24"/>
        </w:rPr>
        <w:t>to influence the decision-making process.</w:t>
      </w:r>
      <w:r w:rsidR="00BC0D5C" w:rsidRPr="00B809AC">
        <w:rPr>
          <w:rStyle w:val="FootnoteReference"/>
          <w:rFonts w:ascii="Times New Roman" w:hAnsi="Times New Roman"/>
          <w:szCs w:val="24"/>
        </w:rPr>
        <w:footnoteReference w:id="1179"/>
      </w:r>
      <w:r w:rsidR="00986CF6">
        <w:rPr>
          <w:rFonts w:ascii="Times New Roman" w:hAnsi="Times New Roman"/>
          <w:szCs w:val="24"/>
        </w:rPr>
        <w:t>Thus, it</w:t>
      </w:r>
      <w:r w:rsidR="002A7C07">
        <w:rPr>
          <w:rFonts w:ascii="Times New Roman" w:hAnsi="Times New Roman"/>
          <w:szCs w:val="24"/>
        </w:rPr>
        <w:t xml:space="preserve"> intend</w:t>
      </w:r>
      <w:r w:rsidR="00986CF6">
        <w:rPr>
          <w:rFonts w:ascii="Times New Roman" w:hAnsi="Times New Roman"/>
          <w:szCs w:val="24"/>
        </w:rPr>
        <w:t>s to accomplish victim satisfaction, belonging and visibility in the sentencing phase.</w:t>
      </w:r>
    </w:p>
    <w:p w14:paraId="3608D5EA" w14:textId="17010B80" w:rsidR="00CC1410" w:rsidRDefault="00DF0BBA" w:rsidP="00CC1410">
      <w:pPr>
        <w:spacing w:line="480" w:lineRule="auto"/>
        <w:jc w:val="both"/>
        <w:rPr>
          <w:rFonts w:ascii="Times New Roman" w:eastAsia="Cambria" w:hAnsi="Times New Roman"/>
          <w:szCs w:val="24"/>
          <w:lang w:eastAsia="ja-JP"/>
        </w:rPr>
      </w:pPr>
      <w:r>
        <w:rPr>
          <w:rFonts w:ascii="Times New Roman" w:hAnsi="Times New Roman"/>
          <w:szCs w:val="24"/>
        </w:rPr>
        <w:t>Through the expressive function of VIS, the v</w:t>
      </w:r>
      <w:r w:rsidR="00CC1410">
        <w:rPr>
          <w:rFonts w:ascii="Times New Roman" w:hAnsi="Times New Roman"/>
          <w:szCs w:val="24"/>
        </w:rPr>
        <w:t>ictims’</w:t>
      </w:r>
      <w:r w:rsidR="00BE4E89" w:rsidRPr="006E622A">
        <w:rPr>
          <w:rFonts w:ascii="Times New Roman" w:eastAsia="Cambria" w:hAnsi="Times New Roman"/>
          <w:szCs w:val="24"/>
          <w:lang w:eastAsia="ja-JP"/>
        </w:rPr>
        <w:t xml:space="preserve"> voice </w:t>
      </w:r>
      <w:r>
        <w:rPr>
          <w:rFonts w:ascii="Times New Roman" w:eastAsia="Cambria" w:hAnsi="Times New Roman"/>
          <w:szCs w:val="24"/>
          <w:lang w:eastAsia="ja-JP"/>
        </w:rPr>
        <w:t>may be</w:t>
      </w:r>
      <w:r w:rsidR="00CC1410">
        <w:rPr>
          <w:rFonts w:ascii="Times New Roman" w:eastAsia="Cambria" w:hAnsi="Times New Roman"/>
          <w:szCs w:val="24"/>
          <w:lang w:eastAsia="ja-JP"/>
        </w:rPr>
        <w:t xml:space="preserve"> heard</w:t>
      </w:r>
      <w:r>
        <w:rPr>
          <w:rFonts w:ascii="Times New Roman" w:eastAsia="Cambria" w:hAnsi="Times New Roman"/>
          <w:szCs w:val="24"/>
          <w:lang w:eastAsia="ja-JP"/>
        </w:rPr>
        <w:t xml:space="preserve"> and probably acknowledged</w:t>
      </w:r>
      <w:r w:rsidR="00CC1410">
        <w:rPr>
          <w:rFonts w:ascii="Times New Roman" w:eastAsia="Cambria" w:hAnsi="Times New Roman"/>
          <w:szCs w:val="24"/>
          <w:lang w:eastAsia="ja-JP"/>
        </w:rPr>
        <w:t xml:space="preserve"> during the </w:t>
      </w:r>
      <w:r w:rsidR="00BE4E89" w:rsidRPr="006E622A">
        <w:rPr>
          <w:rFonts w:ascii="Times New Roman" w:eastAsia="Cambria" w:hAnsi="Times New Roman"/>
          <w:szCs w:val="24"/>
          <w:lang w:eastAsia="ja-JP"/>
        </w:rPr>
        <w:t xml:space="preserve">sentencing </w:t>
      </w:r>
      <w:r w:rsidR="00CC1410">
        <w:rPr>
          <w:rFonts w:ascii="Times New Roman" w:eastAsia="Cambria" w:hAnsi="Times New Roman"/>
          <w:szCs w:val="24"/>
          <w:lang w:eastAsia="ja-JP"/>
        </w:rPr>
        <w:t>process</w:t>
      </w:r>
      <w:r w:rsidR="00BE4E89" w:rsidRPr="006E622A">
        <w:rPr>
          <w:rFonts w:ascii="Times New Roman" w:eastAsia="Cambria" w:hAnsi="Times New Roman"/>
          <w:szCs w:val="24"/>
          <w:lang w:eastAsia="ja-JP"/>
        </w:rPr>
        <w:t>.</w:t>
      </w:r>
      <w:r w:rsidR="00BE4E89" w:rsidRPr="006E622A">
        <w:rPr>
          <w:rFonts w:ascii="Times New Roman" w:eastAsia="Cambria" w:hAnsi="Times New Roman"/>
          <w:szCs w:val="24"/>
          <w:vertAlign w:val="superscript"/>
          <w:lang w:eastAsia="ja-JP"/>
        </w:rPr>
        <w:footnoteReference w:id="1180"/>
      </w:r>
      <w:r w:rsidR="00CC1410">
        <w:rPr>
          <w:rFonts w:ascii="Times New Roman" w:eastAsia="Cambria" w:hAnsi="Times New Roman"/>
          <w:szCs w:val="24"/>
          <w:lang w:eastAsia="ja-JP"/>
        </w:rPr>
        <w:t xml:space="preserve"> The </w:t>
      </w:r>
      <w:r w:rsidR="00986CF6">
        <w:rPr>
          <w:rFonts w:ascii="Times New Roman" w:eastAsia="Cambria" w:hAnsi="Times New Roman"/>
          <w:szCs w:val="24"/>
          <w:lang w:eastAsia="ja-JP"/>
        </w:rPr>
        <w:t>reminiscent</w:t>
      </w:r>
      <w:r w:rsidR="00CC1410">
        <w:rPr>
          <w:rFonts w:ascii="Times New Roman" w:eastAsia="Cambria" w:hAnsi="Times New Roman"/>
          <w:szCs w:val="24"/>
          <w:lang w:eastAsia="ja-JP"/>
        </w:rPr>
        <w:t xml:space="preserve"> part is considered empowering for victims. Studies show that VIS could have a therapeutic benefit for victims.</w:t>
      </w:r>
      <w:r w:rsidR="00CC1410">
        <w:rPr>
          <w:rStyle w:val="FootnoteReference"/>
          <w:rFonts w:ascii="Times New Roman" w:eastAsia="Cambria" w:hAnsi="Times New Roman"/>
          <w:szCs w:val="24"/>
          <w:lang w:eastAsia="ja-JP"/>
        </w:rPr>
        <w:footnoteReference w:id="1181"/>
      </w:r>
      <w:r w:rsidR="00CC1410">
        <w:rPr>
          <w:rFonts w:ascii="Times New Roman" w:eastAsia="Cambria" w:hAnsi="Times New Roman"/>
          <w:szCs w:val="24"/>
          <w:lang w:eastAsia="ja-JP"/>
        </w:rPr>
        <w:t>Such therapeutic function could be healing or closure.</w:t>
      </w:r>
      <w:r w:rsidR="00CC1410">
        <w:rPr>
          <w:rStyle w:val="FootnoteReference"/>
          <w:rFonts w:ascii="Times New Roman" w:eastAsia="Cambria" w:hAnsi="Times New Roman"/>
          <w:szCs w:val="24"/>
          <w:lang w:eastAsia="ja-JP"/>
        </w:rPr>
        <w:footnoteReference w:id="1182"/>
      </w:r>
      <w:r w:rsidR="00CC1410">
        <w:rPr>
          <w:rFonts w:ascii="Times New Roman" w:eastAsia="Cambria" w:hAnsi="Times New Roman"/>
          <w:szCs w:val="24"/>
          <w:lang w:eastAsia="ja-JP"/>
        </w:rPr>
        <w:t xml:space="preserve">The VIS performs an expressive function which might influence the outcome of the sentencing. However, there are still controversies as to the </w:t>
      </w:r>
      <w:r>
        <w:rPr>
          <w:rFonts w:ascii="Times New Roman" w:eastAsia="Cambria" w:hAnsi="Times New Roman"/>
          <w:szCs w:val="24"/>
          <w:lang w:eastAsia="ja-JP"/>
        </w:rPr>
        <w:t>primary</w:t>
      </w:r>
      <w:r w:rsidR="00CC1410">
        <w:rPr>
          <w:rFonts w:ascii="Times New Roman" w:eastAsia="Cambria" w:hAnsi="Times New Roman"/>
          <w:szCs w:val="24"/>
          <w:lang w:eastAsia="ja-JP"/>
        </w:rPr>
        <w:t xml:space="preserve"> </w:t>
      </w:r>
      <w:r>
        <w:rPr>
          <w:rFonts w:ascii="Times New Roman" w:eastAsia="Cambria" w:hAnsi="Times New Roman"/>
          <w:szCs w:val="24"/>
          <w:lang w:eastAsia="ja-JP"/>
        </w:rPr>
        <w:t>role</w:t>
      </w:r>
      <w:r w:rsidR="00CC1410">
        <w:rPr>
          <w:rFonts w:ascii="Times New Roman" w:eastAsia="Cambria" w:hAnsi="Times New Roman"/>
          <w:szCs w:val="24"/>
          <w:lang w:eastAsia="ja-JP"/>
        </w:rPr>
        <w:t xml:space="preserve"> of VIS in sentencing.</w:t>
      </w:r>
    </w:p>
    <w:p w14:paraId="7192D19D" w14:textId="7523F09B" w:rsidR="00980F24" w:rsidRDefault="001C5F53" w:rsidP="001C5F53">
      <w:pPr>
        <w:spacing w:before="240" w:line="480" w:lineRule="auto"/>
        <w:jc w:val="both"/>
        <w:rPr>
          <w:rFonts w:ascii="Times New Roman" w:hAnsi="Times New Roman"/>
          <w:szCs w:val="24"/>
        </w:rPr>
      </w:pPr>
      <w:r>
        <w:rPr>
          <w:rFonts w:ascii="Times New Roman" w:hAnsi="Times New Roman"/>
          <w:szCs w:val="24"/>
        </w:rPr>
        <w:lastRenderedPageBreak/>
        <w:t>The expressive function of VIS also include</w:t>
      </w:r>
      <w:r w:rsidR="00986CF6">
        <w:rPr>
          <w:rFonts w:ascii="Times New Roman" w:hAnsi="Times New Roman"/>
          <w:szCs w:val="24"/>
        </w:rPr>
        <w:t>s</w:t>
      </w:r>
      <w:r w:rsidR="00CC1410" w:rsidRPr="00B809AC">
        <w:rPr>
          <w:rFonts w:ascii="Times New Roman" w:hAnsi="Times New Roman"/>
          <w:szCs w:val="24"/>
        </w:rPr>
        <w:t xml:space="preserve"> ‘emoting’. This </w:t>
      </w:r>
      <w:r w:rsidR="00986CF6">
        <w:rPr>
          <w:rFonts w:ascii="Times New Roman" w:hAnsi="Times New Roman"/>
          <w:szCs w:val="24"/>
        </w:rPr>
        <w:t>role</w:t>
      </w:r>
      <w:r w:rsidR="00CC1410" w:rsidRPr="00B809AC">
        <w:rPr>
          <w:rFonts w:ascii="Times New Roman" w:hAnsi="Times New Roman"/>
          <w:szCs w:val="24"/>
        </w:rPr>
        <w:t xml:space="preserve"> relays </w:t>
      </w:r>
      <w:r w:rsidR="00CC1410">
        <w:rPr>
          <w:rFonts w:ascii="Times New Roman" w:hAnsi="Times New Roman"/>
          <w:szCs w:val="24"/>
        </w:rPr>
        <w:t xml:space="preserve">a </w:t>
      </w:r>
      <w:r w:rsidR="00CC1410" w:rsidRPr="00B809AC">
        <w:rPr>
          <w:rFonts w:ascii="Times New Roman" w:hAnsi="Times New Roman"/>
          <w:szCs w:val="24"/>
        </w:rPr>
        <w:t>message to the court,</w:t>
      </w:r>
      <w:r w:rsidR="00CC1410">
        <w:rPr>
          <w:rFonts w:ascii="Times New Roman" w:hAnsi="Times New Roman"/>
          <w:szCs w:val="24"/>
        </w:rPr>
        <w:t xml:space="preserve"> </w:t>
      </w:r>
      <w:r w:rsidR="00CC1410" w:rsidRPr="00B809AC">
        <w:rPr>
          <w:rFonts w:ascii="Times New Roman" w:hAnsi="Times New Roman"/>
          <w:szCs w:val="24"/>
        </w:rPr>
        <w:t>the offender or the public about the harm suffered.</w:t>
      </w:r>
      <w:r w:rsidR="00CC1410" w:rsidRPr="00B809AC">
        <w:rPr>
          <w:rStyle w:val="FootnoteReference"/>
          <w:rFonts w:ascii="Times New Roman" w:hAnsi="Times New Roman"/>
          <w:szCs w:val="24"/>
        </w:rPr>
        <w:footnoteReference w:id="1183"/>
      </w:r>
      <w:r w:rsidR="00CC1410" w:rsidRPr="00B809AC">
        <w:rPr>
          <w:rFonts w:ascii="Times New Roman" w:hAnsi="Times New Roman"/>
          <w:szCs w:val="24"/>
        </w:rPr>
        <w:t xml:space="preserve"> </w:t>
      </w:r>
      <w:r>
        <w:rPr>
          <w:rFonts w:ascii="Times New Roman" w:hAnsi="Times New Roman"/>
          <w:szCs w:val="24"/>
        </w:rPr>
        <w:t>As mentioned earlier, the expressive function of VIS can be therapeutic.</w:t>
      </w:r>
      <w:r>
        <w:rPr>
          <w:rStyle w:val="FootnoteReference"/>
          <w:rFonts w:ascii="Times New Roman" w:hAnsi="Times New Roman"/>
          <w:szCs w:val="24"/>
        </w:rPr>
        <w:footnoteReference w:id="1184"/>
      </w:r>
      <w:r>
        <w:rPr>
          <w:rFonts w:ascii="Times New Roman" w:hAnsi="Times New Roman"/>
          <w:szCs w:val="24"/>
        </w:rPr>
        <w:t xml:space="preserve"> </w:t>
      </w:r>
      <w:r w:rsidR="00CC1410" w:rsidRPr="00B809AC">
        <w:rPr>
          <w:rFonts w:ascii="Times New Roman" w:hAnsi="Times New Roman"/>
          <w:szCs w:val="24"/>
        </w:rPr>
        <w:t>It is noteworthy that the therapeutic benefits of VIS may not be one size fit all;</w:t>
      </w:r>
      <w:r w:rsidR="00CC1410">
        <w:rPr>
          <w:rFonts w:ascii="Times New Roman" w:hAnsi="Times New Roman"/>
          <w:szCs w:val="24"/>
        </w:rPr>
        <w:t xml:space="preserve"> </w:t>
      </w:r>
      <w:r w:rsidR="00CC1410" w:rsidRPr="00B809AC">
        <w:rPr>
          <w:rFonts w:ascii="Times New Roman" w:hAnsi="Times New Roman"/>
          <w:szCs w:val="24"/>
        </w:rPr>
        <w:t xml:space="preserve">it may not work for every victim. While VIS may aggravate sentencing, at the same time, and reassure them that </w:t>
      </w:r>
      <w:r>
        <w:rPr>
          <w:rFonts w:ascii="Times New Roman" w:hAnsi="Times New Roman"/>
          <w:szCs w:val="24"/>
        </w:rPr>
        <w:t>the court validates their emotions.</w:t>
      </w:r>
      <w:r w:rsidR="00836850">
        <w:rPr>
          <w:rFonts w:ascii="Times New Roman" w:hAnsi="Times New Roman"/>
          <w:szCs w:val="24"/>
        </w:rPr>
        <w:t xml:space="preserve"> </w:t>
      </w:r>
      <w:r w:rsidR="00EE4195">
        <w:rPr>
          <w:rFonts w:ascii="Times New Roman" w:hAnsi="Times New Roman"/>
          <w:szCs w:val="24"/>
        </w:rPr>
        <w:t>Presumably,</w:t>
      </w:r>
      <w:r w:rsidR="00CC1410" w:rsidRPr="00B809AC">
        <w:rPr>
          <w:rFonts w:ascii="Times New Roman" w:hAnsi="Times New Roman"/>
          <w:szCs w:val="24"/>
        </w:rPr>
        <w:t xml:space="preserve"> </w:t>
      </w:r>
      <w:r>
        <w:rPr>
          <w:rFonts w:ascii="Times New Roman" w:hAnsi="Times New Roman"/>
          <w:szCs w:val="24"/>
        </w:rPr>
        <w:t xml:space="preserve">it becomes empowering for victims because </w:t>
      </w:r>
      <w:r w:rsidR="00980F24">
        <w:rPr>
          <w:rFonts w:ascii="Times New Roman" w:hAnsi="Times New Roman"/>
          <w:szCs w:val="24"/>
        </w:rPr>
        <w:t>they</w:t>
      </w:r>
      <w:r>
        <w:rPr>
          <w:rFonts w:ascii="Times New Roman" w:hAnsi="Times New Roman"/>
          <w:szCs w:val="24"/>
        </w:rPr>
        <w:t xml:space="preserve"> have a degree of control on the sentencing hearing.</w:t>
      </w:r>
      <w:r w:rsidR="007C42C7">
        <w:rPr>
          <w:rFonts w:ascii="Times New Roman" w:hAnsi="Times New Roman"/>
          <w:szCs w:val="24"/>
        </w:rPr>
        <w:t xml:space="preserve"> </w:t>
      </w:r>
      <w:r w:rsidRPr="00505D18">
        <w:rPr>
          <w:rFonts w:ascii="Times New Roman" w:hAnsi="Times New Roman"/>
          <w:szCs w:val="24"/>
        </w:rPr>
        <w:t xml:space="preserve">There is, therefore, a definite need for VIS because it engages the emotions of victims. VIS explores the </w:t>
      </w:r>
      <w:r w:rsidR="00986CF6">
        <w:rPr>
          <w:rFonts w:ascii="Times New Roman" w:hAnsi="Times New Roman"/>
          <w:szCs w:val="24"/>
        </w:rPr>
        <w:t>reactions</w:t>
      </w:r>
      <w:r w:rsidRPr="00505D18">
        <w:rPr>
          <w:rFonts w:ascii="Times New Roman" w:hAnsi="Times New Roman"/>
          <w:szCs w:val="24"/>
        </w:rPr>
        <w:t xml:space="preserve"> and impact of harm on victims.</w:t>
      </w:r>
      <w:r>
        <w:rPr>
          <w:rFonts w:ascii="Times New Roman" w:hAnsi="Times New Roman"/>
          <w:szCs w:val="24"/>
        </w:rPr>
        <w:t xml:space="preserve"> </w:t>
      </w:r>
      <w:r w:rsidR="00980F24">
        <w:rPr>
          <w:rFonts w:ascii="Times New Roman" w:hAnsi="Times New Roman"/>
          <w:szCs w:val="24"/>
        </w:rPr>
        <w:t>Arguably</w:t>
      </w:r>
      <w:r>
        <w:rPr>
          <w:rFonts w:ascii="Times New Roman" w:hAnsi="Times New Roman"/>
          <w:szCs w:val="24"/>
        </w:rPr>
        <w:t xml:space="preserve">, </w:t>
      </w:r>
      <w:r w:rsidRPr="00505D18">
        <w:rPr>
          <w:rFonts w:ascii="Times New Roman" w:hAnsi="Times New Roman"/>
          <w:szCs w:val="24"/>
        </w:rPr>
        <w:t>VIS is an approach which could effectively combine elements of retributive justice and restorative justice</w:t>
      </w:r>
      <w:r>
        <w:rPr>
          <w:rFonts w:ascii="Times New Roman" w:hAnsi="Times New Roman"/>
          <w:szCs w:val="24"/>
        </w:rPr>
        <w:t xml:space="preserve"> at the sentencing hearing</w:t>
      </w:r>
      <w:r w:rsidRPr="00505D18">
        <w:rPr>
          <w:rFonts w:ascii="Times New Roman" w:hAnsi="Times New Roman"/>
          <w:szCs w:val="24"/>
        </w:rPr>
        <w:t xml:space="preserve">. </w:t>
      </w:r>
    </w:p>
    <w:p w14:paraId="6B872F73" w14:textId="3BE72A72" w:rsidR="00855B65" w:rsidRDefault="00855B65" w:rsidP="001C5F53">
      <w:pPr>
        <w:spacing w:before="240" w:line="480" w:lineRule="auto"/>
        <w:jc w:val="both"/>
        <w:rPr>
          <w:rFonts w:ascii="Times New Roman" w:hAnsi="Times New Roman"/>
          <w:szCs w:val="24"/>
        </w:rPr>
      </w:pPr>
      <w:r>
        <w:rPr>
          <w:rFonts w:ascii="Times New Roman" w:hAnsi="Times New Roman"/>
          <w:szCs w:val="24"/>
        </w:rPr>
        <w:t>As mentioned earlier,</w:t>
      </w:r>
      <w:r w:rsidR="009B3DCF">
        <w:rPr>
          <w:rFonts w:ascii="Times New Roman" w:hAnsi="Times New Roman"/>
          <w:szCs w:val="24"/>
        </w:rPr>
        <w:t xml:space="preserve"> </w:t>
      </w:r>
      <w:r>
        <w:rPr>
          <w:rFonts w:ascii="Times New Roman" w:hAnsi="Times New Roman"/>
          <w:szCs w:val="24"/>
        </w:rPr>
        <w:t xml:space="preserve">the expressive function of VIS aims to grant victims </w:t>
      </w:r>
      <w:r w:rsidR="00A43113">
        <w:rPr>
          <w:rFonts w:ascii="Times New Roman" w:hAnsi="Times New Roman"/>
          <w:szCs w:val="24"/>
        </w:rPr>
        <w:t xml:space="preserve">a </w:t>
      </w:r>
      <w:r>
        <w:rPr>
          <w:rFonts w:ascii="Times New Roman" w:hAnsi="Times New Roman"/>
          <w:szCs w:val="24"/>
        </w:rPr>
        <w:t>voice in criminal proceedings with implied therapeutic benefits.</w:t>
      </w:r>
      <w:r>
        <w:rPr>
          <w:rStyle w:val="FootnoteReference"/>
          <w:rFonts w:ascii="Times New Roman" w:hAnsi="Times New Roman"/>
          <w:szCs w:val="24"/>
        </w:rPr>
        <w:footnoteReference w:id="1185"/>
      </w:r>
      <w:r>
        <w:rPr>
          <w:rFonts w:ascii="Times New Roman" w:hAnsi="Times New Roman"/>
          <w:szCs w:val="24"/>
        </w:rPr>
        <w:t>A cha</w:t>
      </w:r>
      <w:r w:rsidR="00A43113">
        <w:rPr>
          <w:rFonts w:ascii="Times New Roman" w:hAnsi="Times New Roman"/>
          <w:szCs w:val="24"/>
        </w:rPr>
        <w:t>n</w:t>
      </w:r>
      <w:r>
        <w:rPr>
          <w:rFonts w:ascii="Times New Roman" w:hAnsi="Times New Roman"/>
          <w:szCs w:val="24"/>
        </w:rPr>
        <w:t>nel which establishes an interaction between the judge and victim, victim and offender.</w:t>
      </w:r>
      <w:r>
        <w:rPr>
          <w:rStyle w:val="FootnoteReference"/>
          <w:rFonts w:ascii="Times New Roman" w:hAnsi="Times New Roman"/>
          <w:szCs w:val="24"/>
        </w:rPr>
        <w:footnoteReference w:id="1186"/>
      </w:r>
      <w:r w:rsidR="003140E7">
        <w:rPr>
          <w:rFonts w:ascii="Times New Roman" w:hAnsi="Times New Roman"/>
          <w:szCs w:val="24"/>
        </w:rPr>
        <w:t xml:space="preserve"> </w:t>
      </w:r>
      <w:r w:rsidR="002A7C07">
        <w:rPr>
          <w:rFonts w:ascii="Times New Roman" w:hAnsi="Times New Roman"/>
          <w:szCs w:val="24"/>
        </w:rPr>
        <w:t xml:space="preserve">While it evokes emotions, </w:t>
      </w:r>
      <w:r w:rsidR="003140E7">
        <w:rPr>
          <w:rFonts w:ascii="Times New Roman" w:hAnsi="Times New Roman"/>
          <w:szCs w:val="24"/>
        </w:rPr>
        <w:t>the interaction between the victim and the offender</w:t>
      </w:r>
      <w:r w:rsidR="00387791">
        <w:rPr>
          <w:rFonts w:ascii="Times New Roman" w:hAnsi="Times New Roman"/>
          <w:szCs w:val="24"/>
        </w:rPr>
        <w:t xml:space="preserve"> might</w:t>
      </w:r>
      <w:r w:rsidR="003140E7">
        <w:rPr>
          <w:rFonts w:ascii="Times New Roman" w:hAnsi="Times New Roman"/>
          <w:szCs w:val="24"/>
        </w:rPr>
        <w:t xml:space="preserve"> reinforce the c</w:t>
      </w:r>
      <w:r w:rsidR="00C7070D">
        <w:rPr>
          <w:rFonts w:ascii="Times New Roman" w:hAnsi="Times New Roman"/>
          <w:szCs w:val="24"/>
        </w:rPr>
        <w:t>rime's consequences</w:t>
      </w:r>
      <w:r w:rsidR="003140E7">
        <w:rPr>
          <w:rFonts w:ascii="Times New Roman" w:hAnsi="Times New Roman"/>
          <w:szCs w:val="24"/>
        </w:rPr>
        <w:t xml:space="preserve"> on both participants.</w:t>
      </w:r>
      <w:r w:rsidR="00A43113">
        <w:rPr>
          <w:rFonts w:ascii="Times New Roman" w:hAnsi="Times New Roman"/>
          <w:szCs w:val="24"/>
        </w:rPr>
        <w:t xml:space="preserve"> </w:t>
      </w:r>
      <w:r w:rsidR="003140E7">
        <w:rPr>
          <w:rFonts w:ascii="Times New Roman" w:hAnsi="Times New Roman"/>
          <w:szCs w:val="24"/>
        </w:rPr>
        <w:t xml:space="preserve">It is interesting to note that </w:t>
      </w:r>
      <w:r w:rsidR="00C7070D">
        <w:rPr>
          <w:rFonts w:ascii="Times New Roman" w:hAnsi="Times New Roman"/>
          <w:szCs w:val="24"/>
        </w:rPr>
        <w:t>the victims and offender have an encounter in the court at this phase</w:t>
      </w:r>
      <w:r w:rsidR="004262E9">
        <w:rPr>
          <w:rFonts w:ascii="Times New Roman" w:hAnsi="Times New Roman"/>
          <w:szCs w:val="24"/>
        </w:rPr>
        <w:t>.</w:t>
      </w:r>
      <w:r w:rsidR="00DB1C5D">
        <w:rPr>
          <w:rFonts w:ascii="Times New Roman" w:hAnsi="Times New Roman"/>
          <w:szCs w:val="24"/>
        </w:rPr>
        <w:t xml:space="preserve"> Conceivably, the extent of </w:t>
      </w:r>
      <w:r w:rsidR="00B64B68">
        <w:rPr>
          <w:rFonts w:ascii="Times New Roman" w:hAnsi="Times New Roman"/>
          <w:szCs w:val="24"/>
        </w:rPr>
        <w:t>the</w:t>
      </w:r>
      <w:r w:rsidR="00DB1C5D">
        <w:rPr>
          <w:rFonts w:ascii="Times New Roman" w:hAnsi="Times New Roman"/>
          <w:szCs w:val="24"/>
        </w:rPr>
        <w:t xml:space="preserve"> </w:t>
      </w:r>
      <w:r w:rsidR="00A43113">
        <w:rPr>
          <w:rFonts w:ascii="Times New Roman" w:hAnsi="Times New Roman"/>
          <w:szCs w:val="24"/>
        </w:rPr>
        <w:lastRenderedPageBreak/>
        <w:t>meeting</w:t>
      </w:r>
      <w:r w:rsidR="00DB1C5D">
        <w:rPr>
          <w:rFonts w:ascii="Times New Roman" w:hAnsi="Times New Roman"/>
          <w:szCs w:val="24"/>
        </w:rPr>
        <w:t xml:space="preserve"> is c</w:t>
      </w:r>
      <w:r w:rsidR="002A7C07">
        <w:rPr>
          <w:rFonts w:ascii="Times New Roman" w:hAnsi="Times New Roman"/>
          <w:szCs w:val="24"/>
        </w:rPr>
        <w:t>urtailed</w:t>
      </w:r>
      <w:r w:rsidR="00DB1C5D">
        <w:rPr>
          <w:rFonts w:ascii="Times New Roman" w:hAnsi="Times New Roman"/>
          <w:szCs w:val="24"/>
        </w:rPr>
        <w:t xml:space="preserve"> because it is best situated within an informal setting.</w:t>
      </w:r>
      <w:r w:rsidR="00DB1C5D">
        <w:rPr>
          <w:rStyle w:val="FootnoteReference"/>
          <w:rFonts w:ascii="Times New Roman" w:hAnsi="Times New Roman"/>
          <w:szCs w:val="24"/>
        </w:rPr>
        <w:footnoteReference w:id="1187"/>
      </w:r>
      <w:r w:rsidR="00DB1C5D">
        <w:rPr>
          <w:rFonts w:ascii="Times New Roman" w:hAnsi="Times New Roman"/>
          <w:szCs w:val="24"/>
        </w:rPr>
        <w:t xml:space="preserve"> </w:t>
      </w:r>
      <w:r w:rsidR="00B64B68">
        <w:rPr>
          <w:rFonts w:ascii="Times New Roman" w:hAnsi="Times New Roman"/>
          <w:szCs w:val="24"/>
        </w:rPr>
        <w:t xml:space="preserve">The sentencing hearing may not be entirely appropriate in effecting the role of restorative justice via VIS.  </w:t>
      </w:r>
      <w:r w:rsidR="00DB1C5D">
        <w:rPr>
          <w:rFonts w:ascii="Times New Roman" w:hAnsi="Times New Roman"/>
          <w:szCs w:val="24"/>
        </w:rPr>
        <w:t>In a way</w:t>
      </w:r>
      <w:r w:rsidR="00B64B68">
        <w:rPr>
          <w:rFonts w:ascii="Times New Roman" w:hAnsi="Times New Roman"/>
          <w:szCs w:val="24"/>
        </w:rPr>
        <w:t>,</w:t>
      </w:r>
      <w:r w:rsidR="00DB1C5D">
        <w:rPr>
          <w:rFonts w:ascii="Times New Roman" w:hAnsi="Times New Roman"/>
          <w:szCs w:val="24"/>
        </w:rPr>
        <w:t xml:space="preserve"> the sentencing process as a part of criminal prosecution is considered a mechanism of transitional justice.</w:t>
      </w:r>
      <w:r w:rsidR="00B64B68">
        <w:rPr>
          <w:rFonts w:ascii="Times New Roman" w:hAnsi="Times New Roman"/>
          <w:szCs w:val="24"/>
        </w:rPr>
        <w:t xml:space="preserve"> </w:t>
      </w:r>
      <w:r w:rsidR="00B66EDF">
        <w:rPr>
          <w:rFonts w:ascii="Times New Roman" w:hAnsi="Times New Roman"/>
          <w:szCs w:val="24"/>
        </w:rPr>
        <w:t>Criminal prosecution is one of the mechanisms of transitional justice</w:t>
      </w:r>
      <w:r w:rsidR="00B64B68">
        <w:rPr>
          <w:rFonts w:ascii="Times New Roman" w:hAnsi="Times New Roman"/>
          <w:szCs w:val="24"/>
        </w:rPr>
        <w:t>.</w:t>
      </w:r>
      <w:r w:rsidR="00DB1C5D">
        <w:rPr>
          <w:rStyle w:val="FootnoteReference"/>
          <w:rFonts w:ascii="Times New Roman" w:hAnsi="Times New Roman"/>
          <w:szCs w:val="24"/>
        </w:rPr>
        <w:footnoteReference w:id="1188"/>
      </w:r>
      <w:r w:rsidR="008E3F0E">
        <w:rPr>
          <w:rFonts w:ascii="Times New Roman" w:hAnsi="Times New Roman"/>
          <w:szCs w:val="24"/>
        </w:rPr>
        <w:t xml:space="preserve"> It is sketchy if the </w:t>
      </w:r>
      <w:r w:rsidR="00C7070D">
        <w:rPr>
          <w:rFonts w:ascii="Times New Roman" w:hAnsi="Times New Roman"/>
          <w:szCs w:val="24"/>
        </w:rPr>
        <w:t>Rome Statute or Rules provisions refer</w:t>
      </w:r>
      <w:r w:rsidR="008E3F0E">
        <w:rPr>
          <w:rFonts w:ascii="Times New Roman" w:hAnsi="Times New Roman"/>
          <w:szCs w:val="24"/>
        </w:rPr>
        <w:t xml:space="preserve"> to VIS because</w:t>
      </w:r>
      <w:r w:rsidR="00B64B68">
        <w:rPr>
          <w:rFonts w:ascii="Times New Roman" w:hAnsi="Times New Roman"/>
          <w:szCs w:val="24"/>
        </w:rPr>
        <w:t xml:space="preserve"> </w:t>
      </w:r>
      <w:r w:rsidR="008E3F0E">
        <w:rPr>
          <w:rFonts w:ascii="Times New Roman" w:hAnsi="Times New Roman"/>
          <w:szCs w:val="24"/>
        </w:rPr>
        <w:t xml:space="preserve">it is </w:t>
      </w:r>
      <w:r w:rsidR="00B64B68">
        <w:rPr>
          <w:rFonts w:ascii="Times New Roman" w:hAnsi="Times New Roman"/>
          <w:szCs w:val="24"/>
        </w:rPr>
        <w:t>not applicable at the ICC. One explanation of this could be th</w:t>
      </w:r>
      <w:r w:rsidR="00C7070D">
        <w:rPr>
          <w:rFonts w:ascii="Times New Roman" w:hAnsi="Times New Roman"/>
          <w:szCs w:val="24"/>
        </w:rPr>
        <w:t>at the large number of victims involved</w:t>
      </w:r>
      <w:r w:rsidR="00B64B68">
        <w:rPr>
          <w:rFonts w:ascii="Times New Roman" w:hAnsi="Times New Roman"/>
          <w:szCs w:val="24"/>
        </w:rPr>
        <w:t xml:space="preserve"> will become impracticable for individual victims to read out their VIS during sentence hearing.</w:t>
      </w:r>
      <w:r w:rsidR="008459DD">
        <w:rPr>
          <w:rFonts w:ascii="Times New Roman" w:hAnsi="Times New Roman"/>
          <w:szCs w:val="24"/>
        </w:rPr>
        <w:t xml:space="preserve"> </w:t>
      </w:r>
      <w:r w:rsidR="008E3F0E">
        <w:rPr>
          <w:rFonts w:ascii="Times New Roman" w:hAnsi="Times New Roman"/>
          <w:szCs w:val="24"/>
        </w:rPr>
        <w:t xml:space="preserve">Nevertheless, VIS </w:t>
      </w:r>
      <w:r w:rsidR="008459DD">
        <w:rPr>
          <w:rFonts w:ascii="Times New Roman" w:hAnsi="Times New Roman"/>
          <w:szCs w:val="24"/>
        </w:rPr>
        <w:t>offers direct participation for victims during sentencing.</w:t>
      </w:r>
      <w:r w:rsidR="00DC478F">
        <w:rPr>
          <w:rFonts w:ascii="Times New Roman" w:hAnsi="Times New Roman"/>
          <w:szCs w:val="24"/>
        </w:rPr>
        <w:t xml:space="preserve"> </w:t>
      </w:r>
      <w:r w:rsidR="008459DD">
        <w:rPr>
          <w:rFonts w:ascii="Times New Roman" w:hAnsi="Times New Roman"/>
          <w:szCs w:val="24"/>
        </w:rPr>
        <w:t>Unfortunately, it is not applicable at the ICC</w:t>
      </w:r>
      <w:r w:rsidR="005562F4">
        <w:rPr>
          <w:rFonts w:ascii="Times New Roman" w:hAnsi="Times New Roman"/>
          <w:szCs w:val="24"/>
        </w:rPr>
        <w:t>.</w:t>
      </w:r>
    </w:p>
    <w:p w14:paraId="483EDA62" w14:textId="6C999750" w:rsidR="005562F4" w:rsidRDefault="005562F4" w:rsidP="001C5F53">
      <w:pPr>
        <w:spacing w:before="240" w:line="480" w:lineRule="auto"/>
        <w:jc w:val="both"/>
        <w:rPr>
          <w:rFonts w:ascii="Times New Roman" w:hAnsi="Times New Roman"/>
          <w:szCs w:val="24"/>
        </w:rPr>
      </w:pPr>
      <w:r>
        <w:rPr>
          <w:rFonts w:ascii="Times New Roman" w:hAnsi="Times New Roman"/>
          <w:szCs w:val="24"/>
        </w:rPr>
        <w:t>It is noteworthy that Story-telling does not perform the same function as VIS.</w:t>
      </w:r>
      <w:r w:rsidR="00A43113">
        <w:rPr>
          <w:rFonts w:ascii="Times New Roman" w:hAnsi="Times New Roman"/>
          <w:szCs w:val="24"/>
        </w:rPr>
        <w:t xml:space="preserve"> Storytelling is distinct </w:t>
      </w:r>
      <w:r w:rsidR="00C7070D">
        <w:rPr>
          <w:rFonts w:ascii="Times New Roman" w:hAnsi="Times New Roman"/>
          <w:szCs w:val="24"/>
        </w:rPr>
        <w:t>and shares</w:t>
      </w:r>
      <w:r w:rsidR="00A43113">
        <w:rPr>
          <w:rFonts w:ascii="Times New Roman" w:hAnsi="Times New Roman"/>
          <w:szCs w:val="24"/>
        </w:rPr>
        <w:t xml:space="preserve"> some similarities with VIS like establishing the </w:t>
      </w:r>
      <w:r w:rsidR="00A43113">
        <w:rPr>
          <w:rFonts w:ascii="Times New Roman" w:hAnsi="Times New Roman"/>
          <w:szCs w:val="24"/>
        </w:rPr>
        <w:lastRenderedPageBreak/>
        <w:t>truth,</w:t>
      </w:r>
      <w:r w:rsidR="00A43113">
        <w:rPr>
          <w:rStyle w:val="FootnoteReference"/>
          <w:rFonts w:ascii="Times New Roman" w:hAnsi="Times New Roman"/>
          <w:szCs w:val="24"/>
        </w:rPr>
        <w:footnoteReference w:id="1189"/>
      </w:r>
      <w:r w:rsidR="00A43113">
        <w:rPr>
          <w:rFonts w:ascii="Times New Roman" w:hAnsi="Times New Roman"/>
          <w:szCs w:val="24"/>
        </w:rPr>
        <w:t>healing</w:t>
      </w:r>
      <w:r w:rsidR="00A43113">
        <w:rPr>
          <w:rStyle w:val="FootnoteReference"/>
          <w:rFonts w:ascii="Times New Roman" w:hAnsi="Times New Roman"/>
          <w:szCs w:val="24"/>
        </w:rPr>
        <w:footnoteReference w:id="1190"/>
      </w:r>
      <w:r w:rsidR="00A43113">
        <w:rPr>
          <w:rFonts w:ascii="Times New Roman" w:hAnsi="Times New Roman"/>
          <w:szCs w:val="24"/>
        </w:rPr>
        <w:t xml:space="preserve"> and giving victims a voice.</w:t>
      </w:r>
      <w:r w:rsidR="00A43113">
        <w:rPr>
          <w:rStyle w:val="FootnoteReference"/>
          <w:rFonts w:ascii="Times New Roman" w:hAnsi="Times New Roman"/>
          <w:szCs w:val="24"/>
        </w:rPr>
        <w:footnoteReference w:id="1191"/>
      </w:r>
      <w:r>
        <w:rPr>
          <w:rFonts w:ascii="Times New Roman" w:hAnsi="Times New Roman"/>
          <w:szCs w:val="24"/>
        </w:rPr>
        <w:t xml:space="preserve"> </w:t>
      </w:r>
      <w:r w:rsidR="00BD28E1">
        <w:rPr>
          <w:rFonts w:ascii="Times New Roman" w:hAnsi="Times New Roman"/>
          <w:szCs w:val="24"/>
        </w:rPr>
        <w:t xml:space="preserve">At the ICC, an aspect of victim participation permits </w:t>
      </w:r>
      <w:r>
        <w:rPr>
          <w:rFonts w:ascii="Times New Roman" w:hAnsi="Times New Roman"/>
          <w:szCs w:val="24"/>
        </w:rPr>
        <w:t>story-telling during the trial process</w:t>
      </w:r>
      <w:r w:rsidR="00BD28E1">
        <w:rPr>
          <w:rFonts w:ascii="Times New Roman" w:hAnsi="Times New Roman"/>
          <w:szCs w:val="24"/>
        </w:rPr>
        <w:t>, not at the sentencing hearing.</w:t>
      </w:r>
      <w:r w:rsidRPr="00F07B00">
        <w:rPr>
          <w:rFonts w:ascii="Times New Roman" w:hAnsi="Times New Roman"/>
          <w:szCs w:val="24"/>
        </w:rPr>
        <w:t xml:space="preserve"> </w:t>
      </w:r>
      <w:r>
        <w:rPr>
          <w:rFonts w:ascii="Times New Roman" w:hAnsi="Times New Roman"/>
          <w:szCs w:val="24"/>
        </w:rPr>
        <w:t>Victims’ narrative</w:t>
      </w:r>
      <w:r w:rsidR="007D2395">
        <w:rPr>
          <w:rFonts w:ascii="Times New Roman" w:hAnsi="Times New Roman"/>
          <w:szCs w:val="24"/>
        </w:rPr>
        <w:t xml:space="preserve"> contributes to truth-finding and historical records.</w:t>
      </w:r>
      <w:r w:rsidR="007D2395">
        <w:rPr>
          <w:rStyle w:val="FootnoteReference"/>
          <w:rFonts w:ascii="Times New Roman" w:hAnsi="Times New Roman"/>
          <w:szCs w:val="24"/>
        </w:rPr>
        <w:footnoteReference w:id="1192"/>
      </w:r>
      <w:r w:rsidR="00387791">
        <w:rPr>
          <w:rFonts w:ascii="Times New Roman" w:hAnsi="Times New Roman"/>
          <w:szCs w:val="24"/>
        </w:rPr>
        <w:t>The sentencing hearing precludes s</w:t>
      </w:r>
      <w:r w:rsidR="007D2395">
        <w:rPr>
          <w:rFonts w:ascii="Times New Roman" w:hAnsi="Times New Roman"/>
          <w:szCs w:val="24"/>
        </w:rPr>
        <w:t>tory-telling</w:t>
      </w:r>
      <w:r w:rsidR="00387791">
        <w:rPr>
          <w:rFonts w:ascii="Times New Roman" w:hAnsi="Times New Roman"/>
          <w:szCs w:val="24"/>
        </w:rPr>
        <w:t>.</w:t>
      </w:r>
      <w:r w:rsidR="007D2395">
        <w:rPr>
          <w:rFonts w:ascii="Times New Roman" w:hAnsi="Times New Roman"/>
          <w:szCs w:val="24"/>
        </w:rPr>
        <w:t xml:space="preserve"> </w:t>
      </w:r>
    </w:p>
    <w:p w14:paraId="094596B8" w14:textId="0D750698" w:rsidR="004D44C2" w:rsidRDefault="00BE4E89" w:rsidP="00CC1410">
      <w:pPr>
        <w:spacing w:line="480" w:lineRule="auto"/>
        <w:jc w:val="both"/>
        <w:rPr>
          <w:rFonts w:ascii="Times New Roman" w:eastAsia="Cambria" w:hAnsi="Times New Roman"/>
          <w:szCs w:val="24"/>
          <w:lang w:eastAsia="ja-JP"/>
        </w:rPr>
      </w:pPr>
      <w:r w:rsidRPr="006E622A">
        <w:rPr>
          <w:rFonts w:ascii="Times New Roman" w:eastAsia="Cambria" w:hAnsi="Times New Roman"/>
          <w:szCs w:val="24"/>
          <w:lang w:eastAsia="ja-JP"/>
        </w:rPr>
        <w:t>We should be careful not to raise victims’ expectations as their expression may be symbolic with no substantial effect on the decisions.</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We should note that it is one thing for victims to voice out, while it is another for their voices to be heard and influence the outcome. Moffett draws our attention to the distinction between giving victims a platform to ‘</w:t>
      </w:r>
      <w:r w:rsidRPr="006E622A">
        <w:rPr>
          <w:rFonts w:ascii="Times New Roman" w:eastAsia="Cambria" w:hAnsi="Times New Roman"/>
          <w:i/>
          <w:szCs w:val="24"/>
          <w:lang w:eastAsia="ja-JP"/>
        </w:rPr>
        <w:t>voice their views’</w:t>
      </w:r>
      <w:r w:rsidRPr="006E622A">
        <w:rPr>
          <w:rFonts w:ascii="Times New Roman" w:eastAsia="Cambria" w:hAnsi="Times New Roman"/>
          <w:szCs w:val="24"/>
          <w:lang w:eastAsia="ja-JP"/>
        </w:rPr>
        <w:t xml:space="preserve"> and ‘</w:t>
      </w:r>
      <w:r w:rsidRPr="006E622A">
        <w:rPr>
          <w:rFonts w:ascii="Times New Roman" w:eastAsia="Cambria" w:hAnsi="Times New Roman"/>
          <w:i/>
          <w:szCs w:val="24"/>
          <w:lang w:eastAsia="ja-JP"/>
        </w:rPr>
        <w:t>considering their interests</w:t>
      </w:r>
      <w:r w:rsidRPr="006E622A">
        <w:rPr>
          <w:rFonts w:ascii="Times New Roman" w:eastAsia="Cambria" w:hAnsi="Times New Roman"/>
          <w:szCs w:val="24"/>
          <w:lang w:eastAsia="ja-JP"/>
        </w:rPr>
        <w:t>’ in sentencing.</w:t>
      </w:r>
      <w:r w:rsidRPr="006E622A">
        <w:rPr>
          <w:rFonts w:ascii="Times New Roman" w:eastAsia="Cambria" w:hAnsi="Times New Roman"/>
          <w:szCs w:val="24"/>
          <w:vertAlign w:val="superscript"/>
          <w:lang w:eastAsia="ja-JP"/>
        </w:rPr>
        <w:footnoteReference w:id="1193"/>
      </w:r>
      <w:r>
        <w:rPr>
          <w:rFonts w:ascii="Times New Roman" w:eastAsia="Cambria" w:hAnsi="Times New Roman"/>
          <w:szCs w:val="24"/>
          <w:lang w:eastAsia="ja-JP"/>
        </w:rPr>
        <w:t xml:space="preserve">He </w:t>
      </w:r>
      <w:r w:rsidR="00045251">
        <w:rPr>
          <w:rFonts w:ascii="Times New Roman" w:eastAsia="Cambria" w:hAnsi="Times New Roman"/>
          <w:szCs w:val="24"/>
          <w:lang w:eastAsia="ja-JP"/>
        </w:rPr>
        <w:t>believes</w:t>
      </w:r>
      <w:r>
        <w:rPr>
          <w:rFonts w:ascii="Times New Roman" w:eastAsia="Cambria" w:hAnsi="Times New Roman"/>
          <w:szCs w:val="24"/>
          <w:lang w:eastAsia="ja-JP"/>
        </w:rPr>
        <w:t xml:space="preserve"> that Victim Personal Statement(VPS)</w:t>
      </w:r>
      <w:r w:rsidRPr="006E622A">
        <w:rPr>
          <w:rFonts w:ascii="Times New Roman" w:eastAsia="Cambria" w:hAnsi="Times New Roman"/>
          <w:szCs w:val="24"/>
          <w:lang w:eastAsia="ja-JP"/>
        </w:rPr>
        <w:t xml:space="preserve"> is a channel the criminal justice</w:t>
      </w:r>
      <w:r w:rsidR="006562ED">
        <w:rPr>
          <w:rFonts w:ascii="Times New Roman" w:eastAsia="Cambria" w:hAnsi="Times New Roman"/>
          <w:szCs w:val="24"/>
          <w:lang w:eastAsia="ja-JP"/>
        </w:rPr>
        <w:t xml:space="preserve"> system</w:t>
      </w:r>
      <w:r w:rsidRPr="006E622A">
        <w:rPr>
          <w:rFonts w:ascii="Times New Roman" w:eastAsia="Cambria" w:hAnsi="Times New Roman"/>
          <w:szCs w:val="24"/>
          <w:lang w:eastAsia="ja-JP"/>
        </w:rPr>
        <w:t xml:space="preserve"> may use to </w:t>
      </w:r>
      <w:r w:rsidR="006562ED">
        <w:rPr>
          <w:rFonts w:ascii="Times New Roman" w:eastAsia="Cambria" w:hAnsi="Times New Roman"/>
          <w:szCs w:val="24"/>
          <w:lang w:eastAsia="ja-JP"/>
        </w:rPr>
        <w:t>acknowledge</w:t>
      </w:r>
      <w:r w:rsidRPr="006E622A">
        <w:rPr>
          <w:rFonts w:ascii="Times New Roman" w:eastAsia="Cambria" w:hAnsi="Times New Roman"/>
          <w:szCs w:val="24"/>
          <w:lang w:eastAsia="ja-JP"/>
        </w:rPr>
        <w:t xml:space="preserve"> </w:t>
      </w:r>
      <w:r w:rsidR="006562ED">
        <w:rPr>
          <w:rFonts w:ascii="Times New Roman" w:eastAsia="Cambria" w:hAnsi="Times New Roman"/>
          <w:szCs w:val="24"/>
          <w:lang w:eastAsia="ja-JP"/>
        </w:rPr>
        <w:t>“</w:t>
      </w:r>
      <w:r w:rsidRPr="006E622A">
        <w:rPr>
          <w:rFonts w:ascii="Times New Roman" w:eastAsia="Cambria" w:hAnsi="Times New Roman"/>
          <w:szCs w:val="24"/>
          <w:lang w:eastAsia="ja-JP"/>
        </w:rPr>
        <w:t xml:space="preserve">victims </w:t>
      </w:r>
      <w:r w:rsidR="006562ED">
        <w:rPr>
          <w:rFonts w:ascii="Times New Roman" w:eastAsia="Cambria" w:hAnsi="Times New Roman"/>
          <w:szCs w:val="24"/>
          <w:lang w:eastAsia="ja-JP"/>
        </w:rPr>
        <w:t xml:space="preserve">experience, rather than engendering harsher </w:t>
      </w:r>
      <w:r w:rsidR="006562ED">
        <w:rPr>
          <w:rFonts w:ascii="Times New Roman" w:eastAsia="Cambria" w:hAnsi="Times New Roman"/>
          <w:szCs w:val="24"/>
          <w:lang w:eastAsia="ja-JP"/>
        </w:rPr>
        <w:lastRenderedPageBreak/>
        <w:t>sentence”</w:t>
      </w:r>
      <w:r w:rsidRPr="006E622A">
        <w:rPr>
          <w:rFonts w:ascii="Times New Roman" w:eastAsia="Cambria" w:hAnsi="Times New Roman"/>
          <w:szCs w:val="24"/>
          <w:lang w:eastAsia="ja-JP"/>
        </w:rPr>
        <w:t>.</w:t>
      </w:r>
      <w:r w:rsidRPr="006E622A">
        <w:rPr>
          <w:rFonts w:ascii="Times New Roman" w:eastAsia="Cambria" w:hAnsi="Times New Roman"/>
          <w:szCs w:val="24"/>
          <w:vertAlign w:val="superscript"/>
          <w:lang w:eastAsia="ja-JP"/>
        </w:rPr>
        <w:footnoteReference w:id="1194"/>
      </w:r>
      <w:r w:rsidRPr="006E622A">
        <w:rPr>
          <w:rFonts w:ascii="Times New Roman" w:eastAsia="Cambria" w:hAnsi="Times New Roman"/>
          <w:szCs w:val="24"/>
          <w:lang w:eastAsia="ja-JP"/>
        </w:rPr>
        <w:t xml:space="preserve"> </w:t>
      </w:r>
      <w:r w:rsidR="006562ED">
        <w:rPr>
          <w:rFonts w:ascii="Times New Roman" w:eastAsia="Cambria" w:hAnsi="Times New Roman"/>
          <w:szCs w:val="24"/>
          <w:lang w:eastAsia="ja-JP"/>
        </w:rPr>
        <w:t>The VPS may impact the sentence;</w:t>
      </w:r>
      <w:r w:rsidRPr="006E622A">
        <w:rPr>
          <w:rFonts w:ascii="Times New Roman" w:eastAsia="Cambria" w:hAnsi="Times New Roman"/>
          <w:szCs w:val="24"/>
          <w:lang w:eastAsia="ja-JP"/>
        </w:rPr>
        <w:t xml:space="preserve"> a means to an end.</w:t>
      </w:r>
      <w:r>
        <w:rPr>
          <w:rFonts w:ascii="Times New Roman" w:eastAsia="Cambria" w:hAnsi="Times New Roman"/>
          <w:szCs w:val="24"/>
          <w:lang w:eastAsia="ja-JP"/>
        </w:rPr>
        <w:t xml:space="preserve"> </w:t>
      </w:r>
      <w:r w:rsidRPr="006E622A">
        <w:rPr>
          <w:rFonts w:ascii="Times New Roman" w:eastAsia="Cambria" w:hAnsi="Times New Roman"/>
          <w:szCs w:val="24"/>
          <w:lang w:eastAsia="ja-JP"/>
        </w:rPr>
        <w:t>Neverth</w:t>
      </w:r>
      <w:r>
        <w:rPr>
          <w:rFonts w:ascii="Times New Roman" w:eastAsia="Cambria" w:hAnsi="Times New Roman"/>
          <w:szCs w:val="24"/>
          <w:lang w:eastAsia="ja-JP"/>
        </w:rPr>
        <w:t>e</w:t>
      </w:r>
      <w:r w:rsidRPr="006E622A">
        <w:rPr>
          <w:rFonts w:ascii="Times New Roman" w:eastAsia="Cambria" w:hAnsi="Times New Roman"/>
          <w:szCs w:val="24"/>
          <w:lang w:eastAsia="ja-JP"/>
        </w:rPr>
        <w:t>less, procedura</w:t>
      </w:r>
      <w:r>
        <w:rPr>
          <w:rFonts w:ascii="Times New Roman" w:eastAsia="Cambria" w:hAnsi="Times New Roman"/>
          <w:szCs w:val="24"/>
          <w:lang w:eastAsia="ja-JP"/>
        </w:rPr>
        <w:t>l justice enhances their potential</w:t>
      </w:r>
      <w:r w:rsidRPr="006E622A">
        <w:rPr>
          <w:rFonts w:ascii="Times New Roman" w:eastAsia="Cambria" w:hAnsi="Times New Roman"/>
          <w:szCs w:val="24"/>
          <w:lang w:eastAsia="ja-JP"/>
        </w:rPr>
        <w:t xml:space="preserve"> to go through this process in fairness.</w:t>
      </w:r>
      <w:r w:rsidR="006562ED">
        <w:rPr>
          <w:rFonts w:ascii="Times New Roman" w:eastAsia="Cambria" w:hAnsi="Times New Roman"/>
          <w:szCs w:val="24"/>
          <w:lang w:eastAsia="ja-JP"/>
        </w:rPr>
        <w:t xml:space="preserve"> </w:t>
      </w:r>
    </w:p>
    <w:p w14:paraId="318C20D2" w14:textId="1B0A5BEE" w:rsidR="004D44C2" w:rsidRDefault="008E3F0E" w:rsidP="004D44C2">
      <w:pPr>
        <w:spacing w:before="240" w:line="480" w:lineRule="auto"/>
        <w:jc w:val="both"/>
        <w:rPr>
          <w:rFonts w:ascii="Times New Roman" w:hAnsi="Times New Roman"/>
          <w:szCs w:val="24"/>
        </w:rPr>
      </w:pPr>
      <w:r>
        <w:rPr>
          <w:rFonts w:ascii="Times New Roman" w:hAnsi="Times New Roman"/>
          <w:szCs w:val="24"/>
        </w:rPr>
        <w:t>Furthermore, s</w:t>
      </w:r>
      <w:r w:rsidR="004D44C2">
        <w:rPr>
          <w:rFonts w:ascii="Times New Roman" w:hAnsi="Times New Roman"/>
          <w:szCs w:val="24"/>
        </w:rPr>
        <w:t xml:space="preserve">ome </w:t>
      </w:r>
      <w:r w:rsidR="00C7070D">
        <w:rPr>
          <w:rFonts w:ascii="Times New Roman" w:hAnsi="Times New Roman"/>
          <w:szCs w:val="24"/>
        </w:rPr>
        <w:t>restorative justice elements</w:t>
      </w:r>
      <w:r w:rsidR="004D44C2">
        <w:rPr>
          <w:rFonts w:ascii="Times New Roman" w:hAnsi="Times New Roman"/>
          <w:szCs w:val="24"/>
        </w:rPr>
        <w:t xml:space="preserve"> are portrayed in the sentencing hearing, and sentence review of both cases.  The </w:t>
      </w:r>
      <w:r w:rsidR="001D52BF">
        <w:rPr>
          <w:rFonts w:ascii="Times New Roman" w:hAnsi="Times New Roman"/>
          <w:szCs w:val="24"/>
        </w:rPr>
        <w:t>crucial</w:t>
      </w:r>
      <w:r w:rsidR="004D44C2">
        <w:rPr>
          <w:rFonts w:ascii="Times New Roman" w:hAnsi="Times New Roman"/>
          <w:szCs w:val="24"/>
        </w:rPr>
        <w:t xml:space="preserve"> </w:t>
      </w:r>
      <w:r w:rsidR="00045251">
        <w:rPr>
          <w:rFonts w:ascii="Times New Roman" w:hAnsi="Times New Roman"/>
          <w:szCs w:val="24"/>
        </w:rPr>
        <w:t>factor</w:t>
      </w:r>
      <w:r w:rsidR="004D44C2">
        <w:rPr>
          <w:rFonts w:ascii="Times New Roman" w:hAnsi="Times New Roman"/>
          <w:szCs w:val="24"/>
        </w:rPr>
        <w:t>s are the process, the parties, the stake, the crime</w:t>
      </w:r>
      <w:r>
        <w:rPr>
          <w:rFonts w:ascii="Times New Roman" w:hAnsi="Times New Roman"/>
          <w:szCs w:val="24"/>
        </w:rPr>
        <w:t>,</w:t>
      </w:r>
      <w:r w:rsidR="004D44C2">
        <w:rPr>
          <w:rFonts w:ascii="Times New Roman" w:hAnsi="Times New Roman"/>
          <w:szCs w:val="24"/>
        </w:rPr>
        <w:t xml:space="preserve"> the agreement, the aftermath and the consequences of the </w:t>
      </w:r>
      <w:r w:rsidR="001D52BF">
        <w:rPr>
          <w:rFonts w:ascii="Times New Roman" w:hAnsi="Times New Roman"/>
          <w:szCs w:val="24"/>
        </w:rPr>
        <w:t>violation</w:t>
      </w:r>
      <w:r w:rsidR="004D44C2">
        <w:rPr>
          <w:rFonts w:ascii="Times New Roman" w:hAnsi="Times New Roman"/>
          <w:szCs w:val="24"/>
        </w:rPr>
        <w:t>. The sentencing hearing is the process</w:t>
      </w:r>
      <w:r w:rsidR="00D93C4F">
        <w:rPr>
          <w:rFonts w:ascii="Times New Roman" w:hAnsi="Times New Roman"/>
          <w:szCs w:val="24"/>
        </w:rPr>
        <w:t>;</w:t>
      </w:r>
      <w:r w:rsidR="004D44C2">
        <w:rPr>
          <w:rFonts w:ascii="Times New Roman" w:hAnsi="Times New Roman"/>
          <w:szCs w:val="24"/>
        </w:rPr>
        <w:t xml:space="preserve"> the victims and the </w:t>
      </w:r>
      <w:r w:rsidR="00D93C4F">
        <w:rPr>
          <w:rFonts w:ascii="Times New Roman" w:hAnsi="Times New Roman"/>
          <w:szCs w:val="24"/>
        </w:rPr>
        <w:t xml:space="preserve">offender </w:t>
      </w:r>
      <w:r w:rsidR="004D44C2">
        <w:rPr>
          <w:rFonts w:ascii="Times New Roman" w:hAnsi="Times New Roman"/>
          <w:szCs w:val="24"/>
        </w:rPr>
        <w:t>(convicted person)</w:t>
      </w:r>
      <w:r w:rsidR="00DC478F">
        <w:rPr>
          <w:rFonts w:ascii="Times New Roman" w:hAnsi="Times New Roman"/>
          <w:szCs w:val="24"/>
        </w:rPr>
        <w:t xml:space="preserve"> as “stakeholders”</w:t>
      </w:r>
      <w:r w:rsidR="00D93C4F">
        <w:rPr>
          <w:rFonts w:ascii="Times New Roman" w:hAnsi="Times New Roman"/>
          <w:szCs w:val="24"/>
        </w:rPr>
        <w:t xml:space="preserve"> are the</w:t>
      </w:r>
      <w:r w:rsidR="00DC478F">
        <w:rPr>
          <w:rFonts w:ascii="Times New Roman" w:hAnsi="Times New Roman"/>
          <w:szCs w:val="24"/>
        </w:rPr>
        <w:t xml:space="preserve"> ‘directly </w:t>
      </w:r>
      <w:proofErr w:type="spellStart"/>
      <w:r w:rsidR="00DC478F">
        <w:rPr>
          <w:rFonts w:ascii="Times New Roman" w:hAnsi="Times New Roman"/>
          <w:szCs w:val="24"/>
        </w:rPr>
        <w:t>affected’</w:t>
      </w:r>
      <w:r w:rsidR="00D93C4F">
        <w:rPr>
          <w:rFonts w:ascii="Times New Roman" w:hAnsi="Times New Roman"/>
          <w:szCs w:val="24"/>
        </w:rPr>
        <w:t>parti</w:t>
      </w:r>
      <w:r w:rsidR="00DC478F">
        <w:rPr>
          <w:rFonts w:ascii="Times New Roman" w:hAnsi="Times New Roman"/>
          <w:szCs w:val="24"/>
        </w:rPr>
        <w:t>cipants</w:t>
      </w:r>
      <w:proofErr w:type="spellEnd"/>
      <w:r w:rsidR="00DC478F">
        <w:rPr>
          <w:rFonts w:ascii="Times New Roman" w:hAnsi="Times New Roman"/>
          <w:szCs w:val="24"/>
        </w:rPr>
        <w:t>.</w:t>
      </w:r>
      <w:r w:rsidR="00DC478F">
        <w:rPr>
          <w:rStyle w:val="FootnoteReference"/>
          <w:rFonts w:ascii="Times New Roman" w:hAnsi="Times New Roman"/>
          <w:szCs w:val="24"/>
        </w:rPr>
        <w:footnoteReference w:id="1195"/>
      </w:r>
      <w:r w:rsidR="00DC478F">
        <w:rPr>
          <w:rFonts w:ascii="Times New Roman" w:hAnsi="Times New Roman"/>
          <w:szCs w:val="24"/>
        </w:rPr>
        <w:t xml:space="preserve">However, both parties </w:t>
      </w:r>
      <w:r w:rsidR="00C7070D">
        <w:rPr>
          <w:rFonts w:ascii="Times New Roman" w:hAnsi="Times New Roman"/>
          <w:szCs w:val="24"/>
        </w:rPr>
        <w:t>indirectly participate in the sentencing process through their legal representatives; a restriction</w:t>
      </w:r>
      <w:r w:rsidR="00DC478F">
        <w:rPr>
          <w:rFonts w:ascii="Times New Roman" w:hAnsi="Times New Roman"/>
          <w:szCs w:val="24"/>
        </w:rPr>
        <w:t xml:space="preserve"> is absent within informal settings of restorative practices.</w:t>
      </w:r>
      <w:r w:rsidR="00354423">
        <w:rPr>
          <w:rFonts w:ascii="Times New Roman" w:hAnsi="Times New Roman"/>
          <w:szCs w:val="24"/>
        </w:rPr>
        <w:t xml:space="preserve"> </w:t>
      </w:r>
      <w:r w:rsidR="00C7070D">
        <w:rPr>
          <w:rFonts w:ascii="Times New Roman" w:hAnsi="Times New Roman"/>
          <w:szCs w:val="24"/>
        </w:rPr>
        <w:t>In this instance, the scenario</w:t>
      </w:r>
      <w:r w:rsidR="00354423">
        <w:rPr>
          <w:rFonts w:ascii="Times New Roman" w:hAnsi="Times New Roman"/>
          <w:szCs w:val="24"/>
        </w:rPr>
        <w:t xml:space="preserve"> reinforces the analogy of Christie-property has been stolen from the original owner and taken over by the prosecutor and legal representatives of the directly affected.</w:t>
      </w:r>
      <w:r w:rsidR="00354423">
        <w:rPr>
          <w:rStyle w:val="FootnoteReference"/>
          <w:rFonts w:ascii="Times New Roman" w:hAnsi="Times New Roman"/>
          <w:szCs w:val="24"/>
        </w:rPr>
        <w:footnoteReference w:id="1196"/>
      </w:r>
      <w:r w:rsidR="00DC478F">
        <w:rPr>
          <w:rFonts w:ascii="Times New Roman" w:hAnsi="Times New Roman"/>
          <w:szCs w:val="24"/>
        </w:rPr>
        <w:t xml:space="preserve"> </w:t>
      </w:r>
      <w:r w:rsidR="00EC2AA9">
        <w:rPr>
          <w:rFonts w:ascii="Times New Roman" w:hAnsi="Times New Roman"/>
          <w:szCs w:val="24"/>
        </w:rPr>
        <w:t xml:space="preserve">Arguably, asides from the formal settings, presumably, </w:t>
      </w:r>
      <w:r w:rsidR="00C7070D">
        <w:rPr>
          <w:rFonts w:ascii="Times New Roman" w:hAnsi="Times New Roman"/>
          <w:szCs w:val="24"/>
        </w:rPr>
        <w:t>victims' indirect participation</w:t>
      </w:r>
      <w:r w:rsidR="00EC2AA9">
        <w:rPr>
          <w:rFonts w:ascii="Times New Roman" w:hAnsi="Times New Roman"/>
          <w:szCs w:val="24"/>
        </w:rPr>
        <w:t xml:space="preserve"> through their LRVs may sabotage restorative practices during the sentenc</w:t>
      </w:r>
      <w:r w:rsidR="002B489D">
        <w:rPr>
          <w:rFonts w:ascii="Times New Roman" w:hAnsi="Times New Roman"/>
          <w:szCs w:val="24"/>
        </w:rPr>
        <w:t>ing</w:t>
      </w:r>
      <w:r w:rsidR="00EC2AA9">
        <w:rPr>
          <w:rFonts w:ascii="Times New Roman" w:hAnsi="Times New Roman"/>
          <w:szCs w:val="24"/>
        </w:rPr>
        <w:t xml:space="preserve"> hearing.</w:t>
      </w:r>
      <w:r w:rsidR="007B039C" w:rsidRPr="007B039C">
        <w:rPr>
          <w:rFonts w:ascii="Times New Roman" w:hAnsi="Times New Roman"/>
          <w:szCs w:val="24"/>
        </w:rPr>
        <w:t xml:space="preserve"> </w:t>
      </w:r>
    </w:p>
    <w:p w14:paraId="42AABB03" w14:textId="5A6C1C44" w:rsidR="002B489D" w:rsidRDefault="00EC2AA9" w:rsidP="004D44C2">
      <w:pPr>
        <w:spacing w:before="240" w:line="480" w:lineRule="auto"/>
        <w:jc w:val="both"/>
        <w:rPr>
          <w:rFonts w:ascii="Times New Roman" w:hAnsi="Times New Roman"/>
          <w:szCs w:val="24"/>
        </w:rPr>
      </w:pPr>
      <w:r>
        <w:rPr>
          <w:rFonts w:ascii="Times New Roman" w:hAnsi="Times New Roman"/>
          <w:szCs w:val="24"/>
        </w:rPr>
        <w:t>Be that as it may, f</w:t>
      </w:r>
      <w:r w:rsidR="00D93C4F">
        <w:rPr>
          <w:rFonts w:ascii="Times New Roman" w:hAnsi="Times New Roman"/>
          <w:szCs w:val="24"/>
        </w:rPr>
        <w:t>or a successful process and outcome of restorative justice, both parties must exhibit willingness and voluntariness to participate actively in the process.</w:t>
      </w:r>
      <w:r w:rsidR="001D3EA7">
        <w:rPr>
          <w:rStyle w:val="FootnoteReference"/>
          <w:rFonts w:ascii="Times New Roman" w:hAnsi="Times New Roman"/>
          <w:szCs w:val="24"/>
        </w:rPr>
        <w:footnoteReference w:id="1197"/>
      </w:r>
      <w:r w:rsidR="00D93C4F">
        <w:rPr>
          <w:rFonts w:ascii="Times New Roman" w:hAnsi="Times New Roman"/>
          <w:szCs w:val="24"/>
        </w:rPr>
        <w:t xml:space="preserve"> </w:t>
      </w:r>
      <w:r w:rsidR="00C7070D">
        <w:rPr>
          <w:rFonts w:ascii="Times New Roman" w:hAnsi="Times New Roman"/>
          <w:szCs w:val="24"/>
        </w:rPr>
        <w:t xml:space="preserve">One of the parties does not participate voluntarily or hesitates to carry out </w:t>
      </w:r>
      <w:r w:rsidR="00C7070D">
        <w:rPr>
          <w:rFonts w:ascii="Times New Roman" w:hAnsi="Times New Roman"/>
          <w:szCs w:val="24"/>
        </w:rPr>
        <w:lastRenderedPageBreak/>
        <w:t>any activity necessary for the procedure's progress, which would impact</w:t>
      </w:r>
      <w:r w:rsidR="00D93C4F">
        <w:rPr>
          <w:rFonts w:ascii="Times New Roman" w:hAnsi="Times New Roman"/>
          <w:szCs w:val="24"/>
        </w:rPr>
        <w:t xml:space="preserve"> the outcome and victims’ satisfaction. </w:t>
      </w:r>
      <w:r w:rsidR="004D44C2">
        <w:rPr>
          <w:rFonts w:ascii="Times New Roman" w:hAnsi="Times New Roman"/>
          <w:szCs w:val="24"/>
        </w:rPr>
        <w:t xml:space="preserve">Van Camp and </w:t>
      </w:r>
      <w:proofErr w:type="spellStart"/>
      <w:r w:rsidR="004D44C2">
        <w:rPr>
          <w:rFonts w:ascii="Times New Roman" w:hAnsi="Times New Roman"/>
          <w:szCs w:val="24"/>
        </w:rPr>
        <w:t>Wemmers</w:t>
      </w:r>
      <w:proofErr w:type="spellEnd"/>
      <w:r w:rsidR="004D44C2">
        <w:rPr>
          <w:rFonts w:ascii="Times New Roman" w:hAnsi="Times New Roman"/>
          <w:szCs w:val="24"/>
        </w:rPr>
        <w:t>’ study explains that victims satisfaction with restorative justice exceeds the procedural justice model.</w:t>
      </w:r>
      <w:r w:rsidR="004D44C2">
        <w:rPr>
          <w:rStyle w:val="FootnoteReference"/>
          <w:rFonts w:ascii="Times New Roman" w:hAnsi="Times New Roman"/>
          <w:szCs w:val="24"/>
        </w:rPr>
        <w:footnoteReference w:id="1198"/>
      </w:r>
      <w:r w:rsidR="004D44C2">
        <w:rPr>
          <w:rFonts w:ascii="Times New Roman" w:hAnsi="Times New Roman"/>
          <w:szCs w:val="24"/>
        </w:rPr>
        <w:t xml:space="preserve">  While procedural justice is partly responsible for victims’ satisfaction with restorative practices, they found that flexibility, care, central dialogue and pro-social motives(helping, sharing and comforting) partly contribute towards victims satisfaction with restorative justice.</w:t>
      </w:r>
      <w:r w:rsidR="004D44C2">
        <w:rPr>
          <w:rStyle w:val="FootnoteReference"/>
          <w:rFonts w:ascii="Times New Roman" w:hAnsi="Times New Roman"/>
          <w:szCs w:val="24"/>
        </w:rPr>
        <w:footnoteReference w:id="1199"/>
      </w:r>
      <w:r w:rsidR="001D52BF">
        <w:rPr>
          <w:rFonts w:ascii="Times New Roman" w:hAnsi="Times New Roman"/>
          <w:szCs w:val="24"/>
        </w:rPr>
        <w:t xml:space="preserve">Unfortunately, it appears these factors are absent at the sentencing hearing of the ICC. As mentioned earlier, the ICC setting is strictly </w:t>
      </w:r>
      <w:r w:rsidR="008E3F0E">
        <w:rPr>
          <w:rFonts w:ascii="Times New Roman" w:hAnsi="Times New Roman"/>
          <w:szCs w:val="24"/>
        </w:rPr>
        <w:t>conventional. I</w:t>
      </w:r>
      <w:r w:rsidR="001D52BF">
        <w:rPr>
          <w:rFonts w:ascii="Times New Roman" w:hAnsi="Times New Roman"/>
          <w:szCs w:val="24"/>
        </w:rPr>
        <w:t>t is challenging for these elements to be factored</w:t>
      </w:r>
      <w:r w:rsidR="008E3F0E">
        <w:rPr>
          <w:rFonts w:ascii="Times New Roman" w:hAnsi="Times New Roman"/>
          <w:szCs w:val="24"/>
        </w:rPr>
        <w:t xml:space="preserve"> in</w:t>
      </w:r>
      <w:r w:rsidR="001D52BF">
        <w:rPr>
          <w:rFonts w:ascii="Times New Roman" w:hAnsi="Times New Roman"/>
          <w:szCs w:val="24"/>
        </w:rPr>
        <w:t xml:space="preserve">-a limitation to the practicability and outcome of </w:t>
      </w:r>
      <w:r w:rsidR="00C7070D">
        <w:rPr>
          <w:rFonts w:ascii="Times New Roman" w:hAnsi="Times New Roman"/>
          <w:szCs w:val="24"/>
        </w:rPr>
        <w:t>applying</w:t>
      </w:r>
      <w:r w:rsidR="001D52BF">
        <w:rPr>
          <w:rFonts w:ascii="Times New Roman" w:hAnsi="Times New Roman"/>
          <w:szCs w:val="24"/>
        </w:rPr>
        <w:t xml:space="preserve"> the restorative justice approach.</w:t>
      </w:r>
      <w:r w:rsidR="008E3F0E">
        <w:rPr>
          <w:rFonts w:ascii="Times New Roman" w:hAnsi="Times New Roman"/>
          <w:szCs w:val="24"/>
        </w:rPr>
        <w:t xml:space="preserve"> Therefore, the Rome Statute </w:t>
      </w:r>
      <w:r w:rsidR="00C7070D">
        <w:rPr>
          <w:rFonts w:ascii="Times New Roman" w:hAnsi="Times New Roman"/>
          <w:szCs w:val="24"/>
        </w:rPr>
        <w:t>compromises</w:t>
      </w:r>
      <w:r w:rsidR="008E3F0E">
        <w:rPr>
          <w:rFonts w:ascii="Times New Roman" w:hAnsi="Times New Roman"/>
          <w:szCs w:val="24"/>
        </w:rPr>
        <w:t xml:space="preserve"> some indispensable retributive </w:t>
      </w:r>
      <w:r w:rsidR="00C825C7">
        <w:rPr>
          <w:rFonts w:ascii="Times New Roman" w:hAnsi="Times New Roman"/>
          <w:szCs w:val="24"/>
        </w:rPr>
        <w:t>feature</w:t>
      </w:r>
      <w:r w:rsidR="008E3F0E">
        <w:rPr>
          <w:rFonts w:ascii="Times New Roman" w:hAnsi="Times New Roman"/>
          <w:szCs w:val="24"/>
        </w:rPr>
        <w:t xml:space="preserve">s and legitimate restorative practices, </w:t>
      </w:r>
      <w:r w:rsidR="001A1B95">
        <w:rPr>
          <w:rFonts w:ascii="Times New Roman" w:hAnsi="Times New Roman"/>
          <w:szCs w:val="24"/>
        </w:rPr>
        <w:t>making</w:t>
      </w:r>
      <w:r w:rsidR="008E3F0E">
        <w:rPr>
          <w:rFonts w:ascii="Times New Roman" w:hAnsi="Times New Roman"/>
          <w:szCs w:val="24"/>
        </w:rPr>
        <w:t xml:space="preserve"> the process predominantly retributive.</w:t>
      </w:r>
    </w:p>
    <w:p w14:paraId="7B8AB9E3" w14:textId="6100D578" w:rsidR="00B514BD" w:rsidRDefault="00B514BD" w:rsidP="004D44C2">
      <w:pPr>
        <w:spacing w:before="240" w:line="480" w:lineRule="auto"/>
        <w:jc w:val="both"/>
        <w:rPr>
          <w:rFonts w:ascii="Times New Roman" w:hAnsi="Times New Roman"/>
          <w:szCs w:val="24"/>
        </w:rPr>
      </w:pPr>
      <w:r>
        <w:rPr>
          <w:rFonts w:ascii="Times New Roman" w:hAnsi="Times New Roman"/>
          <w:szCs w:val="24"/>
        </w:rPr>
        <w:t xml:space="preserve">Truth commissions and reparations schemes are mechanisms which advance restorative interests because of the absence of prosecutions. Truth-telling, narratives, </w:t>
      </w:r>
      <w:r w:rsidR="00C7070D">
        <w:rPr>
          <w:rFonts w:ascii="Times New Roman" w:hAnsi="Times New Roman"/>
          <w:szCs w:val="24"/>
        </w:rPr>
        <w:t>and symbolic reparations like public apologies and monuments represent victims' formal acknowledgement of victims'</w:t>
      </w:r>
      <w:r>
        <w:rPr>
          <w:rFonts w:ascii="Times New Roman" w:hAnsi="Times New Roman"/>
          <w:szCs w:val="24"/>
        </w:rPr>
        <w:t xml:space="preserve"> ordeal and offender responsibility.</w:t>
      </w:r>
      <w:r>
        <w:rPr>
          <w:rStyle w:val="FootnoteReference"/>
          <w:rFonts w:ascii="Times New Roman" w:hAnsi="Times New Roman"/>
          <w:szCs w:val="24"/>
        </w:rPr>
        <w:footnoteReference w:id="1200"/>
      </w:r>
      <w:r>
        <w:rPr>
          <w:rFonts w:ascii="Times New Roman" w:hAnsi="Times New Roman"/>
          <w:szCs w:val="24"/>
        </w:rPr>
        <w:t xml:space="preserve">It is noteworthy that criminal prosecution may sabotage the accomplishment of </w:t>
      </w:r>
      <w:r w:rsidR="00C7070D">
        <w:rPr>
          <w:rFonts w:ascii="Times New Roman" w:hAnsi="Times New Roman"/>
          <w:szCs w:val="24"/>
        </w:rPr>
        <w:t xml:space="preserve">a </w:t>
      </w:r>
      <w:r>
        <w:rPr>
          <w:rFonts w:ascii="Times New Roman" w:hAnsi="Times New Roman"/>
          <w:szCs w:val="24"/>
        </w:rPr>
        <w:t xml:space="preserve">restorative approach because most times, the defendant/accused denies the charges by entering a non-guilty plea. Subsequently,  both parties contest the non-admission of guilt in the proceedings. </w:t>
      </w:r>
      <w:r>
        <w:rPr>
          <w:rFonts w:ascii="Times New Roman" w:hAnsi="Times New Roman"/>
          <w:szCs w:val="24"/>
        </w:rPr>
        <w:lastRenderedPageBreak/>
        <w:t xml:space="preserve">Even post-conviction, convicts like Lubanga denied the crimes he committed. These elements of prosecution are impediments to successful incorporation of restorative justice in criminal trials. </w:t>
      </w:r>
    </w:p>
    <w:p w14:paraId="2D0E0BC9" w14:textId="3A92151A" w:rsidR="002B489D" w:rsidRDefault="002B489D" w:rsidP="004D44C2">
      <w:pPr>
        <w:spacing w:before="240" w:line="480" w:lineRule="auto"/>
        <w:jc w:val="both"/>
        <w:rPr>
          <w:rFonts w:ascii="Times New Roman" w:hAnsi="Times New Roman"/>
          <w:szCs w:val="24"/>
        </w:rPr>
      </w:pPr>
      <w:r>
        <w:rPr>
          <w:rFonts w:ascii="Times New Roman" w:hAnsi="Times New Roman"/>
          <w:szCs w:val="24"/>
        </w:rPr>
        <w:t xml:space="preserve">The following section shall discuss the three pillars of restorative justice </w:t>
      </w:r>
      <w:r w:rsidR="00045251">
        <w:rPr>
          <w:rFonts w:ascii="Times New Roman" w:hAnsi="Times New Roman"/>
          <w:szCs w:val="24"/>
        </w:rPr>
        <w:t xml:space="preserve">within the </w:t>
      </w:r>
      <w:r w:rsidR="00C7070D">
        <w:rPr>
          <w:rFonts w:ascii="Times New Roman" w:hAnsi="Times New Roman"/>
          <w:szCs w:val="24"/>
        </w:rPr>
        <w:t>ICC context</w:t>
      </w:r>
      <w:r w:rsidR="00045251">
        <w:rPr>
          <w:rFonts w:ascii="Times New Roman" w:hAnsi="Times New Roman"/>
          <w:szCs w:val="24"/>
        </w:rPr>
        <w:t xml:space="preserve"> and the </w:t>
      </w:r>
      <w:r w:rsidR="00B514BD">
        <w:rPr>
          <w:rFonts w:ascii="Times New Roman" w:hAnsi="Times New Roman"/>
          <w:szCs w:val="24"/>
        </w:rPr>
        <w:t>cases mentioned above</w:t>
      </w:r>
      <w:r>
        <w:rPr>
          <w:rFonts w:ascii="Times New Roman" w:hAnsi="Times New Roman"/>
          <w:szCs w:val="24"/>
        </w:rPr>
        <w:t>.</w:t>
      </w:r>
    </w:p>
    <w:p w14:paraId="04963EA9" w14:textId="2ADF7205" w:rsidR="002B489D" w:rsidRPr="00C56931" w:rsidRDefault="00C56931" w:rsidP="005725E4">
      <w:pPr>
        <w:pStyle w:val="Heading4"/>
      </w:pPr>
      <w:bookmarkStart w:id="93" w:name="_Toc60235857"/>
      <w:r>
        <w:t xml:space="preserve">4.7.8.1. </w:t>
      </w:r>
      <w:r w:rsidR="002B489D" w:rsidRPr="00C56931">
        <w:t>Encounter</w:t>
      </w:r>
      <w:bookmarkEnd w:id="93"/>
      <w:r w:rsidR="002B489D" w:rsidRPr="00C56931">
        <w:t xml:space="preserve"> </w:t>
      </w:r>
    </w:p>
    <w:p w14:paraId="031ACDCC" w14:textId="5F1407B5" w:rsidR="009F1B3A" w:rsidRDefault="001B1EE2" w:rsidP="004D44C2">
      <w:pPr>
        <w:spacing w:before="240" w:line="480" w:lineRule="auto"/>
        <w:jc w:val="both"/>
        <w:rPr>
          <w:rFonts w:ascii="Times New Roman" w:hAnsi="Times New Roman"/>
          <w:szCs w:val="24"/>
        </w:rPr>
      </w:pPr>
      <w:r>
        <w:rPr>
          <w:rFonts w:ascii="Times New Roman" w:hAnsi="Times New Roman"/>
          <w:szCs w:val="24"/>
        </w:rPr>
        <w:t>This phase involves a</w:t>
      </w:r>
      <w:r w:rsidR="00B514BD">
        <w:rPr>
          <w:rFonts w:ascii="Times New Roman" w:hAnsi="Times New Roman"/>
          <w:szCs w:val="24"/>
        </w:rPr>
        <w:t xml:space="preserve"> face-to-face</w:t>
      </w:r>
      <w:r>
        <w:rPr>
          <w:rFonts w:ascii="Times New Roman" w:hAnsi="Times New Roman"/>
          <w:szCs w:val="24"/>
        </w:rPr>
        <w:t xml:space="preserve"> meeting between the offender and the victims.</w:t>
      </w:r>
      <w:r>
        <w:rPr>
          <w:rStyle w:val="FootnoteReference"/>
          <w:rFonts w:ascii="Times New Roman" w:hAnsi="Times New Roman"/>
          <w:szCs w:val="24"/>
        </w:rPr>
        <w:footnoteReference w:id="1201"/>
      </w:r>
      <w:r w:rsidR="001D52BF">
        <w:rPr>
          <w:rFonts w:ascii="Times New Roman" w:hAnsi="Times New Roman"/>
          <w:szCs w:val="24"/>
        </w:rPr>
        <w:t>A critical</w:t>
      </w:r>
      <w:r>
        <w:rPr>
          <w:rFonts w:ascii="Times New Roman" w:hAnsi="Times New Roman"/>
          <w:szCs w:val="24"/>
        </w:rPr>
        <w:t xml:space="preserve"> aspect of the encounter is that the participatio</w:t>
      </w:r>
      <w:r w:rsidR="00E42B3E">
        <w:rPr>
          <w:rFonts w:ascii="Times New Roman" w:hAnsi="Times New Roman"/>
          <w:szCs w:val="24"/>
        </w:rPr>
        <w:t>n of all stakeholders</w:t>
      </w:r>
      <w:r>
        <w:rPr>
          <w:rFonts w:ascii="Times New Roman" w:hAnsi="Times New Roman"/>
          <w:szCs w:val="24"/>
        </w:rPr>
        <w:t xml:space="preserve"> must be voluntary.</w:t>
      </w:r>
      <w:r>
        <w:rPr>
          <w:rStyle w:val="FootnoteReference"/>
          <w:rFonts w:ascii="Times New Roman" w:hAnsi="Times New Roman"/>
          <w:szCs w:val="24"/>
        </w:rPr>
        <w:footnoteReference w:id="1202"/>
      </w:r>
      <w:r>
        <w:rPr>
          <w:rFonts w:ascii="Times New Roman" w:hAnsi="Times New Roman"/>
          <w:szCs w:val="24"/>
        </w:rPr>
        <w:t xml:space="preserve"> </w:t>
      </w:r>
      <w:r w:rsidR="00B514BD">
        <w:rPr>
          <w:rFonts w:ascii="Times New Roman" w:hAnsi="Times New Roman"/>
          <w:szCs w:val="24"/>
        </w:rPr>
        <w:t xml:space="preserve">The accused is referred to as an offender. </w:t>
      </w:r>
      <w:r>
        <w:rPr>
          <w:rFonts w:ascii="Times New Roman" w:hAnsi="Times New Roman"/>
          <w:szCs w:val="24"/>
        </w:rPr>
        <w:t>Encounter ensures communication between both participants to narrate their experiences, emote and express the consequences of the harm they suffered.</w:t>
      </w:r>
      <w:r w:rsidR="00CD36FC">
        <w:rPr>
          <w:rFonts w:ascii="Times New Roman" w:hAnsi="Times New Roman"/>
          <w:szCs w:val="24"/>
        </w:rPr>
        <w:t xml:space="preserve"> </w:t>
      </w:r>
      <w:r w:rsidR="00B514BD">
        <w:rPr>
          <w:rFonts w:ascii="Times New Roman" w:hAnsi="Times New Roman"/>
          <w:szCs w:val="24"/>
        </w:rPr>
        <w:t xml:space="preserve">The </w:t>
      </w:r>
      <w:r w:rsidR="00CD36FC">
        <w:rPr>
          <w:rFonts w:ascii="Times New Roman" w:hAnsi="Times New Roman"/>
          <w:szCs w:val="24"/>
        </w:rPr>
        <w:t>dialogue at this phase assists in “collaborative problem-solving approach”.</w:t>
      </w:r>
      <w:r w:rsidR="00CD36FC">
        <w:rPr>
          <w:rStyle w:val="FootnoteReference"/>
          <w:rFonts w:ascii="Times New Roman" w:hAnsi="Times New Roman"/>
          <w:szCs w:val="24"/>
        </w:rPr>
        <w:footnoteReference w:id="1203"/>
      </w:r>
      <w:r w:rsidR="00CD36FC">
        <w:rPr>
          <w:rFonts w:ascii="Times New Roman" w:hAnsi="Times New Roman"/>
          <w:szCs w:val="24"/>
        </w:rPr>
        <w:t xml:space="preserve">Some of these elements of encounter are illustrated in both </w:t>
      </w:r>
      <w:r w:rsidR="00E42B3E">
        <w:rPr>
          <w:rFonts w:ascii="Times New Roman" w:hAnsi="Times New Roman"/>
          <w:szCs w:val="24"/>
        </w:rPr>
        <w:t>sentence hearing and review</w:t>
      </w:r>
      <w:r w:rsidR="009F1B3A">
        <w:rPr>
          <w:rFonts w:ascii="Times New Roman" w:hAnsi="Times New Roman"/>
          <w:szCs w:val="24"/>
        </w:rPr>
        <w:t>. The use of narratives via victims’ observations and submissions</w:t>
      </w:r>
      <w:r w:rsidR="00B514BD">
        <w:rPr>
          <w:rFonts w:ascii="Times New Roman" w:hAnsi="Times New Roman"/>
          <w:szCs w:val="24"/>
        </w:rPr>
        <w:t xml:space="preserve"> </w:t>
      </w:r>
      <w:r w:rsidR="009F1B3A">
        <w:rPr>
          <w:rFonts w:ascii="Times New Roman" w:hAnsi="Times New Roman"/>
          <w:szCs w:val="24"/>
        </w:rPr>
        <w:t xml:space="preserve">is restricted in </w:t>
      </w:r>
      <w:r w:rsidR="002965F8">
        <w:rPr>
          <w:rFonts w:ascii="Times New Roman" w:hAnsi="Times New Roman"/>
          <w:szCs w:val="24"/>
        </w:rPr>
        <w:t xml:space="preserve">the </w:t>
      </w:r>
      <w:r w:rsidR="009F1B3A">
        <w:rPr>
          <w:rFonts w:ascii="Times New Roman" w:hAnsi="Times New Roman"/>
          <w:szCs w:val="24"/>
        </w:rPr>
        <w:t>criminal tria</w:t>
      </w:r>
      <w:r w:rsidR="002965F8">
        <w:rPr>
          <w:rFonts w:ascii="Times New Roman" w:hAnsi="Times New Roman"/>
          <w:szCs w:val="24"/>
        </w:rPr>
        <w:t>l</w:t>
      </w:r>
      <w:r w:rsidR="009F1B3A">
        <w:rPr>
          <w:rFonts w:ascii="Times New Roman" w:hAnsi="Times New Roman"/>
          <w:szCs w:val="24"/>
        </w:rPr>
        <w:t xml:space="preserve"> but mostly accommodated in TRCs.</w:t>
      </w:r>
    </w:p>
    <w:p w14:paraId="146EFA40" w14:textId="6B423EA4" w:rsidR="00B514BD" w:rsidRDefault="00CD36FC" w:rsidP="004D44C2">
      <w:pPr>
        <w:spacing w:before="240" w:line="480" w:lineRule="auto"/>
        <w:jc w:val="both"/>
        <w:rPr>
          <w:rFonts w:ascii="Times New Roman" w:hAnsi="Times New Roman"/>
          <w:szCs w:val="24"/>
        </w:rPr>
      </w:pPr>
      <w:r>
        <w:rPr>
          <w:rFonts w:ascii="Times New Roman" w:hAnsi="Times New Roman"/>
          <w:szCs w:val="24"/>
        </w:rPr>
        <w:lastRenderedPageBreak/>
        <w:t>From the victims’ statements, it appears they were vindictive rather than problem resolution.</w:t>
      </w:r>
      <w:r w:rsidR="002965F8">
        <w:rPr>
          <w:rStyle w:val="FootnoteReference"/>
          <w:rFonts w:ascii="Times New Roman" w:hAnsi="Times New Roman"/>
          <w:szCs w:val="24"/>
        </w:rPr>
        <w:footnoteReference w:id="1204"/>
      </w:r>
      <w:r w:rsidR="00B514BD">
        <w:rPr>
          <w:rFonts w:ascii="Times New Roman" w:hAnsi="Times New Roman"/>
          <w:szCs w:val="24"/>
        </w:rPr>
        <w:t xml:space="preserve"> </w:t>
      </w:r>
      <w:r>
        <w:rPr>
          <w:rFonts w:ascii="Times New Roman" w:hAnsi="Times New Roman"/>
          <w:szCs w:val="24"/>
        </w:rPr>
        <w:t xml:space="preserve">The use of legal language also increases </w:t>
      </w:r>
      <w:r w:rsidR="008E3F0E">
        <w:rPr>
          <w:rFonts w:ascii="Times New Roman" w:hAnsi="Times New Roman"/>
          <w:szCs w:val="24"/>
        </w:rPr>
        <w:t xml:space="preserve">the </w:t>
      </w:r>
      <w:r>
        <w:rPr>
          <w:rFonts w:ascii="Times New Roman" w:hAnsi="Times New Roman"/>
          <w:szCs w:val="24"/>
        </w:rPr>
        <w:t>tension</w:t>
      </w:r>
      <w:r w:rsidR="008E3F0E">
        <w:rPr>
          <w:rFonts w:ascii="Times New Roman" w:hAnsi="Times New Roman"/>
          <w:szCs w:val="24"/>
        </w:rPr>
        <w:t xml:space="preserve"> and robs the hearing of </w:t>
      </w:r>
      <w:r w:rsidR="00B514BD">
        <w:rPr>
          <w:rFonts w:ascii="Times New Roman" w:hAnsi="Times New Roman"/>
          <w:szCs w:val="24"/>
        </w:rPr>
        <w:t xml:space="preserve">basic </w:t>
      </w:r>
      <w:r w:rsidR="008E3F0E">
        <w:rPr>
          <w:rFonts w:ascii="Times New Roman" w:hAnsi="Times New Roman"/>
          <w:szCs w:val="24"/>
        </w:rPr>
        <w:t>restorative elements</w:t>
      </w:r>
      <w:r>
        <w:rPr>
          <w:rFonts w:ascii="Times New Roman" w:hAnsi="Times New Roman"/>
          <w:szCs w:val="24"/>
        </w:rPr>
        <w:t xml:space="preserve">. One could not have expected a less </w:t>
      </w:r>
      <w:r w:rsidR="008E3F0E">
        <w:rPr>
          <w:rFonts w:ascii="Times New Roman" w:hAnsi="Times New Roman"/>
          <w:szCs w:val="24"/>
        </w:rPr>
        <w:t>conservative</w:t>
      </w:r>
      <w:r>
        <w:rPr>
          <w:rFonts w:ascii="Times New Roman" w:hAnsi="Times New Roman"/>
          <w:szCs w:val="24"/>
        </w:rPr>
        <w:t xml:space="preserve"> environment given the context of the ICC.</w:t>
      </w:r>
      <w:r w:rsidR="005F1A6C">
        <w:rPr>
          <w:rFonts w:ascii="Times New Roman" w:hAnsi="Times New Roman"/>
          <w:szCs w:val="24"/>
        </w:rPr>
        <w:t xml:space="preserve"> An encounter modelled after the first pillar of restorative justice by Van Ness and </w:t>
      </w:r>
      <w:proofErr w:type="spellStart"/>
      <w:r w:rsidR="005F1A6C">
        <w:rPr>
          <w:rFonts w:ascii="Times New Roman" w:hAnsi="Times New Roman"/>
          <w:szCs w:val="24"/>
        </w:rPr>
        <w:t>Heetderks</w:t>
      </w:r>
      <w:proofErr w:type="spellEnd"/>
      <w:r w:rsidR="005F1A6C">
        <w:rPr>
          <w:rFonts w:ascii="Times New Roman" w:hAnsi="Times New Roman"/>
          <w:szCs w:val="24"/>
        </w:rPr>
        <w:t xml:space="preserve"> Strong is unworkable during the ICC sentencing hearing. Perhaps, the use of the VIS as the voice of victims and fulfilment of procedural justice could become practicable during the sentencing hearing. Nonetheless, the </w:t>
      </w:r>
      <w:r w:rsidR="007C46C5">
        <w:rPr>
          <w:rFonts w:ascii="Times New Roman" w:hAnsi="Times New Roman"/>
          <w:szCs w:val="24"/>
        </w:rPr>
        <w:t xml:space="preserve">encounter </w:t>
      </w:r>
      <w:r w:rsidR="005F1A6C">
        <w:rPr>
          <w:rFonts w:ascii="Times New Roman" w:hAnsi="Times New Roman"/>
          <w:szCs w:val="24"/>
        </w:rPr>
        <w:t xml:space="preserve">procedure requires the absence of a process </w:t>
      </w:r>
      <w:r w:rsidR="00C7070D">
        <w:rPr>
          <w:rFonts w:ascii="Times New Roman" w:hAnsi="Times New Roman"/>
          <w:szCs w:val="24"/>
        </w:rPr>
        <w:t>to determine</w:t>
      </w:r>
      <w:r w:rsidR="005F1A6C">
        <w:rPr>
          <w:rFonts w:ascii="Times New Roman" w:hAnsi="Times New Roman"/>
          <w:szCs w:val="24"/>
        </w:rPr>
        <w:t xml:space="preserve"> punishment</w:t>
      </w:r>
      <w:r w:rsidR="007C46C5">
        <w:rPr>
          <w:rFonts w:ascii="Times New Roman" w:hAnsi="Times New Roman"/>
          <w:szCs w:val="24"/>
        </w:rPr>
        <w:t>, which is not feasible in a traditional retributive arena.</w:t>
      </w:r>
    </w:p>
    <w:p w14:paraId="5684772A" w14:textId="47FE88B6" w:rsidR="002965F8" w:rsidRDefault="002965F8" w:rsidP="004D44C2">
      <w:pPr>
        <w:spacing w:before="240" w:line="480" w:lineRule="auto"/>
        <w:jc w:val="both"/>
        <w:rPr>
          <w:rFonts w:ascii="Times New Roman" w:hAnsi="Times New Roman"/>
          <w:szCs w:val="24"/>
        </w:rPr>
      </w:pPr>
      <w:r>
        <w:rPr>
          <w:rFonts w:ascii="Times New Roman" w:hAnsi="Times New Roman"/>
          <w:szCs w:val="24"/>
        </w:rPr>
        <w:t xml:space="preserve">The sentence review </w:t>
      </w:r>
      <w:r w:rsidR="00C7070D">
        <w:rPr>
          <w:rFonts w:ascii="Times New Roman" w:hAnsi="Times New Roman"/>
          <w:szCs w:val="24"/>
        </w:rPr>
        <w:t>considers</w:t>
      </w:r>
      <w:r>
        <w:rPr>
          <w:rFonts w:ascii="Times New Roman" w:hAnsi="Times New Roman"/>
          <w:szCs w:val="24"/>
        </w:rPr>
        <w:t xml:space="preserve"> every participant’s interests by addressing points raised in the sentence, reviewing any improvement by facilitating interaction between the participants. For instance, in the second review, the convicted person, Mr Lubanga proposed a public ceremony to meet with the victims and offer his apologies.</w:t>
      </w:r>
      <w:r>
        <w:rPr>
          <w:rStyle w:val="FootnoteReference"/>
          <w:rFonts w:ascii="Times New Roman" w:hAnsi="Times New Roman"/>
          <w:szCs w:val="24"/>
        </w:rPr>
        <w:footnoteReference w:id="1205"/>
      </w:r>
      <w:r>
        <w:rPr>
          <w:rFonts w:ascii="Times New Roman" w:hAnsi="Times New Roman"/>
          <w:szCs w:val="24"/>
        </w:rPr>
        <w:t xml:space="preserve">Similarly, the sentenced person, Mr Katanga suggested he would meet personally with victims to apologise to fulfil the condition of ‘significant action’ as stipulated in the Statute and rules. The panel recommended a face-to-face between Mr </w:t>
      </w:r>
      <w:r>
        <w:rPr>
          <w:rFonts w:ascii="Times New Roman" w:hAnsi="Times New Roman"/>
          <w:szCs w:val="24"/>
        </w:rPr>
        <w:lastRenderedPageBreak/>
        <w:t>Katanga and the victims, provided the latter were willing to be involved.</w:t>
      </w:r>
      <w:r>
        <w:rPr>
          <w:rStyle w:val="FootnoteReference"/>
          <w:rFonts w:ascii="Times New Roman" w:hAnsi="Times New Roman"/>
          <w:szCs w:val="24"/>
        </w:rPr>
        <w:footnoteReference w:id="1206"/>
      </w:r>
      <w:r w:rsidR="00E051A5">
        <w:rPr>
          <w:rFonts w:ascii="Times New Roman" w:hAnsi="Times New Roman"/>
          <w:szCs w:val="24"/>
        </w:rPr>
        <w:t xml:space="preserve">The </w:t>
      </w:r>
      <w:r w:rsidR="00C825C7">
        <w:rPr>
          <w:rFonts w:ascii="Times New Roman" w:hAnsi="Times New Roman"/>
          <w:szCs w:val="24"/>
        </w:rPr>
        <w:t>convicted persons' proposed encounter</w:t>
      </w:r>
      <w:r w:rsidR="00E051A5">
        <w:rPr>
          <w:rFonts w:ascii="Times New Roman" w:hAnsi="Times New Roman"/>
          <w:szCs w:val="24"/>
        </w:rPr>
        <w:t xml:space="preserve"> and the </w:t>
      </w:r>
      <w:r w:rsidR="00C7070D">
        <w:rPr>
          <w:rFonts w:ascii="Times New Roman" w:hAnsi="Times New Roman"/>
          <w:szCs w:val="24"/>
        </w:rPr>
        <w:t>panel's sanction</w:t>
      </w:r>
      <w:r w:rsidR="00E051A5">
        <w:rPr>
          <w:rFonts w:ascii="Times New Roman" w:hAnsi="Times New Roman"/>
          <w:szCs w:val="24"/>
        </w:rPr>
        <w:t xml:space="preserve"> simulates an ideal encounter for restorative practices.</w:t>
      </w:r>
    </w:p>
    <w:p w14:paraId="35A4FC53" w14:textId="7C99B68C" w:rsidR="005F1A6C" w:rsidRDefault="00B514BD" w:rsidP="004D44C2">
      <w:pPr>
        <w:spacing w:before="240" w:line="480" w:lineRule="auto"/>
        <w:jc w:val="both"/>
        <w:rPr>
          <w:rFonts w:ascii="Times New Roman" w:hAnsi="Times New Roman"/>
          <w:szCs w:val="24"/>
        </w:rPr>
      </w:pPr>
      <w:r>
        <w:rPr>
          <w:rFonts w:ascii="Times New Roman" w:hAnsi="Times New Roman"/>
          <w:szCs w:val="24"/>
        </w:rPr>
        <w:t>The presence of judges, LRVs</w:t>
      </w:r>
      <w:r w:rsidR="009F1B3A">
        <w:rPr>
          <w:rFonts w:ascii="Times New Roman" w:hAnsi="Times New Roman"/>
          <w:szCs w:val="24"/>
        </w:rPr>
        <w:t xml:space="preserve"> and e</w:t>
      </w:r>
      <w:r w:rsidR="00C7070D">
        <w:rPr>
          <w:rFonts w:ascii="Times New Roman" w:hAnsi="Times New Roman"/>
          <w:szCs w:val="24"/>
        </w:rPr>
        <w:t>vidence examination</w:t>
      </w:r>
      <w:r>
        <w:rPr>
          <w:rFonts w:ascii="Times New Roman" w:hAnsi="Times New Roman"/>
          <w:szCs w:val="24"/>
        </w:rPr>
        <w:t xml:space="preserve"> may also hinder the outcome agreement as it is best achieved within a relaxed social context. The encounter set the stage for amends and re-integration.</w:t>
      </w:r>
      <w:r w:rsidR="005F1A6C">
        <w:rPr>
          <w:rFonts w:ascii="Times New Roman" w:hAnsi="Times New Roman"/>
          <w:szCs w:val="24"/>
        </w:rPr>
        <w:t xml:space="preserve"> </w:t>
      </w:r>
    </w:p>
    <w:p w14:paraId="30CF2C37" w14:textId="6E7B6CB5" w:rsidR="005F1A6C" w:rsidRDefault="005F1A6C" w:rsidP="004D44C2">
      <w:pPr>
        <w:spacing w:before="240" w:line="480" w:lineRule="auto"/>
        <w:jc w:val="both"/>
        <w:rPr>
          <w:rFonts w:ascii="Times New Roman" w:hAnsi="Times New Roman"/>
          <w:szCs w:val="24"/>
        </w:rPr>
      </w:pPr>
      <w:r>
        <w:rPr>
          <w:rFonts w:ascii="Times New Roman" w:hAnsi="Times New Roman"/>
          <w:szCs w:val="24"/>
        </w:rPr>
        <w:t>In the following part, the researcher briefly discusses amends and draws comparison from the context of ICC sentencing hearing.</w:t>
      </w:r>
    </w:p>
    <w:p w14:paraId="310D7E3E" w14:textId="613AE13B" w:rsidR="001D52BF" w:rsidRPr="00C56931" w:rsidRDefault="00C56931" w:rsidP="005725E4">
      <w:pPr>
        <w:pStyle w:val="Heading4"/>
      </w:pPr>
      <w:bookmarkStart w:id="94" w:name="_Toc60235858"/>
      <w:r>
        <w:t xml:space="preserve">4.7.8.2 </w:t>
      </w:r>
      <w:r w:rsidR="005F1A6C" w:rsidRPr="00C56931">
        <w:t>Amends</w:t>
      </w:r>
      <w:bookmarkEnd w:id="94"/>
    </w:p>
    <w:p w14:paraId="3752AD80" w14:textId="3C1BB4EA" w:rsidR="00947108" w:rsidRDefault="001D52BF" w:rsidP="00947108">
      <w:pPr>
        <w:spacing w:before="240" w:line="480" w:lineRule="auto"/>
        <w:jc w:val="both"/>
        <w:rPr>
          <w:rFonts w:ascii="Times New Roman" w:hAnsi="Times New Roman"/>
          <w:szCs w:val="24"/>
        </w:rPr>
      </w:pPr>
      <w:r>
        <w:rPr>
          <w:rFonts w:ascii="Times New Roman" w:hAnsi="Times New Roman"/>
          <w:szCs w:val="24"/>
        </w:rPr>
        <w:t>Amends is the role of the offender to address and repair the harm suffered by the victim. The outcome is usually to heal the individuals</w:t>
      </w:r>
      <w:r w:rsidR="00C56931">
        <w:rPr>
          <w:rFonts w:ascii="Times New Roman" w:hAnsi="Times New Roman"/>
          <w:szCs w:val="24"/>
        </w:rPr>
        <w:t xml:space="preserve"> from the consequences of the harm and wrongdoing</w:t>
      </w:r>
      <w:r>
        <w:rPr>
          <w:rFonts w:ascii="Times New Roman" w:hAnsi="Times New Roman"/>
          <w:szCs w:val="24"/>
        </w:rPr>
        <w:t>.</w:t>
      </w:r>
      <w:r>
        <w:rPr>
          <w:rStyle w:val="FootnoteReference"/>
          <w:rFonts w:ascii="Times New Roman" w:hAnsi="Times New Roman"/>
          <w:szCs w:val="24"/>
        </w:rPr>
        <w:footnoteReference w:id="1207"/>
      </w:r>
      <w:r w:rsidR="005F1A6C" w:rsidRPr="001D52BF">
        <w:rPr>
          <w:rFonts w:ascii="Times New Roman" w:hAnsi="Times New Roman"/>
          <w:szCs w:val="24"/>
        </w:rPr>
        <w:t xml:space="preserve"> </w:t>
      </w:r>
      <w:r w:rsidR="00947108">
        <w:rPr>
          <w:rFonts w:ascii="Times New Roman" w:hAnsi="Times New Roman"/>
          <w:szCs w:val="24"/>
        </w:rPr>
        <w:t>The offender’s acknowledgement of the offence</w:t>
      </w:r>
      <w:r w:rsidR="00B514BD">
        <w:rPr>
          <w:rFonts w:ascii="Times New Roman" w:hAnsi="Times New Roman"/>
          <w:szCs w:val="24"/>
        </w:rPr>
        <w:t xml:space="preserve">, as well as an apology, </w:t>
      </w:r>
      <w:r w:rsidR="00947108">
        <w:rPr>
          <w:rFonts w:ascii="Times New Roman" w:hAnsi="Times New Roman"/>
          <w:szCs w:val="24"/>
        </w:rPr>
        <w:t xml:space="preserve">is a step towards taking responsibility for the crime he has committed. </w:t>
      </w:r>
      <w:r w:rsidR="00F84155">
        <w:rPr>
          <w:rFonts w:ascii="Times New Roman" w:hAnsi="Times New Roman"/>
          <w:szCs w:val="24"/>
        </w:rPr>
        <w:t>At this phase, the main issu</w:t>
      </w:r>
      <w:r w:rsidR="00947108">
        <w:rPr>
          <w:rFonts w:ascii="Times New Roman" w:hAnsi="Times New Roman"/>
          <w:szCs w:val="24"/>
        </w:rPr>
        <w:t xml:space="preserve">e is the </w:t>
      </w:r>
      <w:r w:rsidR="00C7070D">
        <w:rPr>
          <w:rFonts w:ascii="Times New Roman" w:hAnsi="Times New Roman"/>
          <w:szCs w:val="24"/>
        </w:rPr>
        <w:t>offender's willingness</w:t>
      </w:r>
      <w:r w:rsidR="00947108">
        <w:rPr>
          <w:rFonts w:ascii="Times New Roman" w:hAnsi="Times New Roman"/>
          <w:szCs w:val="24"/>
        </w:rPr>
        <w:t xml:space="preserve"> to acknowledge the crimes they committed, feel remorseful and tender sincere apologies.</w:t>
      </w:r>
      <w:r w:rsidR="00C56931">
        <w:rPr>
          <w:rStyle w:val="FootnoteReference"/>
          <w:rFonts w:ascii="Times New Roman" w:hAnsi="Times New Roman"/>
          <w:szCs w:val="24"/>
        </w:rPr>
        <w:footnoteReference w:id="1208"/>
      </w:r>
      <w:r w:rsidR="00947108">
        <w:rPr>
          <w:rFonts w:ascii="Times New Roman" w:hAnsi="Times New Roman"/>
          <w:szCs w:val="24"/>
        </w:rPr>
        <w:t xml:space="preserve"> These questions arose</w:t>
      </w:r>
      <w:r w:rsidR="004D44C2">
        <w:rPr>
          <w:rFonts w:ascii="Times New Roman" w:hAnsi="Times New Roman"/>
          <w:szCs w:val="24"/>
        </w:rPr>
        <w:t xml:space="preserve"> in the Lubanga case</w:t>
      </w:r>
      <w:r w:rsidR="00947108">
        <w:rPr>
          <w:rFonts w:ascii="Times New Roman" w:hAnsi="Times New Roman"/>
          <w:szCs w:val="24"/>
        </w:rPr>
        <w:t>;</w:t>
      </w:r>
      <w:r w:rsidR="004D44C2">
        <w:rPr>
          <w:rFonts w:ascii="Times New Roman" w:hAnsi="Times New Roman"/>
          <w:szCs w:val="24"/>
        </w:rPr>
        <w:t xml:space="preserve"> the victims disputed the sincerity of his apology and remorsefulness.</w:t>
      </w:r>
      <w:r w:rsidR="00E84B8F">
        <w:rPr>
          <w:rStyle w:val="FootnoteReference"/>
          <w:rFonts w:ascii="Times New Roman" w:hAnsi="Times New Roman"/>
          <w:szCs w:val="24"/>
        </w:rPr>
        <w:footnoteReference w:id="1209"/>
      </w:r>
    </w:p>
    <w:p w14:paraId="575F05FB" w14:textId="0ACF9778" w:rsidR="00EC5BEA" w:rsidRPr="00A41538" w:rsidRDefault="00C7070D" w:rsidP="00EC5BEA">
      <w:pPr>
        <w:spacing w:line="480" w:lineRule="auto"/>
        <w:jc w:val="both"/>
        <w:rPr>
          <w:szCs w:val="24"/>
        </w:rPr>
      </w:pPr>
      <w:r>
        <w:rPr>
          <w:rFonts w:ascii="Times New Roman" w:eastAsia="Cambria" w:hAnsi="Times New Roman"/>
          <w:szCs w:val="24"/>
          <w:lang w:eastAsia="ja-JP"/>
        </w:rPr>
        <w:lastRenderedPageBreak/>
        <w:t>In Lubanga and Katanga, victims</w:t>
      </w:r>
      <w:r w:rsidR="00F43C73">
        <w:rPr>
          <w:rFonts w:ascii="Times New Roman" w:eastAsia="Cambria" w:hAnsi="Times New Roman"/>
          <w:szCs w:val="24"/>
          <w:lang w:eastAsia="ja-JP"/>
        </w:rPr>
        <w:t xml:space="preserve"> lamented about the lack of remorse and insincere apologies from the sentenced persons, Lubanga and Katanga, respectively.</w:t>
      </w:r>
      <w:r w:rsidR="00DB19E4">
        <w:rPr>
          <w:rStyle w:val="FootnoteReference"/>
          <w:rFonts w:ascii="Times New Roman" w:eastAsia="Cambria" w:hAnsi="Times New Roman"/>
          <w:szCs w:val="24"/>
          <w:lang w:eastAsia="ja-JP"/>
        </w:rPr>
        <w:footnoteReference w:id="1210"/>
      </w:r>
      <w:r w:rsidR="00EC5BEA" w:rsidRPr="00EC5BEA">
        <w:rPr>
          <w:rFonts w:ascii="Times New Roman" w:hAnsi="Times New Roman"/>
          <w:szCs w:val="24"/>
        </w:rPr>
        <w:t xml:space="preserve"> </w:t>
      </w:r>
      <w:r w:rsidR="00EC5BEA">
        <w:rPr>
          <w:rFonts w:ascii="Times New Roman" w:hAnsi="Times New Roman"/>
          <w:szCs w:val="24"/>
        </w:rPr>
        <w:t xml:space="preserve">The reluctance of both convicts to show remorse and offer genuine apologies demonstrates the limitations of the </w:t>
      </w:r>
      <w:r>
        <w:rPr>
          <w:rFonts w:ascii="Times New Roman" w:hAnsi="Times New Roman"/>
          <w:szCs w:val="24"/>
        </w:rPr>
        <w:t>court's role</w:t>
      </w:r>
      <w:r w:rsidR="00EC5BEA">
        <w:rPr>
          <w:rFonts w:ascii="Times New Roman" w:hAnsi="Times New Roman"/>
          <w:szCs w:val="24"/>
        </w:rPr>
        <w:t xml:space="preserve"> in the process of restorative justice. Their unwillingness may impede rehabilitation. The convicted person, Lubanga, refused to acknowledge his crimes; his lack of remorse and sincere apology reveals </w:t>
      </w:r>
      <w:r>
        <w:rPr>
          <w:rFonts w:ascii="Times New Roman" w:hAnsi="Times New Roman"/>
          <w:szCs w:val="24"/>
        </w:rPr>
        <w:t>an unrepentant offender's implications</w:t>
      </w:r>
      <w:r w:rsidR="00EC5BEA">
        <w:rPr>
          <w:rFonts w:ascii="Times New Roman" w:hAnsi="Times New Roman"/>
          <w:szCs w:val="24"/>
        </w:rPr>
        <w:t xml:space="preserve"> on the restorative justice process.</w:t>
      </w:r>
      <w:r w:rsidR="00EC5BEA" w:rsidRPr="00D20501">
        <w:rPr>
          <w:rFonts w:ascii="Times New Roman" w:hAnsi="Times New Roman"/>
          <w:szCs w:val="24"/>
        </w:rPr>
        <w:t xml:space="preserve"> </w:t>
      </w:r>
      <w:r w:rsidR="00EC5BEA">
        <w:rPr>
          <w:rFonts w:ascii="Times New Roman" w:hAnsi="Times New Roman"/>
          <w:szCs w:val="24"/>
        </w:rPr>
        <w:t>A reference to Doolin’s proposal supports the idea of using coercion to ensure a stakeholder’s(offender) presence in the restorative justice process.</w:t>
      </w:r>
      <w:r w:rsidR="00EC5BEA">
        <w:rPr>
          <w:rStyle w:val="FootnoteReference"/>
          <w:rFonts w:ascii="Times New Roman" w:hAnsi="Times New Roman"/>
          <w:szCs w:val="24"/>
        </w:rPr>
        <w:footnoteReference w:id="1211"/>
      </w:r>
      <w:r w:rsidR="00EC5BEA">
        <w:rPr>
          <w:rFonts w:ascii="Times New Roman" w:hAnsi="Times New Roman"/>
          <w:szCs w:val="24"/>
        </w:rPr>
        <w:t xml:space="preserve"> Coercion may be unworkable in practice as it may sabotage both process and outcome. </w:t>
      </w:r>
      <w:r w:rsidR="00EC5BEA" w:rsidRPr="00D20501">
        <w:rPr>
          <w:rFonts w:ascii="Times New Roman" w:hAnsi="Times New Roman"/>
          <w:szCs w:val="24"/>
        </w:rPr>
        <w:t>We should bear in mind that at this point,  apology from t</w:t>
      </w:r>
      <w:r w:rsidR="00EC5BEA">
        <w:rPr>
          <w:rFonts w:ascii="Times New Roman" w:hAnsi="Times New Roman"/>
          <w:szCs w:val="24"/>
        </w:rPr>
        <w:t>he convict should be voluntary. Coercion</w:t>
      </w:r>
      <w:r w:rsidR="00EC5BEA" w:rsidRPr="00D20501">
        <w:rPr>
          <w:rFonts w:ascii="Times New Roman" w:hAnsi="Times New Roman"/>
          <w:szCs w:val="24"/>
        </w:rPr>
        <w:t xml:space="preserve"> is not an effective strategy to receive </w:t>
      </w:r>
      <w:r w:rsidR="00EC5BEA">
        <w:rPr>
          <w:rFonts w:ascii="Times New Roman" w:hAnsi="Times New Roman"/>
          <w:szCs w:val="24"/>
        </w:rPr>
        <w:t xml:space="preserve">an </w:t>
      </w:r>
      <w:r w:rsidR="00EC5BEA" w:rsidRPr="00D20501">
        <w:rPr>
          <w:rFonts w:ascii="Times New Roman" w:hAnsi="Times New Roman"/>
          <w:szCs w:val="24"/>
        </w:rPr>
        <w:t>apology from the convict.</w:t>
      </w:r>
      <w:r w:rsidR="00EC5BEA">
        <w:rPr>
          <w:rFonts w:ascii="Times New Roman" w:hAnsi="Times New Roman"/>
          <w:szCs w:val="24"/>
        </w:rPr>
        <w:t xml:space="preserve"> </w:t>
      </w:r>
      <w:r>
        <w:rPr>
          <w:rFonts w:ascii="Times New Roman" w:hAnsi="Times New Roman"/>
          <w:szCs w:val="24"/>
        </w:rPr>
        <w:t>Nothing</w:t>
      </w:r>
      <w:r w:rsidR="00EC5BEA">
        <w:rPr>
          <w:rFonts w:ascii="Times New Roman" w:hAnsi="Times New Roman"/>
          <w:szCs w:val="24"/>
        </w:rPr>
        <w:t xml:space="preserve"> could have been done to persuade the offender; Lubanga; even imprisonment could not induce him to apologise to the victims. Voluntariness/willingness on his part was required. </w:t>
      </w:r>
    </w:p>
    <w:p w14:paraId="275CCBD7" w14:textId="25AA5C36" w:rsidR="008E0478" w:rsidRDefault="008E0478" w:rsidP="00947108">
      <w:pPr>
        <w:spacing w:before="24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The convicted person’s remorse and sincere apology </w:t>
      </w:r>
      <w:r w:rsidR="00C7070D">
        <w:rPr>
          <w:rFonts w:ascii="Times New Roman" w:eastAsia="Cambria" w:hAnsi="Times New Roman"/>
          <w:szCs w:val="24"/>
          <w:lang w:eastAsia="ja-JP"/>
        </w:rPr>
        <w:t>are factors that</w:t>
      </w:r>
      <w:r>
        <w:rPr>
          <w:rFonts w:ascii="Times New Roman" w:eastAsia="Cambria" w:hAnsi="Times New Roman"/>
          <w:szCs w:val="24"/>
          <w:lang w:eastAsia="ja-JP"/>
        </w:rPr>
        <w:t xml:space="preserve"> the judges assess at sentencing and sentence review. Metrics for character assessment and </w:t>
      </w:r>
      <w:r w:rsidR="00EC5BEA">
        <w:rPr>
          <w:rFonts w:ascii="Times New Roman" w:eastAsia="Cambria" w:hAnsi="Times New Roman"/>
          <w:szCs w:val="24"/>
          <w:lang w:eastAsia="ja-JP"/>
        </w:rPr>
        <w:t>improvement.</w:t>
      </w:r>
      <w:r>
        <w:rPr>
          <w:rFonts w:ascii="Times New Roman" w:eastAsia="Cambria" w:hAnsi="Times New Roman"/>
          <w:szCs w:val="24"/>
          <w:lang w:eastAsia="ja-JP"/>
        </w:rPr>
        <w:t xml:space="preserve"> </w:t>
      </w:r>
      <w:r>
        <w:rPr>
          <w:rFonts w:ascii="Times New Roman" w:eastAsia="Cambria" w:hAnsi="Times New Roman"/>
          <w:szCs w:val="24"/>
          <w:lang w:eastAsia="ja-JP"/>
        </w:rPr>
        <w:lastRenderedPageBreak/>
        <w:t>The convict’s remorse and sincere apologies have contributed towards the mitigating and aggravating circumstances as well as sentence reduction. However, assessing contrition and sincere apology has undoubtedly led to controversy between victims and convicts</w:t>
      </w:r>
      <w:r w:rsidR="00857BBD">
        <w:rPr>
          <w:rFonts w:ascii="Times New Roman" w:eastAsia="Cambria" w:hAnsi="Times New Roman"/>
          <w:szCs w:val="24"/>
          <w:lang w:eastAsia="ja-JP"/>
        </w:rPr>
        <w:t xml:space="preserve"> because of differing </w:t>
      </w:r>
      <w:r w:rsidR="00C7070D">
        <w:rPr>
          <w:rFonts w:ascii="Times New Roman" w:eastAsia="Cambria" w:hAnsi="Times New Roman"/>
          <w:szCs w:val="24"/>
          <w:lang w:eastAsia="ja-JP"/>
        </w:rPr>
        <w:t>conforming standards</w:t>
      </w:r>
      <w:r w:rsidR="00857BBD">
        <w:rPr>
          <w:rFonts w:ascii="Times New Roman" w:eastAsia="Cambria" w:hAnsi="Times New Roman"/>
          <w:szCs w:val="24"/>
          <w:lang w:eastAsia="ja-JP"/>
        </w:rPr>
        <w:t>.</w:t>
      </w:r>
    </w:p>
    <w:p w14:paraId="0F4C58B0" w14:textId="0B6F0A8F" w:rsidR="000B134D" w:rsidRDefault="00C56931" w:rsidP="00947108">
      <w:pPr>
        <w:spacing w:before="24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Victims’ reactions to the </w:t>
      </w:r>
      <w:r w:rsidR="00C7070D">
        <w:rPr>
          <w:rFonts w:ascii="Times New Roman" w:eastAsia="Cambria" w:hAnsi="Times New Roman"/>
          <w:szCs w:val="24"/>
          <w:lang w:eastAsia="ja-JP"/>
        </w:rPr>
        <w:t>convicted person's apathetic attitude</w:t>
      </w:r>
      <w:r>
        <w:rPr>
          <w:rFonts w:ascii="Times New Roman" w:eastAsia="Cambria" w:hAnsi="Times New Roman"/>
          <w:szCs w:val="24"/>
          <w:lang w:eastAsia="ja-JP"/>
        </w:rPr>
        <w:t xml:space="preserve"> indicate they</w:t>
      </w:r>
      <w:r w:rsidR="00F43C73">
        <w:rPr>
          <w:rFonts w:ascii="Times New Roman" w:eastAsia="Cambria" w:hAnsi="Times New Roman"/>
          <w:szCs w:val="24"/>
          <w:lang w:eastAsia="ja-JP"/>
        </w:rPr>
        <w:t xml:space="preserve"> value remorse and sincere apology from the perpetrators. </w:t>
      </w:r>
      <w:r w:rsidR="00B514BD">
        <w:rPr>
          <w:rFonts w:ascii="Times New Roman" w:eastAsia="Cambria" w:hAnsi="Times New Roman"/>
          <w:szCs w:val="24"/>
          <w:lang w:eastAsia="ja-JP"/>
        </w:rPr>
        <w:t>It is hard for an offender who had persistently denied the charges to accept responsibility and tender apology.</w:t>
      </w:r>
      <w:r w:rsidR="00F43C73">
        <w:rPr>
          <w:rFonts w:ascii="Times New Roman" w:eastAsia="Cambria" w:hAnsi="Times New Roman"/>
          <w:szCs w:val="24"/>
          <w:lang w:eastAsia="ja-JP"/>
        </w:rPr>
        <w:t xml:space="preserve"> </w:t>
      </w:r>
      <w:r w:rsidR="00CD4610">
        <w:rPr>
          <w:rFonts w:ascii="Times New Roman" w:eastAsia="Cambria" w:hAnsi="Times New Roman"/>
          <w:szCs w:val="24"/>
          <w:lang w:eastAsia="ja-JP"/>
        </w:rPr>
        <w:t>Lubanga and Katanga were reluctant in accepting the responsibility of the crime committed. It is interesting to note that the Chamber and the panel(sentence reduction)  established their obligations</w:t>
      </w:r>
      <w:r w:rsidR="000B134D">
        <w:rPr>
          <w:rFonts w:ascii="Times New Roman" w:eastAsia="Cambria" w:hAnsi="Times New Roman"/>
          <w:szCs w:val="24"/>
          <w:lang w:eastAsia="ja-JP"/>
        </w:rPr>
        <w:t xml:space="preserve"> </w:t>
      </w:r>
      <w:r w:rsidR="00CD4610">
        <w:rPr>
          <w:rFonts w:ascii="Times New Roman" w:eastAsia="Cambria" w:hAnsi="Times New Roman"/>
          <w:szCs w:val="24"/>
          <w:lang w:eastAsia="ja-JP"/>
        </w:rPr>
        <w:t>in this respect.</w:t>
      </w:r>
      <w:r w:rsidR="000B134D">
        <w:rPr>
          <w:rFonts w:ascii="Times New Roman" w:eastAsia="Cambria" w:hAnsi="Times New Roman"/>
          <w:szCs w:val="24"/>
          <w:lang w:eastAsia="ja-JP"/>
        </w:rPr>
        <w:t xml:space="preserve"> Of utmost importance </w:t>
      </w:r>
      <w:r w:rsidR="00C7070D">
        <w:rPr>
          <w:rFonts w:ascii="Times New Roman" w:eastAsia="Cambria" w:hAnsi="Times New Roman"/>
          <w:szCs w:val="24"/>
          <w:lang w:eastAsia="ja-JP"/>
        </w:rPr>
        <w:t>are</w:t>
      </w:r>
      <w:r w:rsidR="000B134D">
        <w:rPr>
          <w:rFonts w:ascii="Times New Roman" w:eastAsia="Cambria" w:hAnsi="Times New Roman"/>
          <w:szCs w:val="24"/>
          <w:lang w:eastAsia="ja-JP"/>
        </w:rPr>
        <w:t xml:space="preserve"> the Chamber’s assessment of whether the offenders’ apologies were genuine and the </w:t>
      </w:r>
      <w:r w:rsidR="00C7070D">
        <w:rPr>
          <w:rFonts w:ascii="Times New Roman" w:eastAsia="Cambria" w:hAnsi="Times New Roman"/>
          <w:szCs w:val="24"/>
          <w:lang w:eastAsia="ja-JP"/>
        </w:rPr>
        <w:t>victims' remorsefulness</w:t>
      </w:r>
      <w:r w:rsidR="000B134D">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1212"/>
      </w:r>
      <w:r w:rsidR="000B134D">
        <w:rPr>
          <w:rFonts w:ascii="Times New Roman" w:eastAsia="Cambria" w:hAnsi="Times New Roman"/>
          <w:szCs w:val="24"/>
          <w:lang w:eastAsia="ja-JP"/>
        </w:rPr>
        <w:t xml:space="preserve"> </w:t>
      </w:r>
      <w:r>
        <w:rPr>
          <w:rFonts w:ascii="Times New Roman" w:eastAsia="Cambria" w:hAnsi="Times New Roman"/>
          <w:szCs w:val="24"/>
          <w:lang w:eastAsia="ja-JP"/>
        </w:rPr>
        <w:t>This is inferred from the conditions set out in Rule 145.</w:t>
      </w:r>
    </w:p>
    <w:p w14:paraId="04745A7B" w14:textId="6DE0CC9A" w:rsidR="00EC5BEA" w:rsidRDefault="00F43C73" w:rsidP="00EC5BEA">
      <w:pPr>
        <w:spacing w:before="24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Victims may obtain closure from apologies </w:t>
      </w:r>
      <w:r w:rsidR="000B134D">
        <w:rPr>
          <w:rFonts w:ascii="Times New Roman" w:eastAsia="Cambria" w:hAnsi="Times New Roman"/>
          <w:szCs w:val="24"/>
          <w:lang w:eastAsia="ja-JP"/>
        </w:rPr>
        <w:t>because</w:t>
      </w:r>
      <w:r>
        <w:rPr>
          <w:rFonts w:ascii="Times New Roman" w:eastAsia="Cambria" w:hAnsi="Times New Roman"/>
          <w:szCs w:val="24"/>
          <w:lang w:eastAsia="ja-JP"/>
        </w:rPr>
        <w:t xml:space="preserve"> it validates the offender’s acknowledgement of the crimes committed. </w:t>
      </w:r>
      <w:r w:rsidR="00B514BD">
        <w:rPr>
          <w:rFonts w:ascii="Times New Roman" w:eastAsia="Cambria" w:hAnsi="Times New Roman"/>
          <w:szCs w:val="24"/>
          <w:lang w:eastAsia="ja-JP"/>
        </w:rPr>
        <w:t>Apology increases solidarity between the stakeholders and reasserts the identities</w:t>
      </w:r>
      <w:r w:rsidR="00B665DA">
        <w:rPr>
          <w:rFonts w:ascii="Times New Roman" w:eastAsia="Cambria" w:hAnsi="Times New Roman"/>
          <w:szCs w:val="24"/>
          <w:lang w:eastAsia="ja-JP"/>
        </w:rPr>
        <w:t xml:space="preserve"> of the parties involved</w:t>
      </w:r>
      <w:r w:rsidR="00B514BD">
        <w:rPr>
          <w:rFonts w:ascii="Times New Roman" w:eastAsia="Cambria" w:hAnsi="Times New Roman"/>
          <w:szCs w:val="24"/>
          <w:lang w:eastAsia="ja-JP"/>
        </w:rPr>
        <w:t>.</w:t>
      </w:r>
      <w:r w:rsidR="00B514BD">
        <w:rPr>
          <w:rStyle w:val="FootnoteReference"/>
          <w:rFonts w:ascii="Times New Roman" w:eastAsia="Cambria" w:hAnsi="Times New Roman"/>
          <w:szCs w:val="24"/>
          <w:lang w:eastAsia="ja-JP"/>
        </w:rPr>
        <w:footnoteReference w:id="1213"/>
      </w:r>
      <w:r w:rsidR="007B039C">
        <w:rPr>
          <w:rFonts w:ascii="Times New Roman" w:eastAsia="Cambria" w:hAnsi="Times New Roman"/>
          <w:szCs w:val="24"/>
          <w:lang w:eastAsia="ja-JP"/>
        </w:rPr>
        <w:t>One could classify an</w:t>
      </w:r>
      <w:r w:rsidR="004D44C2">
        <w:rPr>
          <w:rFonts w:ascii="Times New Roman" w:eastAsia="Cambria" w:hAnsi="Times New Roman"/>
          <w:szCs w:val="24"/>
          <w:lang w:eastAsia="ja-JP"/>
        </w:rPr>
        <w:t xml:space="preserve"> a</w:t>
      </w:r>
      <w:r>
        <w:rPr>
          <w:rFonts w:ascii="Times New Roman" w:eastAsia="Cambria" w:hAnsi="Times New Roman"/>
          <w:szCs w:val="24"/>
          <w:lang w:eastAsia="ja-JP"/>
        </w:rPr>
        <w:t>pology as making amends-a component of restorative justice.</w:t>
      </w:r>
      <w:r w:rsidR="000B134D">
        <w:rPr>
          <w:rFonts w:ascii="Times New Roman" w:eastAsia="Cambria" w:hAnsi="Times New Roman"/>
          <w:szCs w:val="24"/>
          <w:lang w:eastAsia="ja-JP"/>
        </w:rPr>
        <w:t xml:space="preserve"> </w:t>
      </w:r>
      <w:r>
        <w:rPr>
          <w:rFonts w:ascii="Times New Roman" w:eastAsia="Cambria" w:hAnsi="Times New Roman"/>
          <w:szCs w:val="24"/>
          <w:lang w:eastAsia="ja-JP"/>
        </w:rPr>
        <w:t>It is commendable that the Chamber considered the absence of a</w:t>
      </w:r>
      <w:r w:rsidR="00C56931">
        <w:rPr>
          <w:rFonts w:ascii="Times New Roman" w:eastAsia="Cambria" w:hAnsi="Times New Roman"/>
          <w:szCs w:val="24"/>
          <w:lang w:eastAsia="ja-JP"/>
        </w:rPr>
        <w:t>dmission</w:t>
      </w:r>
      <w:r>
        <w:rPr>
          <w:rFonts w:ascii="Times New Roman" w:eastAsia="Cambria" w:hAnsi="Times New Roman"/>
          <w:szCs w:val="24"/>
          <w:lang w:eastAsia="ja-JP"/>
        </w:rPr>
        <w:t xml:space="preserve"> from the sentenced person and the ingenuity of the </w:t>
      </w:r>
      <w:r w:rsidR="00C56931">
        <w:rPr>
          <w:rFonts w:ascii="Times New Roman" w:eastAsia="Cambria" w:hAnsi="Times New Roman"/>
          <w:szCs w:val="24"/>
          <w:lang w:eastAsia="ja-JP"/>
        </w:rPr>
        <w:t>convict</w:t>
      </w:r>
      <w:r>
        <w:rPr>
          <w:rFonts w:ascii="Times New Roman" w:eastAsia="Cambria" w:hAnsi="Times New Roman"/>
          <w:szCs w:val="24"/>
          <w:lang w:eastAsia="ja-JP"/>
        </w:rPr>
        <w:t xml:space="preserve">ed person’s apology </w:t>
      </w:r>
      <w:r w:rsidR="00C7070D">
        <w:rPr>
          <w:rFonts w:ascii="Times New Roman" w:eastAsia="Cambria" w:hAnsi="Times New Roman"/>
          <w:szCs w:val="24"/>
          <w:lang w:eastAsia="ja-JP"/>
        </w:rPr>
        <w:t>to reduce</w:t>
      </w:r>
      <w:r>
        <w:rPr>
          <w:rFonts w:ascii="Times New Roman" w:eastAsia="Cambria" w:hAnsi="Times New Roman"/>
          <w:szCs w:val="24"/>
          <w:lang w:eastAsia="ja-JP"/>
        </w:rPr>
        <w:t xml:space="preserve"> </w:t>
      </w:r>
      <w:r w:rsidR="00C7070D">
        <w:rPr>
          <w:rFonts w:ascii="Times New Roman" w:eastAsia="Cambria" w:hAnsi="Times New Roman"/>
          <w:szCs w:val="24"/>
          <w:lang w:eastAsia="ja-JP"/>
        </w:rPr>
        <w:t xml:space="preserve">the </w:t>
      </w:r>
      <w:r>
        <w:rPr>
          <w:rFonts w:ascii="Times New Roman" w:eastAsia="Cambria" w:hAnsi="Times New Roman"/>
          <w:szCs w:val="24"/>
          <w:lang w:eastAsia="ja-JP"/>
        </w:rPr>
        <w:t xml:space="preserve">sentence. It reveals that the remorse and sincere apology are significant in mending a broken relationship between </w:t>
      </w:r>
      <w:r>
        <w:rPr>
          <w:rFonts w:ascii="Times New Roman" w:eastAsia="Cambria" w:hAnsi="Times New Roman"/>
          <w:szCs w:val="24"/>
          <w:lang w:eastAsia="ja-JP"/>
        </w:rPr>
        <w:lastRenderedPageBreak/>
        <w:t>the victims and the sentenced persons(perpetrators). An acknowledgement of the c</w:t>
      </w:r>
      <w:r w:rsidR="00C7070D">
        <w:rPr>
          <w:rFonts w:ascii="Times New Roman" w:eastAsia="Cambria" w:hAnsi="Times New Roman"/>
          <w:szCs w:val="24"/>
          <w:lang w:eastAsia="ja-JP"/>
        </w:rPr>
        <w:t>onvicted person's crimes</w:t>
      </w:r>
      <w:r>
        <w:rPr>
          <w:rFonts w:ascii="Times New Roman" w:eastAsia="Cambria" w:hAnsi="Times New Roman"/>
          <w:szCs w:val="24"/>
          <w:lang w:eastAsia="ja-JP"/>
        </w:rPr>
        <w:t xml:space="preserve"> indicates accountability by the perpetrator and validates the </w:t>
      </w:r>
      <w:r w:rsidR="00C825C7">
        <w:rPr>
          <w:rFonts w:ascii="Times New Roman" w:eastAsia="Cambria" w:hAnsi="Times New Roman"/>
          <w:szCs w:val="24"/>
          <w:lang w:eastAsia="ja-JP"/>
        </w:rPr>
        <w:t>victims' harm</w:t>
      </w:r>
      <w:r>
        <w:rPr>
          <w:rFonts w:ascii="Times New Roman" w:eastAsia="Cambria" w:hAnsi="Times New Roman"/>
          <w:szCs w:val="24"/>
          <w:lang w:eastAsia="ja-JP"/>
        </w:rPr>
        <w:t>. Acknowledgement which usually comes before an apology contributes largely to making amends.</w:t>
      </w:r>
      <w:r w:rsidR="007B039C">
        <w:rPr>
          <w:rFonts w:ascii="Times New Roman" w:eastAsia="Cambria" w:hAnsi="Times New Roman"/>
          <w:szCs w:val="24"/>
          <w:lang w:eastAsia="ja-JP"/>
        </w:rPr>
        <w:t xml:space="preserve"> </w:t>
      </w:r>
      <w:r w:rsidR="00A36381">
        <w:rPr>
          <w:rFonts w:ascii="Times New Roman" w:eastAsia="Cambria" w:hAnsi="Times New Roman"/>
          <w:szCs w:val="24"/>
          <w:lang w:eastAsia="ja-JP"/>
        </w:rPr>
        <w:t xml:space="preserve">The Perpetrators’ reluctance to take responsibility </w:t>
      </w:r>
      <w:r w:rsidR="007B039C">
        <w:rPr>
          <w:rFonts w:ascii="Times New Roman" w:eastAsia="Cambria" w:hAnsi="Times New Roman"/>
          <w:szCs w:val="24"/>
          <w:lang w:eastAsia="ja-JP"/>
        </w:rPr>
        <w:t>for</w:t>
      </w:r>
      <w:r w:rsidR="00A36381">
        <w:rPr>
          <w:rFonts w:ascii="Times New Roman" w:eastAsia="Cambria" w:hAnsi="Times New Roman"/>
          <w:szCs w:val="24"/>
          <w:lang w:eastAsia="ja-JP"/>
        </w:rPr>
        <w:t xml:space="preserve"> the crimes is </w:t>
      </w:r>
      <w:r w:rsidR="007B039C">
        <w:rPr>
          <w:rFonts w:ascii="Times New Roman" w:eastAsia="Cambria" w:hAnsi="Times New Roman"/>
          <w:szCs w:val="24"/>
          <w:lang w:eastAsia="ja-JP"/>
        </w:rPr>
        <w:t>typic</w:t>
      </w:r>
      <w:r w:rsidR="00A36381">
        <w:rPr>
          <w:rFonts w:ascii="Times New Roman" w:eastAsia="Cambria" w:hAnsi="Times New Roman"/>
          <w:szCs w:val="24"/>
          <w:lang w:eastAsia="ja-JP"/>
        </w:rPr>
        <w:t>ally connected to the g</w:t>
      </w:r>
      <w:r w:rsidR="007B039C">
        <w:rPr>
          <w:rFonts w:ascii="Times New Roman" w:eastAsia="Cambria" w:hAnsi="Times New Roman"/>
          <w:szCs w:val="24"/>
          <w:lang w:eastAsia="ja-JP"/>
        </w:rPr>
        <w:t>u</w:t>
      </w:r>
      <w:r w:rsidR="00A36381">
        <w:rPr>
          <w:rFonts w:ascii="Times New Roman" w:eastAsia="Cambria" w:hAnsi="Times New Roman"/>
          <w:szCs w:val="24"/>
          <w:lang w:eastAsia="ja-JP"/>
        </w:rPr>
        <w:t>ilty plea.</w:t>
      </w:r>
      <w:r w:rsidR="007B039C">
        <w:rPr>
          <w:rFonts w:ascii="Times New Roman" w:eastAsia="Cambria" w:hAnsi="Times New Roman"/>
          <w:szCs w:val="24"/>
          <w:lang w:eastAsia="ja-JP"/>
        </w:rPr>
        <w:t xml:space="preserve"> </w:t>
      </w:r>
      <w:r w:rsidR="00A36381">
        <w:rPr>
          <w:rFonts w:ascii="Times New Roman" w:eastAsia="Cambria" w:hAnsi="Times New Roman"/>
          <w:szCs w:val="24"/>
          <w:lang w:eastAsia="ja-JP"/>
        </w:rPr>
        <w:t xml:space="preserve">One of the conditions for a successful </w:t>
      </w:r>
      <w:r w:rsidR="00B665DA">
        <w:rPr>
          <w:rFonts w:ascii="Times New Roman" w:eastAsia="Cambria" w:hAnsi="Times New Roman"/>
          <w:szCs w:val="24"/>
          <w:lang w:eastAsia="ja-JP"/>
        </w:rPr>
        <w:t>r</w:t>
      </w:r>
      <w:r w:rsidR="00A36381">
        <w:rPr>
          <w:rFonts w:ascii="Times New Roman" w:eastAsia="Cambria" w:hAnsi="Times New Roman"/>
          <w:szCs w:val="24"/>
          <w:lang w:eastAsia="ja-JP"/>
        </w:rPr>
        <w:t>estorative justice process is that the offender accepts responsibility and makes a guilty plea at any point of the proceedings.</w:t>
      </w:r>
      <w:r w:rsidR="00A36381">
        <w:rPr>
          <w:rStyle w:val="FootnoteReference"/>
          <w:rFonts w:ascii="Times New Roman" w:eastAsia="Cambria" w:hAnsi="Times New Roman"/>
          <w:szCs w:val="24"/>
          <w:lang w:eastAsia="ja-JP"/>
        </w:rPr>
        <w:footnoteReference w:id="1214"/>
      </w:r>
      <w:r w:rsidR="007B039C">
        <w:rPr>
          <w:rFonts w:ascii="Times New Roman" w:eastAsia="Cambria" w:hAnsi="Times New Roman"/>
          <w:szCs w:val="24"/>
          <w:lang w:eastAsia="ja-JP"/>
        </w:rPr>
        <w:t xml:space="preserve">In criminal trials, the accused(now convicted person) mostly contest their guilt. </w:t>
      </w:r>
      <w:r w:rsidR="00274B52">
        <w:rPr>
          <w:rFonts w:ascii="Times New Roman" w:eastAsia="Cambria" w:hAnsi="Times New Roman"/>
          <w:szCs w:val="24"/>
          <w:lang w:eastAsia="ja-JP"/>
        </w:rPr>
        <w:t xml:space="preserve">The acceptance of responsibility contributes towards the establishment of truth. </w:t>
      </w:r>
      <w:r w:rsidR="007B039C">
        <w:rPr>
          <w:rFonts w:ascii="Times New Roman" w:eastAsia="Cambria" w:hAnsi="Times New Roman"/>
          <w:szCs w:val="24"/>
          <w:lang w:eastAsia="ja-JP"/>
        </w:rPr>
        <w:t xml:space="preserve">Therefore, </w:t>
      </w:r>
      <w:r w:rsidR="00EC5BEA">
        <w:rPr>
          <w:rFonts w:ascii="Times New Roman" w:eastAsia="Cambria" w:hAnsi="Times New Roman"/>
          <w:szCs w:val="24"/>
          <w:lang w:eastAsia="ja-JP"/>
        </w:rPr>
        <w:t>the</w:t>
      </w:r>
      <w:r w:rsidR="007B039C">
        <w:rPr>
          <w:rFonts w:ascii="Times New Roman" w:eastAsia="Cambria" w:hAnsi="Times New Roman"/>
          <w:szCs w:val="24"/>
          <w:lang w:eastAsia="ja-JP"/>
        </w:rPr>
        <w:t xml:space="preserve"> absence of </w:t>
      </w:r>
      <w:r w:rsidR="00EC5BEA">
        <w:rPr>
          <w:rFonts w:ascii="Times New Roman" w:eastAsia="Cambria" w:hAnsi="Times New Roman"/>
          <w:szCs w:val="24"/>
          <w:lang w:eastAsia="ja-JP"/>
        </w:rPr>
        <w:t xml:space="preserve">a </w:t>
      </w:r>
      <w:r w:rsidR="007B039C">
        <w:rPr>
          <w:rFonts w:ascii="Times New Roman" w:eastAsia="Cambria" w:hAnsi="Times New Roman"/>
          <w:szCs w:val="24"/>
          <w:lang w:eastAsia="ja-JP"/>
        </w:rPr>
        <w:t>guilty plea could potentially affect a successful res</w:t>
      </w:r>
      <w:r w:rsidR="003316F8">
        <w:rPr>
          <w:rFonts w:ascii="Times New Roman" w:eastAsia="Cambria" w:hAnsi="Times New Roman"/>
          <w:szCs w:val="24"/>
          <w:lang w:eastAsia="ja-JP"/>
        </w:rPr>
        <w:t>toration</w:t>
      </w:r>
      <w:r w:rsidR="007B039C">
        <w:rPr>
          <w:rFonts w:ascii="Times New Roman" w:hAnsi="Times New Roman"/>
          <w:szCs w:val="24"/>
        </w:rPr>
        <w:t xml:space="preserve">. </w:t>
      </w:r>
      <w:r w:rsidR="00BB2F30">
        <w:rPr>
          <w:rFonts w:ascii="Times New Roman" w:eastAsia="Cambria" w:hAnsi="Times New Roman"/>
          <w:szCs w:val="24"/>
          <w:lang w:eastAsia="ja-JP"/>
        </w:rPr>
        <w:t xml:space="preserve">The hesitation of the </w:t>
      </w:r>
      <w:r w:rsidR="00B665DA">
        <w:rPr>
          <w:rFonts w:ascii="Times New Roman" w:eastAsia="Cambria" w:hAnsi="Times New Roman"/>
          <w:szCs w:val="24"/>
          <w:lang w:eastAsia="ja-JP"/>
        </w:rPr>
        <w:t>sentenc</w:t>
      </w:r>
      <w:r w:rsidR="00BB2F30">
        <w:rPr>
          <w:rFonts w:ascii="Times New Roman" w:eastAsia="Cambria" w:hAnsi="Times New Roman"/>
          <w:szCs w:val="24"/>
          <w:lang w:eastAsia="ja-JP"/>
        </w:rPr>
        <w:t xml:space="preserve">ed persons to tender, sincere apologies to the victims </w:t>
      </w:r>
      <w:r w:rsidR="00F83945">
        <w:rPr>
          <w:rFonts w:ascii="Times New Roman" w:eastAsia="Cambria" w:hAnsi="Times New Roman"/>
          <w:szCs w:val="24"/>
          <w:lang w:eastAsia="ja-JP"/>
        </w:rPr>
        <w:t xml:space="preserve">supposes </w:t>
      </w:r>
      <w:r w:rsidR="00B665DA">
        <w:rPr>
          <w:rFonts w:ascii="Times New Roman" w:eastAsia="Cambria" w:hAnsi="Times New Roman"/>
          <w:szCs w:val="24"/>
          <w:lang w:eastAsia="ja-JP"/>
        </w:rPr>
        <w:t>lack</w:t>
      </w:r>
      <w:r w:rsidR="00F83945">
        <w:rPr>
          <w:rFonts w:ascii="Times New Roman" w:eastAsia="Cambria" w:hAnsi="Times New Roman"/>
          <w:szCs w:val="24"/>
          <w:lang w:eastAsia="ja-JP"/>
        </w:rPr>
        <w:t xml:space="preserve"> of willingness to rectify the damage. </w:t>
      </w:r>
      <w:r w:rsidR="00BB2F30">
        <w:rPr>
          <w:rFonts w:ascii="Times New Roman" w:eastAsia="Cambria" w:hAnsi="Times New Roman"/>
          <w:szCs w:val="24"/>
          <w:lang w:eastAsia="ja-JP"/>
        </w:rPr>
        <w:t>Unfortunately</w:t>
      </w:r>
      <w:r w:rsidR="00577D4E">
        <w:rPr>
          <w:rFonts w:ascii="Times New Roman" w:eastAsia="Cambria" w:hAnsi="Times New Roman"/>
          <w:szCs w:val="24"/>
          <w:lang w:eastAsia="ja-JP"/>
        </w:rPr>
        <w:t>, t</w:t>
      </w:r>
      <w:r w:rsidR="00BB2F30">
        <w:rPr>
          <w:rFonts w:ascii="Times New Roman" w:eastAsia="Cambria" w:hAnsi="Times New Roman"/>
          <w:szCs w:val="24"/>
          <w:lang w:eastAsia="ja-JP"/>
        </w:rPr>
        <w:t>he Court cannot coerce the perpetrators</w:t>
      </w:r>
      <w:r w:rsidR="00577D4E">
        <w:rPr>
          <w:rFonts w:ascii="Times New Roman" w:eastAsia="Cambria" w:hAnsi="Times New Roman"/>
          <w:szCs w:val="24"/>
          <w:lang w:eastAsia="ja-JP"/>
        </w:rPr>
        <w:t xml:space="preserve"> to make amends.</w:t>
      </w:r>
      <w:r w:rsidR="007B039C">
        <w:rPr>
          <w:rFonts w:ascii="Times New Roman" w:eastAsia="Cambria" w:hAnsi="Times New Roman"/>
          <w:szCs w:val="24"/>
          <w:lang w:eastAsia="ja-JP"/>
        </w:rPr>
        <w:t xml:space="preserve"> </w:t>
      </w:r>
      <w:r w:rsidR="00577D4E">
        <w:rPr>
          <w:rFonts w:ascii="Times New Roman" w:eastAsia="Cambria" w:hAnsi="Times New Roman"/>
          <w:szCs w:val="24"/>
          <w:lang w:eastAsia="ja-JP"/>
        </w:rPr>
        <w:t>All parties must participate voluntarily.</w:t>
      </w:r>
      <w:r w:rsidR="007B039C">
        <w:rPr>
          <w:rFonts w:ascii="Times New Roman" w:eastAsia="Cambria" w:hAnsi="Times New Roman"/>
          <w:szCs w:val="24"/>
          <w:lang w:eastAsia="ja-JP"/>
        </w:rPr>
        <w:t xml:space="preserve"> </w:t>
      </w:r>
      <w:r w:rsidR="00EC5BEA">
        <w:rPr>
          <w:rFonts w:ascii="Times New Roman" w:eastAsia="Cambria" w:hAnsi="Times New Roman"/>
          <w:szCs w:val="24"/>
          <w:lang w:eastAsia="ja-JP"/>
        </w:rPr>
        <w:t xml:space="preserve">However, it can facilitate an encounter between the victims and convicts to facilitate reconciliation. </w:t>
      </w:r>
      <w:r w:rsidR="007B039C">
        <w:rPr>
          <w:rFonts w:ascii="Times New Roman" w:eastAsia="Cambria" w:hAnsi="Times New Roman"/>
          <w:szCs w:val="24"/>
          <w:lang w:eastAsia="ja-JP"/>
        </w:rPr>
        <w:t xml:space="preserve">Perhaps, suppose the ICC can arrange a pre or post-sentence restorative justice process for victims. </w:t>
      </w:r>
    </w:p>
    <w:p w14:paraId="1CA0C085" w14:textId="3A525ADB" w:rsidR="00282F03" w:rsidRPr="00EC5BEA" w:rsidRDefault="007B039C" w:rsidP="00EC5BEA">
      <w:pPr>
        <w:spacing w:before="240" w:line="480" w:lineRule="auto"/>
        <w:jc w:val="both"/>
        <w:rPr>
          <w:rFonts w:ascii="Times New Roman" w:hAnsi="Times New Roman"/>
          <w:szCs w:val="24"/>
        </w:rPr>
      </w:pPr>
      <w:r>
        <w:rPr>
          <w:rFonts w:ascii="Times New Roman" w:eastAsia="Cambria" w:hAnsi="Times New Roman"/>
          <w:szCs w:val="24"/>
          <w:lang w:eastAsia="ja-JP"/>
        </w:rPr>
        <w:t xml:space="preserve">In that case, it is commendable that the ICC provided victims to participate directly and indirectly during the criminal justice process, which gives an accent of the restorative justice activity. However, this is fettered with use of LRVs and the restraints of criminal justice procedures. The few victims who participate directly may not represent the </w:t>
      </w:r>
      <w:r>
        <w:rPr>
          <w:rFonts w:ascii="Times New Roman" w:eastAsia="Cambria" w:hAnsi="Times New Roman"/>
          <w:szCs w:val="24"/>
          <w:lang w:eastAsia="ja-JP"/>
        </w:rPr>
        <w:lastRenderedPageBreak/>
        <w:t>interests of the larger percentage of victims. One implication of this is the promotion of tokenism for victims participation.</w:t>
      </w:r>
    </w:p>
    <w:p w14:paraId="7CC86C24" w14:textId="40CB9BB7" w:rsidR="007B039C" w:rsidRDefault="007B039C" w:rsidP="00CC1410">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While restorative justice is not a substitute </w:t>
      </w:r>
      <w:r w:rsidR="00C7070D">
        <w:rPr>
          <w:rFonts w:ascii="Times New Roman" w:eastAsia="Cambria" w:hAnsi="Times New Roman"/>
          <w:szCs w:val="24"/>
          <w:lang w:eastAsia="ja-JP"/>
        </w:rPr>
        <w:t>or the opposite of retributive justice</w:t>
      </w:r>
      <w:r w:rsidR="00A00ADD">
        <w:rPr>
          <w:rFonts w:ascii="Times New Roman" w:eastAsia="Cambria" w:hAnsi="Times New Roman"/>
          <w:szCs w:val="24"/>
          <w:lang w:eastAsia="ja-JP"/>
        </w:rPr>
        <w:t>,</w:t>
      </w:r>
      <w:r w:rsidR="00A00ADD">
        <w:rPr>
          <w:rStyle w:val="FootnoteReference"/>
          <w:rFonts w:ascii="Times New Roman" w:eastAsia="Cambria" w:hAnsi="Times New Roman"/>
          <w:szCs w:val="24"/>
          <w:lang w:eastAsia="ja-JP"/>
        </w:rPr>
        <w:footnoteReference w:id="1215"/>
      </w:r>
      <w:r w:rsidR="00A00ADD">
        <w:rPr>
          <w:rFonts w:ascii="Times New Roman" w:eastAsia="Cambria" w:hAnsi="Times New Roman"/>
          <w:szCs w:val="24"/>
          <w:lang w:eastAsia="ja-JP"/>
        </w:rPr>
        <w:t xml:space="preserve"> t</w:t>
      </w:r>
      <w:r w:rsidR="00C7070D">
        <w:rPr>
          <w:rFonts w:ascii="Times New Roman" w:eastAsia="Cambria" w:hAnsi="Times New Roman"/>
          <w:szCs w:val="24"/>
          <w:lang w:eastAsia="ja-JP"/>
        </w:rPr>
        <w:t>he court can simultaneously use both</w:t>
      </w:r>
      <w:r>
        <w:rPr>
          <w:rFonts w:ascii="Times New Roman" w:eastAsia="Cambria" w:hAnsi="Times New Roman"/>
          <w:szCs w:val="24"/>
          <w:lang w:eastAsia="ja-JP"/>
        </w:rPr>
        <w:t xml:space="preserve"> to address the wrong and harm.</w:t>
      </w:r>
      <w:r w:rsidR="004661B7">
        <w:rPr>
          <w:rFonts w:ascii="Times New Roman" w:eastAsia="Cambria" w:hAnsi="Times New Roman"/>
          <w:szCs w:val="24"/>
          <w:lang w:eastAsia="ja-JP"/>
        </w:rPr>
        <w:t xml:space="preserve"> Inevitably, in a criminal trial, retributive justice may overshadow the </w:t>
      </w:r>
      <w:r w:rsidR="00A6463A">
        <w:rPr>
          <w:rFonts w:ascii="Times New Roman" w:eastAsia="Cambria" w:hAnsi="Times New Roman"/>
          <w:szCs w:val="24"/>
          <w:lang w:eastAsia="ja-JP"/>
        </w:rPr>
        <w:t>interaction between the stakeholders.</w:t>
      </w:r>
    </w:p>
    <w:p w14:paraId="74F74AD4" w14:textId="77777777" w:rsidR="007B039C" w:rsidRDefault="007B039C" w:rsidP="00CC1410">
      <w:pPr>
        <w:spacing w:line="480" w:lineRule="auto"/>
        <w:jc w:val="both"/>
        <w:rPr>
          <w:rFonts w:ascii="Times New Roman" w:eastAsia="Cambria" w:hAnsi="Times New Roman"/>
          <w:b/>
          <w:bCs/>
          <w:szCs w:val="24"/>
          <w:lang w:eastAsia="ja-JP"/>
        </w:rPr>
      </w:pPr>
    </w:p>
    <w:p w14:paraId="78DCF2FA" w14:textId="57896B7C" w:rsidR="007B039C" w:rsidRDefault="00701A97" w:rsidP="005725E4">
      <w:pPr>
        <w:pStyle w:val="Heading4"/>
      </w:pPr>
      <w:bookmarkStart w:id="95" w:name="_Toc60235859"/>
      <w:r>
        <w:t xml:space="preserve">4.7.8.3. </w:t>
      </w:r>
      <w:r w:rsidR="007B039C" w:rsidRPr="007B039C">
        <w:t>Re-integration</w:t>
      </w:r>
      <w:bookmarkEnd w:id="95"/>
    </w:p>
    <w:p w14:paraId="6E4C0DAB" w14:textId="4B912502" w:rsidR="004661B7" w:rsidRDefault="004661B7" w:rsidP="00CC1410">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As the third pillar of restorative justice, the goal is to reinstate the victim and the offender into the community.</w:t>
      </w:r>
      <w:r w:rsidR="00701A97">
        <w:rPr>
          <w:rStyle w:val="FootnoteReference"/>
          <w:rFonts w:ascii="Times New Roman" w:eastAsia="Cambria" w:hAnsi="Times New Roman"/>
          <w:szCs w:val="24"/>
          <w:lang w:eastAsia="ja-JP"/>
        </w:rPr>
        <w:footnoteReference w:id="1216"/>
      </w:r>
      <w:r>
        <w:rPr>
          <w:rFonts w:ascii="Times New Roman" w:eastAsia="Cambria" w:hAnsi="Times New Roman"/>
          <w:szCs w:val="24"/>
          <w:lang w:eastAsia="ja-JP"/>
        </w:rPr>
        <w:t xml:space="preserve"> After the</w:t>
      </w:r>
      <w:r w:rsidR="00C7070D">
        <w:rPr>
          <w:rFonts w:ascii="Times New Roman" w:eastAsia="Cambria" w:hAnsi="Times New Roman"/>
          <w:szCs w:val="24"/>
          <w:lang w:eastAsia="ja-JP"/>
        </w:rPr>
        <w:t xml:space="preserve"> commission of the crime</w:t>
      </w:r>
      <w:r>
        <w:rPr>
          <w:rFonts w:ascii="Times New Roman" w:eastAsia="Cambria" w:hAnsi="Times New Roman"/>
          <w:szCs w:val="24"/>
          <w:lang w:eastAsia="ja-JP"/>
        </w:rPr>
        <w:t>, both victims and offenders often face stigmatisation from family, friends and the community.</w:t>
      </w:r>
      <w:r w:rsidR="00701A97">
        <w:rPr>
          <w:rStyle w:val="FootnoteReference"/>
          <w:rFonts w:ascii="Times New Roman" w:eastAsia="Cambria" w:hAnsi="Times New Roman"/>
          <w:szCs w:val="24"/>
          <w:lang w:eastAsia="ja-JP"/>
        </w:rPr>
        <w:footnoteReference w:id="1217"/>
      </w:r>
      <w:r>
        <w:rPr>
          <w:rFonts w:ascii="Times New Roman" w:eastAsia="Cambria" w:hAnsi="Times New Roman"/>
          <w:szCs w:val="24"/>
          <w:lang w:eastAsia="ja-JP"/>
        </w:rPr>
        <w:t xml:space="preserve"> Sometimes, victim-shaming and victim-blaming may lead to ostracization of some victims while the offenders may become vilified. In such a situation, victims and offender require a support system to promote their re-entry into community life.</w:t>
      </w:r>
      <w:r>
        <w:rPr>
          <w:rStyle w:val="FootnoteReference"/>
          <w:rFonts w:ascii="Times New Roman" w:eastAsia="Cambria" w:hAnsi="Times New Roman"/>
          <w:szCs w:val="24"/>
          <w:lang w:eastAsia="ja-JP"/>
        </w:rPr>
        <w:footnoteReference w:id="1218"/>
      </w:r>
    </w:p>
    <w:p w14:paraId="6A41E97E" w14:textId="75343710" w:rsidR="00187FED" w:rsidRDefault="00913E19" w:rsidP="00CC1410">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Reintegration also includes rehabilitation of the offender and rebuilding the offender’s relationship with their communities.</w:t>
      </w:r>
      <w:r>
        <w:rPr>
          <w:rStyle w:val="FootnoteReference"/>
          <w:rFonts w:ascii="Times New Roman" w:eastAsia="Cambria" w:hAnsi="Times New Roman"/>
          <w:szCs w:val="24"/>
          <w:lang w:eastAsia="ja-JP"/>
        </w:rPr>
        <w:footnoteReference w:id="1219"/>
      </w:r>
      <w:r w:rsidR="00440B7E">
        <w:rPr>
          <w:rFonts w:ascii="Times New Roman" w:eastAsia="Cambria" w:hAnsi="Times New Roman"/>
          <w:szCs w:val="24"/>
          <w:lang w:eastAsia="ja-JP"/>
        </w:rPr>
        <w:t>It is noteworthy that re</w:t>
      </w:r>
      <w:r w:rsidR="00701A97">
        <w:rPr>
          <w:rFonts w:ascii="Times New Roman" w:eastAsia="Cambria" w:hAnsi="Times New Roman"/>
          <w:szCs w:val="24"/>
          <w:lang w:eastAsia="ja-JP"/>
        </w:rPr>
        <w:t>habilitation</w:t>
      </w:r>
      <w:r w:rsidR="00440B7E">
        <w:rPr>
          <w:rFonts w:ascii="Times New Roman" w:eastAsia="Cambria" w:hAnsi="Times New Roman"/>
          <w:szCs w:val="24"/>
          <w:lang w:eastAsia="ja-JP"/>
        </w:rPr>
        <w:t xml:space="preserve"> is the third arm of retributive justice, supposedly, re</w:t>
      </w:r>
      <w:r w:rsidR="00701A97">
        <w:rPr>
          <w:rFonts w:ascii="Times New Roman" w:eastAsia="Cambria" w:hAnsi="Times New Roman"/>
          <w:szCs w:val="24"/>
          <w:lang w:eastAsia="ja-JP"/>
        </w:rPr>
        <w:t>stor</w:t>
      </w:r>
      <w:r w:rsidR="00440B7E">
        <w:rPr>
          <w:rFonts w:ascii="Times New Roman" w:eastAsia="Cambria" w:hAnsi="Times New Roman"/>
          <w:szCs w:val="24"/>
          <w:lang w:eastAsia="ja-JP"/>
        </w:rPr>
        <w:t xml:space="preserve">ation of the offender commences in the </w:t>
      </w:r>
      <w:r w:rsidR="00440B7E">
        <w:rPr>
          <w:rFonts w:ascii="Times New Roman" w:eastAsia="Cambria" w:hAnsi="Times New Roman"/>
          <w:szCs w:val="24"/>
          <w:lang w:eastAsia="ja-JP"/>
        </w:rPr>
        <w:lastRenderedPageBreak/>
        <w:t xml:space="preserve">correctional facilities. </w:t>
      </w:r>
      <w:r w:rsidR="00701A97">
        <w:rPr>
          <w:rFonts w:ascii="Times New Roman" w:eastAsia="Cambria" w:hAnsi="Times New Roman"/>
          <w:szCs w:val="24"/>
          <w:lang w:eastAsia="ja-JP"/>
        </w:rPr>
        <w:t xml:space="preserve">Rehabilitation can occur during sentence execution and after the offender has been released. After the release, reintegration of the offender begins.  </w:t>
      </w:r>
      <w:r w:rsidR="00440B7E">
        <w:rPr>
          <w:rFonts w:ascii="Times New Roman" w:eastAsia="Cambria" w:hAnsi="Times New Roman"/>
          <w:szCs w:val="24"/>
          <w:lang w:eastAsia="ja-JP"/>
        </w:rPr>
        <w:t xml:space="preserve">The </w:t>
      </w:r>
      <w:r w:rsidR="00701A97">
        <w:rPr>
          <w:rFonts w:ascii="Times New Roman" w:eastAsia="Cambria" w:hAnsi="Times New Roman"/>
          <w:szCs w:val="24"/>
          <w:lang w:eastAsia="ja-JP"/>
        </w:rPr>
        <w:t>state</w:t>
      </w:r>
      <w:r w:rsidR="00440B7E">
        <w:rPr>
          <w:rFonts w:ascii="Times New Roman" w:eastAsia="Cambria" w:hAnsi="Times New Roman"/>
          <w:szCs w:val="24"/>
          <w:lang w:eastAsia="ja-JP"/>
        </w:rPr>
        <w:t xml:space="preserve"> can continue rehabilitation. Braithwaite notes that asides from offenders and victims, communities also need to be restored.</w:t>
      </w:r>
      <w:r w:rsidR="00440B7E">
        <w:rPr>
          <w:rStyle w:val="FootnoteReference"/>
          <w:rFonts w:ascii="Times New Roman" w:eastAsia="Cambria" w:hAnsi="Times New Roman"/>
          <w:szCs w:val="24"/>
          <w:lang w:eastAsia="ja-JP"/>
        </w:rPr>
        <w:t xml:space="preserve"> </w:t>
      </w:r>
      <w:r w:rsidR="00440B7E">
        <w:rPr>
          <w:rStyle w:val="FootnoteReference"/>
          <w:rFonts w:ascii="Times New Roman" w:eastAsia="Cambria" w:hAnsi="Times New Roman"/>
          <w:szCs w:val="24"/>
          <w:lang w:eastAsia="ja-JP"/>
        </w:rPr>
        <w:footnoteReference w:id="1220"/>
      </w:r>
      <w:r w:rsidR="006C4180">
        <w:rPr>
          <w:rFonts w:ascii="Times New Roman" w:eastAsia="Cambria" w:hAnsi="Times New Roman"/>
          <w:szCs w:val="24"/>
          <w:lang w:eastAsia="ja-JP"/>
        </w:rPr>
        <w:t xml:space="preserve"> The community is defined as</w:t>
      </w:r>
      <w:r w:rsidR="00187FED">
        <w:rPr>
          <w:rFonts w:ascii="Times New Roman" w:eastAsia="Cambria" w:hAnsi="Times New Roman"/>
          <w:szCs w:val="24"/>
          <w:lang w:eastAsia="ja-JP"/>
        </w:rPr>
        <w:t xml:space="preserve"> members of </w:t>
      </w:r>
      <w:r w:rsidR="006C4180">
        <w:rPr>
          <w:rFonts w:ascii="Times New Roman" w:eastAsia="Cambria" w:hAnsi="Times New Roman"/>
          <w:szCs w:val="24"/>
          <w:lang w:eastAsia="ja-JP"/>
        </w:rPr>
        <w:t xml:space="preserve"> ‘micro-community</w:t>
      </w:r>
      <w:r w:rsidR="00187FED">
        <w:rPr>
          <w:rFonts w:ascii="Times New Roman" w:eastAsia="Cambria" w:hAnsi="Times New Roman"/>
          <w:szCs w:val="24"/>
          <w:lang w:eastAsia="ja-JP"/>
        </w:rPr>
        <w:t xml:space="preserve">’ and </w:t>
      </w:r>
      <w:r w:rsidR="006C4180">
        <w:rPr>
          <w:rFonts w:ascii="Times New Roman" w:eastAsia="Cambria" w:hAnsi="Times New Roman"/>
          <w:szCs w:val="24"/>
          <w:lang w:eastAsia="ja-JP"/>
        </w:rPr>
        <w:t>‘macro-community</w:t>
      </w:r>
      <w:r w:rsidR="00187FED">
        <w:rPr>
          <w:rFonts w:ascii="Times New Roman" w:eastAsia="Cambria" w:hAnsi="Times New Roman"/>
          <w:szCs w:val="24"/>
          <w:lang w:eastAsia="ja-JP"/>
        </w:rPr>
        <w:t>.</w:t>
      </w:r>
      <w:r w:rsidR="006C4180">
        <w:rPr>
          <w:rFonts w:ascii="Times New Roman" w:eastAsia="Cambria" w:hAnsi="Times New Roman"/>
          <w:szCs w:val="24"/>
          <w:lang w:eastAsia="ja-JP"/>
        </w:rPr>
        <w:t>’</w:t>
      </w:r>
      <w:r w:rsidR="00187FED">
        <w:rPr>
          <w:rStyle w:val="FootnoteReference"/>
          <w:rFonts w:ascii="Times New Roman" w:eastAsia="Cambria" w:hAnsi="Times New Roman"/>
          <w:szCs w:val="24"/>
          <w:lang w:eastAsia="ja-JP"/>
        </w:rPr>
        <w:footnoteReference w:id="1221"/>
      </w:r>
      <w:r w:rsidR="006C4180">
        <w:rPr>
          <w:rFonts w:ascii="Times New Roman" w:eastAsia="Cambria" w:hAnsi="Times New Roman"/>
          <w:szCs w:val="24"/>
          <w:lang w:eastAsia="ja-JP"/>
        </w:rPr>
        <w:t xml:space="preserve"> </w:t>
      </w:r>
      <w:r w:rsidR="00187FED">
        <w:rPr>
          <w:rFonts w:ascii="Times New Roman" w:eastAsia="Cambria" w:hAnsi="Times New Roman"/>
          <w:szCs w:val="24"/>
          <w:lang w:eastAsia="ja-JP"/>
        </w:rPr>
        <w:t>The micro-community has been described as a victim’s or offender’s relatives</w:t>
      </w:r>
      <w:r w:rsidR="00701A97">
        <w:rPr>
          <w:rFonts w:ascii="Times New Roman" w:eastAsia="Cambria" w:hAnsi="Times New Roman"/>
          <w:szCs w:val="24"/>
          <w:lang w:eastAsia="ja-JP"/>
        </w:rPr>
        <w:t xml:space="preserve">, </w:t>
      </w:r>
      <w:r w:rsidR="00187FED">
        <w:rPr>
          <w:rFonts w:ascii="Times New Roman" w:eastAsia="Cambria" w:hAnsi="Times New Roman"/>
          <w:szCs w:val="24"/>
          <w:lang w:eastAsia="ja-JP"/>
        </w:rPr>
        <w:t xml:space="preserve">friends and neighbours. Macro-community indicates ‘ethnic group’ and </w:t>
      </w:r>
      <w:r w:rsidR="006C4180">
        <w:rPr>
          <w:rFonts w:ascii="Times New Roman" w:eastAsia="Cambria" w:hAnsi="Times New Roman"/>
          <w:szCs w:val="24"/>
          <w:lang w:eastAsia="ja-JP"/>
        </w:rPr>
        <w:t>volunteer community participants representing  ‘community interests</w:t>
      </w:r>
      <w:r w:rsidR="00187FED">
        <w:rPr>
          <w:rFonts w:ascii="Times New Roman" w:eastAsia="Cambria" w:hAnsi="Times New Roman"/>
          <w:szCs w:val="24"/>
          <w:lang w:eastAsia="ja-JP"/>
        </w:rPr>
        <w:t>.</w:t>
      </w:r>
      <w:r w:rsidR="006C4180">
        <w:rPr>
          <w:rFonts w:ascii="Times New Roman" w:eastAsia="Cambria" w:hAnsi="Times New Roman"/>
          <w:szCs w:val="24"/>
          <w:lang w:eastAsia="ja-JP"/>
        </w:rPr>
        <w:t>’</w:t>
      </w:r>
      <w:r w:rsidR="00187FED">
        <w:rPr>
          <w:rStyle w:val="FootnoteReference"/>
          <w:rFonts w:ascii="Times New Roman" w:eastAsia="Cambria" w:hAnsi="Times New Roman"/>
          <w:szCs w:val="24"/>
          <w:lang w:eastAsia="ja-JP"/>
        </w:rPr>
        <w:footnoteReference w:id="1222"/>
      </w:r>
      <w:r w:rsidR="00440B7E">
        <w:rPr>
          <w:rFonts w:ascii="Times New Roman" w:eastAsia="Cambria" w:hAnsi="Times New Roman"/>
          <w:szCs w:val="24"/>
          <w:lang w:eastAsia="ja-JP"/>
        </w:rPr>
        <w:t xml:space="preserve"> </w:t>
      </w:r>
      <w:r w:rsidR="00187FED">
        <w:rPr>
          <w:rFonts w:ascii="Times New Roman" w:eastAsia="Cambria" w:hAnsi="Times New Roman"/>
          <w:szCs w:val="24"/>
          <w:lang w:eastAsia="ja-JP"/>
        </w:rPr>
        <w:t>Both are necessary for re-integration</w:t>
      </w:r>
      <w:r w:rsidR="002535D8">
        <w:rPr>
          <w:rFonts w:ascii="Times New Roman" w:eastAsia="Cambria" w:hAnsi="Times New Roman"/>
          <w:szCs w:val="24"/>
          <w:lang w:eastAsia="ja-JP"/>
        </w:rPr>
        <w:t>.</w:t>
      </w:r>
      <w:r w:rsidR="00187FED">
        <w:rPr>
          <w:rFonts w:ascii="Times New Roman" w:eastAsia="Cambria" w:hAnsi="Times New Roman"/>
          <w:szCs w:val="24"/>
          <w:lang w:eastAsia="ja-JP"/>
        </w:rPr>
        <w:t xml:space="preserve"> </w:t>
      </w:r>
    </w:p>
    <w:p w14:paraId="5FCB2438" w14:textId="572DA607" w:rsidR="00425D1E" w:rsidRDefault="00440B7E" w:rsidP="00CC1410">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The role of the community in re-integration is indispensable; </w:t>
      </w:r>
      <w:r w:rsidR="00701A97">
        <w:rPr>
          <w:rFonts w:ascii="Times New Roman" w:eastAsia="Cambria" w:hAnsi="Times New Roman"/>
          <w:szCs w:val="24"/>
          <w:lang w:eastAsia="ja-JP"/>
        </w:rPr>
        <w:t xml:space="preserve">it </w:t>
      </w:r>
      <w:r>
        <w:rPr>
          <w:rFonts w:ascii="Times New Roman" w:eastAsia="Cambria" w:hAnsi="Times New Roman"/>
          <w:szCs w:val="24"/>
          <w:lang w:eastAsia="ja-JP"/>
        </w:rPr>
        <w:t>is necessary</w:t>
      </w:r>
      <w:r w:rsidR="00CA1FBF">
        <w:rPr>
          <w:rFonts w:ascii="Times New Roman" w:eastAsia="Cambria" w:hAnsi="Times New Roman"/>
          <w:szCs w:val="24"/>
          <w:lang w:eastAsia="ja-JP"/>
        </w:rPr>
        <w:t xml:space="preserve"> as a</w:t>
      </w:r>
      <w:r>
        <w:rPr>
          <w:rFonts w:ascii="Times New Roman" w:eastAsia="Cambria" w:hAnsi="Times New Roman"/>
          <w:szCs w:val="24"/>
          <w:lang w:eastAsia="ja-JP"/>
        </w:rPr>
        <w:t xml:space="preserve"> third party.</w:t>
      </w:r>
      <w:r>
        <w:rPr>
          <w:rStyle w:val="FootnoteReference"/>
          <w:rFonts w:ascii="Times New Roman" w:eastAsia="Cambria" w:hAnsi="Times New Roman"/>
          <w:szCs w:val="24"/>
          <w:lang w:eastAsia="ja-JP"/>
        </w:rPr>
        <w:footnoteReference w:id="1223"/>
      </w:r>
      <w:r w:rsidR="00EC4D94">
        <w:rPr>
          <w:rFonts w:ascii="Times New Roman" w:eastAsia="Cambria" w:hAnsi="Times New Roman"/>
          <w:szCs w:val="24"/>
          <w:lang w:eastAsia="ja-JP"/>
        </w:rPr>
        <w:t xml:space="preserve"> Rule 233(a)-(c) are requirements of resocialisation and re-integration which are mandatory to support sentence reduction.</w:t>
      </w:r>
      <w:r w:rsidR="00EC4D94">
        <w:rPr>
          <w:rStyle w:val="FootnoteReference"/>
          <w:rFonts w:ascii="Times New Roman" w:eastAsia="Cambria" w:hAnsi="Times New Roman"/>
          <w:szCs w:val="24"/>
          <w:lang w:eastAsia="ja-JP"/>
        </w:rPr>
        <w:footnoteReference w:id="1224"/>
      </w:r>
      <w:r w:rsidR="00EC4D94">
        <w:rPr>
          <w:rFonts w:ascii="Times New Roman" w:eastAsia="Cambria" w:hAnsi="Times New Roman"/>
          <w:szCs w:val="24"/>
          <w:lang w:eastAsia="ja-JP"/>
        </w:rPr>
        <w:t xml:space="preserve"> </w:t>
      </w:r>
      <w:r>
        <w:rPr>
          <w:rFonts w:ascii="Times New Roman" w:eastAsia="Cambria" w:hAnsi="Times New Roman"/>
          <w:szCs w:val="24"/>
          <w:lang w:eastAsia="ja-JP"/>
        </w:rPr>
        <w:t>For the practical outcome, the community must have a working knowledge of the criminal justice system as well as the rationale behind sentencing. It follows that the ICC could contribute towards re-integration through the implementation of positive complementarity. The ICC’s collaborating with the community by disseminating information and enlightening the participants</w:t>
      </w:r>
      <w:r w:rsidR="00AE6EB3">
        <w:rPr>
          <w:rFonts w:ascii="Times New Roman" w:eastAsia="Cambria" w:hAnsi="Times New Roman"/>
          <w:szCs w:val="24"/>
          <w:lang w:eastAsia="ja-JP"/>
        </w:rPr>
        <w:t xml:space="preserve"> on the</w:t>
      </w:r>
      <w:r>
        <w:rPr>
          <w:rFonts w:ascii="Times New Roman" w:eastAsia="Cambria" w:hAnsi="Times New Roman"/>
          <w:szCs w:val="24"/>
          <w:lang w:eastAsia="ja-JP"/>
        </w:rPr>
        <w:t xml:space="preserve"> </w:t>
      </w:r>
      <w:r w:rsidR="00C7070D">
        <w:rPr>
          <w:rFonts w:ascii="Times New Roman" w:eastAsia="Cambria" w:hAnsi="Times New Roman"/>
          <w:szCs w:val="24"/>
          <w:lang w:eastAsia="ja-JP"/>
        </w:rPr>
        <w:t>criminal justice system's purposes</w:t>
      </w:r>
      <w:r>
        <w:rPr>
          <w:rFonts w:ascii="Times New Roman" w:eastAsia="Cambria" w:hAnsi="Times New Roman"/>
          <w:szCs w:val="24"/>
          <w:lang w:eastAsia="ja-JP"/>
        </w:rPr>
        <w:t xml:space="preserve"> would suffice. In this instance, the ICC might give recourse to the principles, rules, laws</w:t>
      </w:r>
      <w:r w:rsidR="00AE6EB3">
        <w:rPr>
          <w:rFonts w:ascii="Times New Roman" w:eastAsia="Cambria" w:hAnsi="Times New Roman"/>
          <w:szCs w:val="24"/>
          <w:lang w:eastAsia="ja-JP"/>
        </w:rPr>
        <w:t>, norms</w:t>
      </w:r>
      <w:r>
        <w:rPr>
          <w:rFonts w:ascii="Times New Roman" w:eastAsia="Cambria" w:hAnsi="Times New Roman"/>
          <w:szCs w:val="24"/>
          <w:lang w:eastAsia="ja-JP"/>
        </w:rPr>
        <w:t xml:space="preserve"> and values of the domestic jurisdiction affected rather than its</w:t>
      </w:r>
      <w:r w:rsidR="00EC4D94">
        <w:rPr>
          <w:rFonts w:ascii="Times New Roman" w:eastAsia="Cambria" w:hAnsi="Times New Roman"/>
          <w:szCs w:val="24"/>
          <w:lang w:eastAsia="ja-JP"/>
        </w:rPr>
        <w:t>(ICC)</w:t>
      </w:r>
      <w:r>
        <w:rPr>
          <w:rFonts w:ascii="Times New Roman" w:eastAsia="Cambria" w:hAnsi="Times New Roman"/>
          <w:szCs w:val="24"/>
          <w:lang w:eastAsia="ja-JP"/>
        </w:rPr>
        <w:t xml:space="preserve"> laws.</w:t>
      </w:r>
      <w:r w:rsidR="00AD571B">
        <w:rPr>
          <w:rFonts w:ascii="Times New Roman" w:eastAsia="Cambria" w:hAnsi="Times New Roman"/>
          <w:szCs w:val="24"/>
          <w:lang w:eastAsia="ja-JP"/>
        </w:rPr>
        <w:t xml:space="preserve"> It is also worthy </w:t>
      </w:r>
      <w:r w:rsidR="00C7070D">
        <w:rPr>
          <w:rFonts w:ascii="Times New Roman" w:eastAsia="Cambria" w:hAnsi="Times New Roman"/>
          <w:szCs w:val="24"/>
          <w:lang w:eastAsia="ja-JP"/>
        </w:rPr>
        <w:t xml:space="preserve">of mentioning </w:t>
      </w:r>
      <w:r w:rsidR="00C7070D">
        <w:rPr>
          <w:rFonts w:ascii="Times New Roman" w:eastAsia="Cambria" w:hAnsi="Times New Roman"/>
          <w:szCs w:val="24"/>
          <w:lang w:eastAsia="ja-JP"/>
        </w:rPr>
        <w:lastRenderedPageBreak/>
        <w:t>that the ICC rules on the reintegration of the offender and victims are</w:t>
      </w:r>
      <w:r w:rsidR="00AD571B">
        <w:rPr>
          <w:rFonts w:ascii="Times New Roman" w:eastAsia="Cambria" w:hAnsi="Times New Roman"/>
          <w:szCs w:val="24"/>
          <w:lang w:eastAsia="ja-JP"/>
        </w:rPr>
        <w:t xml:space="preserve"> limited. </w:t>
      </w:r>
      <w:r w:rsidR="00701A97">
        <w:rPr>
          <w:rFonts w:ascii="Times New Roman" w:eastAsia="Cambria" w:hAnsi="Times New Roman"/>
          <w:szCs w:val="24"/>
          <w:lang w:eastAsia="ja-JP"/>
        </w:rPr>
        <w:t xml:space="preserve">The </w:t>
      </w:r>
      <w:r w:rsidR="00C7070D">
        <w:rPr>
          <w:rFonts w:ascii="Times New Roman" w:eastAsia="Cambria" w:hAnsi="Times New Roman"/>
          <w:szCs w:val="24"/>
          <w:lang w:eastAsia="ja-JP"/>
        </w:rPr>
        <w:t xml:space="preserve">Rome Conference negotiations show the </w:t>
      </w:r>
      <w:r w:rsidR="00637E33">
        <w:rPr>
          <w:rFonts w:ascii="Times New Roman" w:eastAsia="Cambria" w:hAnsi="Times New Roman"/>
          <w:szCs w:val="24"/>
          <w:lang w:eastAsia="ja-JP"/>
        </w:rPr>
        <w:t>Rome Statute's intention</w:t>
      </w:r>
      <w:r w:rsidR="00C7070D">
        <w:rPr>
          <w:rFonts w:ascii="Times New Roman" w:eastAsia="Cambria" w:hAnsi="Times New Roman"/>
          <w:szCs w:val="24"/>
          <w:lang w:eastAsia="ja-JP"/>
        </w:rPr>
        <w:t xml:space="preserve"> to implement more humane values and less lengthy sentences</w:t>
      </w:r>
      <w:r w:rsidR="00701A97">
        <w:rPr>
          <w:rFonts w:ascii="Times New Roman" w:eastAsia="Cambria" w:hAnsi="Times New Roman"/>
          <w:szCs w:val="24"/>
          <w:lang w:eastAsia="ja-JP"/>
        </w:rPr>
        <w:t xml:space="preserve"> in compliance with limitations obtained from human rights standards.</w:t>
      </w:r>
      <w:r w:rsidR="00701A97">
        <w:rPr>
          <w:rStyle w:val="FootnoteReference"/>
          <w:rFonts w:ascii="Times New Roman" w:eastAsia="Cambria" w:hAnsi="Times New Roman"/>
          <w:szCs w:val="24"/>
          <w:lang w:eastAsia="ja-JP"/>
        </w:rPr>
        <w:footnoteReference w:id="1225"/>
      </w:r>
      <w:r w:rsidR="005160B5">
        <w:rPr>
          <w:rFonts w:ascii="Times New Roman" w:eastAsia="Cambria" w:hAnsi="Times New Roman"/>
          <w:szCs w:val="24"/>
          <w:lang w:eastAsia="ja-JP"/>
        </w:rPr>
        <w:t>One could argue that the leniency of punishment does not preclude retribution or deterrent function</w:t>
      </w:r>
      <w:r w:rsidR="00DF254E">
        <w:rPr>
          <w:rFonts w:ascii="Times New Roman" w:eastAsia="Cambria" w:hAnsi="Times New Roman"/>
          <w:szCs w:val="24"/>
          <w:lang w:eastAsia="ja-JP"/>
        </w:rPr>
        <w:t>;</w:t>
      </w:r>
      <w:r w:rsidR="005160B5">
        <w:rPr>
          <w:rFonts w:ascii="Times New Roman" w:eastAsia="Cambria" w:hAnsi="Times New Roman"/>
          <w:szCs w:val="24"/>
          <w:lang w:eastAsia="ja-JP"/>
        </w:rPr>
        <w:t xml:space="preserve"> rather, t</w:t>
      </w:r>
      <w:r w:rsidR="00701A97">
        <w:rPr>
          <w:rFonts w:ascii="Times New Roman" w:eastAsia="Cambria" w:hAnsi="Times New Roman"/>
          <w:szCs w:val="24"/>
          <w:lang w:eastAsia="ja-JP"/>
        </w:rPr>
        <w:t xml:space="preserve">he rationale behind this liberal approach is to encourage </w:t>
      </w:r>
      <w:r w:rsidR="00C7070D">
        <w:rPr>
          <w:rFonts w:ascii="Times New Roman" w:eastAsia="Cambria" w:hAnsi="Times New Roman"/>
          <w:szCs w:val="24"/>
          <w:lang w:eastAsia="ja-JP"/>
        </w:rPr>
        <w:t>offenders' rehabilitation</w:t>
      </w:r>
      <w:r w:rsidR="00701A97">
        <w:rPr>
          <w:rFonts w:ascii="Times New Roman" w:eastAsia="Cambria" w:hAnsi="Times New Roman"/>
          <w:szCs w:val="24"/>
          <w:lang w:eastAsia="ja-JP"/>
        </w:rPr>
        <w:t>.</w:t>
      </w:r>
    </w:p>
    <w:p w14:paraId="7A8B3A7F" w14:textId="5C261D20" w:rsidR="00913E19" w:rsidRDefault="00425D1E" w:rsidP="00CC1410">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Doubts remain as to the extent of ICC’s role in the rehabilitation and reintegration of convicts. Rehabilitation is preventive-reduces recidivism-at the same time ensures the reintegration of the offender into the society.</w:t>
      </w:r>
      <w:r>
        <w:rPr>
          <w:rStyle w:val="FootnoteReference"/>
          <w:rFonts w:ascii="Times New Roman" w:eastAsia="Cambria" w:hAnsi="Times New Roman"/>
          <w:szCs w:val="24"/>
          <w:lang w:eastAsia="ja-JP"/>
        </w:rPr>
        <w:footnoteReference w:id="1226"/>
      </w:r>
      <w:r w:rsidR="00013E60">
        <w:rPr>
          <w:rFonts w:ascii="Times New Roman" w:eastAsia="Cambria" w:hAnsi="Times New Roman"/>
          <w:szCs w:val="24"/>
          <w:lang w:eastAsia="ja-JP"/>
        </w:rPr>
        <w:t>In a similar vein, offender rehabilitation is a form of punishment and a condition for early release.</w:t>
      </w:r>
      <w:r w:rsidR="008137A6">
        <w:rPr>
          <w:rFonts w:ascii="Times New Roman" w:eastAsia="Cambria" w:hAnsi="Times New Roman"/>
          <w:szCs w:val="24"/>
          <w:lang w:eastAsia="ja-JP"/>
        </w:rPr>
        <w:t xml:space="preserve"> </w:t>
      </w:r>
      <w:r w:rsidR="00013E60">
        <w:rPr>
          <w:rFonts w:ascii="Times New Roman" w:eastAsia="Cambria" w:hAnsi="Times New Roman"/>
          <w:szCs w:val="24"/>
          <w:lang w:eastAsia="ja-JP"/>
        </w:rPr>
        <w:t>It is an offender-centred treatment mechanism and intervention.</w:t>
      </w:r>
      <w:r w:rsidR="00013E60">
        <w:rPr>
          <w:rStyle w:val="FootnoteReference"/>
          <w:rFonts w:ascii="Times New Roman" w:eastAsia="Cambria" w:hAnsi="Times New Roman"/>
          <w:szCs w:val="24"/>
          <w:lang w:eastAsia="ja-JP"/>
        </w:rPr>
        <w:footnoteReference w:id="1227"/>
      </w:r>
      <w:r w:rsidR="008137A6">
        <w:rPr>
          <w:rFonts w:ascii="Times New Roman" w:eastAsia="Cambria" w:hAnsi="Times New Roman"/>
          <w:szCs w:val="24"/>
          <w:lang w:eastAsia="ja-JP"/>
        </w:rPr>
        <w:t>However, the absence of an individualised programme for the restoration of international prisoners and post-sentence strategy question the effectiveness of conviction and sentencing.</w:t>
      </w:r>
      <w:r w:rsidR="005627A9">
        <w:rPr>
          <w:rFonts w:ascii="Times New Roman" w:eastAsia="Cambria" w:hAnsi="Times New Roman"/>
          <w:szCs w:val="24"/>
          <w:lang w:eastAsia="ja-JP"/>
        </w:rPr>
        <w:t xml:space="preserve"> It seems the ICC disconnects from evaluating the convicts time in prison.</w:t>
      </w:r>
    </w:p>
    <w:p w14:paraId="09E58739" w14:textId="211398F5" w:rsidR="00855222" w:rsidRDefault="005627A9" w:rsidP="00CC1410">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Hola, in her research titled, “When justice is done”  describes the offender rehabilitation program as “poorly.”</w:t>
      </w:r>
      <w:r>
        <w:rPr>
          <w:rStyle w:val="FootnoteReference"/>
          <w:rFonts w:ascii="Times New Roman" w:eastAsia="Cambria" w:hAnsi="Times New Roman"/>
          <w:szCs w:val="24"/>
          <w:lang w:eastAsia="ja-JP"/>
        </w:rPr>
        <w:footnoteReference w:id="1228"/>
      </w:r>
      <w:r>
        <w:rPr>
          <w:rFonts w:ascii="Times New Roman" w:eastAsia="Cambria" w:hAnsi="Times New Roman"/>
          <w:szCs w:val="24"/>
          <w:lang w:eastAsia="ja-JP"/>
        </w:rPr>
        <w:t xml:space="preserve"> She submitted that the system could not support the restoration and reintegration of convicts. From her interview, she observed that the prison officers are not ‘sufficiently trained’ to promote offender rehabilitation in these facilities.</w:t>
      </w:r>
      <w:r w:rsidR="00855222">
        <w:rPr>
          <w:rStyle w:val="FootnoteReference"/>
          <w:rFonts w:ascii="Times New Roman" w:eastAsia="Cambria" w:hAnsi="Times New Roman"/>
          <w:szCs w:val="24"/>
          <w:lang w:eastAsia="ja-JP"/>
        </w:rPr>
        <w:footnoteReference w:id="1229"/>
      </w:r>
      <w:r w:rsidR="00855222">
        <w:rPr>
          <w:rFonts w:ascii="Times New Roman" w:eastAsia="Cambria" w:hAnsi="Times New Roman"/>
          <w:szCs w:val="24"/>
          <w:lang w:eastAsia="ja-JP"/>
        </w:rPr>
        <w:t xml:space="preserve">Thus, one would conclude that the deficiency in the reformation and reintegration of these perpetrators would mean </w:t>
      </w:r>
      <w:r w:rsidR="00C7070D">
        <w:rPr>
          <w:rFonts w:ascii="Times New Roman" w:eastAsia="Cambria" w:hAnsi="Times New Roman"/>
          <w:szCs w:val="24"/>
          <w:lang w:eastAsia="ja-JP"/>
        </w:rPr>
        <w:t>a loophole in the justice system—a futile effort to transform</w:t>
      </w:r>
      <w:r w:rsidR="00855222">
        <w:rPr>
          <w:rFonts w:ascii="Times New Roman" w:eastAsia="Cambria" w:hAnsi="Times New Roman"/>
          <w:szCs w:val="24"/>
          <w:lang w:eastAsia="ja-JP"/>
        </w:rPr>
        <w:t xml:space="preserve"> offenders. </w:t>
      </w:r>
    </w:p>
    <w:p w14:paraId="3D374141" w14:textId="13C5A4F8" w:rsidR="00415A8F" w:rsidRDefault="00415A8F" w:rsidP="00415A8F">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Lubanga served his term in  Makala local prison, Kinshasa, DRC. On 15 March</w:t>
      </w:r>
      <w:r w:rsidR="00C57E13">
        <w:rPr>
          <w:rFonts w:ascii="Times New Roman" w:eastAsia="Cambria" w:hAnsi="Times New Roman"/>
          <w:szCs w:val="24"/>
          <w:lang w:eastAsia="ja-JP"/>
        </w:rPr>
        <w:t xml:space="preserve"> 2020</w:t>
      </w:r>
      <w:r>
        <w:rPr>
          <w:rFonts w:ascii="Times New Roman" w:eastAsia="Cambria" w:hAnsi="Times New Roman"/>
          <w:szCs w:val="24"/>
          <w:lang w:eastAsia="ja-JP"/>
        </w:rPr>
        <w:t xml:space="preserve">, after </w:t>
      </w:r>
      <w:r w:rsidR="00BB632F">
        <w:rPr>
          <w:rFonts w:ascii="Times New Roman" w:eastAsia="Cambria" w:hAnsi="Times New Roman"/>
          <w:szCs w:val="24"/>
          <w:lang w:eastAsia="ja-JP"/>
        </w:rPr>
        <w:t>completing</w:t>
      </w:r>
      <w:r>
        <w:rPr>
          <w:rFonts w:ascii="Times New Roman" w:eastAsia="Cambria" w:hAnsi="Times New Roman"/>
          <w:szCs w:val="24"/>
          <w:lang w:eastAsia="ja-JP"/>
        </w:rPr>
        <w:t xml:space="preserve"> his t</w:t>
      </w:r>
      <w:r w:rsidR="002535D8">
        <w:rPr>
          <w:rFonts w:ascii="Times New Roman" w:eastAsia="Cambria" w:hAnsi="Times New Roman"/>
          <w:szCs w:val="24"/>
          <w:lang w:eastAsia="ja-JP"/>
        </w:rPr>
        <w:t>ime</w:t>
      </w:r>
      <w:r>
        <w:rPr>
          <w:rFonts w:ascii="Times New Roman" w:eastAsia="Cambria" w:hAnsi="Times New Roman"/>
          <w:szCs w:val="24"/>
          <w:lang w:eastAsia="ja-JP"/>
        </w:rPr>
        <w:t xml:space="preserve">, Thomas Lubanga was released amidst jubilation by </w:t>
      </w:r>
      <w:r w:rsidR="00C7070D">
        <w:rPr>
          <w:rFonts w:ascii="Times New Roman" w:eastAsia="Cambria" w:hAnsi="Times New Roman"/>
          <w:szCs w:val="24"/>
          <w:lang w:eastAsia="ja-JP"/>
        </w:rPr>
        <w:t>Kinshasa's residents</w:t>
      </w:r>
      <w:r>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1230"/>
      </w:r>
      <w:r>
        <w:rPr>
          <w:rFonts w:ascii="Times New Roman" w:eastAsia="Cambria" w:hAnsi="Times New Roman"/>
          <w:szCs w:val="24"/>
          <w:lang w:eastAsia="ja-JP"/>
        </w:rPr>
        <w:t xml:space="preserve"> He immediately celebrated his release at a Church with different attendees</w:t>
      </w:r>
      <w:r w:rsidR="00C7070D">
        <w:rPr>
          <w:rFonts w:ascii="Times New Roman" w:eastAsia="Cambria" w:hAnsi="Times New Roman"/>
          <w:szCs w:val="24"/>
          <w:lang w:eastAsia="ja-JP"/>
        </w:rPr>
        <w:t>, including the Senate's second vice president</w:t>
      </w:r>
      <w:r>
        <w:rPr>
          <w:rFonts w:ascii="Times New Roman" w:eastAsia="Cambria" w:hAnsi="Times New Roman"/>
          <w:szCs w:val="24"/>
          <w:lang w:eastAsia="ja-JP"/>
        </w:rPr>
        <w:t>.</w:t>
      </w:r>
      <w:r>
        <w:rPr>
          <w:rStyle w:val="FootnoteReference"/>
          <w:rFonts w:ascii="Times New Roman" w:eastAsia="Cambria" w:hAnsi="Times New Roman"/>
          <w:szCs w:val="24"/>
          <w:lang w:eastAsia="ja-JP"/>
        </w:rPr>
        <w:footnoteReference w:id="1231"/>
      </w:r>
      <w:r w:rsidR="002535D8">
        <w:rPr>
          <w:rFonts w:ascii="Times New Roman" w:eastAsia="Cambria" w:hAnsi="Times New Roman"/>
          <w:szCs w:val="24"/>
          <w:lang w:eastAsia="ja-JP"/>
        </w:rPr>
        <w:t>This celebration s</w:t>
      </w:r>
      <w:r w:rsidR="00637E33">
        <w:rPr>
          <w:rFonts w:ascii="Times New Roman" w:eastAsia="Cambria" w:hAnsi="Times New Roman"/>
          <w:szCs w:val="24"/>
          <w:lang w:eastAsia="ja-JP"/>
        </w:rPr>
        <w:t>aw the</w:t>
      </w:r>
      <w:r w:rsidR="002535D8">
        <w:rPr>
          <w:rFonts w:ascii="Times New Roman" w:eastAsia="Cambria" w:hAnsi="Times New Roman"/>
          <w:szCs w:val="24"/>
          <w:lang w:eastAsia="ja-JP"/>
        </w:rPr>
        <w:t xml:space="preserve"> grand entry of the ‘innocent messiah’ in DRC.</w:t>
      </w:r>
    </w:p>
    <w:p w14:paraId="0BCF3D86" w14:textId="483CC5C6" w:rsidR="00415A8F" w:rsidRDefault="00415A8F" w:rsidP="00415A8F">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 xml:space="preserve">As explained by  him: “you know me better than these three international court judges who tried to present me as a devil, I remain Thomas Lubanga, who suffered with you in 2002 - 2003, during this conflict in </w:t>
      </w:r>
      <w:proofErr w:type="spellStart"/>
      <w:r>
        <w:rPr>
          <w:rFonts w:ascii="Times New Roman" w:eastAsia="Cambria" w:hAnsi="Times New Roman"/>
          <w:szCs w:val="24"/>
          <w:lang w:eastAsia="ja-JP"/>
        </w:rPr>
        <w:t>Ituri</w:t>
      </w:r>
      <w:proofErr w:type="spellEnd"/>
      <w:r>
        <w:rPr>
          <w:rFonts w:ascii="Times New Roman" w:eastAsia="Cambria" w:hAnsi="Times New Roman"/>
          <w:szCs w:val="24"/>
          <w:lang w:eastAsia="ja-JP"/>
        </w:rPr>
        <w:t xml:space="preserve"> I remain  the same to you, my people.”</w:t>
      </w:r>
      <w:r>
        <w:rPr>
          <w:rStyle w:val="FootnoteReference"/>
          <w:rFonts w:ascii="Times New Roman" w:eastAsia="Cambria" w:hAnsi="Times New Roman"/>
          <w:szCs w:val="24"/>
          <w:lang w:eastAsia="ja-JP"/>
        </w:rPr>
        <w:footnoteReference w:id="1232"/>
      </w:r>
    </w:p>
    <w:p w14:paraId="5E7C284D" w14:textId="6F86AE01" w:rsidR="00415A8F" w:rsidRDefault="00415A8F" w:rsidP="00415A8F">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From Lubanga’s address, one could infer the absence of remorse and his persistent reluctance to take responsibility for the war crimes; an issue which the victims raised during the sentence review. Most of the residents celebrated, and his statement portrayed him as a victor. It does not appear that the correctional facility made any impact during his incarceration. With this, his reintegration </w:t>
      </w:r>
      <w:r w:rsidR="002535D8">
        <w:rPr>
          <w:rFonts w:ascii="Times New Roman" w:eastAsia="Cambria" w:hAnsi="Times New Roman"/>
          <w:szCs w:val="24"/>
          <w:lang w:eastAsia="ja-JP"/>
        </w:rPr>
        <w:t xml:space="preserve">back into the society </w:t>
      </w:r>
      <w:r>
        <w:rPr>
          <w:rFonts w:ascii="Times New Roman" w:eastAsia="Cambria" w:hAnsi="Times New Roman"/>
          <w:szCs w:val="24"/>
          <w:lang w:eastAsia="ja-JP"/>
        </w:rPr>
        <w:t>may be smooth.</w:t>
      </w:r>
      <w:r w:rsidR="00C57E13">
        <w:rPr>
          <w:rFonts w:ascii="Times New Roman" w:eastAsia="Cambria" w:hAnsi="Times New Roman"/>
          <w:szCs w:val="24"/>
          <w:lang w:eastAsia="ja-JP"/>
        </w:rPr>
        <w:t xml:space="preserve"> Nonetheless, one ponders on the reactions of Lubanga’s victims. </w:t>
      </w:r>
      <w:r>
        <w:rPr>
          <w:rFonts w:ascii="Times New Roman" w:eastAsia="Cambria" w:hAnsi="Times New Roman"/>
          <w:szCs w:val="24"/>
          <w:lang w:eastAsia="ja-JP"/>
        </w:rPr>
        <w:t xml:space="preserve"> </w:t>
      </w:r>
    </w:p>
    <w:p w14:paraId="294151E8" w14:textId="7F780FA6" w:rsidR="00CE1ABB" w:rsidRPr="004661B7" w:rsidRDefault="00CE1ABB" w:rsidP="00CC1410">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The following section shall summarise this chapter.</w:t>
      </w:r>
    </w:p>
    <w:p w14:paraId="2C8949AD" w14:textId="76799A5B" w:rsidR="004D5736" w:rsidRPr="00CE1ABB" w:rsidRDefault="007D5145" w:rsidP="005725E4">
      <w:pPr>
        <w:pStyle w:val="Heading2"/>
        <w:rPr>
          <w:u w:val="single"/>
        </w:rPr>
      </w:pPr>
      <w:bookmarkStart w:id="96" w:name="_Toc60235860"/>
      <w:r w:rsidRPr="001D2B5A">
        <w:t>4.8.</w:t>
      </w:r>
      <w:r w:rsidR="004D5736" w:rsidRPr="001D2B5A">
        <w:t xml:space="preserve"> Conclusion</w:t>
      </w:r>
      <w:bookmarkEnd w:id="96"/>
    </w:p>
    <w:p w14:paraId="29DC2C12" w14:textId="7F184F8D" w:rsidR="004D5736" w:rsidRPr="001D2B5A" w:rsidRDefault="004D5736" w:rsidP="00800007">
      <w:pPr>
        <w:spacing w:line="480" w:lineRule="auto"/>
        <w:jc w:val="both"/>
        <w:rPr>
          <w:rFonts w:ascii="Times New Roman" w:hAnsi="Times New Roman"/>
          <w:szCs w:val="24"/>
        </w:rPr>
      </w:pPr>
      <w:r w:rsidRPr="001D2B5A">
        <w:rPr>
          <w:rFonts w:ascii="Times New Roman" w:hAnsi="Times New Roman"/>
          <w:szCs w:val="24"/>
        </w:rPr>
        <w:t xml:space="preserve">This chapter set out to discuss the justification for punishment and found that </w:t>
      </w:r>
      <w:r w:rsidR="00C7070D">
        <w:rPr>
          <w:rFonts w:ascii="Times New Roman" w:hAnsi="Times New Roman"/>
          <w:szCs w:val="24"/>
        </w:rPr>
        <w:t>retribution and deterrence are the main reasons behind sentencing in international sentencing, especially at the ICC</w:t>
      </w:r>
      <w:r w:rsidRPr="001D2B5A">
        <w:rPr>
          <w:rFonts w:ascii="Times New Roman" w:hAnsi="Times New Roman"/>
          <w:szCs w:val="24"/>
        </w:rPr>
        <w:t>.</w:t>
      </w:r>
      <w:r w:rsidR="00DB74BA">
        <w:rPr>
          <w:rFonts w:ascii="Times New Roman" w:hAnsi="Times New Roman"/>
          <w:szCs w:val="24"/>
        </w:rPr>
        <w:t xml:space="preserve"> </w:t>
      </w:r>
      <w:r w:rsidR="003F413F" w:rsidRPr="001D2B5A">
        <w:rPr>
          <w:rFonts w:ascii="Times New Roman" w:hAnsi="Times New Roman"/>
          <w:szCs w:val="24"/>
        </w:rPr>
        <w:t>The criminal justice system</w:t>
      </w:r>
      <w:r w:rsidR="00DB74BA">
        <w:rPr>
          <w:rFonts w:ascii="Times New Roman" w:hAnsi="Times New Roman"/>
          <w:szCs w:val="24"/>
        </w:rPr>
        <w:t>’s foundation</w:t>
      </w:r>
      <w:r w:rsidR="003F413F" w:rsidRPr="001D2B5A">
        <w:rPr>
          <w:rFonts w:ascii="Times New Roman" w:hAnsi="Times New Roman"/>
          <w:szCs w:val="24"/>
        </w:rPr>
        <w:t xml:space="preserve"> is retributive justice.</w:t>
      </w:r>
      <w:r w:rsidRPr="001D2B5A">
        <w:rPr>
          <w:rFonts w:ascii="Times New Roman" w:hAnsi="Times New Roman"/>
          <w:szCs w:val="24"/>
        </w:rPr>
        <w:t xml:space="preserve"> Empirical study finds that criminal prosecution does not deter crime.</w:t>
      </w:r>
      <w:r w:rsidRPr="001D2B5A">
        <w:rPr>
          <w:rStyle w:val="FootnoteReference"/>
          <w:rFonts w:ascii="Times New Roman" w:hAnsi="Times New Roman"/>
          <w:szCs w:val="24"/>
        </w:rPr>
        <w:footnoteReference w:id="1233"/>
      </w:r>
      <w:r w:rsidRPr="001D2B5A">
        <w:rPr>
          <w:rFonts w:ascii="Times New Roman" w:hAnsi="Times New Roman"/>
          <w:szCs w:val="24"/>
        </w:rPr>
        <w:t xml:space="preserve"> </w:t>
      </w:r>
      <w:r w:rsidR="002B1B67">
        <w:rPr>
          <w:rFonts w:ascii="Times New Roman" w:hAnsi="Times New Roman"/>
          <w:szCs w:val="24"/>
        </w:rPr>
        <w:t xml:space="preserve">However, it could foster </w:t>
      </w:r>
      <w:r w:rsidR="00C27209">
        <w:rPr>
          <w:rFonts w:ascii="Times New Roman" w:hAnsi="Times New Roman"/>
          <w:szCs w:val="24"/>
        </w:rPr>
        <w:t>compliance</w:t>
      </w:r>
      <w:r w:rsidR="002B1B67">
        <w:rPr>
          <w:rFonts w:ascii="Times New Roman" w:hAnsi="Times New Roman"/>
          <w:szCs w:val="24"/>
        </w:rPr>
        <w:t xml:space="preserve"> and ensure the international rule of law. </w:t>
      </w:r>
      <w:r w:rsidR="00BE553C">
        <w:rPr>
          <w:rFonts w:ascii="Times New Roman" w:hAnsi="Times New Roman"/>
          <w:szCs w:val="24"/>
        </w:rPr>
        <w:t>Primarily,</w:t>
      </w:r>
      <w:r w:rsidR="002B1B67">
        <w:rPr>
          <w:rFonts w:ascii="Times New Roman" w:hAnsi="Times New Roman"/>
          <w:szCs w:val="24"/>
        </w:rPr>
        <w:t xml:space="preserve"> retribution is the rationale behind sentencing</w:t>
      </w:r>
      <w:r w:rsidR="00C57E13">
        <w:rPr>
          <w:rFonts w:ascii="Times New Roman" w:hAnsi="Times New Roman"/>
          <w:szCs w:val="24"/>
        </w:rPr>
        <w:t>.</w:t>
      </w:r>
      <w:r w:rsidR="002B1B67">
        <w:rPr>
          <w:rFonts w:ascii="Times New Roman" w:hAnsi="Times New Roman"/>
          <w:szCs w:val="24"/>
        </w:rPr>
        <w:t xml:space="preserve"> </w:t>
      </w:r>
      <w:r w:rsidR="00C57E13">
        <w:rPr>
          <w:rFonts w:ascii="Times New Roman" w:hAnsi="Times New Roman"/>
          <w:szCs w:val="24"/>
        </w:rPr>
        <w:t>D</w:t>
      </w:r>
      <w:r w:rsidR="00BE553C">
        <w:rPr>
          <w:rFonts w:ascii="Times New Roman" w:hAnsi="Times New Roman"/>
          <w:szCs w:val="24"/>
        </w:rPr>
        <w:t xml:space="preserve">eterrent, </w:t>
      </w:r>
      <w:r w:rsidR="002B1B67">
        <w:rPr>
          <w:rFonts w:ascii="Times New Roman" w:hAnsi="Times New Roman"/>
          <w:szCs w:val="24"/>
        </w:rPr>
        <w:t>rehabilitation</w:t>
      </w:r>
      <w:r w:rsidR="00CE1ABB">
        <w:rPr>
          <w:rFonts w:ascii="Times New Roman" w:hAnsi="Times New Roman"/>
          <w:szCs w:val="24"/>
        </w:rPr>
        <w:t>,</w:t>
      </w:r>
      <w:r w:rsidR="002B1B67">
        <w:rPr>
          <w:rFonts w:ascii="Times New Roman" w:hAnsi="Times New Roman"/>
          <w:szCs w:val="24"/>
        </w:rPr>
        <w:t xml:space="preserve"> and some </w:t>
      </w:r>
      <w:r w:rsidR="00C7070D">
        <w:rPr>
          <w:rFonts w:ascii="Times New Roman" w:hAnsi="Times New Roman"/>
          <w:szCs w:val="24"/>
        </w:rPr>
        <w:t xml:space="preserve">restorative justice </w:t>
      </w:r>
      <w:r w:rsidR="00C7070D">
        <w:rPr>
          <w:rFonts w:ascii="Times New Roman" w:hAnsi="Times New Roman"/>
          <w:szCs w:val="24"/>
        </w:rPr>
        <w:lastRenderedPageBreak/>
        <w:t>elements</w:t>
      </w:r>
      <w:r w:rsidR="002B1B67">
        <w:rPr>
          <w:rFonts w:ascii="Times New Roman" w:hAnsi="Times New Roman"/>
          <w:szCs w:val="24"/>
        </w:rPr>
        <w:t xml:space="preserve"> might be found in the </w:t>
      </w:r>
      <w:r w:rsidR="00BB632F">
        <w:rPr>
          <w:rFonts w:ascii="Times New Roman" w:hAnsi="Times New Roman"/>
          <w:szCs w:val="24"/>
        </w:rPr>
        <w:t>ICC's sentencing decision</w:t>
      </w:r>
      <w:r w:rsidR="002B1B67">
        <w:rPr>
          <w:rFonts w:ascii="Times New Roman" w:hAnsi="Times New Roman"/>
          <w:szCs w:val="24"/>
        </w:rPr>
        <w:t xml:space="preserve">. </w:t>
      </w:r>
      <w:r w:rsidR="00C7070D">
        <w:rPr>
          <w:rFonts w:ascii="Times New Roman" w:hAnsi="Times New Roman"/>
          <w:szCs w:val="24"/>
        </w:rPr>
        <w:t xml:space="preserve">Some aspects of restorative justice within the criminal justice system(ICC) </w:t>
      </w:r>
      <w:r w:rsidR="00637E33">
        <w:rPr>
          <w:rFonts w:ascii="Times New Roman" w:hAnsi="Times New Roman"/>
          <w:szCs w:val="24"/>
        </w:rPr>
        <w:t xml:space="preserve">mirror </w:t>
      </w:r>
      <w:r w:rsidR="0004227A">
        <w:rPr>
          <w:rFonts w:ascii="Times New Roman" w:hAnsi="Times New Roman"/>
          <w:szCs w:val="24"/>
        </w:rPr>
        <w:t>a holistic approach towards victims’ position at the ICC.</w:t>
      </w:r>
    </w:p>
    <w:p w14:paraId="7E93672E" w14:textId="5EABE9E4" w:rsidR="001F1EE6" w:rsidRDefault="0004227A" w:rsidP="00800007">
      <w:pPr>
        <w:spacing w:line="480" w:lineRule="auto"/>
        <w:jc w:val="both"/>
        <w:rPr>
          <w:rFonts w:ascii="Times New Roman" w:hAnsi="Times New Roman"/>
          <w:szCs w:val="24"/>
        </w:rPr>
      </w:pPr>
      <w:r>
        <w:rPr>
          <w:rFonts w:ascii="Times New Roman" w:hAnsi="Times New Roman"/>
          <w:szCs w:val="24"/>
        </w:rPr>
        <w:t>The thesis</w:t>
      </w:r>
      <w:r w:rsidR="004D5736" w:rsidRPr="001D2B5A">
        <w:rPr>
          <w:rFonts w:ascii="Times New Roman" w:hAnsi="Times New Roman"/>
          <w:szCs w:val="24"/>
        </w:rPr>
        <w:t xml:space="preserve"> has also shown that victims</w:t>
      </w:r>
      <w:r w:rsidR="00A31712" w:rsidRPr="001D2B5A">
        <w:rPr>
          <w:rFonts w:ascii="Times New Roman" w:hAnsi="Times New Roman"/>
          <w:szCs w:val="24"/>
        </w:rPr>
        <w:t>’</w:t>
      </w:r>
      <w:r w:rsidR="004D5736" w:rsidRPr="001D2B5A">
        <w:rPr>
          <w:rFonts w:ascii="Times New Roman" w:hAnsi="Times New Roman"/>
          <w:szCs w:val="24"/>
        </w:rPr>
        <w:t xml:space="preserve"> role in sentencing is very restr</w:t>
      </w:r>
      <w:r w:rsidR="00A31712" w:rsidRPr="001D2B5A">
        <w:rPr>
          <w:rFonts w:ascii="Times New Roman" w:hAnsi="Times New Roman"/>
          <w:szCs w:val="24"/>
        </w:rPr>
        <w:t>icted</w:t>
      </w:r>
      <w:r>
        <w:rPr>
          <w:rFonts w:ascii="Times New Roman" w:hAnsi="Times New Roman"/>
          <w:szCs w:val="24"/>
        </w:rPr>
        <w:t>;</w:t>
      </w:r>
      <w:r w:rsidR="00A31712" w:rsidRPr="001D2B5A">
        <w:rPr>
          <w:rFonts w:ascii="Times New Roman" w:hAnsi="Times New Roman"/>
          <w:szCs w:val="24"/>
        </w:rPr>
        <w:t xml:space="preserve"> </w:t>
      </w:r>
      <w:r w:rsidR="00637E33">
        <w:rPr>
          <w:rFonts w:ascii="Times New Roman" w:hAnsi="Times New Roman"/>
          <w:szCs w:val="24"/>
        </w:rPr>
        <w:t>thus</w:t>
      </w:r>
      <w:r>
        <w:rPr>
          <w:rFonts w:ascii="Times New Roman" w:hAnsi="Times New Roman"/>
          <w:szCs w:val="24"/>
        </w:rPr>
        <w:t>,</w:t>
      </w:r>
      <w:r w:rsidR="00A31712" w:rsidRPr="001D2B5A">
        <w:rPr>
          <w:rFonts w:ascii="Times New Roman" w:hAnsi="Times New Roman"/>
          <w:szCs w:val="24"/>
        </w:rPr>
        <w:t xml:space="preserve"> they have </w:t>
      </w:r>
      <w:r>
        <w:rPr>
          <w:rFonts w:ascii="Times New Roman" w:hAnsi="Times New Roman"/>
          <w:szCs w:val="24"/>
        </w:rPr>
        <w:t xml:space="preserve">a </w:t>
      </w:r>
      <w:r w:rsidR="00A31712" w:rsidRPr="001D2B5A">
        <w:rPr>
          <w:rFonts w:ascii="Times New Roman" w:hAnsi="Times New Roman"/>
          <w:szCs w:val="24"/>
        </w:rPr>
        <w:t>r</w:t>
      </w:r>
      <w:r w:rsidR="00EB412F">
        <w:rPr>
          <w:rFonts w:ascii="Times New Roman" w:hAnsi="Times New Roman"/>
          <w:szCs w:val="24"/>
        </w:rPr>
        <w:t xml:space="preserve">elatively low impact on </w:t>
      </w:r>
      <w:r w:rsidR="00CE1ABB">
        <w:rPr>
          <w:rFonts w:ascii="Times New Roman" w:hAnsi="Times New Roman"/>
          <w:szCs w:val="24"/>
        </w:rPr>
        <w:t xml:space="preserve">the </w:t>
      </w:r>
      <w:r w:rsidR="00EB412F">
        <w:rPr>
          <w:rFonts w:ascii="Times New Roman" w:hAnsi="Times New Roman"/>
          <w:szCs w:val="24"/>
        </w:rPr>
        <w:t>sentencing</w:t>
      </w:r>
      <w:r w:rsidR="00A31712" w:rsidRPr="001D2B5A">
        <w:rPr>
          <w:rFonts w:ascii="Times New Roman" w:hAnsi="Times New Roman"/>
          <w:szCs w:val="24"/>
        </w:rPr>
        <w:t xml:space="preserve"> decision.</w:t>
      </w:r>
      <w:r w:rsidR="001F1EE6">
        <w:rPr>
          <w:rFonts w:ascii="Times New Roman" w:hAnsi="Times New Roman"/>
          <w:szCs w:val="24"/>
        </w:rPr>
        <w:t xml:space="preserve"> </w:t>
      </w:r>
      <w:r w:rsidR="00A31712" w:rsidRPr="001D2B5A">
        <w:rPr>
          <w:rFonts w:ascii="Times New Roman" w:hAnsi="Times New Roman"/>
          <w:szCs w:val="24"/>
        </w:rPr>
        <w:t xml:space="preserve">The extent of </w:t>
      </w:r>
      <w:r w:rsidR="00917A95" w:rsidRPr="001D2B5A">
        <w:rPr>
          <w:rFonts w:ascii="Times New Roman" w:hAnsi="Times New Roman"/>
          <w:szCs w:val="24"/>
        </w:rPr>
        <w:t>the applicability</w:t>
      </w:r>
      <w:r w:rsidR="00A31712" w:rsidRPr="001D2B5A">
        <w:rPr>
          <w:rFonts w:ascii="Times New Roman" w:hAnsi="Times New Roman"/>
          <w:szCs w:val="24"/>
        </w:rPr>
        <w:t xml:space="preserve"> of their </w:t>
      </w:r>
      <w:r w:rsidR="00917A95" w:rsidRPr="001D2B5A">
        <w:rPr>
          <w:rFonts w:ascii="Times New Roman" w:hAnsi="Times New Roman"/>
          <w:szCs w:val="24"/>
        </w:rPr>
        <w:t>participation is subject to judicial discretion.</w:t>
      </w:r>
      <w:r w:rsidR="000358AC" w:rsidRPr="001D2B5A">
        <w:rPr>
          <w:rFonts w:ascii="Times New Roman" w:hAnsi="Times New Roman"/>
          <w:szCs w:val="24"/>
        </w:rPr>
        <w:t xml:space="preserve"> </w:t>
      </w:r>
      <w:r w:rsidR="00CE1ABB">
        <w:rPr>
          <w:rFonts w:ascii="Times New Roman" w:hAnsi="Times New Roman"/>
          <w:szCs w:val="24"/>
        </w:rPr>
        <w:t>Understandably,</w:t>
      </w:r>
      <w:r w:rsidR="000358AC" w:rsidRPr="001D2B5A">
        <w:rPr>
          <w:rFonts w:ascii="Times New Roman" w:hAnsi="Times New Roman"/>
          <w:szCs w:val="24"/>
        </w:rPr>
        <w:t xml:space="preserve"> </w:t>
      </w:r>
      <w:r w:rsidR="00C7070D">
        <w:rPr>
          <w:rFonts w:ascii="Times New Roman" w:hAnsi="Times New Roman"/>
          <w:szCs w:val="24"/>
        </w:rPr>
        <w:t>the Court must take caution</w:t>
      </w:r>
      <w:r w:rsidR="000358AC" w:rsidRPr="001D2B5A">
        <w:rPr>
          <w:rFonts w:ascii="Times New Roman" w:hAnsi="Times New Roman"/>
          <w:szCs w:val="24"/>
        </w:rPr>
        <w:t xml:space="preserve"> when considering the impact of LRVs observations and submissions in sentencing. </w:t>
      </w:r>
      <w:r w:rsidR="00C7070D">
        <w:rPr>
          <w:rFonts w:ascii="Times New Roman" w:hAnsi="Times New Roman"/>
          <w:szCs w:val="24"/>
        </w:rPr>
        <w:t>At times, the court’ sentence requires objectivity because emotions and vengeance may obscure most victims'</w:t>
      </w:r>
      <w:r w:rsidR="00CE1ABB">
        <w:rPr>
          <w:rFonts w:ascii="Times New Roman" w:hAnsi="Times New Roman"/>
          <w:szCs w:val="24"/>
        </w:rPr>
        <w:t xml:space="preserve"> expectations</w:t>
      </w:r>
      <w:r w:rsidR="000358AC" w:rsidRPr="001D2B5A">
        <w:rPr>
          <w:rFonts w:ascii="Times New Roman" w:hAnsi="Times New Roman"/>
          <w:szCs w:val="24"/>
        </w:rPr>
        <w:t xml:space="preserve">. </w:t>
      </w:r>
      <w:r w:rsidR="00BE553C">
        <w:rPr>
          <w:rFonts w:ascii="Times New Roman" w:hAnsi="Times New Roman"/>
          <w:szCs w:val="24"/>
        </w:rPr>
        <w:t xml:space="preserve">The chamber </w:t>
      </w:r>
      <w:r w:rsidR="00C7070D">
        <w:rPr>
          <w:rFonts w:ascii="Times New Roman" w:hAnsi="Times New Roman"/>
          <w:szCs w:val="24"/>
        </w:rPr>
        <w:t>compromises</w:t>
      </w:r>
      <w:r w:rsidR="00BE553C">
        <w:rPr>
          <w:rFonts w:ascii="Times New Roman" w:hAnsi="Times New Roman"/>
          <w:szCs w:val="24"/>
        </w:rPr>
        <w:t xml:space="preserve"> the </w:t>
      </w:r>
      <w:r w:rsidR="00C57E13">
        <w:rPr>
          <w:rFonts w:ascii="Times New Roman" w:hAnsi="Times New Roman"/>
          <w:szCs w:val="24"/>
        </w:rPr>
        <w:t xml:space="preserve">victims’ expectations </w:t>
      </w:r>
      <w:r w:rsidR="00BE553C">
        <w:rPr>
          <w:rFonts w:ascii="Times New Roman" w:hAnsi="Times New Roman"/>
          <w:szCs w:val="24"/>
        </w:rPr>
        <w:t xml:space="preserve">and the </w:t>
      </w:r>
      <w:r w:rsidR="00BB632F">
        <w:rPr>
          <w:rFonts w:ascii="Times New Roman" w:hAnsi="Times New Roman"/>
          <w:szCs w:val="24"/>
        </w:rPr>
        <w:t>convicted person's right</w:t>
      </w:r>
      <w:r w:rsidR="00BE553C">
        <w:rPr>
          <w:rFonts w:ascii="Times New Roman" w:hAnsi="Times New Roman"/>
          <w:szCs w:val="24"/>
        </w:rPr>
        <w:t xml:space="preserve">, which results in a liberal approach. The Rome Statute envisages </w:t>
      </w:r>
      <w:r w:rsidR="00C57E13">
        <w:rPr>
          <w:rFonts w:ascii="Times New Roman" w:hAnsi="Times New Roman"/>
          <w:szCs w:val="24"/>
        </w:rPr>
        <w:t xml:space="preserve">the </w:t>
      </w:r>
      <w:r w:rsidR="00BE553C">
        <w:rPr>
          <w:rFonts w:ascii="Times New Roman" w:hAnsi="Times New Roman"/>
          <w:szCs w:val="24"/>
        </w:rPr>
        <w:t>humane treatment of a convicted person as opposed to</w:t>
      </w:r>
      <w:r w:rsidR="00C57E13">
        <w:rPr>
          <w:rFonts w:ascii="Times New Roman" w:hAnsi="Times New Roman"/>
          <w:szCs w:val="24"/>
        </w:rPr>
        <w:t xml:space="preserve"> strict punitive measures.</w:t>
      </w:r>
      <w:r w:rsidR="00BE553C">
        <w:rPr>
          <w:rFonts w:ascii="Times New Roman" w:hAnsi="Times New Roman"/>
          <w:szCs w:val="24"/>
        </w:rPr>
        <w:t xml:space="preserve"> </w:t>
      </w:r>
    </w:p>
    <w:p w14:paraId="77EA5C33" w14:textId="3DDCC86F" w:rsidR="001D3082" w:rsidRDefault="001D3082" w:rsidP="00800007">
      <w:pPr>
        <w:spacing w:line="480" w:lineRule="auto"/>
        <w:jc w:val="both"/>
        <w:rPr>
          <w:rFonts w:ascii="Times New Roman" w:hAnsi="Times New Roman"/>
          <w:szCs w:val="24"/>
        </w:rPr>
      </w:pPr>
      <w:r w:rsidRPr="001D2B5A">
        <w:rPr>
          <w:rFonts w:ascii="Times New Roman" w:hAnsi="Times New Roman"/>
          <w:szCs w:val="24"/>
        </w:rPr>
        <w:t xml:space="preserve">Concerning the </w:t>
      </w:r>
      <w:r w:rsidR="00CE1ABB">
        <w:rPr>
          <w:rFonts w:ascii="Times New Roman" w:hAnsi="Times New Roman"/>
          <w:szCs w:val="24"/>
        </w:rPr>
        <w:t>central</w:t>
      </w:r>
      <w:r w:rsidR="001F1EE6">
        <w:rPr>
          <w:rFonts w:ascii="Times New Roman" w:hAnsi="Times New Roman"/>
          <w:szCs w:val="24"/>
        </w:rPr>
        <w:t xml:space="preserve"> question in this chapter, </w:t>
      </w:r>
      <w:r w:rsidR="00BE553C">
        <w:rPr>
          <w:rFonts w:ascii="Times New Roman" w:hAnsi="Times New Roman"/>
          <w:szCs w:val="24"/>
        </w:rPr>
        <w:t xml:space="preserve"> i</w:t>
      </w:r>
      <w:r w:rsidRPr="001D2B5A">
        <w:rPr>
          <w:rFonts w:ascii="Times New Roman" w:hAnsi="Times New Roman"/>
          <w:szCs w:val="24"/>
        </w:rPr>
        <w:t xml:space="preserve">t is </w:t>
      </w:r>
      <w:r w:rsidR="001F1EE6">
        <w:rPr>
          <w:rFonts w:ascii="Times New Roman" w:hAnsi="Times New Roman"/>
          <w:szCs w:val="24"/>
        </w:rPr>
        <w:t>also</w:t>
      </w:r>
      <w:r w:rsidRPr="001D2B5A">
        <w:rPr>
          <w:rFonts w:ascii="Times New Roman" w:hAnsi="Times New Roman"/>
          <w:szCs w:val="24"/>
        </w:rPr>
        <w:t xml:space="preserve"> shown that </w:t>
      </w:r>
      <w:r w:rsidR="00BE553C">
        <w:rPr>
          <w:rFonts w:ascii="Times New Roman" w:hAnsi="Times New Roman"/>
          <w:szCs w:val="24"/>
        </w:rPr>
        <w:t>victims can participate, however in a restrictive means through written submissions and observations</w:t>
      </w:r>
      <w:r w:rsidR="001F1EE6">
        <w:rPr>
          <w:rFonts w:ascii="Times New Roman" w:hAnsi="Times New Roman"/>
          <w:szCs w:val="24"/>
        </w:rPr>
        <w:t>.</w:t>
      </w:r>
      <w:r w:rsidR="00BE553C">
        <w:rPr>
          <w:rFonts w:ascii="Times New Roman" w:hAnsi="Times New Roman"/>
          <w:szCs w:val="24"/>
        </w:rPr>
        <w:t xml:space="preserve"> Victims’ complaint about the lack of proportionality between the gravity of the crime and severity of punishment reveals the disparity between the</w:t>
      </w:r>
      <w:r w:rsidR="00C57E13">
        <w:rPr>
          <w:rFonts w:ascii="Times New Roman" w:hAnsi="Times New Roman"/>
          <w:szCs w:val="24"/>
        </w:rPr>
        <w:t xml:space="preserve"> norms,</w:t>
      </w:r>
      <w:r w:rsidR="00BE553C">
        <w:rPr>
          <w:rFonts w:ascii="Times New Roman" w:hAnsi="Times New Roman"/>
          <w:szCs w:val="24"/>
        </w:rPr>
        <w:t xml:space="preserve"> rules and principles in their jurisdiction and the </w:t>
      </w:r>
      <w:r w:rsidR="00C7070D">
        <w:rPr>
          <w:rFonts w:ascii="Times New Roman" w:hAnsi="Times New Roman"/>
          <w:szCs w:val="24"/>
        </w:rPr>
        <w:t>ICC's approach</w:t>
      </w:r>
      <w:r w:rsidR="00BE553C">
        <w:rPr>
          <w:rFonts w:ascii="Times New Roman" w:hAnsi="Times New Roman"/>
          <w:szCs w:val="24"/>
        </w:rPr>
        <w:t xml:space="preserve"> to the declared sentence.</w:t>
      </w:r>
      <w:r w:rsidR="005D2CC6">
        <w:rPr>
          <w:rFonts w:ascii="Times New Roman" w:hAnsi="Times New Roman"/>
          <w:szCs w:val="24"/>
        </w:rPr>
        <w:t xml:space="preserve"> </w:t>
      </w:r>
      <w:r w:rsidR="00BE553C" w:rsidRPr="001D2B5A">
        <w:rPr>
          <w:rFonts w:ascii="Times New Roman" w:hAnsi="Times New Roman"/>
          <w:szCs w:val="24"/>
        </w:rPr>
        <w:t>The Katanga case is a perfect illustration of victims’ dissatisfaction with the declared sentence. They complained th</w:t>
      </w:r>
      <w:r w:rsidR="00BE553C">
        <w:rPr>
          <w:rFonts w:ascii="Times New Roman" w:hAnsi="Times New Roman"/>
          <w:szCs w:val="24"/>
        </w:rPr>
        <w:t>at the punishment was</w:t>
      </w:r>
      <w:r w:rsidR="00BE553C" w:rsidRPr="001D2B5A">
        <w:rPr>
          <w:rFonts w:ascii="Times New Roman" w:hAnsi="Times New Roman"/>
          <w:szCs w:val="24"/>
        </w:rPr>
        <w:t xml:space="preserve"> not proportionate to the gravity of the offence. Some of the victims were disappointed at the sentencing outcome.</w:t>
      </w:r>
      <w:r w:rsidR="00BE553C" w:rsidRPr="001D2B5A">
        <w:rPr>
          <w:rStyle w:val="FootnoteReference"/>
          <w:rFonts w:ascii="Times New Roman" w:hAnsi="Times New Roman"/>
          <w:szCs w:val="24"/>
        </w:rPr>
        <w:footnoteReference w:id="1234"/>
      </w:r>
      <w:r w:rsidRPr="001D2B5A">
        <w:rPr>
          <w:rFonts w:ascii="Times New Roman" w:hAnsi="Times New Roman"/>
          <w:szCs w:val="24"/>
        </w:rPr>
        <w:t xml:space="preserve">This </w:t>
      </w:r>
      <w:r w:rsidR="001F1EE6">
        <w:rPr>
          <w:rFonts w:ascii="Times New Roman" w:hAnsi="Times New Roman"/>
          <w:szCs w:val="24"/>
        </w:rPr>
        <w:lastRenderedPageBreak/>
        <w:t xml:space="preserve">result </w:t>
      </w:r>
      <w:r w:rsidRPr="001D2B5A">
        <w:rPr>
          <w:rFonts w:ascii="Times New Roman" w:hAnsi="Times New Roman"/>
          <w:szCs w:val="24"/>
        </w:rPr>
        <w:t>connotes victims’ interests in sentencing as opposed to Ashworth</w:t>
      </w:r>
      <w:r w:rsidR="001F1EE6">
        <w:rPr>
          <w:rFonts w:ascii="Times New Roman" w:hAnsi="Times New Roman"/>
          <w:szCs w:val="24"/>
        </w:rPr>
        <w:t>’s</w:t>
      </w:r>
      <w:r w:rsidRPr="001D2B5A">
        <w:rPr>
          <w:rFonts w:ascii="Times New Roman" w:hAnsi="Times New Roman"/>
          <w:szCs w:val="24"/>
        </w:rPr>
        <w:t xml:space="preserve"> assertion that victims </w:t>
      </w:r>
      <w:r w:rsidR="00BE553C">
        <w:rPr>
          <w:rFonts w:ascii="Times New Roman" w:hAnsi="Times New Roman"/>
          <w:szCs w:val="24"/>
        </w:rPr>
        <w:t>have no</w:t>
      </w:r>
      <w:r w:rsidRPr="001D2B5A">
        <w:rPr>
          <w:rFonts w:ascii="Times New Roman" w:hAnsi="Times New Roman"/>
          <w:szCs w:val="24"/>
        </w:rPr>
        <w:t xml:space="preserve"> interests in sentencing.</w:t>
      </w:r>
      <w:r w:rsidRPr="001D2B5A">
        <w:rPr>
          <w:rStyle w:val="FootnoteReference"/>
          <w:rFonts w:ascii="Times New Roman" w:hAnsi="Times New Roman"/>
          <w:szCs w:val="24"/>
        </w:rPr>
        <w:footnoteReference w:id="1235"/>
      </w:r>
      <w:r w:rsidR="00A45920">
        <w:rPr>
          <w:rFonts w:ascii="Times New Roman" w:hAnsi="Times New Roman"/>
          <w:szCs w:val="24"/>
        </w:rPr>
        <w:t>Victims may perceive</w:t>
      </w:r>
      <w:r w:rsidR="001F1EE6">
        <w:rPr>
          <w:rFonts w:ascii="Times New Roman" w:hAnsi="Times New Roman"/>
          <w:szCs w:val="24"/>
        </w:rPr>
        <w:t xml:space="preserve"> sentencing outcome and their participation in sentencing as an exercise of their right to justice</w:t>
      </w:r>
      <w:r w:rsidRPr="001D2B5A">
        <w:rPr>
          <w:rFonts w:ascii="Times New Roman" w:hAnsi="Times New Roman"/>
          <w:szCs w:val="24"/>
        </w:rPr>
        <w:t>.</w:t>
      </w:r>
    </w:p>
    <w:p w14:paraId="74E0008B" w14:textId="7B42DBDB" w:rsidR="009B6DE5" w:rsidRDefault="009F31EC" w:rsidP="00800007">
      <w:pPr>
        <w:spacing w:line="480" w:lineRule="auto"/>
        <w:jc w:val="both"/>
        <w:rPr>
          <w:rFonts w:ascii="Times New Roman" w:hAnsi="Times New Roman"/>
          <w:szCs w:val="24"/>
        </w:rPr>
      </w:pPr>
      <w:r w:rsidRPr="001D2B5A">
        <w:rPr>
          <w:rFonts w:ascii="Times New Roman" w:hAnsi="Times New Roman"/>
          <w:szCs w:val="24"/>
        </w:rPr>
        <w:t>Unfortunately, the ICC sentence may not always meet victims’ expectations</w:t>
      </w:r>
      <w:r w:rsidR="00C7070D">
        <w:rPr>
          <w:rFonts w:ascii="Times New Roman" w:hAnsi="Times New Roman"/>
          <w:szCs w:val="24"/>
        </w:rPr>
        <w:t>. For victims, t</w:t>
      </w:r>
      <w:r w:rsidR="007C42C7">
        <w:rPr>
          <w:rFonts w:ascii="Times New Roman" w:hAnsi="Times New Roman"/>
          <w:szCs w:val="24"/>
        </w:rPr>
        <w:t>here is a thin line between justice</w:t>
      </w:r>
      <w:r w:rsidR="00187FED">
        <w:rPr>
          <w:rFonts w:ascii="Times New Roman" w:hAnsi="Times New Roman"/>
          <w:szCs w:val="24"/>
        </w:rPr>
        <w:t>,</w:t>
      </w:r>
      <w:r w:rsidR="007C42C7">
        <w:rPr>
          <w:rFonts w:ascii="Times New Roman" w:hAnsi="Times New Roman"/>
          <w:szCs w:val="24"/>
        </w:rPr>
        <w:t xml:space="preserve"> and vengeance.-</w:t>
      </w:r>
      <w:r w:rsidR="001657D2">
        <w:rPr>
          <w:rFonts w:ascii="Times New Roman" w:hAnsi="Times New Roman"/>
          <w:szCs w:val="24"/>
        </w:rPr>
        <w:t>The opposition of victims</w:t>
      </w:r>
      <w:r w:rsidR="00C57E13">
        <w:rPr>
          <w:rFonts w:ascii="Times New Roman" w:hAnsi="Times New Roman"/>
          <w:szCs w:val="24"/>
        </w:rPr>
        <w:t xml:space="preserve"> against the declared sentence</w:t>
      </w:r>
      <w:r w:rsidR="001657D2">
        <w:rPr>
          <w:rFonts w:ascii="Times New Roman" w:hAnsi="Times New Roman"/>
          <w:szCs w:val="24"/>
        </w:rPr>
        <w:t xml:space="preserve"> </w:t>
      </w:r>
      <w:r w:rsidR="00C57E13">
        <w:rPr>
          <w:rFonts w:ascii="Times New Roman" w:hAnsi="Times New Roman"/>
          <w:szCs w:val="24"/>
        </w:rPr>
        <w:t>reveals</w:t>
      </w:r>
      <w:r w:rsidR="001657D2">
        <w:rPr>
          <w:rFonts w:ascii="Times New Roman" w:hAnsi="Times New Roman"/>
          <w:szCs w:val="24"/>
        </w:rPr>
        <w:t xml:space="preserve"> ICC’s challenges in managing victims’ expectations.</w:t>
      </w:r>
      <w:r w:rsidRPr="001D2B5A">
        <w:rPr>
          <w:rFonts w:ascii="Times New Roman" w:hAnsi="Times New Roman"/>
          <w:szCs w:val="24"/>
        </w:rPr>
        <w:t xml:space="preserve"> A reasonable approach to tackle this issue </w:t>
      </w:r>
      <w:r w:rsidR="009B6DE5">
        <w:rPr>
          <w:rFonts w:ascii="Times New Roman" w:hAnsi="Times New Roman"/>
          <w:szCs w:val="24"/>
        </w:rPr>
        <w:t xml:space="preserve">is </w:t>
      </w:r>
      <w:r w:rsidRPr="001D2B5A">
        <w:rPr>
          <w:rFonts w:ascii="Times New Roman" w:hAnsi="Times New Roman"/>
          <w:szCs w:val="24"/>
        </w:rPr>
        <w:t xml:space="preserve">to strike a balance between victims’ interests in sentencing and the justification of sentencing by the court. Additionally, the court may also need to enhance victim participation during sentencing </w:t>
      </w:r>
      <w:r w:rsidR="00BE553C">
        <w:rPr>
          <w:rFonts w:ascii="Times New Roman" w:hAnsi="Times New Roman"/>
          <w:szCs w:val="24"/>
        </w:rPr>
        <w:t xml:space="preserve">by increasing </w:t>
      </w:r>
      <w:r w:rsidRPr="001D2B5A">
        <w:rPr>
          <w:rFonts w:ascii="Times New Roman" w:hAnsi="Times New Roman"/>
          <w:szCs w:val="24"/>
        </w:rPr>
        <w:t>restorative function of dialogue. One explanation for this is</w:t>
      </w:r>
      <w:r w:rsidR="00C57E13">
        <w:rPr>
          <w:rFonts w:ascii="Times New Roman" w:hAnsi="Times New Roman"/>
          <w:szCs w:val="24"/>
        </w:rPr>
        <w:t xml:space="preserve"> the absence of statutory provision and arrangements</w:t>
      </w:r>
      <w:r w:rsidRPr="001D2B5A">
        <w:rPr>
          <w:rFonts w:ascii="Times New Roman" w:hAnsi="Times New Roman"/>
          <w:szCs w:val="24"/>
        </w:rPr>
        <w:t xml:space="preserve"> for the sentenced person’s reintegration into society.</w:t>
      </w:r>
      <w:r w:rsidR="000108F4" w:rsidRPr="000108F4">
        <w:rPr>
          <w:rFonts w:ascii="Times New Roman" w:hAnsi="Times New Roman"/>
          <w:szCs w:val="24"/>
        </w:rPr>
        <w:t xml:space="preserve"> </w:t>
      </w:r>
    </w:p>
    <w:p w14:paraId="5081C39D" w14:textId="0ED73F85" w:rsidR="000108F4" w:rsidRDefault="009B6DE5" w:rsidP="00800007">
      <w:pPr>
        <w:spacing w:line="480" w:lineRule="auto"/>
        <w:jc w:val="both"/>
        <w:rPr>
          <w:rFonts w:ascii="Times New Roman" w:hAnsi="Times New Roman"/>
          <w:szCs w:val="24"/>
        </w:rPr>
      </w:pPr>
      <w:r>
        <w:rPr>
          <w:rFonts w:ascii="Times New Roman" w:hAnsi="Times New Roman"/>
          <w:szCs w:val="24"/>
        </w:rPr>
        <w:t>In a similar vein</w:t>
      </w:r>
      <w:r w:rsidR="000108F4">
        <w:rPr>
          <w:rFonts w:ascii="Times New Roman" w:hAnsi="Times New Roman"/>
          <w:szCs w:val="24"/>
        </w:rPr>
        <w:t>, t</w:t>
      </w:r>
      <w:r w:rsidR="000108F4" w:rsidRPr="001D2B5A">
        <w:rPr>
          <w:rFonts w:ascii="Times New Roman" w:hAnsi="Times New Roman"/>
          <w:szCs w:val="24"/>
        </w:rPr>
        <w:t xml:space="preserve">he </w:t>
      </w:r>
      <w:r w:rsidR="000108F4">
        <w:rPr>
          <w:rFonts w:ascii="Times New Roman" w:hAnsi="Times New Roman"/>
          <w:szCs w:val="24"/>
        </w:rPr>
        <w:t xml:space="preserve">sentence </w:t>
      </w:r>
      <w:r w:rsidR="000108F4" w:rsidRPr="001D2B5A">
        <w:rPr>
          <w:rFonts w:ascii="Times New Roman" w:hAnsi="Times New Roman"/>
          <w:szCs w:val="24"/>
        </w:rPr>
        <w:t xml:space="preserve">decisions show the disparity between </w:t>
      </w:r>
      <w:r w:rsidR="00C57E13">
        <w:rPr>
          <w:rFonts w:ascii="Times New Roman" w:hAnsi="Times New Roman"/>
          <w:szCs w:val="24"/>
        </w:rPr>
        <w:t>norms</w:t>
      </w:r>
      <w:r w:rsidR="000108F4" w:rsidRPr="001D2B5A">
        <w:rPr>
          <w:rFonts w:ascii="Times New Roman" w:hAnsi="Times New Roman"/>
          <w:szCs w:val="24"/>
        </w:rPr>
        <w:t xml:space="preserve"> and cultural differences. Presumably, the </w:t>
      </w:r>
      <w:r w:rsidR="00637E33">
        <w:rPr>
          <w:rFonts w:ascii="Times New Roman" w:hAnsi="Times New Roman"/>
          <w:szCs w:val="24"/>
        </w:rPr>
        <w:t>victims' displeasure</w:t>
      </w:r>
      <w:r w:rsidR="000108F4" w:rsidRPr="001D2B5A">
        <w:rPr>
          <w:rFonts w:ascii="Times New Roman" w:hAnsi="Times New Roman"/>
          <w:szCs w:val="24"/>
        </w:rPr>
        <w:t xml:space="preserve"> with the declared sentence i</w:t>
      </w:r>
      <w:r w:rsidR="00C7070D">
        <w:rPr>
          <w:rFonts w:ascii="Times New Roman" w:hAnsi="Times New Roman"/>
          <w:szCs w:val="24"/>
        </w:rPr>
        <w:t>llustrates</w:t>
      </w:r>
      <w:r w:rsidR="000108F4" w:rsidRPr="001D2B5A">
        <w:rPr>
          <w:rFonts w:ascii="Times New Roman" w:hAnsi="Times New Roman"/>
          <w:szCs w:val="24"/>
        </w:rPr>
        <w:t xml:space="preserve"> </w:t>
      </w:r>
      <w:r w:rsidR="00CE1ABB">
        <w:rPr>
          <w:rFonts w:ascii="Times New Roman" w:hAnsi="Times New Roman"/>
          <w:szCs w:val="24"/>
        </w:rPr>
        <w:t xml:space="preserve">a </w:t>
      </w:r>
      <w:r w:rsidR="000108F4" w:rsidRPr="001D2B5A">
        <w:rPr>
          <w:rFonts w:ascii="Times New Roman" w:hAnsi="Times New Roman"/>
          <w:szCs w:val="24"/>
        </w:rPr>
        <w:t>dis</w:t>
      </w:r>
      <w:r w:rsidR="00CE1ABB">
        <w:rPr>
          <w:rFonts w:ascii="Times New Roman" w:hAnsi="Times New Roman"/>
          <w:szCs w:val="24"/>
        </w:rPr>
        <w:t>crepanc</w:t>
      </w:r>
      <w:r w:rsidR="000108F4" w:rsidRPr="001D2B5A">
        <w:rPr>
          <w:rFonts w:ascii="Times New Roman" w:hAnsi="Times New Roman"/>
          <w:szCs w:val="24"/>
        </w:rPr>
        <w:t>y between the Congo’s criminal justice system and the ICC.</w:t>
      </w:r>
      <w:r w:rsidR="00C57E13">
        <w:rPr>
          <w:rFonts w:ascii="Times New Roman" w:hAnsi="Times New Roman"/>
          <w:szCs w:val="24"/>
        </w:rPr>
        <w:t xml:space="preserve"> In most domestic jurisdictions, law overlaps with their culture. Thus, the law cannot be entirely detached from their norms and culture, one of the reasons while the victims rejected Mr Katanga’s offer apologise because the norm of Hema culture dictates that an offender must make amends an apology. The culture of the affected national jurisdiction filters into the sentence review.</w:t>
      </w:r>
    </w:p>
    <w:p w14:paraId="1D3A4643" w14:textId="2E9B92B3" w:rsidR="009F31EC" w:rsidRDefault="005D2CC6" w:rsidP="001657D2">
      <w:pPr>
        <w:spacing w:line="480" w:lineRule="auto"/>
        <w:jc w:val="both"/>
        <w:rPr>
          <w:rFonts w:ascii="Times New Roman" w:hAnsi="Times New Roman"/>
          <w:szCs w:val="24"/>
        </w:rPr>
      </w:pPr>
      <w:r>
        <w:rPr>
          <w:rFonts w:ascii="Times New Roman" w:hAnsi="Times New Roman"/>
          <w:szCs w:val="24"/>
        </w:rPr>
        <w:lastRenderedPageBreak/>
        <w:t>T</w:t>
      </w:r>
      <w:r w:rsidRPr="001D2B5A">
        <w:rPr>
          <w:rFonts w:ascii="Times New Roman" w:hAnsi="Times New Roman"/>
          <w:szCs w:val="24"/>
        </w:rPr>
        <w:t>he absence of expressive justifications for penalties in the Rome Statute</w:t>
      </w:r>
      <w:r>
        <w:rPr>
          <w:rFonts w:ascii="Times New Roman" w:hAnsi="Times New Roman"/>
          <w:szCs w:val="24"/>
        </w:rPr>
        <w:t>, Rules and Regulations reveals</w:t>
      </w:r>
      <w:r w:rsidRPr="001D2B5A">
        <w:rPr>
          <w:rFonts w:ascii="Times New Roman" w:hAnsi="Times New Roman"/>
          <w:szCs w:val="24"/>
        </w:rPr>
        <w:t xml:space="preserve"> the ambiguity in interpreting the ICC rationale for sentencing</w:t>
      </w:r>
      <w:r>
        <w:rPr>
          <w:rFonts w:ascii="Times New Roman" w:hAnsi="Times New Roman"/>
          <w:szCs w:val="24"/>
        </w:rPr>
        <w:t>.</w:t>
      </w:r>
      <w:r w:rsidRPr="001D2B5A">
        <w:rPr>
          <w:rFonts w:ascii="Times New Roman" w:hAnsi="Times New Roman"/>
          <w:szCs w:val="24"/>
        </w:rPr>
        <w:t xml:space="preserve"> </w:t>
      </w:r>
      <w:r>
        <w:rPr>
          <w:rFonts w:ascii="Times New Roman" w:hAnsi="Times New Roman"/>
          <w:szCs w:val="24"/>
        </w:rPr>
        <w:t>F</w:t>
      </w:r>
      <w:r w:rsidR="004D5736" w:rsidRPr="001D2B5A">
        <w:rPr>
          <w:rFonts w:ascii="Times New Roman" w:hAnsi="Times New Roman"/>
          <w:szCs w:val="24"/>
        </w:rPr>
        <w:t>rom the</w:t>
      </w:r>
      <w:r>
        <w:rPr>
          <w:rFonts w:ascii="Times New Roman" w:hAnsi="Times New Roman"/>
          <w:szCs w:val="24"/>
        </w:rPr>
        <w:t xml:space="preserve"> declared</w:t>
      </w:r>
      <w:r w:rsidR="004D5736" w:rsidRPr="001D2B5A">
        <w:rPr>
          <w:rFonts w:ascii="Times New Roman" w:hAnsi="Times New Roman"/>
          <w:szCs w:val="24"/>
        </w:rPr>
        <w:t xml:space="preserve"> sentence</w:t>
      </w:r>
      <w:r>
        <w:rPr>
          <w:rFonts w:ascii="Times New Roman" w:hAnsi="Times New Roman"/>
          <w:szCs w:val="24"/>
        </w:rPr>
        <w:t xml:space="preserve"> of the convicted person</w:t>
      </w:r>
      <w:r w:rsidR="004D5736" w:rsidRPr="001D2B5A">
        <w:rPr>
          <w:rFonts w:ascii="Times New Roman" w:hAnsi="Times New Roman"/>
          <w:szCs w:val="24"/>
        </w:rPr>
        <w:t xml:space="preserve">, it appears that the </w:t>
      </w:r>
      <w:r w:rsidR="00CE1ABB">
        <w:rPr>
          <w:rFonts w:ascii="Times New Roman" w:hAnsi="Times New Roman"/>
          <w:szCs w:val="24"/>
        </w:rPr>
        <w:t>justification for</w:t>
      </w:r>
      <w:r w:rsidR="004D5736" w:rsidRPr="001D2B5A">
        <w:rPr>
          <w:rFonts w:ascii="Times New Roman" w:hAnsi="Times New Roman"/>
          <w:szCs w:val="24"/>
        </w:rPr>
        <w:t xml:space="preserve"> international sentencing is not mainly centred on retribution, rather, general deterrence, rehabilitation</w:t>
      </w:r>
      <w:r w:rsidR="00C7070D">
        <w:rPr>
          <w:rFonts w:ascii="Times New Roman" w:hAnsi="Times New Roman"/>
          <w:szCs w:val="24"/>
        </w:rPr>
        <w:t>, and some restorative justice elements</w:t>
      </w:r>
      <w:r w:rsidR="004D5736" w:rsidRPr="001D2B5A">
        <w:rPr>
          <w:rFonts w:ascii="Times New Roman" w:hAnsi="Times New Roman"/>
          <w:szCs w:val="24"/>
        </w:rPr>
        <w:t xml:space="preserve"> are all involved. One could also argue that the sentencing of the ICC is lenient and influenced by western ideas. Studies suggest that in some third world countries, the more</w:t>
      </w:r>
      <w:r w:rsidR="000358AC" w:rsidRPr="001D2B5A">
        <w:rPr>
          <w:rFonts w:ascii="Times New Roman" w:hAnsi="Times New Roman"/>
          <w:szCs w:val="24"/>
        </w:rPr>
        <w:t xml:space="preserve"> severe the offence is, the</w:t>
      </w:r>
      <w:r w:rsidR="004D5736" w:rsidRPr="001D2B5A">
        <w:rPr>
          <w:rFonts w:ascii="Times New Roman" w:hAnsi="Times New Roman"/>
          <w:szCs w:val="24"/>
        </w:rPr>
        <w:t xml:space="preserve"> harsher </w:t>
      </w:r>
      <w:r w:rsidR="000358AC" w:rsidRPr="001D2B5A">
        <w:rPr>
          <w:rFonts w:ascii="Times New Roman" w:hAnsi="Times New Roman"/>
          <w:szCs w:val="24"/>
        </w:rPr>
        <w:t>the punishment</w:t>
      </w:r>
      <w:r w:rsidR="004D5736" w:rsidRPr="001D2B5A">
        <w:rPr>
          <w:rFonts w:ascii="Times New Roman" w:hAnsi="Times New Roman"/>
          <w:szCs w:val="24"/>
        </w:rPr>
        <w:t>.</w:t>
      </w:r>
      <w:r w:rsidR="000358AC" w:rsidRPr="001D2B5A">
        <w:rPr>
          <w:rStyle w:val="FootnoteReference"/>
          <w:rFonts w:ascii="Times New Roman" w:hAnsi="Times New Roman"/>
          <w:szCs w:val="24"/>
        </w:rPr>
        <w:footnoteReference w:id="1236"/>
      </w:r>
      <w:r w:rsidR="004D5736" w:rsidRPr="001D2B5A">
        <w:rPr>
          <w:rFonts w:ascii="Times New Roman" w:hAnsi="Times New Roman"/>
          <w:szCs w:val="24"/>
        </w:rPr>
        <w:t xml:space="preserve">That is why some </w:t>
      </w:r>
      <w:r w:rsidR="00C7070D">
        <w:rPr>
          <w:rFonts w:ascii="Times New Roman" w:hAnsi="Times New Roman"/>
          <w:szCs w:val="24"/>
        </w:rPr>
        <w:t>third-</w:t>
      </w:r>
      <w:r w:rsidR="004D5736" w:rsidRPr="001D2B5A">
        <w:rPr>
          <w:rFonts w:ascii="Times New Roman" w:hAnsi="Times New Roman"/>
          <w:szCs w:val="24"/>
        </w:rPr>
        <w:t xml:space="preserve">world countries reward such punishment with harsher punishment like </w:t>
      </w:r>
      <w:r>
        <w:rPr>
          <w:rFonts w:ascii="Times New Roman" w:hAnsi="Times New Roman"/>
          <w:szCs w:val="24"/>
        </w:rPr>
        <w:t xml:space="preserve">a </w:t>
      </w:r>
      <w:r w:rsidR="004D5736" w:rsidRPr="001D2B5A">
        <w:rPr>
          <w:rFonts w:ascii="Times New Roman" w:hAnsi="Times New Roman"/>
          <w:szCs w:val="24"/>
        </w:rPr>
        <w:t>death sentence and longer term of imprisonment.</w:t>
      </w:r>
      <w:r>
        <w:rPr>
          <w:rFonts w:ascii="Times New Roman" w:hAnsi="Times New Roman"/>
          <w:szCs w:val="24"/>
        </w:rPr>
        <w:t xml:space="preserve"> </w:t>
      </w:r>
      <w:r w:rsidR="004D5736" w:rsidRPr="001D2B5A">
        <w:rPr>
          <w:rFonts w:ascii="Times New Roman" w:hAnsi="Times New Roman"/>
          <w:szCs w:val="24"/>
        </w:rPr>
        <w:t>It is commendable that the court recognised the importance of the convicted person’s apology to the victims and the expression of regret and remorse by the</w:t>
      </w:r>
      <w:r w:rsidR="009F31EC">
        <w:rPr>
          <w:rFonts w:ascii="Times New Roman" w:hAnsi="Times New Roman"/>
          <w:szCs w:val="24"/>
        </w:rPr>
        <w:t xml:space="preserve"> offender, which enables the restorative function.</w:t>
      </w:r>
    </w:p>
    <w:p w14:paraId="5FA64537" w14:textId="00FEEA5C" w:rsidR="004D5736" w:rsidRDefault="001657D2" w:rsidP="005E142E">
      <w:pPr>
        <w:spacing w:line="480" w:lineRule="auto"/>
        <w:jc w:val="both"/>
        <w:rPr>
          <w:rFonts w:ascii="Times New Roman" w:hAnsi="Times New Roman"/>
          <w:szCs w:val="24"/>
        </w:rPr>
      </w:pPr>
      <w:r>
        <w:rPr>
          <w:rFonts w:ascii="Times New Roman" w:hAnsi="Times New Roman"/>
          <w:szCs w:val="24"/>
        </w:rPr>
        <w:t xml:space="preserve">Moreover, since </w:t>
      </w:r>
      <w:r w:rsidR="004D5736" w:rsidRPr="001D2B5A">
        <w:rPr>
          <w:rFonts w:ascii="Times New Roman" w:hAnsi="Times New Roman"/>
          <w:szCs w:val="24"/>
        </w:rPr>
        <w:t xml:space="preserve">the judges are usually from different jurisdictions; civil and common law jurisdictions, we should bear in mind that while some judges may be pre-defendant </w:t>
      </w:r>
      <w:r w:rsidR="00943E1C">
        <w:rPr>
          <w:rFonts w:ascii="Times New Roman" w:hAnsi="Times New Roman"/>
          <w:szCs w:val="24"/>
        </w:rPr>
        <w:t>rights, some may be pro-</w:t>
      </w:r>
      <w:proofErr w:type="spellStart"/>
      <w:r w:rsidR="00943E1C">
        <w:rPr>
          <w:rFonts w:ascii="Times New Roman" w:hAnsi="Times New Roman"/>
          <w:szCs w:val="24"/>
        </w:rPr>
        <w:t>victims</w:t>
      </w:r>
      <w:proofErr w:type="spellEnd"/>
      <w:r w:rsidR="004D5736" w:rsidRPr="001D2B5A">
        <w:rPr>
          <w:rFonts w:ascii="Times New Roman" w:hAnsi="Times New Roman"/>
          <w:szCs w:val="24"/>
        </w:rPr>
        <w:t xml:space="preserve"> rights. The implication of this is tha</w:t>
      </w:r>
      <w:r w:rsidR="00C22B52" w:rsidRPr="001D2B5A">
        <w:rPr>
          <w:rFonts w:ascii="Times New Roman" w:hAnsi="Times New Roman"/>
          <w:szCs w:val="24"/>
        </w:rPr>
        <w:t xml:space="preserve">t </w:t>
      </w:r>
      <w:r w:rsidR="007708E7">
        <w:rPr>
          <w:rFonts w:ascii="Times New Roman" w:hAnsi="Times New Roman"/>
          <w:szCs w:val="24"/>
        </w:rPr>
        <w:t xml:space="preserve">such differences may </w:t>
      </w:r>
      <w:r w:rsidR="00C22B52" w:rsidRPr="001D2B5A">
        <w:rPr>
          <w:rFonts w:ascii="Times New Roman" w:hAnsi="Times New Roman"/>
          <w:szCs w:val="24"/>
        </w:rPr>
        <w:t>lead to division</w:t>
      </w:r>
      <w:r w:rsidR="004D5736" w:rsidRPr="001D2B5A">
        <w:rPr>
          <w:rFonts w:ascii="Times New Roman" w:hAnsi="Times New Roman"/>
          <w:szCs w:val="24"/>
        </w:rPr>
        <w:t xml:space="preserve"> in reaching consensus. The pro</w:t>
      </w:r>
      <w:r w:rsidR="005E142E">
        <w:rPr>
          <w:rFonts w:ascii="Times New Roman" w:hAnsi="Times New Roman"/>
          <w:szCs w:val="24"/>
        </w:rPr>
        <w:t>-</w:t>
      </w:r>
      <w:r w:rsidR="004D5736" w:rsidRPr="001D2B5A">
        <w:rPr>
          <w:rFonts w:ascii="Times New Roman" w:hAnsi="Times New Roman"/>
          <w:szCs w:val="24"/>
        </w:rPr>
        <w:t>victims judges may be more interested in the emancipation of victims’ rights in trials while the pro</w:t>
      </w:r>
      <w:r w:rsidR="005E142E">
        <w:rPr>
          <w:rFonts w:ascii="Times New Roman" w:hAnsi="Times New Roman"/>
          <w:szCs w:val="24"/>
        </w:rPr>
        <w:t>-</w:t>
      </w:r>
      <w:r w:rsidR="004D5736" w:rsidRPr="001D2B5A">
        <w:rPr>
          <w:rFonts w:ascii="Times New Roman" w:hAnsi="Times New Roman"/>
          <w:szCs w:val="24"/>
        </w:rPr>
        <w:t>defendant judges may be rigid in considering victims’ rights.</w:t>
      </w:r>
    </w:p>
    <w:p w14:paraId="1FE43E67" w14:textId="6210E208" w:rsidR="00CE1ABB" w:rsidRDefault="00CE1ABB" w:rsidP="00CE1ABB">
      <w:pPr>
        <w:spacing w:line="480" w:lineRule="auto"/>
        <w:jc w:val="both"/>
        <w:rPr>
          <w:rFonts w:ascii="Times New Roman" w:hAnsi="Times New Roman"/>
          <w:szCs w:val="24"/>
        </w:rPr>
      </w:pPr>
      <w:r>
        <w:rPr>
          <w:rFonts w:ascii="Times New Roman" w:eastAsia="Cambria" w:hAnsi="Times New Roman"/>
          <w:szCs w:val="24"/>
          <w:lang w:eastAsia="ja-JP"/>
        </w:rPr>
        <w:lastRenderedPageBreak/>
        <w:t>Restorative justice process may provide a context for forgiveness and reconciliation, especially in community settings.</w:t>
      </w:r>
      <w:r>
        <w:rPr>
          <w:rStyle w:val="FootnoteReference"/>
          <w:rFonts w:ascii="Times New Roman" w:eastAsia="Cambria" w:hAnsi="Times New Roman"/>
          <w:szCs w:val="24"/>
          <w:lang w:eastAsia="ja-JP"/>
        </w:rPr>
        <w:footnoteReference w:id="1237"/>
      </w:r>
      <w:r>
        <w:rPr>
          <w:rFonts w:ascii="Times New Roman" w:hAnsi="Times New Roman"/>
          <w:szCs w:val="24"/>
        </w:rPr>
        <w:t>Admittedly, there is no pure model for restorative justice activity/process.</w:t>
      </w:r>
      <w:r>
        <w:rPr>
          <w:rStyle w:val="FootnoteReference"/>
          <w:rFonts w:ascii="Times New Roman" w:hAnsi="Times New Roman"/>
          <w:szCs w:val="24"/>
        </w:rPr>
        <w:footnoteReference w:id="1238"/>
      </w:r>
      <w:r>
        <w:rPr>
          <w:rFonts w:ascii="Times New Roman" w:hAnsi="Times New Roman"/>
          <w:szCs w:val="24"/>
        </w:rPr>
        <w:t>It is clear from the sentencing process that the Rome Statute and the Rules of Evidence and Procedure infused some elements of restorative justice. Nonetheless, the effectiveness of restorative justice outcome can be subverted in the absence of guilty plea by the offender as well as refusal to participate in such activity.</w:t>
      </w:r>
    </w:p>
    <w:p w14:paraId="4FDBF9C8" w14:textId="5D6F8870" w:rsidR="00D368E5" w:rsidRDefault="007708E7" w:rsidP="00F96B0D">
      <w:pPr>
        <w:spacing w:line="480" w:lineRule="auto"/>
        <w:jc w:val="both"/>
        <w:rPr>
          <w:rFonts w:ascii="Times New Roman" w:hAnsi="Times New Roman"/>
          <w:szCs w:val="24"/>
        </w:rPr>
      </w:pPr>
      <w:r>
        <w:rPr>
          <w:rFonts w:ascii="Times New Roman" w:hAnsi="Times New Roman"/>
          <w:szCs w:val="24"/>
        </w:rPr>
        <w:t xml:space="preserve">To conclude this section, it has been shown that </w:t>
      </w:r>
      <w:r w:rsidR="00637E33">
        <w:rPr>
          <w:rFonts w:ascii="Times New Roman" w:hAnsi="Times New Roman"/>
          <w:szCs w:val="24"/>
        </w:rPr>
        <w:t>their participation in sentence decision is minimal despite victims' empowerment at the sentencing hearing phase</w:t>
      </w:r>
      <w:r>
        <w:rPr>
          <w:rFonts w:ascii="Times New Roman" w:hAnsi="Times New Roman"/>
          <w:szCs w:val="24"/>
        </w:rPr>
        <w:t>.</w:t>
      </w:r>
      <w:r w:rsidR="00CE1ABB">
        <w:rPr>
          <w:rFonts w:ascii="Times New Roman" w:hAnsi="Times New Roman"/>
          <w:szCs w:val="24"/>
        </w:rPr>
        <w:t xml:space="preserve"> </w:t>
      </w:r>
      <w:r>
        <w:rPr>
          <w:rFonts w:ascii="Times New Roman" w:hAnsi="Times New Roman"/>
          <w:szCs w:val="24"/>
        </w:rPr>
        <w:t>Their participation is not absolute; the influence of such participation is subject to judicial discretion.</w:t>
      </w:r>
    </w:p>
    <w:p w14:paraId="4B82A816" w14:textId="45E4588A" w:rsidR="00E54CA5" w:rsidRPr="00BE553C" w:rsidRDefault="00855222" w:rsidP="00BE553C">
      <w:pPr>
        <w:spacing w:before="240" w:line="480" w:lineRule="auto"/>
        <w:jc w:val="both"/>
        <w:rPr>
          <w:rFonts w:ascii="Times New Roman" w:hAnsi="Times New Roman"/>
          <w:szCs w:val="24"/>
        </w:rPr>
      </w:pPr>
      <w:r>
        <w:rPr>
          <w:rFonts w:ascii="Times New Roman" w:hAnsi="Times New Roman"/>
          <w:szCs w:val="24"/>
        </w:rPr>
        <w:t>The sentence review seem</w:t>
      </w:r>
      <w:r w:rsidR="003B7C6B">
        <w:rPr>
          <w:rFonts w:ascii="Times New Roman" w:hAnsi="Times New Roman"/>
          <w:szCs w:val="24"/>
        </w:rPr>
        <w:t>s</w:t>
      </w:r>
      <w:r>
        <w:rPr>
          <w:rFonts w:ascii="Times New Roman" w:hAnsi="Times New Roman"/>
          <w:szCs w:val="24"/>
        </w:rPr>
        <w:t xml:space="preserve"> to embrace emoting and resol</w:t>
      </w:r>
      <w:r w:rsidR="00C7070D">
        <w:rPr>
          <w:rFonts w:ascii="Times New Roman" w:hAnsi="Times New Roman"/>
          <w:szCs w:val="24"/>
        </w:rPr>
        <w:t>ving</w:t>
      </w:r>
      <w:r>
        <w:rPr>
          <w:rFonts w:ascii="Times New Roman" w:hAnsi="Times New Roman"/>
          <w:szCs w:val="24"/>
        </w:rPr>
        <w:t xml:space="preserve"> the damaged relationship between the offender and victims rather than a more punitive approach. It also incorporates rehabilitation and reintegration of the convicted person; however, there seems to be a gap </w:t>
      </w:r>
      <w:r w:rsidR="00C7070D">
        <w:rPr>
          <w:rFonts w:ascii="Times New Roman" w:hAnsi="Times New Roman"/>
          <w:szCs w:val="24"/>
        </w:rPr>
        <w:t>in</w:t>
      </w:r>
      <w:r>
        <w:rPr>
          <w:rFonts w:ascii="Times New Roman" w:hAnsi="Times New Roman"/>
          <w:szCs w:val="24"/>
        </w:rPr>
        <w:t xml:space="preserve"> the </w:t>
      </w:r>
      <w:r w:rsidR="00637E33">
        <w:rPr>
          <w:rFonts w:ascii="Times New Roman" w:hAnsi="Times New Roman"/>
          <w:szCs w:val="24"/>
        </w:rPr>
        <w:t>offender's restoration</w:t>
      </w:r>
      <w:r w:rsidR="00BE553C">
        <w:rPr>
          <w:rFonts w:ascii="Times New Roman" w:hAnsi="Times New Roman"/>
          <w:szCs w:val="24"/>
        </w:rPr>
        <w:t xml:space="preserve"> because the ICC does not monitor </w:t>
      </w:r>
      <w:r w:rsidR="0029137B">
        <w:rPr>
          <w:rFonts w:ascii="Times New Roman" w:hAnsi="Times New Roman"/>
          <w:szCs w:val="24"/>
        </w:rPr>
        <w:t>correctional facilities' role</w:t>
      </w:r>
      <w:r w:rsidR="00BE553C">
        <w:rPr>
          <w:rFonts w:ascii="Times New Roman" w:hAnsi="Times New Roman"/>
          <w:szCs w:val="24"/>
        </w:rPr>
        <w:t xml:space="preserve"> in transforming the victims. </w:t>
      </w:r>
      <w:r w:rsidR="00E54CA5">
        <w:rPr>
          <w:rFonts w:ascii="Times New Roman" w:eastAsia="Cambria" w:hAnsi="Times New Roman"/>
          <w:szCs w:val="24"/>
          <w:lang w:eastAsia="ja-JP"/>
        </w:rPr>
        <w:t xml:space="preserve">The </w:t>
      </w:r>
      <w:r w:rsidR="00BE553C">
        <w:rPr>
          <w:rFonts w:ascii="Times New Roman" w:eastAsia="Cambria" w:hAnsi="Times New Roman"/>
          <w:szCs w:val="24"/>
          <w:lang w:eastAsia="ja-JP"/>
        </w:rPr>
        <w:t xml:space="preserve">convict might feign adherence to the </w:t>
      </w:r>
      <w:r w:rsidR="00C57E13">
        <w:rPr>
          <w:rFonts w:ascii="Times New Roman" w:eastAsia="Cambria" w:hAnsi="Times New Roman"/>
          <w:szCs w:val="24"/>
          <w:lang w:eastAsia="ja-JP"/>
        </w:rPr>
        <w:t xml:space="preserve">conditions and </w:t>
      </w:r>
      <w:r w:rsidR="00BE553C">
        <w:rPr>
          <w:rFonts w:ascii="Times New Roman" w:eastAsia="Cambria" w:hAnsi="Times New Roman"/>
          <w:szCs w:val="24"/>
          <w:lang w:eastAsia="ja-JP"/>
        </w:rPr>
        <w:t>factors</w:t>
      </w:r>
      <w:r w:rsidR="00C57E13">
        <w:rPr>
          <w:rFonts w:ascii="Times New Roman" w:eastAsia="Cambria" w:hAnsi="Times New Roman"/>
          <w:szCs w:val="24"/>
          <w:lang w:eastAsia="ja-JP"/>
        </w:rPr>
        <w:t>(Article 110(4) and Rule 223)</w:t>
      </w:r>
      <w:r w:rsidR="00BE553C">
        <w:rPr>
          <w:rFonts w:ascii="Times New Roman" w:eastAsia="Cambria" w:hAnsi="Times New Roman"/>
          <w:szCs w:val="24"/>
          <w:lang w:eastAsia="ja-JP"/>
        </w:rPr>
        <w:t xml:space="preserve"> of</w:t>
      </w:r>
      <w:r w:rsidR="00E54CA5">
        <w:rPr>
          <w:rFonts w:ascii="Times New Roman" w:eastAsia="Cambria" w:hAnsi="Times New Roman"/>
          <w:szCs w:val="24"/>
          <w:lang w:eastAsia="ja-JP"/>
        </w:rPr>
        <w:t xml:space="preserve"> good behaviour, prospects, reflections, individual characteristics and acknowledgement of responsibility</w:t>
      </w:r>
      <w:r w:rsidR="00BE553C">
        <w:rPr>
          <w:rFonts w:ascii="Times New Roman" w:eastAsia="Cambria" w:hAnsi="Times New Roman"/>
          <w:szCs w:val="24"/>
          <w:lang w:eastAsia="ja-JP"/>
        </w:rPr>
        <w:t xml:space="preserve"> for early release.</w:t>
      </w:r>
    </w:p>
    <w:p w14:paraId="543C5D7E" w14:textId="27152BBE" w:rsidR="008C2BF4" w:rsidRPr="00255FF0" w:rsidRDefault="009C5E6F" w:rsidP="00255FF0">
      <w:pPr>
        <w:spacing w:line="480" w:lineRule="auto"/>
        <w:jc w:val="both"/>
        <w:rPr>
          <w:rFonts w:ascii="Times New Roman" w:hAnsi="Times New Roman"/>
          <w:szCs w:val="24"/>
        </w:rPr>
      </w:pPr>
      <w:r w:rsidRPr="001D2B5A">
        <w:rPr>
          <w:rFonts w:ascii="Times New Roman" w:hAnsi="Times New Roman"/>
          <w:szCs w:val="24"/>
        </w:rPr>
        <w:lastRenderedPageBreak/>
        <w:t>The ne</w:t>
      </w:r>
      <w:r w:rsidR="008C2BF4" w:rsidRPr="001D2B5A">
        <w:rPr>
          <w:rFonts w:ascii="Times New Roman" w:hAnsi="Times New Roman"/>
          <w:szCs w:val="24"/>
        </w:rPr>
        <w:t xml:space="preserve">xt chapter describes the summary of the thesis and </w:t>
      </w:r>
      <w:r w:rsidR="007708E7">
        <w:rPr>
          <w:rFonts w:ascii="Times New Roman" w:hAnsi="Times New Roman"/>
          <w:szCs w:val="24"/>
        </w:rPr>
        <w:t>recommends</w:t>
      </w:r>
      <w:r w:rsidR="008C2BF4" w:rsidRPr="001D2B5A">
        <w:rPr>
          <w:rFonts w:ascii="Times New Roman" w:hAnsi="Times New Roman"/>
          <w:szCs w:val="24"/>
        </w:rPr>
        <w:t xml:space="preserve"> </w:t>
      </w:r>
      <w:r w:rsidR="00A71C91">
        <w:rPr>
          <w:rFonts w:ascii="Times New Roman" w:hAnsi="Times New Roman"/>
          <w:szCs w:val="24"/>
        </w:rPr>
        <w:t xml:space="preserve">a </w:t>
      </w:r>
      <w:r w:rsidR="008C2BF4" w:rsidRPr="001D2B5A">
        <w:rPr>
          <w:rFonts w:ascii="Times New Roman" w:hAnsi="Times New Roman"/>
          <w:szCs w:val="24"/>
        </w:rPr>
        <w:t>future solution.</w:t>
      </w:r>
    </w:p>
    <w:p w14:paraId="2ADB7AA6" w14:textId="77777777" w:rsidR="00ED0FBF" w:rsidRPr="001D2B5A" w:rsidRDefault="00ED0FBF" w:rsidP="001D2B5A">
      <w:pPr>
        <w:spacing w:after="0" w:line="480" w:lineRule="auto"/>
        <w:jc w:val="both"/>
        <w:rPr>
          <w:rFonts w:ascii="Times New Roman" w:eastAsia="Cambria" w:hAnsi="Times New Roman"/>
          <w:sz w:val="22"/>
          <w:lang w:eastAsia="ja-JP"/>
        </w:rPr>
        <w:sectPr w:rsidR="00ED0FBF" w:rsidRPr="001D2B5A" w:rsidSect="00260E21">
          <w:footnotePr>
            <w:pos w:val="beneathText"/>
            <w:numRestart w:val="eachSect"/>
          </w:footnotePr>
          <w:pgSz w:w="11906" w:h="16838"/>
          <w:pgMar w:top="1440" w:right="1797" w:bottom="1440" w:left="1797" w:header="709" w:footer="709" w:gutter="0"/>
          <w:cols w:space="708"/>
          <w:docGrid w:linePitch="360"/>
        </w:sectPr>
      </w:pPr>
    </w:p>
    <w:p w14:paraId="44A591AF" w14:textId="77777777" w:rsidR="006E622A" w:rsidRPr="001D2B5A" w:rsidRDefault="008C2BF4" w:rsidP="001D2B5A">
      <w:pPr>
        <w:pStyle w:val="Heading1"/>
      </w:pPr>
      <w:bookmarkStart w:id="97" w:name="_Toc60235861"/>
      <w:r w:rsidRPr="001D2B5A">
        <w:lastRenderedPageBreak/>
        <w:t>5.0</w:t>
      </w:r>
      <w:r w:rsidR="002B044E">
        <w:t xml:space="preserve"> </w:t>
      </w:r>
      <w:r w:rsidR="009C5E6F" w:rsidRPr="001D2B5A">
        <w:t xml:space="preserve">Chapter </w:t>
      </w:r>
      <w:r w:rsidR="005F1817">
        <w:t>5</w:t>
      </w:r>
      <w:bookmarkEnd w:id="97"/>
    </w:p>
    <w:p w14:paraId="1ED2CFB3" w14:textId="77777777" w:rsidR="006E622A" w:rsidRPr="001D2B5A" w:rsidRDefault="008C2BF4" w:rsidP="000C4174">
      <w:pPr>
        <w:pStyle w:val="Heading2"/>
        <w:rPr>
          <w:rFonts w:eastAsia="Cambria"/>
          <w:lang w:eastAsia="ja-JP"/>
        </w:rPr>
      </w:pPr>
      <w:bookmarkStart w:id="98" w:name="_Toc60235862"/>
      <w:r w:rsidRPr="001D2B5A">
        <w:rPr>
          <w:rFonts w:eastAsia="Cambria"/>
          <w:lang w:eastAsia="ja-JP"/>
        </w:rPr>
        <w:t>5</w:t>
      </w:r>
      <w:r w:rsidR="00F67010" w:rsidRPr="001D2B5A">
        <w:rPr>
          <w:rFonts w:eastAsia="Cambria"/>
          <w:lang w:eastAsia="ja-JP"/>
        </w:rPr>
        <w:t>.1.</w:t>
      </w:r>
      <w:r w:rsidR="006E622A" w:rsidRPr="001D2B5A">
        <w:rPr>
          <w:rFonts w:eastAsia="Cambria"/>
          <w:lang w:eastAsia="ja-JP"/>
        </w:rPr>
        <w:t>Conclusion</w:t>
      </w:r>
      <w:bookmarkEnd w:id="98"/>
    </w:p>
    <w:p w14:paraId="1876D9CD" w14:textId="32DBB6CF" w:rsidR="005F1817" w:rsidRDefault="001557CF" w:rsidP="00505D18">
      <w:pPr>
        <w:spacing w:after="0" w:line="480" w:lineRule="auto"/>
        <w:jc w:val="both"/>
        <w:rPr>
          <w:rFonts w:ascii="Times New Roman" w:eastAsia="Cambria" w:hAnsi="Times New Roman"/>
          <w:szCs w:val="24"/>
          <w:lang w:eastAsia="ja-JP"/>
        </w:rPr>
      </w:pPr>
      <w:r w:rsidRPr="00505D18">
        <w:rPr>
          <w:rFonts w:ascii="Times New Roman" w:eastAsia="Cambria" w:hAnsi="Times New Roman"/>
          <w:szCs w:val="24"/>
          <w:lang w:eastAsia="ja-JP"/>
        </w:rPr>
        <w:t>The</w:t>
      </w:r>
      <w:r w:rsidR="009C5E6F" w:rsidRPr="00505D18">
        <w:rPr>
          <w:rFonts w:ascii="Times New Roman" w:eastAsia="Cambria" w:hAnsi="Times New Roman"/>
          <w:szCs w:val="24"/>
          <w:lang w:eastAsia="ja-JP"/>
        </w:rPr>
        <w:t xml:space="preserve"> main goal of the thesis was to examine</w:t>
      </w:r>
      <w:r w:rsidR="005F1817">
        <w:rPr>
          <w:rFonts w:ascii="Times New Roman" w:eastAsia="Cambria" w:hAnsi="Times New Roman"/>
          <w:szCs w:val="24"/>
          <w:lang w:eastAsia="ja-JP"/>
        </w:rPr>
        <w:t xml:space="preserve"> how</w:t>
      </w:r>
      <w:r w:rsidR="001B4321" w:rsidRPr="00505D18">
        <w:rPr>
          <w:rFonts w:ascii="Times New Roman" w:eastAsia="Cambria" w:hAnsi="Times New Roman"/>
          <w:szCs w:val="24"/>
          <w:lang w:eastAsia="ja-JP"/>
        </w:rPr>
        <w:t xml:space="preserve"> </w:t>
      </w:r>
      <w:r w:rsidR="00A819C2">
        <w:rPr>
          <w:rFonts w:ascii="Times New Roman" w:eastAsia="Cambria" w:hAnsi="Times New Roman"/>
          <w:szCs w:val="24"/>
          <w:lang w:eastAsia="ja-JP"/>
        </w:rPr>
        <w:t>the ICC has managed victims’ rights and interests</w:t>
      </w:r>
      <w:r w:rsidR="001C0EEC">
        <w:rPr>
          <w:rFonts w:ascii="Times New Roman" w:eastAsia="Cambria" w:hAnsi="Times New Roman"/>
          <w:szCs w:val="24"/>
          <w:lang w:eastAsia="ja-JP"/>
        </w:rPr>
        <w:t xml:space="preserve"> </w:t>
      </w:r>
      <w:r w:rsidRPr="00505D18">
        <w:rPr>
          <w:rFonts w:ascii="Times New Roman" w:eastAsia="Cambria" w:hAnsi="Times New Roman"/>
          <w:szCs w:val="24"/>
          <w:lang w:eastAsia="ja-JP"/>
        </w:rPr>
        <w:t>through three themes</w:t>
      </w:r>
      <w:r w:rsidR="005F1817">
        <w:rPr>
          <w:rFonts w:ascii="Times New Roman" w:eastAsia="Cambria" w:hAnsi="Times New Roman"/>
          <w:szCs w:val="24"/>
          <w:lang w:eastAsia="ja-JP"/>
        </w:rPr>
        <w:t>, namely(1)</w:t>
      </w:r>
      <w:r w:rsidR="001B4321" w:rsidRPr="00505D18">
        <w:rPr>
          <w:rFonts w:ascii="Times New Roman" w:eastAsia="Cambria" w:hAnsi="Times New Roman"/>
          <w:szCs w:val="24"/>
          <w:lang w:eastAsia="ja-JP"/>
        </w:rPr>
        <w:t xml:space="preserve"> prosecutorial</w:t>
      </w:r>
      <w:r w:rsidRPr="00505D18">
        <w:rPr>
          <w:rFonts w:ascii="Times New Roman" w:eastAsia="Cambria" w:hAnsi="Times New Roman"/>
          <w:szCs w:val="24"/>
          <w:lang w:eastAsia="ja-JP"/>
        </w:rPr>
        <w:t xml:space="preserve"> discretion, </w:t>
      </w:r>
      <w:r w:rsidR="005F1817">
        <w:rPr>
          <w:rFonts w:ascii="Times New Roman" w:eastAsia="Cambria" w:hAnsi="Times New Roman"/>
          <w:szCs w:val="24"/>
          <w:lang w:eastAsia="ja-JP"/>
        </w:rPr>
        <w:t>(2)</w:t>
      </w:r>
      <w:r w:rsidRPr="00505D18">
        <w:rPr>
          <w:rFonts w:ascii="Times New Roman" w:eastAsia="Cambria" w:hAnsi="Times New Roman"/>
          <w:szCs w:val="24"/>
          <w:lang w:eastAsia="ja-JP"/>
        </w:rPr>
        <w:t xml:space="preserve"> </w:t>
      </w:r>
      <w:r w:rsidR="001B4321" w:rsidRPr="00505D18">
        <w:rPr>
          <w:rFonts w:ascii="Times New Roman" w:eastAsia="Cambria" w:hAnsi="Times New Roman"/>
          <w:szCs w:val="24"/>
          <w:lang w:eastAsia="ja-JP"/>
        </w:rPr>
        <w:t>trial</w:t>
      </w:r>
      <w:r w:rsidRPr="00505D18">
        <w:rPr>
          <w:rFonts w:ascii="Times New Roman" w:eastAsia="Cambria" w:hAnsi="Times New Roman"/>
          <w:szCs w:val="24"/>
          <w:lang w:eastAsia="ja-JP"/>
        </w:rPr>
        <w:t xml:space="preserve"> process</w:t>
      </w:r>
      <w:r w:rsidR="001B4321" w:rsidRPr="00505D18">
        <w:rPr>
          <w:rFonts w:ascii="Times New Roman" w:eastAsia="Cambria" w:hAnsi="Times New Roman"/>
          <w:szCs w:val="24"/>
          <w:lang w:eastAsia="ja-JP"/>
        </w:rPr>
        <w:t xml:space="preserve"> and</w:t>
      </w:r>
      <w:r w:rsidR="005F1817">
        <w:rPr>
          <w:rFonts w:ascii="Times New Roman" w:eastAsia="Cambria" w:hAnsi="Times New Roman"/>
          <w:szCs w:val="24"/>
          <w:lang w:eastAsia="ja-JP"/>
        </w:rPr>
        <w:t xml:space="preserve"> (3)</w:t>
      </w:r>
      <w:r w:rsidR="001B4321" w:rsidRPr="00505D18">
        <w:rPr>
          <w:rFonts w:ascii="Times New Roman" w:eastAsia="Cambria" w:hAnsi="Times New Roman"/>
          <w:szCs w:val="24"/>
          <w:lang w:eastAsia="ja-JP"/>
        </w:rPr>
        <w:t xml:space="preserve"> sentencing.</w:t>
      </w:r>
      <w:r w:rsidR="00EA7EC2" w:rsidRPr="00505D18">
        <w:rPr>
          <w:rFonts w:ascii="Times New Roman" w:eastAsia="Cambria" w:hAnsi="Times New Roman"/>
          <w:szCs w:val="24"/>
          <w:lang w:eastAsia="ja-JP"/>
        </w:rPr>
        <w:t xml:space="preserve"> </w:t>
      </w:r>
      <w:r w:rsidR="00C6419B">
        <w:rPr>
          <w:rFonts w:ascii="Times New Roman" w:eastAsia="Cambria" w:hAnsi="Times New Roman"/>
          <w:szCs w:val="24"/>
          <w:lang w:eastAsia="ja-JP"/>
        </w:rPr>
        <w:t>T</w:t>
      </w:r>
      <w:r w:rsidR="00CD02B2" w:rsidRPr="00505D18">
        <w:rPr>
          <w:rFonts w:ascii="Times New Roman" w:eastAsia="Cambria" w:hAnsi="Times New Roman"/>
          <w:szCs w:val="24"/>
          <w:lang w:eastAsia="ja-JP"/>
        </w:rPr>
        <w:t>he</w:t>
      </w:r>
      <w:r w:rsidR="00C6419B">
        <w:rPr>
          <w:rFonts w:ascii="Times New Roman" w:eastAsia="Cambria" w:hAnsi="Times New Roman"/>
          <w:szCs w:val="24"/>
          <w:lang w:eastAsia="ja-JP"/>
        </w:rPr>
        <w:t xml:space="preserve"> researcher </w:t>
      </w:r>
      <w:r w:rsidRPr="00505D18">
        <w:rPr>
          <w:rFonts w:ascii="Times New Roman" w:eastAsia="Cambria" w:hAnsi="Times New Roman"/>
          <w:szCs w:val="24"/>
          <w:lang w:eastAsia="ja-JP"/>
        </w:rPr>
        <w:t>critically explored</w:t>
      </w:r>
      <w:r w:rsidR="00EA7EC2" w:rsidRPr="00505D18">
        <w:rPr>
          <w:rFonts w:ascii="Times New Roman" w:eastAsia="Cambria" w:hAnsi="Times New Roman"/>
          <w:szCs w:val="24"/>
          <w:lang w:eastAsia="ja-JP"/>
        </w:rPr>
        <w:t xml:space="preserve"> </w:t>
      </w:r>
      <w:r w:rsidR="00C6419B">
        <w:rPr>
          <w:rFonts w:ascii="Times New Roman" w:eastAsia="Cambria" w:hAnsi="Times New Roman"/>
          <w:szCs w:val="24"/>
          <w:lang w:eastAsia="ja-JP"/>
        </w:rPr>
        <w:t>these themes</w:t>
      </w:r>
      <w:r w:rsidR="00EA7EC2" w:rsidRPr="00505D18">
        <w:rPr>
          <w:rFonts w:ascii="Times New Roman" w:eastAsia="Cambria" w:hAnsi="Times New Roman"/>
          <w:szCs w:val="24"/>
          <w:lang w:eastAsia="ja-JP"/>
        </w:rPr>
        <w:t xml:space="preserve"> to assess how </w:t>
      </w:r>
      <w:r w:rsidR="00505D18">
        <w:rPr>
          <w:rFonts w:ascii="Times New Roman" w:eastAsia="Cambria" w:hAnsi="Times New Roman"/>
          <w:szCs w:val="24"/>
          <w:lang w:eastAsia="ja-JP"/>
        </w:rPr>
        <w:t>they impact victims</w:t>
      </w:r>
      <w:r w:rsidR="005F1817">
        <w:rPr>
          <w:rFonts w:ascii="Times New Roman" w:eastAsia="Cambria" w:hAnsi="Times New Roman"/>
          <w:szCs w:val="24"/>
          <w:lang w:eastAsia="ja-JP"/>
        </w:rPr>
        <w:t xml:space="preserve"> interaction at the ICC.</w:t>
      </w:r>
    </w:p>
    <w:p w14:paraId="228E43CC" w14:textId="77777777" w:rsidR="005F1817" w:rsidRDefault="005F1817" w:rsidP="00505D18">
      <w:pPr>
        <w:spacing w:after="0" w:line="480" w:lineRule="auto"/>
        <w:jc w:val="both"/>
        <w:rPr>
          <w:rFonts w:ascii="Times New Roman" w:eastAsia="Cambria" w:hAnsi="Times New Roman"/>
          <w:szCs w:val="24"/>
          <w:lang w:eastAsia="ja-JP"/>
        </w:rPr>
      </w:pPr>
    </w:p>
    <w:p w14:paraId="46CBB709" w14:textId="62A7E15D" w:rsidR="00853573" w:rsidRDefault="00853573" w:rsidP="00505D18">
      <w:pPr>
        <w:spacing w:after="0" w:line="480" w:lineRule="auto"/>
        <w:jc w:val="both"/>
        <w:rPr>
          <w:rFonts w:ascii="Times New Roman" w:hAnsi="Times New Roman"/>
          <w:szCs w:val="24"/>
        </w:rPr>
      </w:pPr>
      <w:r w:rsidRPr="00505D18">
        <w:rPr>
          <w:rFonts w:ascii="Times New Roman" w:hAnsi="Times New Roman"/>
          <w:szCs w:val="24"/>
        </w:rPr>
        <w:t>Victims interests in this context are described as personal,</w:t>
      </w:r>
      <w:r w:rsidR="005F1817">
        <w:rPr>
          <w:rFonts w:ascii="Times New Roman" w:hAnsi="Times New Roman"/>
          <w:szCs w:val="24"/>
        </w:rPr>
        <w:t xml:space="preserve"> </w:t>
      </w:r>
      <w:r w:rsidRPr="00505D18">
        <w:rPr>
          <w:rFonts w:ascii="Times New Roman" w:hAnsi="Times New Roman"/>
          <w:szCs w:val="24"/>
        </w:rPr>
        <w:t>as opposed to the Prosecutor’s interests which is general</w:t>
      </w:r>
      <w:r w:rsidR="001C0EEC">
        <w:rPr>
          <w:rFonts w:ascii="Times New Roman" w:hAnsi="Times New Roman"/>
          <w:szCs w:val="24"/>
        </w:rPr>
        <w:t xml:space="preserve">(community interests). </w:t>
      </w:r>
      <w:r w:rsidRPr="00505D18">
        <w:rPr>
          <w:rFonts w:ascii="Times New Roman" w:hAnsi="Times New Roman"/>
          <w:szCs w:val="24"/>
        </w:rPr>
        <w:t>Although, one may argue that some  Prosecutor’s interests overlap with the victims’.</w:t>
      </w:r>
      <w:r w:rsidR="00505D18">
        <w:rPr>
          <w:rFonts w:ascii="Times New Roman" w:hAnsi="Times New Roman"/>
          <w:szCs w:val="24"/>
        </w:rPr>
        <w:t xml:space="preserve"> </w:t>
      </w:r>
      <w:r w:rsidRPr="00505D18">
        <w:rPr>
          <w:rFonts w:ascii="Times New Roman" w:hAnsi="Times New Roman"/>
          <w:szCs w:val="24"/>
        </w:rPr>
        <w:t>In the determination of the personal interests of victims, the Court uses a case-by-case assessment.</w:t>
      </w:r>
      <w:r w:rsidRPr="00505D18">
        <w:rPr>
          <w:rFonts w:ascii="Times New Roman" w:hAnsi="Times New Roman"/>
          <w:szCs w:val="24"/>
          <w:vertAlign w:val="superscript"/>
        </w:rPr>
        <w:footnoteReference w:id="1239"/>
      </w:r>
      <w:r w:rsidRPr="00505D18">
        <w:rPr>
          <w:rFonts w:ascii="Times New Roman" w:hAnsi="Times New Roman"/>
          <w:szCs w:val="24"/>
        </w:rPr>
        <w:t xml:space="preserve"> </w:t>
      </w:r>
      <w:r w:rsidR="00E923AF" w:rsidRPr="00C6419B">
        <w:rPr>
          <w:rFonts w:ascii="Times New Roman" w:hAnsi="Times New Roman"/>
        </w:rPr>
        <w:t>Nevertheless,</w:t>
      </w:r>
      <w:r w:rsidR="00E923AF">
        <w:rPr>
          <w:rFonts w:ascii="Times New Roman" w:hAnsi="Times New Roman"/>
        </w:rPr>
        <w:t xml:space="preserve"> </w:t>
      </w:r>
      <w:r w:rsidR="00E923AF" w:rsidRPr="00C6419B">
        <w:rPr>
          <w:rFonts w:ascii="Times New Roman" w:hAnsi="Times New Roman"/>
        </w:rPr>
        <w:t>this unfettered power could become a double</w:t>
      </w:r>
      <w:r w:rsidR="00E923AF">
        <w:rPr>
          <w:rFonts w:ascii="Times New Roman" w:hAnsi="Times New Roman"/>
        </w:rPr>
        <w:t>-</w:t>
      </w:r>
      <w:r w:rsidR="00E923AF" w:rsidRPr="00C6419B">
        <w:rPr>
          <w:rFonts w:ascii="Times New Roman" w:hAnsi="Times New Roman"/>
        </w:rPr>
        <w:t>e</w:t>
      </w:r>
      <w:r w:rsidR="00E923AF">
        <w:rPr>
          <w:rFonts w:ascii="Times New Roman" w:hAnsi="Times New Roman"/>
        </w:rPr>
        <w:t>dg</w:t>
      </w:r>
      <w:r w:rsidR="00E923AF" w:rsidRPr="00C6419B">
        <w:rPr>
          <w:rFonts w:ascii="Times New Roman" w:hAnsi="Times New Roman"/>
        </w:rPr>
        <w:t>ed sword metaphor</w:t>
      </w:r>
      <w:r w:rsidR="00E923AF">
        <w:rPr>
          <w:rFonts w:ascii="Times New Roman" w:hAnsi="Times New Roman"/>
        </w:rPr>
        <w:t>, w</w:t>
      </w:r>
      <w:r w:rsidR="00E923AF" w:rsidRPr="00C6419B">
        <w:rPr>
          <w:rFonts w:ascii="Times New Roman" w:hAnsi="Times New Roman"/>
        </w:rPr>
        <w:t>hich might disproportionately affect victims access to justice.</w:t>
      </w:r>
      <w:r w:rsidR="00E923AF">
        <w:rPr>
          <w:rFonts w:ascii="Times New Roman" w:hAnsi="Times New Roman"/>
        </w:rPr>
        <w:t xml:space="preserve"> </w:t>
      </w:r>
      <w:r w:rsidR="00E923AF" w:rsidRPr="00C6419B">
        <w:rPr>
          <w:rFonts w:ascii="Times New Roman" w:hAnsi="Times New Roman"/>
        </w:rPr>
        <w:t xml:space="preserve">As put by </w:t>
      </w:r>
      <w:proofErr w:type="spellStart"/>
      <w:r w:rsidR="00E923AF" w:rsidRPr="00C6419B">
        <w:rPr>
          <w:rFonts w:ascii="Times New Roman" w:hAnsi="Times New Roman"/>
        </w:rPr>
        <w:t>Aptel</w:t>
      </w:r>
      <w:proofErr w:type="spellEnd"/>
      <w:r w:rsidR="00E923AF" w:rsidRPr="00C6419B">
        <w:rPr>
          <w:rFonts w:ascii="Times New Roman" w:hAnsi="Times New Roman"/>
        </w:rPr>
        <w:t>, such victims would fall into the impunity gap.</w:t>
      </w:r>
      <w:r w:rsidR="00E923AF" w:rsidRPr="00C6419B">
        <w:rPr>
          <w:rStyle w:val="FootnoteReference"/>
          <w:rFonts w:ascii="Times New Roman" w:hAnsi="Times New Roman"/>
        </w:rPr>
        <w:footnoteReference w:id="1240"/>
      </w:r>
    </w:p>
    <w:p w14:paraId="675A0CF4" w14:textId="77777777" w:rsidR="00E923AF" w:rsidRDefault="00E923AF" w:rsidP="00505D18">
      <w:pPr>
        <w:spacing w:after="0" w:line="480" w:lineRule="auto"/>
        <w:jc w:val="both"/>
        <w:rPr>
          <w:rFonts w:ascii="Times New Roman" w:hAnsi="Times New Roman"/>
          <w:szCs w:val="24"/>
        </w:rPr>
      </w:pPr>
    </w:p>
    <w:p w14:paraId="0F4F400E" w14:textId="6B2BFCED" w:rsidR="006D4102" w:rsidRPr="00A819C2" w:rsidRDefault="00C7070D" w:rsidP="00505D18">
      <w:pPr>
        <w:spacing w:after="0" w:line="480" w:lineRule="auto"/>
        <w:jc w:val="both"/>
        <w:rPr>
          <w:rFonts w:ascii="Times New Roman" w:hAnsi="Times New Roman"/>
        </w:rPr>
      </w:pPr>
      <w:r>
        <w:rPr>
          <w:rFonts w:ascii="Times New Roman" w:hAnsi="Times New Roman"/>
        </w:rPr>
        <w:t>With its broad discretionary powers, the independent prosecutor, which is ‘subject’ to the PTC,</w:t>
      </w:r>
      <w:r w:rsidR="00E923AF" w:rsidRPr="00C6419B">
        <w:rPr>
          <w:rFonts w:ascii="Times New Roman" w:hAnsi="Times New Roman"/>
        </w:rPr>
        <w:t xml:space="preserve"> is the outcome </w:t>
      </w:r>
      <w:r w:rsidR="00E923AF">
        <w:rPr>
          <w:rFonts w:ascii="Times New Roman" w:hAnsi="Times New Roman"/>
        </w:rPr>
        <w:t>of one of</w:t>
      </w:r>
      <w:r w:rsidR="00E923AF" w:rsidRPr="00C6419B">
        <w:rPr>
          <w:rFonts w:ascii="Times New Roman" w:hAnsi="Times New Roman"/>
        </w:rPr>
        <w:t xml:space="preserve"> the compromises reached by the Rome Conference </w:t>
      </w:r>
      <w:r w:rsidR="00E923AF" w:rsidRPr="00C6419B">
        <w:rPr>
          <w:rFonts w:ascii="Times New Roman" w:hAnsi="Times New Roman"/>
        </w:rPr>
        <w:lastRenderedPageBreak/>
        <w:t>negotiators;</w:t>
      </w:r>
      <w:r w:rsidR="00E923AF">
        <w:rPr>
          <w:rFonts w:ascii="Times New Roman" w:hAnsi="Times New Roman"/>
        </w:rPr>
        <w:t xml:space="preserve"> </w:t>
      </w:r>
      <w:r w:rsidR="00E923AF" w:rsidRPr="00C6419B">
        <w:rPr>
          <w:rFonts w:ascii="Times New Roman" w:hAnsi="Times New Roman"/>
        </w:rPr>
        <w:t>a decision made on state interests.</w:t>
      </w:r>
      <w:r w:rsidR="00E923AF" w:rsidRPr="00C6419B">
        <w:rPr>
          <w:rStyle w:val="FootnoteReference"/>
          <w:rFonts w:ascii="Times New Roman" w:hAnsi="Times New Roman"/>
        </w:rPr>
        <w:footnoteReference w:id="1241"/>
      </w:r>
      <w:r w:rsidR="00E923AF" w:rsidRPr="00C6419B">
        <w:rPr>
          <w:rFonts w:ascii="Times New Roman" w:hAnsi="Times New Roman"/>
        </w:rPr>
        <w:t xml:space="preserve">It is believed that the </w:t>
      </w:r>
      <w:r>
        <w:rPr>
          <w:rFonts w:ascii="Times New Roman" w:hAnsi="Times New Roman"/>
        </w:rPr>
        <w:t>prosecutor's exclusive powers</w:t>
      </w:r>
      <w:r w:rsidR="00E923AF" w:rsidRPr="00C6419B">
        <w:rPr>
          <w:rFonts w:ascii="Times New Roman" w:hAnsi="Times New Roman"/>
        </w:rPr>
        <w:t xml:space="preserve"> </w:t>
      </w:r>
      <w:r w:rsidR="00E923AF">
        <w:rPr>
          <w:rFonts w:ascii="Times New Roman" w:hAnsi="Times New Roman"/>
        </w:rPr>
        <w:t>are</w:t>
      </w:r>
      <w:r w:rsidR="00E923AF" w:rsidRPr="00C6419B">
        <w:rPr>
          <w:rFonts w:ascii="Times New Roman" w:hAnsi="Times New Roman"/>
        </w:rPr>
        <w:t xml:space="preserve"> to protect the integrity of the office in combating impunity</w:t>
      </w:r>
      <w:r w:rsidR="00A819C2">
        <w:rPr>
          <w:rFonts w:ascii="Times New Roman" w:hAnsi="Times New Roman"/>
        </w:rPr>
        <w:t xml:space="preserve">. </w:t>
      </w:r>
      <w:r w:rsidR="00353A25">
        <w:rPr>
          <w:rFonts w:ascii="Times New Roman" w:eastAsia="Cambria" w:hAnsi="Times New Roman"/>
          <w:szCs w:val="24"/>
          <w:lang w:eastAsia="ja-JP"/>
        </w:rPr>
        <w:t>Chapter 2</w:t>
      </w:r>
      <w:r w:rsidR="005F1817">
        <w:rPr>
          <w:rFonts w:ascii="Times New Roman" w:eastAsia="Cambria" w:hAnsi="Times New Roman"/>
          <w:szCs w:val="24"/>
          <w:lang w:eastAsia="ja-JP"/>
        </w:rPr>
        <w:t xml:space="preserve"> has shown that, under the Rome Statute framework, the prosecutor enjoys considerable discretion even though the Pre-trial  Chamber</w:t>
      </w:r>
      <w:r w:rsidR="00305B0C">
        <w:rPr>
          <w:rFonts w:ascii="Times New Roman" w:eastAsia="Cambria" w:hAnsi="Times New Roman"/>
          <w:szCs w:val="24"/>
          <w:lang w:eastAsia="ja-JP"/>
        </w:rPr>
        <w:t xml:space="preserve"> is empowered to exercise</w:t>
      </w:r>
      <w:r w:rsidR="005F1817">
        <w:rPr>
          <w:rFonts w:ascii="Times New Roman" w:eastAsia="Cambria" w:hAnsi="Times New Roman"/>
          <w:szCs w:val="24"/>
          <w:lang w:eastAsia="ja-JP"/>
        </w:rPr>
        <w:t xml:space="preserve"> checks and balances over the prosecutor</w:t>
      </w:r>
      <w:r w:rsidR="00305B0C">
        <w:rPr>
          <w:rFonts w:ascii="Times New Roman" w:eastAsia="Cambria" w:hAnsi="Times New Roman"/>
          <w:szCs w:val="24"/>
          <w:lang w:eastAsia="ja-JP"/>
        </w:rPr>
        <w:t>’s decision</w:t>
      </w:r>
      <w:r w:rsidR="00E923AF">
        <w:rPr>
          <w:rFonts w:ascii="Times New Roman" w:eastAsia="Cambria" w:hAnsi="Times New Roman"/>
          <w:szCs w:val="24"/>
          <w:lang w:eastAsia="ja-JP"/>
        </w:rPr>
        <w:t xml:space="preserve"> to</w:t>
      </w:r>
      <w:r w:rsidR="00305B0C">
        <w:rPr>
          <w:rFonts w:ascii="Times New Roman" w:eastAsia="Cambria" w:hAnsi="Times New Roman"/>
          <w:szCs w:val="24"/>
          <w:lang w:eastAsia="ja-JP"/>
        </w:rPr>
        <w:t xml:space="preserve"> </w:t>
      </w:r>
      <w:r w:rsidR="005F1817">
        <w:rPr>
          <w:rFonts w:ascii="Times New Roman" w:eastAsia="Cambria" w:hAnsi="Times New Roman"/>
          <w:szCs w:val="24"/>
          <w:lang w:eastAsia="ja-JP"/>
        </w:rPr>
        <w:t>prosecute</w:t>
      </w:r>
      <w:r w:rsidR="00305B0C">
        <w:rPr>
          <w:rFonts w:ascii="Times New Roman" w:eastAsia="Cambria" w:hAnsi="Times New Roman"/>
          <w:szCs w:val="24"/>
          <w:lang w:eastAsia="ja-JP"/>
        </w:rPr>
        <w:t xml:space="preserve"> or discontinue prosecution</w:t>
      </w:r>
      <w:r w:rsidR="005F1817">
        <w:rPr>
          <w:rFonts w:ascii="Times New Roman" w:eastAsia="Cambria" w:hAnsi="Times New Roman"/>
          <w:szCs w:val="24"/>
          <w:lang w:eastAsia="ja-JP"/>
        </w:rPr>
        <w:t>.</w:t>
      </w:r>
      <w:r w:rsidR="00EA7EC2" w:rsidRPr="00505D18">
        <w:rPr>
          <w:rFonts w:ascii="Times New Roman" w:eastAsia="Cambria" w:hAnsi="Times New Roman"/>
          <w:szCs w:val="24"/>
          <w:lang w:eastAsia="ja-JP"/>
        </w:rPr>
        <w:t xml:space="preserve"> </w:t>
      </w:r>
      <w:r w:rsidR="005F1817">
        <w:rPr>
          <w:rFonts w:ascii="Times New Roman" w:eastAsia="Cambria" w:hAnsi="Times New Roman"/>
          <w:szCs w:val="24"/>
          <w:lang w:eastAsia="ja-JP"/>
        </w:rPr>
        <w:t>T</w:t>
      </w:r>
      <w:r w:rsidR="00EA7EC2" w:rsidRPr="00505D18">
        <w:rPr>
          <w:rFonts w:ascii="Times New Roman" w:eastAsia="Cambria" w:hAnsi="Times New Roman"/>
          <w:szCs w:val="24"/>
          <w:lang w:eastAsia="ja-JP"/>
        </w:rPr>
        <w:t>he</w:t>
      </w:r>
      <w:r w:rsidR="009C7EA2" w:rsidRPr="00505D18">
        <w:rPr>
          <w:rFonts w:ascii="Times New Roman" w:eastAsia="Cambria" w:hAnsi="Times New Roman"/>
          <w:szCs w:val="24"/>
          <w:lang w:eastAsia="ja-JP"/>
        </w:rPr>
        <w:t xml:space="preserve"> PTC</w:t>
      </w:r>
      <w:r w:rsidR="00305B0C">
        <w:rPr>
          <w:rFonts w:ascii="Times New Roman" w:eastAsia="Cambria" w:hAnsi="Times New Roman"/>
          <w:szCs w:val="24"/>
          <w:lang w:eastAsia="ja-JP"/>
        </w:rPr>
        <w:t>’s reviews</w:t>
      </w:r>
      <w:r w:rsidR="009C7EA2" w:rsidRPr="00505D18">
        <w:rPr>
          <w:rFonts w:ascii="Times New Roman" w:eastAsia="Cambria" w:hAnsi="Times New Roman"/>
          <w:szCs w:val="24"/>
          <w:lang w:eastAsia="ja-JP"/>
        </w:rPr>
        <w:t xml:space="preserve"> over the prosecutor’s </w:t>
      </w:r>
      <w:r w:rsidR="00C6419B">
        <w:rPr>
          <w:rFonts w:ascii="Times New Roman" w:eastAsia="Cambria" w:hAnsi="Times New Roman"/>
          <w:szCs w:val="24"/>
          <w:lang w:eastAsia="ja-JP"/>
        </w:rPr>
        <w:t>authority</w:t>
      </w:r>
      <w:r w:rsidR="009C7EA2" w:rsidRPr="00505D18">
        <w:rPr>
          <w:rFonts w:ascii="Times New Roman" w:eastAsia="Cambria" w:hAnsi="Times New Roman"/>
          <w:szCs w:val="24"/>
          <w:lang w:eastAsia="ja-JP"/>
        </w:rPr>
        <w:t xml:space="preserve"> to prosecute</w:t>
      </w:r>
      <w:r w:rsidR="00305B0C">
        <w:rPr>
          <w:rFonts w:ascii="Times New Roman" w:eastAsia="Cambria" w:hAnsi="Times New Roman"/>
          <w:szCs w:val="24"/>
          <w:lang w:eastAsia="ja-JP"/>
        </w:rPr>
        <w:t xml:space="preserve"> are limited</w:t>
      </w:r>
      <w:r w:rsidR="009C7EA2" w:rsidRPr="00505D18">
        <w:rPr>
          <w:rFonts w:ascii="Times New Roman" w:eastAsia="Cambria" w:hAnsi="Times New Roman"/>
          <w:szCs w:val="24"/>
          <w:lang w:eastAsia="ja-JP"/>
        </w:rPr>
        <w:t>.</w:t>
      </w:r>
      <w:r w:rsidR="005F1817">
        <w:rPr>
          <w:rFonts w:ascii="Times New Roman" w:eastAsia="Cambria" w:hAnsi="Times New Roman"/>
          <w:szCs w:val="24"/>
          <w:lang w:eastAsia="ja-JP"/>
        </w:rPr>
        <w:t xml:space="preserve"> The exercise of these broad prosecutorial powers gen</w:t>
      </w:r>
      <w:r w:rsidR="00B74E71">
        <w:rPr>
          <w:rFonts w:ascii="Times New Roman" w:eastAsia="Cambria" w:hAnsi="Times New Roman"/>
          <w:szCs w:val="24"/>
          <w:lang w:eastAsia="ja-JP"/>
        </w:rPr>
        <w:t>e</w:t>
      </w:r>
      <w:r w:rsidR="005F1817">
        <w:rPr>
          <w:rFonts w:ascii="Times New Roman" w:eastAsia="Cambria" w:hAnsi="Times New Roman"/>
          <w:szCs w:val="24"/>
          <w:lang w:eastAsia="ja-JP"/>
        </w:rPr>
        <w:t>rally affects victims’ interests or in some circumstances</w:t>
      </w:r>
      <w:r w:rsidR="0049592A">
        <w:rPr>
          <w:rFonts w:ascii="Times New Roman" w:eastAsia="Cambria" w:hAnsi="Times New Roman"/>
          <w:szCs w:val="24"/>
          <w:lang w:eastAsia="ja-JP"/>
        </w:rPr>
        <w:t>,</w:t>
      </w:r>
      <w:r w:rsidR="005F1817">
        <w:rPr>
          <w:rFonts w:ascii="Times New Roman" w:eastAsia="Cambria" w:hAnsi="Times New Roman"/>
          <w:szCs w:val="24"/>
          <w:lang w:eastAsia="ja-JP"/>
        </w:rPr>
        <w:t xml:space="preserve"> a</w:t>
      </w:r>
      <w:r w:rsidR="00B74E71">
        <w:rPr>
          <w:rFonts w:ascii="Times New Roman" w:eastAsia="Cambria" w:hAnsi="Times New Roman"/>
          <w:szCs w:val="24"/>
          <w:lang w:eastAsia="ja-JP"/>
        </w:rPr>
        <w:t>c</w:t>
      </w:r>
      <w:r w:rsidR="005F1817">
        <w:rPr>
          <w:rFonts w:ascii="Times New Roman" w:eastAsia="Cambria" w:hAnsi="Times New Roman"/>
          <w:szCs w:val="24"/>
          <w:lang w:eastAsia="ja-JP"/>
        </w:rPr>
        <w:t>cess to justice</w:t>
      </w:r>
      <w:r w:rsidR="0049592A">
        <w:rPr>
          <w:rFonts w:ascii="Times New Roman" w:eastAsia="Cambria" w:hAnsi="Times New Roman"/>
          <w:szCs w:val="24"/>
          <w:lang w:eastAsia="ja-JP"/>
        </w:rPr>
        <w:t>. For instance, the prosecutor’ decision to focus on some incidents, rather than others may leave some victims in an</w:t>
      </w:r>
      <w:r w:rsidR="00282ABA" w:rsidRPr="00505D18">
        <w:rPr>
          <w:rFonts w:ascii="Times New Roman" w:eastAsia="Cambria" w:hAnsi="Times New Roman"/>
          <w:szCs w:val="24"/>
          <w:lang w:eastAsia="ja-JP"/>
        </w:rPr>
        <w:t xml:space="preserve"> impunity gap. </w:t>
      </w:r>
      <w:r w:rsidR="008B4CFB">
        <w:rPr>
          <w:rFonts w:ascii="Times New Roman" w:eastAsia="Cambria" w:hAnsi="Times New Roman"/>
          <w:szCs w:val="24"/>
          <w:lang w:eastAsia="ja-JP"/>
        </w:rPr>
        <w:t>It</w:t>
      </w:r>
      <w:r w:rsidR="00E923AF">
        <w:rPr>
          <w:rFonts w:ascii="Times New Roman" w:eastAsia="Cambria" w:hAnsi="Times New Roman"/>
          <w:szCs w:val="24"/>
          <w:lang w:eastAsia="ja-JP"/>
        </w:rPr>
        <w:t xml:space="preserve"> can be seen in victims</w:t>
      </w:r>
      <w:r w:rsidR="0046434E" w:rsidRPr="00505D18">
        <w:rPr>
          <w:rFonts w:ascii="Times New Roman" w:eastAsia="Cambria" w:hAnsi="Times New Roman"/>
          <w:szCs w:val="24"/>
          <w:lang w:eastAsia="ja-JP"/>
        </w:rPr>
        <w:t xml:space="preserve"> of SGBV</w:t>
      </w:r>
      <w:r w:rsidR="00A819C2">
        <w:rPr>
          <w:rFonts w:ascii="Times New Roman" w:eastAsia="Cambria" w:hAnsi="Times New Roman"/>
          <w:szCs w:val="24"/>
          <w:lang w:eastAsia="ja-JP"/>
        </w:rPr>
        <w:t>,</w:t>
      </w:r>
      <w:r w:rsidR="00AD0D38" w:rsidRPr="00505D18">
        <w:rPr>
          <w:rFonts w:ascii="Times New Roman" w:eastAsia="Cambria" w:hAnsi="Times New Roman"/>
          <w:szCs w:val="24"/>
          <w:lang w:eastAsia="ja-JP"/>
        </w:rPr>
        <w:t xml:space="preserve"> and cruel and inhumane treatment </w:t>
      </w:r>
      <w:r w:rsidR="0046434E" w:rsidRPr="00505D18">
        <w:rPr>
          <w:rFonts w:ascii="Times New Roman" w:eastAsia="Cambria" w:hAnsi="Times New Roman"/>
          <w:szCs w:val="24"/>
          <w:lang w:eastAsia="ja-JP"/>
        </w:rPr>
        <w:t xml:space="preserve">in both </w:t>
      </w:r>
      <w:r w:rsidR="0046434E" w:rsidRPr="00505D18">
        <w:rPr>
          <w:rFonts w:ascii="Times New Roman" w:eastAsia="Cambria" w:hAnsi="Times New Roman"/>
          <w:i/>
          <w:szCs w:val="24"/>
          <w:lang w:eastAsia="ja-JP"/>
        </w:rPr>
        <w:t>Lubanga</w:t>
      </w:r>
      <w:r w:rsidR="0046434E" w:rsidRPr="00505D18">
        <w:rPr>
          <w:rFonts w:ascii="Times New Roman" w:eastAsia="Cambria" w:hAnsi="Times New Roman"/>
          <w:szCs w:val="24"/>
          <w:lang w:eastAsia="ja-JP"/>
        </w:rPr>
        <w:t xml:space="preserve"> and</w:t>
      </w:r>
      <w:r w:rsidR="0046434E" w:rsidRPr="00505D18">
        <w:rPr>
          <w:rFonts w:ascii="Times New Roman" w:eastAsia="Cambria" w:hAnsi="Times New Roman"/>
          <w:i/>
          <w:szCs w:val="24"/>
          <w:lang w:eastAsia="ja-JP"/>
        </w:rPr>
        <w:t xml:space="preserve"> Katanga</w:t>
      </w:r>
      <w:r w:rsidR="0046434E" w:rsidRPr="00505D18">
        <w:rPr>
          <w:rFonts w:ascii="Times New Roman" w:eastAsia="Cambria" w:hAnsi="Times New Roman"/>
          <w:szCs w:val="24"/>
          <w:lang w:eastAsia="ja-JP"/>
        </w:rPr>
        <w:t xml:space="preserve"> cases fell into the impunity gap.</w:t>
      </w:r>
      <w:r w:rsidR="006D4102" w:rsidRPr="006D4102">
        <w:rPr>
          <w:rFonts w:ascii="Times New Roman" w:eastAsia="Cambria" w:hAnsi="Times New Roman"/>
          <w:szCs w:val="24"/>
          <w:lang w:eastAsia="ja-JP"/>
        </w:rPr>
        <w:t xml:space="preserve"> </w:t>
      </w:r>
      <w:r w:rsidR="006D4102">
        <w:rPr>
          <w:rFonts w:ascii="Times New Roman" w:eastAsia="Cambria" w:hAnsi="Times New Roman"/>
          <w:szCs w:val="24"/>
          <w:lang w:eastAsia="ja-JP"/>
        </w:rPr>
        <w:t xml:space="preserve"> </w:t>
      </w:r>
      <w:r w:rsidR="006D4102" w:rsidRPr="00505D18">
        <w:rPr>
          <w:rFonts w:ascii="Times New Roman" w:eastAsia="Cambria" w:hAnsi="Times New Roman"/>
          <w:szCs w:val="24"/>
          <w:lang w:eastAsia="ja-JP"/>
        </w:rPr>
        <w:t xml:space="preserve">The </w:t>
      </w:r>
      <w:r>
        <w:rPr>
          <w:rFonts w:ascii="Times New Roman" w:eastAsia="Cambria" w:hAnsi="Times New Roman"/>
          <w:szCs w:val="24"/>
          <w:lang w:eastAsia="ja-JP"/>
        </w:rPr>
        <w:t>prosecutor’s influence</w:t>
      </w:r>
      <w:r w:rsidR="006D4102" w:rsidRPr="00505D18">
        <w:rPr>
          <w:rFonts w:ascii="Times New Roman" w:eastAsia="Cambria" w:hAnsi="Times New Roman"/>
          <w:szCs w:val="24"/>
          <w:lang w:eastAsia="ja-JP"/>
        </w:rPr>
        <w:t xml:space="preserve"> starts from the selection of situation to cases and during trials</w:t>
      </w:r>
      <w:r w:rsidR="006D4102">
        <w:rPr>
          <w:rFonts w:ascii="Times New Roman" w:eastAsia="Cambria" w:hAnsi="Times New Roman"/>
          <w:szCs w:val="24"/>
          <w:lang w:eastAsia="ja-JP"/>
        </w:rPr>
        <w:t>-drafting of charges.</w:t>
      </w:r>
      <w:r w:rsidR="00866527">
        <w:rPr>
          <w:rFonts w:ascii="Times New Roman" w:eastAsia="Cambria" w:hAnsi="Times New Roman"/>
          <w:szCs w:val="24"/>
          <w:lang w:eastAsia="ja-JP"/>
        </w:rPr>
        <w:t xml:space="preserve"> </w:t>
      </w:r>
      <w:r w:rsidR="00305B0C">
        <w:rPr>
          <w:rFonts w:ascii="Times New Roman" w:eastAsia="Cambria" w:hAnsi="Times New Roman"/>
          <w:szCs w:val="24"/>
          <w:lang w:eastAsia="ja-JP"/>
        </w:rPr>
        <w:t xml:space="preserve">Inadequate investigations relegated situations, and narrow charges might inadvertently preclude some </w:t>
      </w:r>
      <w:r w:rsidR="00866527">
        <w:rPr>
          <w:rFonts w:ascii="Times New Roman" w:eastAsia="Cambria" w:hAnsi="Times New Roman"/>
          <w:szCs w:val="24"/>
          <w:lang w:eastAsia="ja-JP"/>
        </w:rPr>
        <w:t>victims</w:t>
      </w:r>
      <w:r w:rsidR="00305B0C">
        <w:rPr>
          <w:rFonts w:ascii="Times New Roman" w:eastAsia="Cambria" w:hAnsi="Times New Roman"/>
          <w:szCs w:val="24"/>
          <w:lang w:eastAsia="ja-JP"/>
        </w:rPr>
        <w:t xml:space="preserve"> from participating in the criminal justice and accessing remedy</w:t>
      </w:r>
      <w:r w:rsidR="00866527">
        <w:rPr>
          <w:rFonts w:ascii="Times New Roman" w:eastAsia="Cambria" w:hAnsi="Times New Roman"/>
          <w:szCs w:val="24"/>
          <w:lang w:eastAsia="ja-JP"/>
        </w:rPr>
        <w:t>.</w:t>
      </w:r>
      <w:r w:rsidR="006D4102">
        <w:rPr>
          <w:rFonts w:ascii="Times New Roman" w:eastAsia="Cambria" w:hAnsi="Times New Roman"/>
          <w:szCs w:val="24"/>
          <w:lang w:eastAsia="ja-JP"/>
        </w:rPr>
        <w:t xml:space="preserve"> This constraint could a</w:t>
      </w:r>
      <w:r w:rsidR="00305B0C">
        <w:rPr>
          <w:rFonts w:ascii="Times New Roman" w:eastAsia="Cambria" w:hAnsi="Times New Roman"/>
          <w:szCs w:val="24"/>
          <w:lang w:eastAsia="ja-JP"/>
        </w:rPr>
        <w:t>gain</w:t>
      </w:r>
      <w:r w:rsidR="006D4102">
        <w:rPr>
          <w:rFonts w:ascii="Times New Roman" w:eastAsia="Cambria" w:hAnsi="Times New Roman"/>
          <w:szCs w:val="24"/>
          <w:lang w:eastAsia="ja-JP"/>
        </w:rPr>
        <w:t xml:space="preserve"> emerge from gaps in the charg</w:t>
      </w:r>
      <w:r w:rsidR="00305B0C">
        <w:rPr>
          <w:rFonts w:ascii="Times New Roman" w:eastAsia="Cambria" w:hAnsi="Times New Roman"/>
          <w:szCs w:val="24"/>
          <w:lang w:eastAsia="ja-JP"/>
        </w:rPr>
        <w:t>ing document</w:t>
      </w:r>
      <w:r w:rsidR="002E305F">
        <w:rPr>
          <w:rFonts w:ascii="Times New Roman" w:eastAsia="Cambria" w:hAnsi="Times New Roman"/>
          <w:szCs w:val="24"/>
          <w:lang w:eastAsia="ja-JP"/>
        </w:rPr>
        <w:t>,</w:t>
      </w:r>
      <w:r w:rsidR="00305B0C">
        <w:rPr>
          <w:rFonts w:ascii="Times New Roman" w:eastAsia="Cambria" w:hAnsi="Times New Roman"/>
          <w:szCs w:val="24"/>
          <w:lang w:eastAsia="ja-JP"/>
        </w:rPr>
        <w:t xml:space="preserve"> thereby jeopardising their interests.</w:t>
      </w:r>
      <w:r w:rsidR="002E305F">
        <w:rPr>
          <w:rFonts w:ascii="Times New Roman" w:eastAsia="Cambria" w:hAnsi="Times New Roman"/>
          <w:szCs w:val="24"/>
          <w:lang w:eastAsia="ja-JP"/>
        </w:rPr>
        <w:t xml:space="preserve"> </w:t>
      </w:r>
    </w:p>
    <w:p w14:paraId="29488DB6" w14:textId="77777777" w:rsidR="008B4CFB" w:rsidRDefault="008B4CFB" w:rsidP="00DF6219">
      <w:pPr>
        <w:spacing w:line="480" w:lineRule="auto"/>
        <w:jc w:val="both"/>
        <w:rPr>
          <w:rFonts w:ascii="Times New Roman" w:eastAsia="Cambria" w:hAnsi="Times New Roman"/>
          <w:szCs w:val="24"/>
          <w:lang w:eastAsia="ja-JP"/>
        </w:rPr>
      </w:pPr>
    </w:p>
    <w:p w14:paraId="4F7B0949" w14:textId="1BC9D6F7" w:rsidR="00C6419B" w:rsidRPr="00DF6219" w:rsidRDefault="00C6419B" w:rsidP="00DF6219">
      <w:pPr>
        <w:spacing w:line="480" w:lineRule="auto"/>
        <w:jc w:val="both"/>
        <w:rPr>
          <w:rFonts w:ascii="Times New Roman" w:hAnsi="Times New Roman"/>
        </w:rPr>
      </w:pPr>
      <w:r w:rsidRPr="00DF6219">
        <w:rPr>
          <w:rFonts w:ascii="Times New Roman" w:hAnsi="Times New Roman"/>
        </w:rPr>
        <w:t xml:space="preserve">The </w:t>
      </w:r>
      <w:r w:rsidR="00C7070D">
        <w:rPr>
          <w:rFonts w:ascii="Times New Roman" w:hAnsi="Times New Roman"/>
        </w:rPr>
        <w:t>prosecutor's exclusive powers to draft the charging document and his selection of situations and cases are contributing factors that</w:t>
      </w:r>
      <w:r w:rsidRPr="00DF6219">
        <w:rPr>
          <w:rFonts w:ascii="Times New Roman" w:hAnsi="Times New Roman"/>
        </w:rPr>
        <w:t xml:space="preserve"> could impede the victims access to justice.</w:t>
      </w:r>
      <w:r w:rsidR="00DF6219">
        <w:rPr>
          <w:rFonts w:ascii="Times New Roman" w:hAnsi="Times New Roman"/>
        </w:rPr>
        <w:t xml:space="preserve"> </w:t>
      </w:r>
      <w:r w:rsidRPr="00DF6219">
        <w:rPr>
          <w:rFonts w:ascii="Times New Roman" w:hAnsi="Times New Roman"/>
        </w:rPr>
        <w:t>The controversial interpretation of Regu</w:t>
      </w:r>
      <w:r w:rsidR="00DF6219">
        <w:rPr>
          <w:rFonts w:ascii="Times New Roman" w:hAnsi="Times New Roman"/>
        </w:rPr>
        <w:t>la</w:t>
      </w:r>
      <w:r w:rsidRPr="00DF6219">
        <w:rPr>
          <w:rFonts w:ascii="Times New Roman" w:hAnsi="Times New Roman"/>
        </w:rPr>
        <w:t xml:space="preserve">tion 55 by the chambers in Lubanga </w:t>
      </w:r>
      <w:r w:rsidRPr="00DF6219">
        <w:rPr>
          <w:rFonts w:ascii="Times New Roman" w:hAnsi="Times New Roman"/>
        </w:rPr>
        <w:lastRenderedPageBreak/>
        <w:t>and the radical change made by the judges in Katanga case unravels the impact of prosecut</w:t>
      </w:r>
      <w:r w:rsidR="00DF6219">
        <w:rPr>
          <w:rFonts w:ascii="Times New Roman" w:hAnsi="Times New Roman"/>
        </w:rPr>
        <w:t>o</w:t>
      </w:r>
      <w:r w:rsidRPr="00DF6219">
        <w:rPr>
          <w:rFonts w:ascii="Times New Roman" w:hAnsi="Times New Roman"/>
        </w:rPr>
        <w:t>rial discretion</w:t>
      </w:r>
      <w:r w:rsidR="00DF6219">
        <w:rPr>
          <w:rFonts w:ascii="Times New Roman" w:hAnsi="Times New Roman"/>
        </w:rPr>
        <w:t xml:space="preserve"> on victims.</w:t>
      </w:r>
    </w:p>
    <w:p w14:paraId="712A94DF" w14:textId="6334DA22" w:rsidR="00C6419B" w:rsidRPr="00DF6219" w:rsidRDefault="00C6419B" w:rsidP="00DF6219">
      <w:pPr>
        <w:spacing w:line="480" w:lineRule="auto"/>
        <w:jc w:val="both"/>
        <w:rPr>
          <w:rFonts w:ascii="Times New Roman" w:hAnsi="Times New Roman"/>
        </w:rPr>
      </w:pPr>
      <w:r w:rsidRPr="00DF6219">
        <w:rPr>
          <w:rFonts w:ascii="Times New Roman" w:hAnsi="Times New Roman"/>
        </w:rPr>
        <w:t xml:space="preserve">The </w:t>
      </w:r>
      <w:r w:rsidR="00C7070D">
        <w:rPr>
          <w:rFonts w:ascii="Times New Roman" w:hAnsi="Times New Roman"/>
        </w:rPr>
        <w:t>prosecutor's obligation</w:t>
      </w:r>
      <w:r w:rsidRPr="00DF6219">
        <w:rPr>
          <w:rFonts w:ascii="Times New Roman" w:hAnsi="Times New Roman"/>
        </w:rPr>
        <w:t xml:space="preserve"> </w:t>
      </w:r>
      <w:r w:rsidR="009E01A2">
        <w:rPr>
          <w:rFonts w:ascii="Times New Roman" w:hAnsi="Times New Roman"/>
        </w:rPr>
        <w:t>to investigate incriminating and exculpatory circumstances</w:t>
      </w:r>
      <w:r w:rsidR="00C91EC7">
        <w:rPr>
          <w:rFonts w:ascii="Times New Roman" w:hAnsi="Times New Roman"/>
        </w:rPr>
        <w:t>,</w:t>
      </w:r>
      <w:r w:rsidR="00C91EC7">
        <w:rPr>
          <w:rStyle w:val="FootnoteReference"/>
          <w:rFonts w:ascii="Times New Roman" w:hAnsi="Times New Roman"/>
        </w:rPr>
        <w:footnoteReference w:id="1242"/>
      </w:r>
      <w:r w:rsidR="009E01A2">
        <w:rPr>
          <w:rFonts w:ascii="Times New Roman" w:hAnsi="Times New Roman"/>
        </w:rPr>
        <w:t xml:space="preserve"> and establish</w:t>
      </w:r>
      <w:r w:rsidR="003E3B7A">
        <w:rPr>
          <w:rFonts w:ascii="Times New Roman" w:hAnsi="Times New Roman"/>
        </w:rPr>
        <w:t xml:space="preserve"> truth </w:t>
      </w:r>
      <w:r w:rsidRPr="00DF6219">
        <w:rPr>
          <w:rFonts w:ascii="Times New Roman" w:hAnsi="Times New Roman"/>
        </w:rPr>
        <w:t>are conditions essential for objectivity in exercising the powers.</w:t>
      </w:r>
      <w:r w:rsidR="00DF6219">
        <w:rPr>
          <w:rFonts w:ascii="Times New Roman" w:hAnsi="Times New Roman"/>
        </w:rPr>
        <w:t xml:space="preserve"> </w:t>
      </w:r>
      <w:r w:rsidRPr="00DF6219">
        <w:rPr>
          <w:rFonts w:ascii="Times New Roman" w:hAnsi="Times New Roman"/>
        </w:rPr>
        <w:t>The victims</w:t>
      </w:r>
      <w:r w:rsidR="00DF6219">
        <w:rPr>
          <w:rFonts w:ascii="Times New Roman" w:hAnsi="Times New Roman"/>
        </w:rPr>
        <w:t>,</w:t>
      </w:r>
      <w:r w:rsidRPr="00DF6219">
        <w:rPr>
          <w:rFonts w:ascii="Times New Roman" w:hAnsi="Times New Roman"/>
        </w:rPr>
        <w:t xml:space="preserve"> as independent parties are also interested in truth and justice.</w:t>
      </w:r>
      <w:r w:rsidR="00DF6219">
        <w:rPr>
          <w:rFonts w:ascii="Times New Roman" w:hAnsi="Times New Roman"/>
        </w:rPr>
        <w:t xml:space="preserve"> </w:t>
      </w:r>
      <w:r w:rsidRPr="00DF6219">
        <w:rPr>
          <w:rFonts w:ascii="Times New Roman" w:hAnsi="Times New Roman"/>
        </w:rPr>
        <w:t>Both interests emerge from the disruption of social order with different consequences for them.</w:t>
      </w:r>
      <w:r w:rsidR="00DF6219">
        <w:rPr>
          <w:rFonts w:ascii="Times New Roman" w:hAnsi="Times New Roman"/>
        </w:rPr>
        <w:t xml:space="preserve"> </w:t>
      </w:r>
      <w:r w:rsidRPr="00DF6219">
        <w:rPr>
          <w:rFonts w:ascii="Times New Roman" w:hAnsi="Times New Roman"/>
        </w:rPr>
        <w:t>With victims, truth and their interests are on a personal level while for the prosecutor</w:t>
      </w:r>
      <w:r w:rsidR="00DF6219">
        <w:rPr>
          <w:rFonts w:ascii="Times New Roman" w:hAnsi="Times New Roman"/>
        </w:rPr>
        <w:t xml:space="preserve">, he is duty-bound and </w:t>
      </w:r>
      <w:r w:rsidRPr="00DF6219">
        <w:rPr>
          <w:rFonts w:ascii="Times New Roman" w:hAnsi="Times New Roman"/>
        </w:rPr>
        <w:t>ex</w:t>
      </w:r>
      <w:r w:rsidR="00DF6219">
        <w:rPr>
          <w:rFonts w:ascii="Times New Roman" w:hAnsi="Times New Roman"/>
        </w:rPr>
        <w:t>erci</w:t>
      </w:r>
      <w:r w:rsidRPr="00DF6219">
        <w:rPr>
          <w:rFonts w:ascii="Times New Roman" w:hAnsi="Times New Roman"/>
        </w:rPr>
        <w:t>sing his powers.</w:t>
      </w:r>
      <w:r w:rsidR="00DF6219">
        <w:rPr>
          <w:rFonts w:ascii="Times New Roman" w:hAnsi="Times New Roman"/>
        </w:rPr>
        <w:t xml:space="preserve"> </w:t>
      </w:r>
      <w:r w:rsidRPr="00DF6219">
        <w:rPr>
          <w:rFonts w:ascii="Times New Roman" w:hAnsi="Times New Roman"/>
        </w:rPr>
        <w:t>Accordingly</w:t>
      </w:r>
      <w:r w:rsidR="000B6657">
        <w:rPr>
          <w:rFonts w:ascii="Times New Roman" w:hAnsi="Times New Roman"/>
        </w:rPr>
        <w:t>,</w:t>
      </w:r>
      <w:r w:rsidRPr="00DF6219">
        <w:rPr>
          <w:rFonts w:ascii="Times New Roman" w:hAnsi="Times New Roman"/>
        </w:rPr>
        <w:t xml:space="preserve"> victims’ </w:t>
      </w:r>
      <w:r w:rsidR="003E3B7A">
        <w:rPr>
          <w:rFonts w:ascii="Times New Roman" w:hAnsi="Times New Roman"/>
        </w:rPr>
        <w:t>claim</w:t>
      </w:r>
      <w:r w:rsidRPr="00DF6219">
        <w:rPr>
          <w:rFonts w:ascii="Times New Roman" w:hAnsi="Times New Roman"/>
        </w:rPr>
        <w:t>s should be taken into consideration in the determination of justice.</w:t>
      </w:r>
      <w:r w:rsidRPr="00DF6219">
        <w:rPr>
          <w:rStyle w:val="FootnoteReference"/>
          <w:rFonts w:ascii="Times New Roman" w:hAnsi="Times New Roman"/>
        </w:rPr>
        <w:footnoteReference w:id="1243"/>
      </w:r>
      <w:r w:rsidRPr="00DF6219">
        <w:rPr>
          <w:rFonts w:ascii="Times New Roman" w:hAnsi="Times New Roman"/>
        </w:rPr>
        <w:t>The prosecutor has obligations to the victim, community, the court, and to the accused.</w:t>
      </w:r>
      <w:r w:rsidRPr="00DF6219">
        <w:rPr>
          <w:rStyle w:val="FootnoteReference"/>
          <w:rFonts w:ascii="Times New Roman" w:hAnsi="Times New Roman"/>
        </w:rPr>
        <w:footnoteReference w:id="1244"/>
      </w:r>
      <w:r w:rsidRPr="00DF6219">
        <w:rPr>
          <w:rFonts w:ascii="Times New Roman" w:hAnsi="Times New Roman"/>
        </w:rPr>
        <w:t xml:space="preserve"> </w:t>
      </w:r>
    </w:p>
    <w:p w14:paraId="14C27FF0" w14:textId="26BA37F2" w:rsidR="00C6419B" w:rsidRPr="00DF6219" w:rsidRDefault="00C6419B" w:rsidP="000B6657">
      <w:pPr>
        <w:spacing w:line="480" w:lineRule="auto"/>
        <w:jc w:val="both"/>
        <w:rPr>
          <w:rFonts w:ascii="Times New Roman" w:hAnsi="Times New Roman"/>
        </w:rPr>
      </w:pPr>
      <w:r w:rsidRPr="00DF6219">
        <w:rPr>
          <w:rFonts w:ascii="Times New Roman" w:hAnsi="Times New Roman"/>
        </w:rPr>
        <w:t>At the</w:t>
      </w:r>
      <w:r w:rsidR="00DF6219">
        <w:rPr>
          <w:rFonts w:ascii="Times New Roman" w:hAnsi="Times New Roman"/>
        </w:rPr>
        <w:t xml:space="preserve"> </w:t>
      </w:r>
      <w:r w:rsidRPr="00DF6219">
        <w:rPr>
          <w:rFonts w:ascii="Times New Roman" w:hAnsi="Times New Roman"/>
        </w:rPr>
        <w:t>investigation stage, it is observed that victims are more interested in their recognition.</w:t>
      </w:r>
      <w:r w:rsidR="000B6657">
        <w:rPr>
          <w:rFonts w:ascii="Times New Roman" w:hAnsi="Times New Roman"/>
        </w:rPr>
        <w:t xml:space="preserve"> </w:t>
      </w:r>
      <w:r w:rsidR="003E3B7A">
        <w:rPr>
          <w:rFonts w:ascii="Times New Roman" w:hAnsi="Times New Roman"/>
        </w:rPr>
        <w:t>In this phase</w:t>
      </w:r>
      <w:r w:rsidR="000B6657">
        <w:rPr>
          <w:rFonts w:ascii="Times New Roman" w:hAnsi="Times New Roman"/>
        </w:rPr>
        <w:t xml:space="preserve">, investigations </w:t>
      </w:r>
      <w:r w:rsidR="003E3B7A">
        <w:rPr>
          <w:rFonts w:ascii="Times New Roman" w:hAnsi="Times New Roman"/>
        </w:rPr>
        <w:t xml:space="preserve">are </w:t>
      </w:r>
      <w:r w:rsidR="000B6657">
        <w:rPr>
          <w:rFonts w:ascii="Times New Roman" w:hAnsi="Times New Roman"/>
        </w:rPr>
        <w:t>intense</w:t>
      </w:r>
      <w:r w:rsidR="003E3B7A">
        <w:rPr>
          <w:rFonts w:ascii="Times New Roman" w:hAnsi="Times New Roman"/>
        </w:rPr>
        <w:t>,</w:t>
      </w:r>
      <w:r w:rsidR="000B6657">
        <w:rPr>
          <w:rFonts w:ascii="Times New Roman" w:hAnsi="Times New Roman"/>
        </w:rPr>
        <w:t xml:space="preserve"> and the identities of the perpetrators are sketchy. The </w:t>
      </w:r>
      <w:r w:rsidR="003E3B7A">
        <w:rPr>
          <w:rFonts w:ascii="Times New Roman" w:hAnsi="Times New Roman"/>
        </w:rPr>
        <w:t>acknowledgement</w:t>
      </w:r>
      <w:r w:rsidR="000B6657">
        <w:rPr>
          <w:rFonts w:ascii="Times New Roman" w:hAnsi="Times New Roman"/>
        </w:rPr>
        <w:t xml:space="preserve"> of victims would be an adequate step to easing their fears and empowering them with a sense of belonging. The recognition of victims is set out in the 1985 United Nations Declaration of Basic Principles of Justice for Victims of Crimes and Abuse. It is a</w:t>
      </w:r>
      <w:r w:rsidR="00A819C2">
        <w:rPr>
          <w:rFonts w:ascii="Times New Roman" w:hAnsi="Times New Roman"/>
        </w:rPr>
        <w:t xml:space="preserve"> measure</w:t>
      </w:r>
      <w:r w:rsidR="000B6657">
        <w:rPr>
          <w:rFonts w:ascii="Times New Roman" w:hAnsi="Times New Roman"/>
        </w:rPr>
        <w:t xml:space="preserve"> </w:t>
      </w:r>
      <w:r w:rsidR="00A819C2">
        <w:rPr>
          <w:rFonts w:ascii="Times New Roman" w:hAnsi="Times New Roman"/>
        </w:rPr>
        <w:t>of</w:t>
      </w:r>
      <w:r w:rsidR="000B6657">
        <w:rPr>
          <w:rFonts w:ascii="Times New Roman" w:hAnsi="Times New Roman"/>
        </w:rPr>
        <w:t xml:space="preserve"> access to justice and fair treatment; a responsive process to </w:t>
      </w:r>
      <w:r w:rsidR="00C7070D">
        <w:rPr>
          <w:rFonts w:ascii="Times New Roman" w:hAnsi="Times New Roman"/>
        </w:rPr>
        <w:t>victims' need</w:t>
      </w:r>
      <w:r w:rsidR="000B6657">
        <w:rPr>
          <w:rFonts w:ascii="Times New Roman" w:hAnsi="Times New Roman"/>
        </w:rPr>
        <w:t>s in the preliminary and investigation stages.</w:t>
      </w:r>
      <w:r w:rsidR="003E3B7A">
        <w:rPr>
          <w:rFonts w:ascii="Times New Roman" w:hAnsi="Times New Roman"/>
        </w:rPr>
        <w:t xml:space="preserve"> Therefore, the investigation phase is as important as the trial phase for victims.</w:t>
      </w:r>
    </w:p>
    <w:p w14:paraId="709E3642" w14:textId="1509ABD8" w:rsidR="003A3149" w:rsidRDefault="00C6419B" w:rsidP="003A3149">
      <w:pPr>
        <w:spacing w:after="0" w:line="480" w:lineRule="auto"/>
        <w:jc w:val="both"/>
        <w:rPr>
          <w:rFonts w:ascii="Times New Roman" w:hAnsi="Times New Roman"/>
          <w:szCs w:val="24"/>
        </w:rPr>
      </w:pPr>
      <w:r w:rsidRPr="00DF6219">
        <w:rPr>
          <w:rFonts w:ascii="Times New Roman" w:hAnsi="Times New Roman"/>
        </w:rPr>
        <w:lastRenderedPageBreak/>
        <w:t xml:space="preserve">The trial process reveals that tension still exists between the </w:t>
      </w:r>
      <w:r w:rsidR="009E01A2">
        <w:rPr>
          <w:rFonts w:ascii="Times New Roman" w:hAnsi="Times New Roman"/>
        </w:rPr>
        <w:t>victims' rights and interest</w:t>
      </w:r>
      <w:r w:rsidRPr="00DF6219">
        <w:rPr>
          <w:rFonts w:ascii="Times New Roman" w:hAnsi="Times New Roman"/>
        </w:rPr>
        <w:t xml:space="preserve">s and the </w:t>
      </w:r>
      <w:r w:rsidR="00C7070D">
        <w:rPr>
          <w:rFonts w:ascii="Times New Roman" w:hAnsi="Times New Roman"/>
        </w:rPr>
        <w:t>defendant's fair trial rights</w:t>
      </w:r>
      <w:r w:rsidRPr="00DF6219">
        <w:rPr>
          <w:rFonts w:ascii="Times New Roman" w:hAnsi="Times New Roman"/>
        </w:rPr>
        <w:t>.</w:t>
      </w:r>
      <w:r w:rsidR="00843EE9">
        <w:rPr>
          <w:rStyle w:val="FootnoteReference"/>
          <w:rFonts w:ascii="Times New Roman" w:hAnsi="Times New Roman"/>
        </w:rPr>
        <w:footnoteReference w:id="1245"/>
      </w:r>
      <w:r w:rsidR="00DF6219">
        <w:rPr>
          <w:rFonts w:ascii="Times New Roman" w:hAnsi="Times New Roman"/>
        </w:rPr>
        <w:t xml:space="preserve"> </w:t>
      </w:r>
      <w:r w:rsidR="00A002E8">
        <w:rPr>
          <w:rFonts w:ascii="Times New Roman" w:hAnsi="Times New Roman"/>
        </w:rPr>
        <w:t xml:space="preserve">This tension is further heightened when competing roles emerge from Article 69(3) of the Rome Statute. </w:t>
      </w:r>
      <w:r w:rsidR="003F411A">
        <w:rPr>
          <w:rFonts w:ascii="Times New Roman" w:hAnsi="Times New Roman"/>
        </w:rPr>
        <w:t xml:space="preserve">The Prosecutor and the defendant opposed the victims’ right to present evidence for the determination of truth. Victims cannot present evidence or question witnesses except with the </w:t>
      </w:r>
      <w:r w:rsidR="00C7070D">
        <w:rPr>
          <w:rFonts w:ascii="Times New Roman" w:hAnsi="Times New Roman"/>
        </w:rPr>
        <w:t>chamber's authorisation</w:t>
      </w:r>
      <w:r w:rsidR="003F411A">
        <w:rPr>
          <w:rFonts w:ascii="Times New Roman" w:hAnsi="Times New Roman"/>
        </w:rPr>
        <w:t>, provided such request is exercised under Article 69(3) of the Rome Statute. The Chamber authorised the victims to present evidence, and question witnesses in line with Article 69(3) of the Rome Statute, given that their personal interests are affected.</w:t>
      </w:r>
      <w:r w:rsidR="003F411A">
        <w:rPr>
          <w:rStyle w:val="FootnoteReference"/>
          <w:rFonts w:ascii="Times New Roman" w:hAnsi="Times New Roman"/>
        </w:rPr>
        <w:footnoteReference w:id="1246"/>
      </w:r>
      <w:r w:rsidR="003F411A">
        <w:rPr>
          <w:rFonts w:ascii="Times New Roman" w:hAnsi="Times New Roman"/>
        </w:rPr>
        <w:t xml:space="preserve"> </w:t>
      </w:r>
      <w:r w:rsidR="003A3149" w:rsidRPr="00505D18">
        <w:rPr>
          <w:rFonts w:ascii="Times New Roman" w:eastAsia="Cambria" w:hAnsi="Times New Roman"/>
          <w:szCs w:val="24"/>
          <w:lang w:eastAsia="ja-JP"/>
        </w:rPr>
        <w:t>T</w:t>
      </w:r>
      <w:r w:rsidR="003A3149">
        <w:rPr>
          <w:rFonts w:ascii="Times New Roman" w:eastAsia="Cambria" w:hAnsi="Times New Roman"/>
          <w:szCs w:val="24"/>
          <w:lang w:eastAsia="ja-JP"/>
        </w:rPr>
        <w:t>o this end, there is fluidity in the third-party rights of victims. The personal interests of victims may attract some roles which would necessarily have been exclusive to the parties.</w:t>
      </w:r>
      <w:r w:rsidR="003A3149" w:rsidRPr="00505D18">
        <w:rPr>
          <w:rFonts w:ascii="Times New Roman" w:eastAsia="Cambria" w:hAnsi="Times New Roman"/>
          <w:szCs w:val="24"/>
          <w:lang w:eastAsia="ja-JP"/>
        </w:rPr>
        <w:t xml:space="preserve"> </w:t>
      </w:r>
    </w:p>
    <w:p w14:paraId="00946DF4" w14:textId="77777777" w:rsidR="003A3149" w:rsidRPr="00505D18" w:rsidRDefault="003A3149" w:rsidP="003A3149">
      <w:pPr>
        <w:spacing w:after="0" w:line="480" w:lineRule="auto"/>
        <w:jc w:val="both"/>
        <w:rPr>
          <w:rFonts w:ascii="Times New Roman" w:eastAsia="Cambria" w:hAnsi="Times New Roman"/>
          <w:szCs w:val="24"/>
          <w:lang w:eastAsia="ja-JP"/>
        </w:rPr>
      </w:pPr>
    </w:p>
    <w:p w14:paraId="5EBEB3EE" w14:textId="11A16597" w:rsidR="00C6419B" w:rsidRPr="00DF6219" w:rsidRDefault="003F411A" w:rsidP="00DF6219">
      <w:pPr>
        <w:spacing w:line="480" w:lineRule="auto"/>
        <w:jc w:val="both"/>
        <w:rPr>
          <w:rFonts w:ascii="Times New Roman" w:hAnsi="Times New Roman"/>
        </w:rPr>
      </w:pPr>
      <w:r>
        <w:rPr>
          <w:rFonts w:ascii="Times New Roman" w:hAnsi="Times New Roman"/>
        </w:rPr>
        <w:t xml:space="preserve"> </w:t>
      </w:r>
      <w:r w:rsidR="00C6419B" w:rsidRPr="00DF6219">
        <w:rPr>
          <w:rFonts w:ascii="Times New Roman" w:hAnsi="Times New Roman"/>
        </w:rPr>
        <w:t>It has been shown that victim part</w:t>
      </w:r>
      <w:r w:rsidR="00DF6219">
        <w:rPr>
          <w:rFonts w:ascii="Times New Roman" w:hAnsi="Times New Roman"/>
        </w:rPr>
        <w:t>icipa</w:t>
      </w:r>
      <w:r w:rsidR="00C6419B" w:rsidRPr="00DF6219">
        <w:rPr>
          <w:rFonts w:ascii="Times New Roman" w:hAnsi="Times New Roman"/>
        </w:rPr>
        <w:t>tion cannot fulfil all victims’ interests</w:t>
      </w:r>
      <w:r w:rsidR="00A002E8">
        <w:rPr>
          <w:rFonts w:ascii="Times New Roman" w:hAnsi="Times New Roman"/>
        </w:rPr>
        <w:t>, f</w:t>
      </w:r>
      <w:r w:rsidR="00C6419B" w:rsidRPr="00DF6219">
        <w:rPr>
          <w:rFonts w:ascii="Times New Roman" w:hAnsi="Times New Roman"/>
        </w:rPr>
        <w:t>or instance, regarding story-telling</w:t>
      </w:r>
      <w:r w:rsidR="00A002E8">
        <w:rPr>
          <w:rFonts w:ascii="Times New Roman" w:hAnsi="Times New Roman"/>
        </w:rPr>
        <w:t>.</w:t>
      </w:r>
      <w:r w:rsidR="00C6419B" w:rsidRPr="00DF6219">
        <w:rPr>
          <w:rFonts w:ascii="Times New Roman" w:hAnsi="Times New Roman"/>
        </w:rPr>
        <w:t xml:space="preserve"> Truth commission can complement the works of the ICC.</w:t>
      </w:r>
      <w:r w:rsidR="00DF6219">
        <w:rPr>
          <w:rFonts w:ascii="Times New Roman" w:hAnsi="Times New Roman"/>
        </w:rPr>
        <w:t xml:space="preserve"> </w:t>
      </w:r>
      <w:r w:rsidR="00C6419B" w:rsidRPr="00DF6219">
        <w:rPr>
          <w:rFonts w:ascii="Times New Roman" w:hAnsi="Times New Roman"/>
        </w:rPr>
        <w:t>The environment</w:t>
      </w:r>
      <w:r w:rsidR="00A002E8">
        <w:rPr>
          <w:rFonts w:ascii="Times New Roman" w:hAnsi="Times New Roman"/>
        </w:rPr>
        <w:t xml:space="preserve"> of TRCs</w:t>
      </w:r>
      <w:r w:rsidR="00C6419B" w:rsidRPr="00DF6219">
        <w:rPr>
          <w:rFonts w:ascii="Times New Roman" w:hAnsi="Times New Roman"/>
        </w:rPr>
        <w:t xml:space="preserve"> is more suitable for victims’ healing and reconcil</w:t>
      </w:r>
      <w:r w:rsidR="00DF6219">
        <w:rPr>
          <w:rFonts w:ascii="Times New Roman" w:hAnsi="Times New Roman"/>
        </w:rPr>
        <w:t>ia</w:t>
      </w:r>
      <w:r w:rsidR="00C6419B" w:rsidRPr="00DF6219">
        <w:rPr>
          <w:rFonts w:ascii="Times New Roman" w:hAnsi="Times New Roman"/>
        </w:rPr>
        <w:t>tion.</w:t>
      </w:r>
      <w:r w:rsidR="00DF6219">
        <w:rPr>
          <w:rFonts w:ascii="Times New Roman" w:hAnsi="Times New Roman"/>
        </w:rPr>
        <w:t xml:space="preserve"> </w:t>
      </w:r>
      <w:proofErr w:type="spellStart"/>
      <w:r w:rsidR="00C6419B" w:rsidRPr="00DF6219">
        <w:rPr>
          <w:rFonts w:ascii="Times New Roman" w:hAnsi="Times New Roman"/>
        </w:rPr>
        <w:t>Some times</w:t>
      </w:r>
      <w:proofErr w:type="spellEnd"/>
      <w:r w:rsidR="00C6419B" w:rsidRPr="00DF6219">
        <w:rPr>
          <w:rFonts w:ascii="Times New Roman" w:hAnsi="Times New Roman"/>
        </w:rPr>
        <w:t xml:space="preserve"> </w:t>
      </w:r>
      <w:proofErr w:type="spellStart"/>
      <w:r w:rsidR="00C6419B" w:rsidRPr="00DF6219">
        <w:rPr>
          <w:rFonts w:ascii="Times New Roman" w:hAnsi="Times New Roman"/>
        </w:rPr>
        <w:t>victims</w:t>
      </w:r>
      <w:proofErr w:type="spellEnd"/>
      <w:r w:rsidR="00C6419B" w:rsidRPr="00DF6219">
        <w:rPr>
          <w:rFonts w:ascii="Times New Roman" w:hAnsi="Times New Roman"/>
        </w:rPr>
        <w:t xml:space="preserve"> rights and interests are secondary to the mandate of the ICC-prosecution of the most responsible individuals for serious violation of human rights </w:t>
      </w:r>
      <w:r w:rsidR="00C6419B" w:rsidRPr="00DF6219">
        <w:rPr>
          <w:rFonts w:ascii="Times New Roman" w:hAnsi="Times New Roman"/>
        </w:rPr>
        <w:lastRenderedPageBreak/>
        <w:t>and humanitarian law.</w:t>
      </w:r>
      <w:r w:rsidR="00A002E8">
        <w:rPr>
          <w:rFonts w:ascii="Times New Roman" w:hAnsi="Times New Roman"/>
        </w:rPr>
        <w:t xml:space="preserve"> Therefore, there is a limit to the function of the ICC in achieving justice for victims.</w:t>
      </w:r>
      <w:r w:rsidR="00DF6219">
        <w:rPr>
          <w:rFonts w:ascii="Times New Roman" w:hAnsi="Times New Roman"/>
        </w:rPr>
        <w:t xml:space="preserve"> </w:t>
      </w:r>
    </w:p>
    <w:p w14:paraId="1E7A296B" w14:textId="6D7FD08A" w:rsidR="003A09BF" w:rsidRPr="00505D18" w:rsidRDefault="002E305F" w:rsidP="00505D1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Edwards’ theory, which was discussed in Chapter 3, gives us a useful framework to analyse </w:t>
      </w:r>
      <w:r w:rsidR="00C7070D">
        <w:rPr>
          <w:rFonts w:ascii="Times New Roman" w:eastAsia="Cambria" w:hAnsi="Times New Roman"/>
          <w:szCs w:val="24"/>
          <w:lang w:eastAsia="ja-JP"/>
        </w:rPr>
        <w:t>participation implications. Arguably,</w:t>
      </w:r>
      <w:r w:rsidR="004B6DCF">
        <w:rPr>
          <w:rFonts w:ascii="Times New Roman" w:eastAsia="Cambria" w:hAnsi="Times New Roman"/>
          <w:szCs w:val="24"/>
          <w:lang w:eastAsia="ja-JP"/>
        </w:rPr>
        <w:t xml:space="preserve"> </w:t>
      </w:r>
      <w:r w:rsidR="00C7070D">
        <w:rPr>
          <w:rFonts w:ascii="Times New Roman" w:eastAsia="Cambria" w:hAnsi="Times New Roman"/>
          <w:szCs w:val="24"/>
          <w:lang w:eastAsia="ja-JP"/>
        </w:rPr>
        <w:t>this dispositive theory,</w:t>
      </w:r>
      <w:r>
        <w:rPr>
          <w:rFonts w:ascii="Times New Roman" w:eastAsia="Cambria" w:hAnsi="Times New Roman"/>
          <w:szCs w:val="24"/>
          <w:lang w:eastAsia="ja-JP"/>
        </w:rPr>
        <w:t xml:space="preserve"> based on a reflection of victims’ significant control over the proceedings,</w:t>
      </w:r>
      <w:r w:rsidR="00710FC1">
        <w:rPr>
          <w:rFonts w:ascii="Times New Roman" w:eastAsia="Cambria" w:hAnsi="Times New Roman"/>
          <w:szCs w:val="24"/>
          <w:lang w:eastAsia="ja-JP"/>
        </w:rPr>
        <w:t xml:space="preserve"> </w:t>
      </w:r>
      <w:r>
        <w:rPr>
          <w:rFonts w:ascii="Times New Roman" w:eastAsia="Cambria" w:hAnsi="Times New Roman"/>
          <w:szCs w:val="24"/>
          <w:lang w:eastAsia="ja-JP"/>
        </w:rPr>
        <w:t>is not applicable at the ICC. This</w:t>
      </w:r>
      <w:r w:rsidR="005028E6">
        <w:rPr>
          <w:rFonts w:ascii="Times New Roman" w:eastAsia="Cambria" w:hAnsi="Times New Roman"/>
          <w:szCs w:val="24"/>
          <w:lang w:eastAsia="ja-JP"/>
        </w:rPr>
        <w:t xml:space="preserve"> submission</w:t>
      </w:r>
      <w:r>
        <w:rPr>
          <w:rFonts w:ascii="Times New Roman" w:eastAsia="Cambria" w:hAnsi="Times New Roman"/>
          <w:szCs w:val="24"/>
          <w:lang w:eastAsia="ja-JP"/>
        </w:rPr>
        <w:t xml:space="preserve"> is due to the statutory provision in article 68(3),</w:t>
      </w:r>
      <w:r w:rsidR="00710FC1">
        <w:rPr>
          <w:rFonts w:ascii="Times New Roman" w:eastAsia="Cambria" w:hAnsi="Times New Roman"/>
          <w:szCs w:val="24"/>
          <w:lang w:eastAsia="ja-JP"/>
        </w:rPr>
        <w:t xml:space="preserve"> </w:t>
      </w:r>
      <w:r>
        <w:rPr>
          <w:rFonts w:ascii="Times New Roman" w:eastAsia="Cambria" w:hAnsi="Times New Roman"/>
          <w:szCs w:val="24"/>
          <w:lang w:eastAsia="ja-JP"/>
        </w:rPr>
        <w:t>which highlights judicial discretion,</w:t>
      </w:r>
      <w:r w:rsidR="00710FC1">
        <w:rPr>
          <w:rFonts w:ascii="Times New Roman" w:eastAsia="Cambria" w:hAnsi="Times New Roman"/>
          <w:szCs w:val="24"/>
          <w:lang w:eastAsia="ja-JP"/>
        </w:rPr>
        <w:t xml:space="preserve"> </w:t>
      </w:r>
      <w:r>
        <w:rPr>
          <w:rFonts w:ascii="Times New Roman" w:eastAsia="Cambria" w:hAnsi="Times New Roman"/>
          <w:szCs w:val="24"/>
          <w:lang w:eastAsia="ja-JP"/>
        </w:rPr>
        <w:t>whereby the Court is in control, not the victims</w:t>
      </w:r>
      <w:r w:rsidR="00710FC1">
        <w:rPr>
          <w:rFonts w:ascii="Times New Roman" w:eastAsia="Cambria" w:hAnsi="Times New Roman"/>
          <w:szCs w:val="24"/>
          <w:lang w:eastAsia="ja-JP"/>
        </w:rPr>
        <w:t>.</w:t>
      </w:r>
      <w:r w:rsidR="000322D9" w:rsidRPr="00505D18">
        <w:rPr>
          <w:rFonts w:ascii="Times New Roman" w:eastAsia="Cambria" w:hAnsi="Times New Roman"/>
          <w:szCs w:val="24"/>
          <w:lang w:eastAsia="ja-JP"/>
        </w:rPr>
        <w:t xml:space="preserve"> </w:t>
      </w:r>
      <w:r w:rsidR="002458C7">
        <w:rPr>
          <w:rFonts w:ascii="Times New Roman" w:eastAsia="Cambria" w:hAnsi="Times New Roman"/>
          <w:szCs w:val="24"/>
          <w:lang w:eastAsia="ja-JP"/>
        </w:rPr>
        <w:t>With Edwards forms of participation, the analysis reveals that victims have no control over the proceedings and outcome.</w:t>
      </w:r>
      <w:r w:rsidR="0065673D">
        <w:rPr>
          <w:rStyle w:val="FootnoteReference"/>
          <w:rFonts w:ascii="Times New Roman" w:eastAsia="Cambria" w:hAnsi="Times New Roman"/>
          <w:szCs w:val="24"/>
          <w:lang w:eastAsia="ja-JP"/>
        </w:rPr>
        <w:footnoteReference w:id="1247"/>
      </w:r>
      <w:r w:rsidR="001B751C">
        <w:rPr>
          <w:rFonts w:ascii="Times New Roman" w:eastAsia="Cambria" w:hAnsi="Times New Roman"/>
          <w:szCs w:val="24"/>
          <w:lang w:eastAsia="ja-JP"/>
        </w:rPr>
        <w:t xml:space="preserve"> The</w:t>
      </w:r>
      <w:r w:rsidR="001B751C" w:rsidRPr="001B751C">
        <w:rPr>
          <w:rFonts w:ascii="Times New Roman" w:eastAsia="Cambria" w:hAnsi="Times New Roman"/>
          <w:szCs w:val="24"/>
          <w:lang w:eastAsia="ja-JP"/>
        </w:rPr>
        <w:t xml:space="preserve"> </w:t>
      </w:r>
      <w:r w:rsidR="001B751C" w:rsidRPr="00505D18">
        <w:rPr>
          <w:rFonts w:ascii="Times New Roman" w:eastAsia="Cambria" w:hAnsi="Times New Roman"/>
          <w:szCs w:val="24"/>
          <w:lang w:eastAsia="ja-JP"/>
        </w:rPr>
        <w:t xml:space="preserve">dispositive category </w:t>
      </w:r>
      <w:r w:rsidR="001B751C">
        <w:rPr>
          <w:rFonts w:ascii="Times New Roman" w:eastAsia="Cambria" w:hAnsi="Times New Roman"/>
          <w:szCs w:val="24"/>
          <w:lang w:eastAsia="ja-JP"/>
        </w:rPr>
        <w:t>show</w:t>
      </w:r>
      <w:r w:rsidR="001B751C" w:rsidRPr="00505D18">
        <w:rPr>
          <w:rFonts w:ascii="Times New Roman" w:eastAsia="Cambria" w:hAnsi="Times New Roman"/>
          <w:szCs w:val="24"/>
          <w:lang w:eastAsia="ja-JP"/>
        </w:rPr>
        <w:t xml:space="preserve">s that the relationship between victims and the decision-maker </w:t>
      </w:r>
      <w:r w:rsidR="00C7070D">
        <w:rPr>
          <w:rFonts w:ascii="Times New Roman" w:eastAsia="Cambria" w:hAnsi="Times New Roman"/>
          <w:szCs w:val="24"/>
          <w:lang w:eastAsia="ja-JP"/>
        </w:rPr>
        <w:t xml:space="preserve">mirrors </w:t>
      </w:r>
      <w:r w:rsidR="001B751C" w:rsidRPr="00505D18">
        <w:rPr>
          <w:rFonts w:ascii="Times New Roman" w:eastAsia="Cambria" w:hAnsi="Times New Roman"/>
          <w:szCs w:val="24"/>
          <w:lang w:eastAsia="ja-JP"/>
        </w:rPr>
        <w:t>the victims’ control over the proce</w:t>
      </w:r>
      <w:r w:rsidR="001B751C">
        <w:rPr>
          <w:rFonts w:ascii="Times New Roman" w:eastAsia="Cambria" w:hAnsi="Times New Roman"/>
          <w:szCs w:val="24"/>
          <w:lang w:eastAsia="ja-JP"/>
        </w:rPr>
        <w:t>sse</w:t>
      </w:r>
      <w:r w:rsidR="001B751C" w:rsidRPr="00505D18">
        <w:rPr>
          <w:rFonts w:ascii="Times New Roman" w:eastAsia="Cambria" w:hAnsi="Times New Roman"/>
          <w:szCs w:val="24"/>
          <w:lang w:eastAsia="ja-JP"/>
        </w:rPr>
        <w:t>s.</w:t>
      </w:r>
      <w:r w:rsidR="001B751C">
        <w:rPr>
          <w:rFonts w:ascii="Times New Roman" w:eastAsia="Cambria" w:hAnsi="Times New Roman"/>
          <w:szCs w:val="24"/>
          <w:lang w:eastAsia="ja-JP"/>
        </w:rPr>
        <w:t xml:space="preserve"> </w:t>
      </w:r>
    </w:p>
    <w:p w14:paraId="3E0AE706" w14:textId="77777777" w:rsidR="00DB546D" w:rsidRDefault="00DB546D" w:rsidP="00837FB5">
      <w:pPr>
        <w:spacing w:after="0" w:line="480" w:lineRule="auto"/>
        <w:jc w:val="both"/>
        <w:rPr>
          <w:rFonts w:ascii="Times New Roman" w:eastAsia="Cambria" w:hAnsi="Times New Roman"/>
          <w:szCs w:val="24"/>
          <w:lang w:eastAsia="ja-JP"/>
        </w:rPr>
      </w:pPr>
    </w:p>
    <w:p w14:paraId="7275AD64" w14:textId="31F27F0C" w:rsidR="00106910" w:rsidRDefault="0034323B" w:rsidP="00837FB5">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However, t</w:t>
      </w:r>
      <w:r w:rsidR="00837FB5">
        <w:rPr>
          <w:rFonts w:ascii="Times New Roman" w:eastAsia="Cambria" w:hAnsi="Times New Roman"/>
          <w:szCs w:val="24"/>
          <w:lang w:eastAsia="ja-JP"/>
        </w:rPr>
        <w:t>he non-dispositive category</w:t>
      </w:r>
      <w:r w:rsidR="00106910" w:rsidRPr="00505D18">
        <w:rPr>
          <w:rFonts w:ascii="Times New Roman" w:eastAsia="Cambria" w:hAnsi="Times New Roman"/>
          <w:szCs w:val="24"/>
          <w:lang w:eastAsia="ja-JP"/>
        </w:rPr>
        <w:t xml:space="preserve"> gives victims a degree of influence over the proceedings, as it places corresponding obl</w:t>
      </w:r>
      <w:r w:rsidR="004A5B72" w:rsidRPr="00505D18">
        <w:rPr>
          <w:rFonts w:ascii="Times New Roman" w:eastAsia="Cambria" w:hAnsi="Times New Roman"/>
          <w:szCs w:val="24"/>
          <w:lang w:eastAsia="ja-JP"/>
        </w:rPr>
        <w:t>igations on both decision-maker(</w:t>
      </w:r>
      <w:r w:rsidR="00106910" w:rsidRPr="00505D18">
        <w:rPr>
          <w:rFonts w:ascii="Times New Roman" w:eastAsia="Cambria" w:hAnsi="Times New Roman"/>
          <w:szCs w:val="24"/>
          <w:lang w:eastAsia="ja-JP"/>
        </w:rPr>
        <w:t>judges</w:t>
      </w:r>
      <w:r w:rsidR="004A5B72" w:rsidRPr="00505D18">
        <w:rPr>
          <w:rFonts w:ascii="Times New Roman" w:eastAsia="Cambria" w:hAnsi="Times New Roman"/>
          <w:szCs w:val="24"/>
          <w:lang w:eastAsia="ja-JP"/>
        </w:rPr>
        <w:t>)</w:t>
      </w:r>
      <w:r w:rsidR="00106910" w:rsidRPr="00505D18">
        <w:rPr>
          <w:rFonts w:ascii="Times New Roman" w:eastAsia="Cambria" w:hAnsi="Times New Roman"/>
          <w:szCs w:val="24"/>
          <w:lang w:eastAsia="ja-JP"/>
        </w:rPr>
        <w:t xml:space="preserve"> and the victims.</w:t>
      </w:r>
      <w:r w:rsidR="005D27D4">
        <w:rPr>
          <w:rStyle w:val="FootnoteReference"/>
          <w:rFonts w:ascii="Times New Roman" w:eastAsia="Cambria" w:hAnsi="Times New Roman"/>
          <w:szCs w:val="24"/>
          <w:lang w:eastAsia="ja-JP"/>
        </w:rPr>
        <w:footnoteReference w:id="1248"/>
      </w:r>
      <w:r w:rsidR="004A5B72" w:rsidRPr="00505D18">
        <w:rPr>
          <w:rFonts w:ascii="Times New Roman" w:eastAsia="Cambria" w:hAnsi="Times New Roman"/>
          <w:szCs w:val="24"/>
          <w:lang w:eastAsia="ja-JP"/>
        </w:rPr>
        <w:t xml:space="preserve"> </w:t>
      </w:r>
      <w:r w:rsidR="00106910" w:rsidRPr="00505D18">
        <w:rPr>
          <w:rFonts w:ascii="Times New Roman" w:eastAsia="Cambria" w:hAnsi="Times New Roman"/>
          <w:szCs w:val="24"/>
          <w:lang w:eastAsia="ja-JP"/>
        </w:rPr>
        <w:t>While some of the roles of victims are voluntary, so</w:t>
      </w:r>
      <w:r w:rsidR="004A5B72" w:rsidRPr="00505D18">
        <w:rPr>
          <w:rFonts w:ascii="Times New Roman" w:eastAsia="Cambria" w:hAnsi="Times New Roman"/>
          <w:szCs w:val="24"/>
          <w:lang w:eastAsia="ja-JP"/>
        </w:rPr>
        <w:t>me</w:t>
      </w:r>
      <w:r w:rsidR="00106910" w:rsidRPr="00505D18">
        <w:rPr>
          <w:rFonts w:ascii="Times New Roman" w:eastAsia="Cambria" w:hAnsi="Times New Roman"/>
          <w:szCs w:val="24"/>
          <w:lang w:eastAsia="ja-JP"/>
        </w:rPr>
        <w:t xml:space="preserve"> </w:t>
      </w:r>
      <w:r w:rsidR="00BC1B97">
        <w:rPr>
          <w:rFonts w:ascii="Times New Roman" w:eastAsia="Cambria" w:hAnsi="Times New Roman"/>
          <w:szCs w:val="24"/>
          <w:lang w:eastAsia="ja-JP"/>
        </w:rPr>
        <w:t>may be</w:t>
      </w:r>
      <w:r w:rsidR="00106910" w:rsidRPr="00505D18">
        <w:rPr>
          <w:rFonts w:ascii="Times New Roman" w:eastAsia="Cambria" w:hAnsi="Times New Roman"/>
          <w:szCs w:val="24"/>
          <w:lang w:eastAsia="ja-JP"/>
        </w:rPr>
        <w:t xml:space="preserve"> mandatory.</w:t>
      </w:r>
      <w:r w:rsidR="00710FC1" w:rsidRPr="00710FC1">
        <w:rPr>
          <w:rFonts w:ascii="Times New Roman" w:eastAsia="Cambria" w:hAnsi="Times New Roman"/>
          <w:szCs w:val="24"/>
          <w:lang w:eastAsia="ja-JP"/>
        </w:rPr>
        <w:t xml:space="preserve"> </w:t>
      </w:r>
      <w:r w:rsidR="00710FC1">
        <w:rPr>
          <w:rFonts w:ascii="Times New Roman" w:eastAsia="Cambria" w:hAnsi="Times New Roman"/>
          <w:szCs w:val="24"/>
          <w:lang w:eastAsia="ja-JP"/>
        </w:rPr>
        <w:t>Nonetheless, victim participation enables them to exercise influence during the trial process, regulated by the court.</w:t>
      </w:r>
      <w:r w:rsidR="00D96224" w:rsidRPr="00D96224">
        <w:rPr>
          <w:rFonts w:ascii="Times New Roman" w:eastAsia="Cambria" w:hAnsi="Times New Roman"/>
          <w:szCs w:val="24"/>
          <w:lang w:eastAsia="ja-JP"/>
        </w:rPr>
        <w:t xml:space="preserve"> </w:t>
      </w:r>
      <w:r w:rsidR="00D96224" w:rsidRPr="00505D18">
        <w:rPr>
          <w:rFonts w:ascii="Times New Roman" w:eastAsia="Cambria" w:hAnsi="Times New Roman"/>
          <w:szCs w:val="24"/>
          <w:lang w:eastAsia="ja-JP"/>
        </w:rPr>
        <w:t xml:space="preserve">It is worthy </w:t>
      </w:r>
      <w:r w:rsidR="00D96224">
        <w:rPr>
          <w:rFonts w:ascii="Times New Roman" w:eastAsia="Cambria" w:hAnsi="Times New Roman"/>
          <w:szCs w:val="24"/>
          <w:lang w:eastAsia="ja-JP"/>
        </w:rPr>
        <w:t>of mentioning</w:t>
      </w:r>
      <w:r w:rsidR="00D96224" w:rsidRPr="00505D18">
        <w:rPr>
          <w:rFonts w:ascii="Times New Roman" w:eastAsia="Cambria" w:hAnsi="Times New Roman"/>
          <w:szCs w:val="24"/>
          <w:lang w:eastAsia="ja-JP"/>
        </w:rPr>
        <w:t xml:space="preserve"> that Edwards’ theory gives us an in-depth approach to th</w:t>
      </w:r>
      <w:r w:rsidR="00D96224">
        <w:rPr>
          <w:rFonts w:ascii="Times New Roman" w:eastAsia="Cambria" w:hAnsi="Times New Roman"/>
          <w:szCs w:val="24"/>
          <w:lang w:eastAsia="ja-JP"/>
        </w:rPr>
        <w:t>e implications of participation rather than the competitive approach between victims’ rights a</w:t>
      </w:r>
      <w:r w:rsidR="00DB546D">
        <w:rPr>
          <w:rFonts w:ascii="Times New Roman" w:eastAsia="Cambria" w:hAnsi="Times New Roman"/>
          <w:szCs w:val="24"/>
          <w:lang w:eastAsia="ja-JP"/>
        </w:rPr>
        <w:t>nd</w:t>
      </w:r>
      <w:r w:rsidR="00D96224">
        <w:rPr>
          <w:rFonts w:ascii="Times New Roman" w:eastAsia="Cambria" w:hAnsi="Times New Roman"/>
          <w:szCs w:val="24"/>
          <w:lang w:eastAsia="ja-JP"/>
        </w:rPr>
        <w:t xml:space="preserve"> defendant rights. </w:t>
      </w:r>
      <w:r w:rsidR="00106910" w:rsidRPr="00505D18">
        <w:rPr>
          <w:rFonts w:ascii="Times New Roman" w:eastAsia="Cambria" w:hAnsi="Times New Roman"/>
          <w:szCs w:val="24"/>
          <w:lang w:eastAsia="ja-JP"/>
        </w:rPr>
        <w:t xml:space="preserve"> </w:t>
      </w:r>
    </w:p>
    <w:p w14:paraId="2789CDBD" w14:textId="77777777" w:rsidR="00710FC1" w:rsidRDefault="00710FC1" w:rsidP="00837FB5">
      <w:pPr>
        <w:spacing w:after="0" w:line="480" w:lineRule="auto"/>
        <w:jc w:val="both"/>
        <w:rPr>
          <w:rFonts w:ascii="Times New Roman" w:eastAsia="Cambria" w:hAnsi="Times New Roman"/>
          <w:szCs w:val="24"/>
          <w:lang w:eastAsia="ja-JP"/>
        </w:rPr>
      </w:pPr>
    </w:p>
    <w:p w14:paraId="354AF473" w14:textId="1B25475C" w:rsidR="00D96224" w:rsidRDefault="0034323B" w:rsidP="00D96224">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lastRenderedPageBreak/>
        <w:t>In addition</w:t>
      </w:r>
      <w:r w:rsidR="00710FC1" w:rsidRPr="00505D18">
        <w:rPr>
          <w:rFonts w:ascii="Times New Roman" w:eastAsia="Cambria" w:hAnsi="Times New Roman"/>
          <w:szCs w:val="24"/>
          <w:lang w:eastAsia="ja-JP"/>
        </w:rPr>
        <w:t xml:space="preserve">, </w:t>
      </w:r>
      <w:r w:rsidR="00D96224">
        <w:rPr>
          <w:rFonts w:ascii="Times New Roman" w:eastAsia="Cambria" w:hAnsi="Times New Roman"/>
          <w:szCs w:val="24"/>
          <w:lang w:eastAsia="ja-JP"/>
        </w:rPr>
        <w:t xml:space="preserve">it </w:t>
      </w:r>
      <w:r w:rsidR="00710FC1" w:rsidRPr="00505D18">
        <w:rPr>
          <w:rFonts w:ascii="Times New Roman" w:eastAsia="Cambria" w:hAnsi="Times New Roman"/>
          <w:szCs w:val="24"/>
          <w:lang w:eastAsia="ja-JP"/>
        </w:rPr>
        <w:t>has shown that the application of</w:t>
      </w:r>
      <w:r w:rsidR="00D96224">
        <w:rPr>
          <w:rFonts w:ascii="Times New Roman" w:eastAsia="Cambria" w:hAnsi="Times New Roman"/>
          <w:szCs w:val="24"/>
          <w:lang w:eastAsia="ja-JP"/>
        </w:rPr>
        <w:t xml:space="preserve"> victims’ </w:t>
      </w:r>
      <w:r w:rsidR="00710FC1" w:rsidRPr="00505D18">
        <w:rPr>
          <w:rFonts w:ascii="Times New Roman" w:eastAsia="Cambria" w:hAnsi="Times New Roman"/>
          <w:szCs w:val="24"/>
          <w:lang w:eastAsia="ja-JP"/>
        </w:rPr>
        <w:t xml:space="preserve"> procedural rights </w:t>
      </w:r>
      <w:r w:rsidR="00710FC1">
        <w:rPr>
          <w:rFonts w:ascii="Times New Roman" w:eastAsia="Cambria" w:hAnsi="Times New Roman"/>
          <w:szCs w:val="24"/>
          <w:lang w:eastAsia="ja-JP"/>
        </w:rPr>
        <w:t>is</w:t>
      </w:r>
      <w:r w:rsidR="00710FC1" w:rsidRPr="00505D18">
        <w:rPr>
          <w:rFonts w:ascii="Times New Roman" w:eastAsia="Cambria" w:hAnsi="Times New Roman"/>
          <w:szCs w:val="24"/>
          <w:lang w:eastAsia="ja-JP"/>
        </w:rPr>
        <w:t xml:space="preserve"> limited.</w:t>
      </w:r>
      <w:r w:rsidR="00D96224">
        <w:rPr>
          <w:rFonts w:ascii="Times New Roman" w:eastAsia="Cambria" w:hAnsi="Times New Roman"/>
          <w:szCs w:val="24"/>
          <w:lang w:eastAsia="ja-JP"/>
        </w:rPr>
        <w:t xml:space="preserve"> The restriction is not surprising as most human rights are not absolute.</w:t>
      </w:r>
      <w:r w:rsidR="00D96224">
        <w:rPr>
          <w:rStyle w:val="FootnoteReference"/>
          <w:rFonts w:ascii="Times New Roman" w:eastAsia="Cambria" w:hAnsi="Times New Roman"/>
          <w:szCs w:val="24"/>
          <w:lang w:eastAsia="ja-JP"/>
        </w:rPr>
        <w:footnoteReference w:id="1249"/>
      </w:r>
      <w:r w:rsidR="00D96224">
        <w:rPr>
          <w:rFonts w:ascii="Times New Roman" w:eastAsia="Cambria" w:hAnsi="Times New Roman"/>
          <w:szCs w:val="24"/>
          <w:lang w:eastAsia="ja-JP"/>
        </w:rPr>
        <w:t xml:space="preserve"> These procedural rights are exercised in such a manner that would not prejudice the rights of the accused.</w:t>
      </w:r>
      <w:r w:rsidR="00D96224">
        <w:rPr>
          <w:rStyle w:val="FootnoteReference"/>
          <w:rFonts w:ascii="Times New Roman" w:eastAsia="Cambria" w:hAnsi="Times New Roman"/>
          <w:szCs w:val="24"/>
          <w:lang w:eastAsia="ja-JP"/>
        </w:rPr>
        <w:footnoteReference w:id="1250"/>
      </w:r>
      <w:r w:rsidR="00D96224">
        <w:rPr>
          <w:rFonts w:ascii="Times New Roman" w:eastAsia="Cambria" w:hAnsi="Times New Roman"/>
          <w:szCs w:val="24"/>
          <w:lang w:eastAsia="ja-JP"/>
        </w:rPr>
        <w:t xml:space="preserve"> The use of procedural rights of victims ensures they access justice and participate efficiently during the trial process. The investigation into procedural rights has shown that while these rights enable victims to pursue their interests, the exercise of these rights is not absolute.</w:t>
      </w:r>
      <w:r w:rsidR="00D96224">
        <w:rPr>
          <w:rStyle w:val="FootnoteReference"/>
          <w:rFonts w:ascii="Times New Roman" w:eastAsia="Cambria" w:hAnsi="Times New Roman"/>
          <w:szCs w:val="24"/>
          <w:lang w:eastAsia="ja-JP"/>
        </w:rPr>
        <w:footnoteReference w:id="1251"/>
      </w:r>
      <w:r w:rsidR="00D96224" w:rsidRPr="00D96224">
        <w:rPr>
          <w:rFonts w:ascii="Times New Roman" w:eastAsia="Cambria" w:hAnsi="Times New Roman"/>
          <w:szCs w:val="24"/>
          <w:lang w:eastAsia="ja-JP"/>
        </w:rPr>
        <w:t xml:space="preserve"> </w:t>
      </w:r>
      <w:r w:rsidR="00D96224">
        <w:rPr>
          <w:rFonts w:ascii="Times New Roman" w:eastAsia="Cambria" w:hAnsi="Times New Roman"/>
          <w:szCs w:val="24"/>
          <w:lang w:eastAsia="ja-JP"/>
        </w:rPr>
        <w:t xml:space="preserve">We should note that the </w:t>
      </w:r>
      <w:r w:rsidR="00981B6F">
        <w:rPr>
          <w:rFonts w:ascii="Times New Roman" w:eastAsia="Cambria" w:hAnsi="Times New Roman"/>
          <w:szCs w:val="24"/>
          <w:lang w:eastAsia="ja-JP"/>
        </w:rPr>
        <w:t>court's refusal</w:t>
      </w:r>
      <w:r w:rsidR="00D96224">
        <w:rPr>
          <w:rFonts w:ascii="Times New Roman" w:eastAsia="Cambria" w:hAnsi="Times New Roman"/>
          <w:szCs w:val="24"/>
          <w:lang w:eastAsia="ja-JP"/>
        </w:rPr>
        <w:t xml:space="preserve"> to recognise and apply these rights during the trial process is likely to result in procedural injustice for victims.</w:t>
      </w:r>
    </w:p>
    <w:p w14:paraId="625FFE08" w14:textId="77777777" w:rsidR="003758B8" w:rsidRDefault="003758B8" w:rsidP="00837FB5">
      <w:pPr>
        <w:spacing w:after="0" w:line="480" w:lineRule="auto"/>
        <w:jc w:val="both"/>
        <w:rPr>
          <w:rFonts w:ascii="Times New Roman" w:eastAsia="Cambria" w:hAnsi="Times New Roman"/>
          <w:szCs w:val="24"/>
          <w:lang w:eastAsia="ja-JP"/>
        </w:rPr>
      </w:pPr>
    </w:p>
    <w:p w14:paraId="4F9277E5" w14:textId="1D5A0C7B" w:rsidR="0034323B" w:rsidRDefault="00DB1538" w:rsidP="00837FB5">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For effective participation rather than sheer tokenism, the ICC needs to enhance its engagement with victims</w:t>
      </w:r>
      <w:r w:rsidR="00D9331D">
        <w:rPr>
          <w:rFonts w:ascii="Times New Roman" w:eastAsia="Cambria" w:hAnsi="Times New Roman"/>
          <w:szCs w:val="24"/>
          <w:lang w:eastAsia="ja-JP"/>
        </w:rPr>
        <w:t>.</w:t>
      </w:r>
      <w:r w:rsidR="003758B8">
        <w:rPr>
          <w:rFonts w:ascii="Times New Roman" w:eastAsia="Cambria" w:hAnsi="Times New Roman"/>
          <w:szCs w:val="24"/>
          <w:lang w:eastAsia="ja-JP"/>
        </w:rPr>
        <w:t xml:space="preserve"> </w:t>
      </w:r>
      <w:r w:rsidR="00D9331D">
        <w:rPr>
          <w:rFonts w:ascii="Times New Roman" w:eastAsia="Cambria" w:hAnsi="Times New Roman"/>
          <w:szCs w:val="24"/>
          <w:lang w:eastAsia="ja-JP"/>
        </w:rPr>
        <w:t xml:space="preserve">Clark opined that the physical, institutional and demographic barrier between the court and affected countries has been detrimental to the </w:t>
      </w:r>
      <w:r w:rsidR="00981B6F">
        <w:rPr>
          <w:rFonts w:ascii="Times New Roman" w:eastAsia="Cambria" w:hAnsi="Times New Roman"/>
          <w:szCs w:val="24"/>
          <w:lang w:eastAsia="ja-JP"/>
        </w:rPr>
        <w:t>court's functions</w:t>
      </w:r>
      <w:r w:rsidR="00D9331D">
        <w:rPr>
          <w:rFonts w:ascii="Times New Roman" w:eastAsia="Cambria" w:hAnsi="Times New Roman"/>
          <w:szCs w:val="24"/>
          <w:lang w:eastAsia="ja-JP"/>
        </w:rPr>
        <w:t>.</w:t>
      </w:r>
      <w:r w:rsidR="00D9331D">
        <w:rPr>
          <w:rStyle w:val="FootnoteReference"/>
          <w:rFonts w:ascii="Times New Roman" w:eastAsia="Cambria" w:hAnsi="Times New Roman"/>
          <w:szCs w:val="24"/>
          <w:lang w:eastAsia="ja-JP"/>
        </w:rPr>
        <w:footnoteReference w:id="1252"/>
      </w:r>
      <w:r w:rsidR="00D9331D">
        <w:rPr>
          <w:rFonts w:ascii="Times New Roman" w:eastAsia="Cambria" w:hAnsi="Times New Roman"/>
          <w:szCs w:val="24"/>
          <w:lang w:eastAsia="ja-JP"/>
        </w:rPr>
        <w:t xml:space="preserve"> The barrier is seen in the distanced ICC investigations and prosecutorial practices.</w:t>
      </w:r>
      <w:r w:rsidR="00D9331D">
        <w:rPr>
          <w:rStyle w:val="FootnoteReference"/>
          <w:rFonts w:ascii="Times New Roman" w:eastAsia="Cambria" w:hAnsi="Times New Roman"/>
          <w:szCs w:val="24"/>
          <w:lang w:eastAsia="ja-JP"/>
        </w:rPr>
        <w:footnoteReference w:id="1253"/>
      </w:r>
      <w:r w:rsidR="00D9331D">
        <w:rPr>
          <w:rFonts w:ascii="Times New Roman" w:eastAsia="Cambria" w:hAnsi="Times New Roman"/>
          <w:szCs w:val="24"/>
          <w:lang w:eastAsia="ja-JP"/>
        </w:rPr>
        <w:t xml:space="preserve"> The perceived distance is not unconnected to the court’s attempt at maintaining independence and impartiality.</w:t>
      </w:r>
      <w:r w:rsidR="00D9331D">
        <w:rPr>
          <w:rStyle w:val="FootnoteReference"/>
          <w:rFonts w:ascii="Times New Roman" w:eastAsia="Cambria" w:hAnsi="Times New Roman"/>
          <w:szCs w:val="24"/>
          <w:lang w:eastAsia="ja-JP"/>
        </w:rPr>
        <w:footnoteReference w:id="1254"/>
      </w:r>
      <w:r w:rsidR="00D9331D">
        <w:rPr>
          <w:rFonts w:ascii="Times New Roman" w:eastAsia="Cambria" w:hAnsi="Times New Roman"/>
          <w:szCs w:val="24"/>
          <w:lang w:eastAsia="ja-JP"/>
        </w:rPr>
        <w:t xml:space="preserve"> Unfortunately, the ‘distance’ has negatively impacted </w:t>
      </w:r>
      <w:r w:rsidR="003758B8">
        <w:rPr>
          <w:rFonts w:ascii="Times New Roman" w:eastAsia="Cambria" w:hAnsi="Times New Roman"/>
          <w:szCs w:val="24"/>
          <w:lang w:eastAsia="ja-JP"/>
        </w:rPr>
        <w:t>the</w:t>
      </w:r>
      <w:r w:rsidR="00981B6F">
        <w:rPr>
          <w:rFonts w:ascii="Times New Roman" w:eastAsia="Cambria" w:hAnsi="Times New Roman"/>
          <w:szCs w:val="24"/>
          <w:lang w:eastAsia="ja-JP"/>
        </w:rPr>
        <w:t xml:space="preserve"> court's operations</w:t>
      </w:r>
      <w:r w:rsidR="00D9331D">
        <w:rPr>
          <w:rFonts w:ascii="Times New Roman" w:eastAsia="Cambria" w:hAnsi="Times New Roman"/>
          <w:szCs w:val="24"/>
          <w:lang w:eastAsia="ja-JP"/>
        </w:rPr>
        <w:t xml:space="preserve"> and its interactions with victims.</w:t>
      </w:r>
    </w:p>
    <w:p w14:paraId="353A255F" w14:textId="77777777" w:rsidR="00D9331D" w:rsidRPr="00505D18" w:rsidRDefault="00D9331D" w:rsidP="00837FB5">
      <w:pPr>
        <w:spacing w:after="0" w:line="480" w:lineRule="auto"/>
        <w:jc w:val="both"/>
        <w:rPr>
          <w:rFonts w:ascii="Times New Roman" w:eastAsia="Cambria" w:hAnsi="Times New Roman"/>
          <w:szCs w:val="24"/>
          <w:lang w:eastAsia="ja-JP"/>
        </w:rPr>
      </w:pPr>
    </w:p>
    <w:p w14:paraId="410E7C36" w14:textId="26650657" w:rsidR="004A5B72" w:rsidRPr="00100B41" w:rsidRDefault="004B4640" w:rsidP="00100B41">
      <w:pPr>
        <w:spacing w:line="480" w:lineRule="auto"/>
        <w:jc w:val="both"/>
        <w:rPr>
          <w:rFonts w:ascii="Times New Roman" w:hAnsi="Times New Roman"/>
          <w:szCs w:val="24"/>
        </w:rPr>
      </w:pPr>
      <w:r>
        <w:rPr>
          <w:rFonts w:ascii="Times New Roman" w:eastAsia="Cambria" w:hAnsi="Times New Roman"/>
          <w:szCs w:val="24"/>
          <w:lang w:eastAsia="ja-JP"/>
        </w:rPr>
        <w:t>One more significant finding to emerge concerning sentencing is</w:t>
      </w:r>
      <w:r w:rsidR="00BF4B5D">
        <w:rPr>
          <w:rFonts w:ascii="Times New Roman" w:eastAsia="Cambria" w:hAnsi="Times New Roman"/>
          <w:szCs w:val="24"/>
          <w:lang w:eastAsia="ja-JP"/>
        </w:rPr>
        <w:t xml:space="preserve"> that victims are permitted to participate during a sentencing hearing via oral, written submissions and observations. </w:t>
      </w:r>
      <w:r w:rsidR="00FB3021">
        <w:rPr>
          <w:rFonts w:ascii="Times New Roman" w:hAnsi="Times New Roman"/>
          <w:szCs w:val="24"/>
        </w:rPr>
        <w:t xml:space="preserve">Nonetheless, victim participation in sentence hearing is not a guarantee that their observations and submissions would impact the sentencing outcome. At this juncture, </w:t>
      </w:r>
      <w:r w:rsidR="00100B41">
        <w:rPr>
          <w:rFonts w:ascii="Times New Roman" w:hAnsi="Times New Roman"/>
          <w:szCs w:val="24"/>
        </w:rPr>
        <w:t xml:space="preserve">the court should compromise </w:t>
      </w:r>
      <w:r w:rsidR="00FB3021">
        <w:rPr>
          <w:rFonts w:ascii="Times New Roman" w:hAnsi="Times New Roman"/>
          <w:szCs w:val="24"/>
        </w:rPr>
        <w:t>between the legitimate rights and interests of the victims and the rights of the accused.</w:t>
      </w:r>
      <w:r w:rsidR="00100B41">
        <w:rPr>
          <w:rFonts w:ascii="Times New Roman" w:hAnsi="Times New Roman"/>
          <w:szCs w:val="24"/>
        </w:rPr>
        <w:t xml:space="preserve"> </w:t>
      </w:r>
      <w:r w:rsidR="00BF4B5D">
        <w:rPr>
          <w:rFonts w:ascii="Times New Roman" w:eastAsia="Cambria" w:hAnsi="Times New Roman"/>
          <w:szCs w:val="24"/>
          <w:lang w:eastAsia="ja-JP"/>
        </w:rPr>
        <w:t>By Edwards’ analogy, they do not have control over the sentenc</w:t>
      </w:r>
      <w:r w:rsidR="00C26013">
        <w:rPr>
          <w:rFonts w:ascii="Times New Roman" w:eastAsia="Cambria" w:hAnsi="Times New Roman"/>
          <w:szCs w:val="24"/>
          <w:lang w:eastAsia="ja-JP"/>
        </w:rPr>
        <w:t>ing</w:t>
      </w:r>
      <w:r w:rsidR="00BF4B5D">
        <w:rPr>
          <w:rFonts w:ascii="Times New Roman" w:eastAsia="Cambria" w:hAnsi="Times New Roman"/>
          <w:szCs w:val="24"/>
          <w:lang w:eastAsia="ja-JP"/>
        </w:rPr>
        <w:t xml:space="preserve"> hearing or sentence outcome.</w:t>
      </w:r>
      <w:r>
        <w:rPr>
          <w:rFonts w:ascii="Times New Roman" w:eastAsia="Cambria" w:hAnsi="Times New Roman"/>
          <w:szCs w:val="24"/>
          <w:lang w:eastAsia="ja-JP"/>
        </w:rPr>
        <w:t xml:space="preserve"> There is an interplay of power and influence at this stag</w:t>
      </w:r>
      <w:r w:rsidR="00BF4B5D">
        <w:rPr>
          <w:rFonts w:ascii="Times New Roman" w:eastAsia="Cambria" w:hAnsi="Times New Roman"/>
          <w:szCs w:val="24"/>
          <w:lang w:eastAsia="ja-JP"/>
        </w:rPr>
        <w:t>e</w:t>
      </w:r>
      <w:r w:rsidR="003758B8">
        <w:rPr>
          <w:rFonts w:ascii="Times New Roman" w:eastAsia="Cambria" w:hAnsi="Times New Roman"/>
          <w:szCs w:val="24"/>
          <w:lang w:eastAsia="ja-JP"/>
        </w:rPr>
        <w:t>, which</w:t>
      </w:r>
      <w:r w:rsidR="0079315D">
        <w:rPr>
          <w:rFonts w:ascii="Times New Roman" w:eastAsia="Cambria" w:hAnsi="Times New Roman"/>
          <w:szCs w:val="24"/>
          <w:lang w:eastAsia="ja-JP"/>
        </w:rPr>
        <w:t xml:space="preserve"> is shown in their observations and submissions before the court. Given that victims’ role in sentencing is restricted, </w:t>
      </w:r>
      <w:r w:rsidR="00C26013">
        <w:rPr>
          <w:rFonts w:ascii="Times New Roman" w:eastAsia="Cambria" w:hAnsi="Times New Roman"/>
          <w:szCs w:val="24"/>
          <w:lang w:eastAsia="ja-JP"/>
        </w:rPr>
        <w:t>they have a relatively low impact on sentence decision</w:t>
      </w:r>
      <w:r w:rsidR="003758B8">
        <w:rPr>
          <w:rFonts w:ascii="Times New Roman" w:eastAsia="Cambria" w:hAnsi="Times New Roman"/>
          <w:szCs w:val="24"/>
          <w:lang w:eastAsia="ja-JP"/>
        </w:rPr>
        <w:t>.</w:t>
      </w:r>
    </w:p>
    <w:p w14:paraId="10F2B581" w14:textId="6C0E2EA6" w:rsidR="003758B8" w:rsidRDefault="003758B8" w:rsidP="003758B8">
      <w:pPr>
        <w:spacing w:after="0"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The </w:t>
      </w:r>
      <w:r w:rsidR="004B4640">
        <w:rPr>
          <w:rFonts w:ascii="Times New Roman" w:eastAsia="Cambria" w:hAnsi="Times New Roman"/>
          <w:szCs w:val="24"/>
          <w:lang w:eastAsia="ja-JP"/>
        </w:rPr>
        <w:t>ICC's struggle</w:t>
      </w:r>
      <w:r>
        <w:rPr>
          <w:rFonts w:ascii="Times New Roman" w:eastAsia="Cambria" w:hAnsi="Times New Roman"/>
          <w:szCs w:val="24"/>
          <w:lang w:eastAsia="ja-JP"/>
        </w:rPr>
        <w:t xml:space="preserve"> </w:t>
      </w:r>
      <w:r w:rsidR="009E01A2">
        <w:rPr>
          <w:rFonts w:ascii="Times New Roman" w:eastAsia="Cambria" w:hAnsi="Times New Roman"/>
          <w:szCs w:val="24"/>
          <w:lang w:eastAsia="ja-JP"/>
        </w:rPr>
        <w:t>to increase its focus on victims and strike</w:t>
      </w:r>
      <w:r>
        <w:rPr>
          <w:rFonts w:ascii="Times New Roman" w:eastAsia="Cambria" w:hAnsi="Times New Roman"/>
          <w:szCs w:val="24"/>
          <w:lang w:eastAsia="ja-JP"/>
        </w:rPr>
        <w:t xml:space="preserve"> a balance between retributive and restorative justice unravels during sentencing and</w:t>
      </w:r>
      <w:r w:rsidR="004B4640">
        <w:rPr>
          <w:rFonts w:ascii="Times New Roman" w:eastAsia="Cambria" w:hAnsi="Times New Roman"/>
          <w:szCs w:val="24"/>
          <w:lang w:eastAsia="ja-JP"/>
        </w:rPr>
        <w:t xml:space="preserve"> sentence reduction</w:t>
      </w:r>
      <w:r>
        <w:rPr>
          <w:rFonts w:ascii="Times New Roman" w:eastAsia="Cambria" w:hAnsi="Times New Roman"/>
          <w:szCs w:val="24"/>
          <w:lang w:eastAsia="ja-JP"/>
        </w:rPr>
        <w:t>.</w:t>
      </w:r>
    </w:p>
    <w:p w14:paraId="5D63E943" w14:textId="199FF4B2" w:rsidR="00DF6219" w:rsidRDefault="003758B8" w:rsidP="003758B8">
      <w:pPr>
        <w:spacing w:line="480" w:lineRule="auto"/>
        <w:jc w:val="both"/>
      </w:pPr>
      <w:r>
        <w:rPr>
          <w:rFonts w:ascii="Times New Roman" w:hAnsi="Times New Roman"/>
        </w:rPr>
        <w:t>F</w:t>
      </w:r>
      <w:r w:rsidR="00DF6219" w:rsidRPr="003758B8">
        <w:rPr>
          <w:rFonts w:ascii="Times New Roman" w:hAnsi="Times New Roman"/>
        </w:rPr>
        <w:t xml:space="preserve">actors such as </w:t>
      </w:r>
      <w:r>
        <w:rPr>
          <w:rFonts w:ascii="Times New Roman" w:hAnsi="Times New Roman"/>
        </w:rPr>
        <w:t xml:space="preserve">the </w:t>
      </w:r>
      <w:r w:rsidR="00DF6219" w:rsidRPr="003758B8">
        <w:rPr>
          <w:rFonts w:ascii="Times New Roman" w:hAnsi="Times New Roman"/>
        </w:rPr>
        <w:t xml:space="preserve">absence of </w:t>
      </w:r>
      <w:r>
        <w:rPr>
          <w:rFonts w:ascii="Times New Roman" w:hAnsi="Times New Roman"/>
        </w:rPr>
        <w:t xml:space="preserve">a </w:t>
      </w:r>
      <w:r w:rsidR="00DF6219" w:rsidRPr="003758B8">
        <w:rPr>
          <w:rFonts w:ascii="Times New Roman" w:hAnsi="Times New Roman"/>
        </w:rPr>
        <w:t>guilty plea by the convicted person</w:t>
      </w:r>
      <w:r w:rsidR="009E01A2">
        <w:rPr>
          <w:rFonts w:ascii="Times New Roman" w:hAnsi="Times New Roman"/>
        </w:rPr>
        <w:t xml:space="preserve"> and the sentenced person's reluctance frustrate</w:t>
      </w:r>
      <w:r w:rsidR="00DF6219" w:rsidRPr="003758B8">
        <w:rPr>
          <w:rFonts w:ascii="Times New Roman" w:hAnsi="Times New Roman"/>
        </w:rPr>
        <w:t xml:space="preserve"> the restorative justice approach.</w:t>
      </w:r>
      <w:r>
        <w:rPr>
          <w:rFonts w:ascii="Times New Roman" w:hAnsi="Times New Roman"/>
        </w:rPr>
        <w:t xml:space="preserve"> </w:t>
      </w:r>
      <w:r w:rsidR="00DF6219" w:rsidRPr="003758B8">
        <w:rPr>
          <w:rFonts w:ascii="Times New Roman" w:hAnsi="Times New Roman"/>
        </w:rPr>
        <w:t>While there are elemen</w:t>
      </w:r>
      <w:r>
        <w:rPr>
          <w:rFonts w:ascii="Times New Roman" w:hAnsi="Times New Roman"/>
        </w:rPr>
        <w:t>ts</w:t>
      </w:r>
      <w:r w:rsidR="00DF6219" w:rsidRPr="003758B8">
        <w:rPr>
          <w:rFonts w:ascii="Times New Roman" w:hAnsi="Times New Roman"/>
        </w:rPr>
        <w:t xml:space="preserve"> of restorative justice such as interactions between the convicted person and victims,</w:t>
      </w:r>
      <w:r>
        <w:rPr>
          <w:rFonts w:ascii="Times New Roman" w:hAnsi="Times New Roman"/>
        </w:rPr>
        <w:t xml:space="preserve"> </w:t>
      </w:r>
      <w:r w:rsidR="00DF6219" w:rsidRPr="003758B8">
        <w:rPr>
          <w:rFonts w:ascii="Times New Roman" w:hAnsi="Times New Roman"/>
        </w:rPr>
        <w:t>encounter</w:t>
      </w:r>
      <w:r>
        <w:rPr>
          <w:rFonts w:ascii="Times New Roman" w:hAnsi="Times New Roman"/>
        </w:rPr>
        <w:t>,</w:t>
      </w:r>
      <w:r w:rsidR="00DF6219" w:rsidRPr="003758B8">
        <w:rPr>
          <w:rFonts w:ascii="Times New Roman" w:hAnsi="Times New Roman"/>
        </w:rPr>
        <w:t xml:space="preserve"> amend</w:t>
      </w:r>
      <w:r>
        <w:rPr>
          <w:rFonts w:ascii="Times New Roman" w:hAnsi="Times New Roman"/>
        </w:rPr>
        <w:t>s,</w:t>
      </w:r>
      <w:r w:rsidR="00DF6219" w:rsidRPr="003758B8">
        <w:rPr>
          <w:rFonts w:ascii="Times New Roman" w:hAnsi="Times New Roman"/>
        </w:rPr>
        <w:t xml:space="preserve"> and reintegration are best achi</w:t>
      </w:r>
      <w:r>
        <w:rPr>
          <w:rFonts w:ascii="Times New Roman" w:hAnsi="Times New Roman"/>
        </w:rPr>
        <w:t>e</w:t>
      </w:r>
      <w:r w:rsidR="00DF6219" w:rsidRPr="003758B8">
        <w:rPr>
          <w:rFonts w:ascii="Times New Roman" w:hAnsi="Times New Roman"/>
        </w:rPr>
        <w:t xml:space="preserve">ved in an informal setting, with cooperation from all </w:t>
      </w:r>
      <w:r w:rsidR="004B4640">
        <w:rPr>
          <w:rFonts w:ascii="Times New Roman" w:hAnsi="Times New Roman"/>
        </w:rPr>
        <w:t>stakeholders-victims offenders,</w:t>
      </w:r>
      <w:r w:rsidR="009E01A2">
        <w:rPr>
          <w:rFonts w:ascii="Times New Roman" w:hAnsi="Times New Roman"/>
        </w:rPr>
        <w:t xml:space="preserve"> </w:t>
      </w:r>
      <w:r w:rsidR="00DF6219" w:rsidRPr="003758B8">
        <w:rPr>
          <w:rFonts w:ascii="Times New Roman" w:hAnsi="Times New Roman"/>
        </w:rPr>
        <w:t>and community.</w:t>
      </w:r>
      <w:r>
        <w:rPr>
          <w:rFonts w:ascii="Times New Roman" w:hAnsi="Times New Roman"/>
        </w:rPr>
        <w:t xml:space="preserve"> </w:t>
      </w:r>
      <w:r w:rsidR="00DF6219" w:rsidRPr="003758B8">
        <w:rPr>
          <w:rFonts w:ascii="Times New Roman" w:hAnsi="Times New Roman"/>
        </w:rPr>
        <w:t>This</w:t>
      </w:r>
      <w:r>
        <w:rPr>
          <w:rFonts w:ascii="Times New Roman" w:hAnsi="Times New Roman"/>
        </w:rPr>
        <w:t xml:space="preserve"> activity</w:t>
      </w:r>
      <w:r w:rsidR="00DF6219" w:rsidRPr="003758B8">
        <w:rPr>
          <w:rFonts w:ascii="Times New Roman" w:hAnsi="Times New Roman"/>
        </w:rPr>
        <w:t xml:space="preserve"> could be </w:t>
      </w:r>
      <w:r w:rsidR="00DB546D">
        <w:rPr>
          <w:rFonts w:ascii="Times New Roman" w:hAnsi="Times New Roman"/>
        </w:rPr>
        <w:t>implemented</w:t>
      </w:r>
      <w:r w:rsidR="00DF6219" w:rsidRPr="003758B8">
        <w:rPr>
          <w:rFonts w:ascii="Times New Roman" w:hAnsi="Times New Roman"/>
        </w:rPr>
        <w:t xml:space="preserve"> in the affected domestic juri</w:t>
      </w:r>
      <w:r>
        <w:rPr>
          <w:rFonts w:ascii="Times New Roman" w:hAnsi="Times New Roman"/>
        </w:rPr>
        <w:t>s</w:t>
      </w:r>
      <w:r w:rsidR="00DF6219" w:rsidRPr="003758B8">
        <w:rPr>
          <w:rFonts w:ascii="Times New Roman" w:hAnsi="Times New Roman"/>
        </w:rPr>
        <w:t>diction with the monitoring and compliance by the ICC</w:t>
      </w:r>
      <w:r w:rsidR="00DF6219">
        <w:t>.</w:t>
      </w:r>
    </w:p>
    <w:p w14:paraId="1903507E" w14:textId="6D005CFF" w:rsidR="008F607F" w:rsidRDefault="004B4640" w:rsidP="00C5187E">
      <w:pPr>
        <w:spacing w:line="480" w:lineRule="auto"/>
        <w:jc w:val="both"/>
        <w:rPr>
          <w:rFonts w:ascii="Times New Roman" w:hAnsi="Times New Roman"/>
          <w:szCs w:val="24"/>
        </w:rPr>
      </w:pPr>
      <w:r>
        <w:rPr>
          <w:rFonts w:ascii="Times New Roman" w:hAnsi="Times New Roman"/>
        </w:rPr>
        <w:t>T</w:t>
      </w:r>
      <w:r w:rsidR="00DF6219" w:rsidRPr="003758B8">
        <w:rPr>
          <w:rFonts w:ascii="Times New Roman" w:hAnsi="Times New Roman"/>
        </w:rPr>
        <w:t>here is a thin line between justice and vengeance;</w:t>
      </w:r>
      <w:r w:rsidR="003758B8">
        <w:rPr>
          <w:rFonts w:ascii="Times New Roman" w:hAnsi="Times New Roman"/>
        </w:rPr>
        <w:t xml:space="preserve"> </w:t>
      </w:r>
      <w:r w:rsidR="00DF6219" w:rsidRPr="003758B8">
        <w:rPr>
          <w:rFonts w:ascii="Times New Roman" w:hAnsi="Times New Roman"/>
        </w:rPr>
        <w:t xml:space="preserve">a clamour for a </w:t>
      </w:r>
      <w:r w:rsidR="003758B8">
        <w:rPr>
          <w:rFonts w:ascii="Times New Roman" w:hAnsi="Times New Roman"/>
        </w:rPr>
        <w:t>higher</w:t>
      </w:r>
      <w:r w:rsidR="00DF6219" w:rsidRPr="003758B8">
        <w:rPr>
          <w:rFonts w:ascii="Times New Roman" w:hAnsi="Times New Roman"/>
        </w:rPr>
        <w:t xml:space="preserve"> sentence for the convicted persons shows </w:t>
      </w:r>
      <w:r w:rsidR="003758B8">
        <w:rPr>
          <w:rFonts w:ascii="Times New Roman" w:hAnsi="Times New Roman"/>
        </w:rPr>
        <w:t xml:space="preserve">the </w:t>
      </w:r>
      <w:r w:rsidR="00DF6219" w:rsidRPr="003758B8">
        <w:rPr>
          <w:rFonts w:ascii="Times New Roman" w:hAnsi="Times New Roman"/>
        </w:rPr>
        <w:t>quest for vengeance.</w:t>
      </w:r>
      <w:r w:rsidR="003758B8">
        <w:rPr>
          <w:rFonts w:ascii="Times New Roman" w:hAnsi="Times New Roman"/>
        </w:rPr>
        <w:t xml:space="preserve"> On the other hand, it appears the </w:t>
      </w:r>
      <w:r w:rsidR="003758B8">
        <w:rPr>
          <w:rFonts w:ascii="Times New Roman" w:hAnsi="Times New Roman"/>
        </w:rPr>
        <w:lastRenderedPageBreak/>
        <w:t>ICC is libera</w:t>
      </w:r>
      <w:r w:rsidR="00D848CE">
        <w:rPr>
          <w:rFonts w:ascii="Times New Roman" w:hAnsi="Times New Roman"/>
        </w:rPr>
        <w:t>l</w:t>
      </w:r>
      <w:r w:rsidR="003758B8">
        <w:rPr>
          <w:rFonts w:ascii="Times New Roman" w:hAnsi="Times New Roman"/>
        </w:rPr>
        <w:t xml:space="preserve">(western ideas) in mapping out a declared sentence for the convicted person. Consequently, the outcome reveals </w:t>
      </w:r>
      <w:r w:rsidR="0046434E" w:rsidRPr="00505D18">
        <w:rPr>
          <w:rFonts w:ascii="Times New Roman" w:eastAsia="Cambria" w:hAnsi="Times New Roman"/>
          <w:szCs w:val="24"/>
          <w:lang w:eastAsia="ja-JP"/>
        </w:rPr>
        <w:t xml:space="preserve">the disconnect between the expectations of some victims and the </w:t>
      </w:r>
      <w:r w:rsidR="00DB546D">
        <w:rPr>
          <w:rFonts w:ascii="Times New Roman" w:eastAsia="Cambria" w:hAnsi="Times New Roman"/>
          <w:szCs w:val="24"/>
          <w:lang w:eastAsia="ja-JP"/>
        </w:rPr>
        <w:t>declared</w:t>
      </w:r>
      <w:r w:rsidR="0046434E" w:rsidRPr="00505D18">
        <w:rPr>
          <w:rFonts w:ascii="Times New Roman" w:eastAsia="Cambria" w:hAnsi="Times New Roman"/>
          <w:szCs w:val="24"/>
          <w:lang w:eastAsia="ja-JP"/>
        </w:rPr>
        <w:t>.</w:t>
      </w:r>
      <w:r w:rsidR="00BF4B5D">
        <w:rPr>
          <w:rFonts w:ascii="Times New Roman" w:eastAsia="Cambria" w:hAnsi="Times New Roman"/>
          <w:szCs w:val="24"/>
          <w:lang w:eastAsia="ja-JP"/>
        </w:rPr>
        <w:t xml:space="preserve"> </w:t>
      </w:r>
      <w:r w:rsidR="006E622A" w:rsidRPr="00505D18">
        <w:rPr>
          <w:rFonts w:ascii="Times New Roman" w:eastAsia="Cambria" w:hAnsi="Times New Roman"/>
          <w:szCs w:val="24"/>
          <w:lang w:eastAsia="ja-JP"/>
        </w:rPr>
        <w:t>Unfortunat</w:t>
      </w:r>
      <w:r w:rsidR="0046434E" w:rsidRPr="00505D18">
        <w:rPr>
          <w:rFonts w:ascii="Times New Roman" w:eastAsia="Cambria" w:hAnsi="Times New Roman"/>
          <w:szCs w:val="24"/>
          <w:lang w:eastAsia="ja-JP"/>
        </w:rPr>
        <w:t>e</w:t>
      </w:r>
      <w:r w:rsidR="006E622A" w:rsidRPr="00505D18">
        <w:rPr>
          <w:rFonts w:ascii="Times New Roman" w:eastAsia="Cambria" w:hAnsi="Times New Roman"/>
          <w:szCs w:val="24"/>
          <w:lang w:eastAsia="ja-JP"/>
        </w:rPr>
        <w:t>ly,</w:t>
      </w:r>
      <w:r w:rsidR="003758B8">
        <w:rPr>
          <w:rFonts w:ascii="Times New Roman" w:eastAsia="Cambria" w:hAnsi="Times New Roman"/>
          <w:szCs w:val="24"/>
          <w:lang w:eastAsia="ja-JP"/>
        </w:rPr>
        <w:t xml:space="preserve"> f</w:t>
      </w:r>
      <w:r w:rsidR="006E622A" w:rsidRPr="00505D18">
        <w:rPr>
          <w:rFonts w:ascii="Times New Roman" w:eastAsia="Cambria" w:hAnsi="Times New Roman"/>
          <w:szCs w:val="24"/>
          <w:lang w:eastAsia="ja-JP"/>
        </w:rPr>
        <w:t xml:space="preserve">rom their perspective, the </w:t>
      </w:r>
      <w:r w:rsidR="00DB546D">
        <w:rPr>
          <w:rFonts w:ascii="Times New Roman" w:eastAsia="Cambria" w:hAnsi="Times New Roman"/>
          <w:szCs w:val="24"/>
          <w:lang w:eastAsia="ja-JP"/>
        </w:rPr>
        <w:t>gravity</w:t>
      </w:r>
      <w:r w:rsidR="006E622A" w:rsidRPr="00505D18">
        <w:rPr>
          <w:rFonts w:ascii="Times New Roman" w:eastAsia="Cambria" w:hAnsi="Times New Roman"/>
          <w:szCs w:val="24"/>
          <w:lang w:eastAsia="ja-JP"/>
        </w:rPr>
        <w:t xml:space="preserve"> of the crime should be proportionate</w:t>
      </w:r>
      <w:r w:rsidR="003954C2" w:rsidRPr="00505D18">
        <w:rPr>
          <w:rFonts w:ascii="Times New Roman" w:eastAsia="Cambria" w:hAnsi="Times New Roman"/>
          <w:szCs w:val="24"/>
          <w:lang w:eastAsia="ja-JP"/>
        </w:rPr>
        <w:t xml:space="preserve"> to</w:t>
      </w:r>
      <w:r w:rsidR="006E622A" w:rsidRPr="00505D18">
        <w:rPr>
          <w:rFonts w:ascii="Times New Roman" w:eastAsia="Cambria" w:hAnsi="Times New Roman"/>
          <w:szCs w:val="24"/>
          <w:lang w:eastAsia="ja-JP"/>
        </w:rPr>
        <w:t xml:space="preserve"> the penalty.</w:t>
      </w:r>
      <w:r w:rsidR="003A09BF" w:rsidRPr="00505D18">
        <w:rPr>
          <w:rFonts w:ascii="Times New Roman" w:eastAsia="Cambria" w:hAnsi="Times New Roman"/>
          <w:szCs w:val="24"/>
          <w:lang w:eastAsia="ja-JP"/>
        </w:rPr>
        <w:t xml:space="preserve"> </w:t>
      </w:r>
      <w:r w:rsidR="00BF4B5D">
        <w:rPr>
          <w:rFonts w:ascii="Times New Roman" w:eastAsia="Cambria" w:hAnsi="Times New Roman"/>
          <w:szCs w:val="24"/>
          <w:lang w:eastAsia="ja-JP"/>
        </w:rPr>
        <w:t>A l</w:t>
      </w:r>
      <w:r w:rsidR="006E622A" w:rsidRPr="00505D18">
        <w:rPr>
          <w:rFonts w:ascii="Times New Roman" w:eastAsia="Cambria" w:hAnsi="Times New Roman"/>
          <w:szCs w:val="24"/>
          <w:lang w:eastAsia="ja-JP"/>
        </w:rPr>
        <w:t xml:space="preserve">esser term </w:t>
      </w:r>
      <w:r w:rsidR="00BF4B5D">
        <w:rPr>
          <w:rFonts w:ascii="Times New Roman" w:eastAsia="Cambria" w:hAnsi="Times New Roman"/>
          <w:szCs w:val="24"/>
          <w:lang w:eastAsia="ja-JP"/>
        </w:rPr>
        <w:t>in prison</w:t>
      </w:r>
      <w:r w:rsidR="006E622A" w:rsidRPr="00505D18">
        <w:rPr>
          <w:rFonts w:ascii="Times New Roman" w:eastAsia="Cambria" w:hAnsi="Times New Roman"/>
          <w:szCs w:val="24"/>
          <w:lang w:eastAsia="ja-JP"/>
        </w:rPr>
        <w:t xml:space="preserve"> may be interpreted as undermining the</w:t>
      </w:r>
      <w:r w:rsidR="003A09BF" w:rsidRPr="00505D18">
        <w:rPr>
          <w:rFonts w:ascii="Times New Roman" w:eastAsia="Cambria" w:hAnsi="Times New Roman"/>
          <w:szCs w:val="24"/>
          <w:lang w:eastAsia="ja-JP"/>
        </w:rPr>
        <w:t xml:space="preserve">ir suffering. A reference to their national jurisdiction reflects a perceived proportionality between </w:t>
      </w:r>
      <w:r>
        <w:rPr>
          <w:rFonts w:ascii="Times New Roman" w:eastAsia="Cambria" w:hAnsi="Times New Roman"/>
          <w:szCs w:val="24"/>
          <w:lang w:eastAsia="ja-JP"/>
        </w:rPr>
        <w:t>the crimes' gravity</w:t>
      </w:r>
      <w:r w:rsidR="003A09BF" w:rsidRPr="00505D18">
        <w:rPr>
          <w:rFonts w:ascii="Times New Roman" w:eastAsia="Cambria" w:hAnsi="Times New Roman"/>
          <w:szCs w:val="24"/>
          <w:lang w:eastAsia="ja-JP"/>
        </w:rPr>
        <w:t xml:space="preserve"> and the severity of punishment</w:t>
      </w:r>
      <w:r w:rsidR="006E622A" w:rsidRPr="00505D18">
        <w:rPr>
          <w:rFonts w:ascii="Times New Roman" w:eastAsia="Cambria" w:hAnsi="Times New Roman"/>
          <w:szCs w:val="24"/>
          <w:lang w:eastAsia="ja-JP"/>
        </w:rPr>
        <w:t>.</w:t>
      </w:r>
      <w:r w:rsidR="00C26013">
        <w:rPr>
          <w:rFonts w:ascii="Times New Roman" w:eastAsia="Cambria" w:hAnsi="Times New Roman"/>
          <w:szCs w:val="24"/>
          <w:lang w:eastAsia="ja-JP"/>
        </w:rPr>
        <w:t xml:space="preserve"> </w:t>
      </w:r>
      <w:r w:rsidR="00C5187E" w:rsidRPr="00505D18">
        <w:rPr>
          <w:rFonts w:ascii="Times New Roman" w:hAnsi="Times New Roman"/>
          <w:szCs w:val="24"/>
        </w:rPr>
        <w:t>In some domestic jurisdiction, their criminal laws stipulate the justifications for the p</w:t>
      </w:r>
      <w:r>
        <w:rPr>
          <w:rFonts w:ascii="Times New Roman" w:hAnsi="Times New Roman"/>
          <w:szCs w:val="24"/>
        </w:rPr>
        <w:t>enalty's punishment and determination</w:t>
      </w:r>
      <w:r w:rsidR="00C5187E" w:rsidRPr="00505D18">
        <w:rPr>
          <w:rStyle w:val="FootnoteReference"/>
          <w:rFonts w:ascii="Times New Roman" w:hAnsi="Times New Roman"/>
          <w:szCs w:val="24"/>
        </w:rPr>
        <w:footnoteReference w:id="1255"/>
      </w:r>
      <w:r w:rsidR="00C5187E" w:rsidRPr="00505D18">
        <w:rPr>
          <w:rFonts w:ascii="Times New Roman" w:hAnsi="Times New Roman"/>
          <w:szCs w:val="24"/>
        </w:rPr>
        <w:t xml:space="preserve">. In the ICC context, neither the Rome Statute nor the ICC RPE set out the </w:t>
      </w:r>
      <w:r>
        <w:rPr>
          <w:rFonts w:ascii="Times New Roman" w:hAnsi="Times New Roman"/>
          <w:szCs w:val="24"/>
        </w:rPr>
        <w:t>sentencing rationale</w:t>
      </w:r>
      <w:r w:rsidR="00C5187E" w:rsidRPr="00505D18">
        <w:rPr>
          <w:rFonts w:ascii="Times New Roman" w:hAnsi="Times New Roman"/>
          <w:szCs w:val="24"/>
        </w:rPr>
        <w:t xml:space="preserve">. Scholars like </w:t>
      </w:r>
      <w:proofErr w:type="spellStart"/>
      <w:r w:rsidR="00C5187E" w:rsidRPr="00505D18">
        <w:rPr>
          <w:rFonts w:ascii="Times New Roman" w:hAnsi="Times New Roman"/>
          <w:szCs w:val="24"/>
        </w:rPr>
        <w:t>Henham</w:t>
      </w:r>
      <w:proofErr w:type="spellEnd"/>
      <w:r w:rsidR="00C5187E" w:rsidRPr="00505D18">
        <w:rPr>
          <w:rFonts w:ascii="Times New Roman" w:hAnsi="Times New Roman"/>
          <w:szCs w:val="24"/>
        </w:rPr>
        <w:t xml:space="preserve"> and Guzman point</w:t>
      </w:r>
      <w:r w:rsidR="003758B8">
        <w:rPr>
          <w:rFonts w:ascii="Times New Roman" w:hAnsi="Times New Roman"/>
          <w:szCs w:val="24"/>
        </w:rPr>
        <w:t>ed</w:t>
      </w:r>
      <w:r w:rsidR="00C5187E" w:rsidRPr="00505D18">
        <w:rPr>
          <w:rFonts w:ascii="Times New Roman" w:hAnsi="Times New Roman"/>
          <w:szCs w:val="24"/>
        </w:rPr>
        <w:t xml:space="preserve"> out this absence and criticise</w:t>
      </w:r>
      <w:r w:rsidR="00C5187E">
        <w:rPr>
          <w:rFonts w:ascii="Times New Roman" w:hAnsi="Times New Roman"/>
          <w:szCs w:val="24"/>
        </w:rPr>
        <w:t>d</w:t>
      </w:r>
      <w:r w:rsidR="00C5187E" w:rsidRPr="00505D18">
        <w:rPr>
          <w:rFonts w:ascii="Times New Roman" w:hAnsi="Times New Roman"/>
          <w:szCs w:val="24"/>
        </w:rPr>
        <w:t xml:space="preserve"> this gap in the </w:t>
      </w:r>
      <w:r>
        <w:rPr>
          <w:rFonts w:ascii="Times New Roman" w:hAnsi="Times New Roman"/>
          <w:szCs w:val="24"/>
        </w:rPr>
        <w:t>Rome Statute and RPE provisions</w:t>
      </w:r>
      <w:r w:rsidR="00C5187E" w:rsidRPr="00505D18">
        <w:rPr>
          <w:rFonts w:ascii="Times New Roman" w:hAnsi="Times New Roman"/>
          <w:szCs w:val="24"/>
        </w:rPr>
        <w:t>.</w:t>
      </w:r>
      <w:r w:rsidR="00C5187E" w:rsidRPr="00505D18">
        <w:rPr>
          <w:rStyle w:val="FootnoteReference"/>
          <w:rFonts w:ascii="Times New Roman" w:hAnsi="Times New Roman"/>
          <w:szCs w:val="24"/>
        </w:rPr>
        <w:footnoteReference w:id="1256"/>
      </w:r>
      <w:r w:rsidR="00C5187E" w:rsidRPr="00505D18">
        <w:rPr>
          <w:rFonts w:ascii="Times New Roman" w:hAnsi="Times New Roman"/>
          <w:szCs w:val="24"/>
        </w:rPr>
        <w:t xml:space="preserve"> With this in mind, the victims might not have </w:t>
      </w:r>
      <w:r>
        <w:rPr>
          <w:rFonts w:ascii="Times New Roman" w:hAnsi="Times New Roman"/>
          <w:szCs w:val="24"/>
        </w:rPr>
        <w:t>grasped</w:t>
      </w:r>
      <w:r w:rsidR="00C5187E" w:rsidRPr="00505D18">
        <w:rPr>
          <w:rFonts w:ascii="Times New Roman" w:hAnsi="Times New Roman"/>
          <w:szCs w:val="24"/>
        </w:rPr>
        <w:t xml:space="preserve"> the rationale behind the sentencing. </w:t>
      </w:r>
      <w:r w:rsidR="003758B8">
        <w:rPr>
          <w:rFonts w:ascii="Times New Roman" w:hAnsi="Times New Roman"/>
          <w:szCs w:val="24"/>
        </w:rPr>
        <w:t>No provision</w:t>
      </w:r>
      <w:r w:rsidR="00C5187E" w:rsidRPr="00505D18">
        <w:rPr>
          <w:rFonts w:ascii="Times New Roman" w:hAnsi="Times New Roman"/>
          <w:szCs w:val="24"/>
        </w:rPr>
        <w:t xml:space="preserve"> lists retribution, deterrence or rehabilitation as the rationale for Rome Statute</w:t>
      </w:r>
      <w:r w:rsidR="00977430">
        <w:rPr>
          <w:rFonts w:ascii="Times New Roman" w:hAnsi="Times New Roman"/>
          <w:szCs w:val="24"/>
        </w:rPr>
        <w:t>. A</w:t>
      </w:r>
      <w:r w:rsidR="00C5187E" w:rsidRPr="00505D18">
        <w:rPr>
          <w:rFonts w:ascii="Times New Roman" w:hAnsi="Times New Roman"/>
          <w:szCs w:val="24"/>
        </w:rPr>
        <w:t>s discussed somewhere in this chapter, there are speculations of deterrence and retribution as justifications for sentencing at the ICC. It is deduced from the preamble of the Rome Statute</w:t>
      </w:r>
      <w:r w:rsidR="003758B8">
        <w:rPr>
          <w:rFonts w:ascii="Times New Roman" w:hAnsi="Times New Roman"/>
          <w:szCs w:val="24"/>
        </w:rPr>
        <w:t>.</w:t>
      </w:r>
      <w:r w:rsidR="00734C11">
        <w:rPr>
          <w:rStyle w:val="FootnoteReference"/>
          <w:rFonts w:ascii="Times New Roman" w:hAnsi="Times New Roman"/>
          <w:szCs w:val="24"/>
        </w:rPr>
        <w:footnoteReference w:id="1257"/>
      </w:r>
      <w:r w:rsidR="003758B8">
        <w:rPr>
          <w:rFonts w:ascii="Times New Roman" w:hAnsi="Times New Roman"/>
          <w:szCs w:val="24"/>
        </w:rPr>
        <w:t xml:space="preserve"> </w:t>
      </w:r>
      <w:r w:rsidR="00C5187E" w:rsidRPr="00505D18">
        <w:rPr>
          <w:rFonts w:ascii="Times New Roman" w:hAnsi="Times New Roman"/>
          <w:szCs w:val="24"/>
        </w:rPr>
        <w:t xml:space="preserve">Flowing from this, one may infer that the rationale/justification for sentencing is dependent on the discretionary power of the courts/judges. </w:t>
      </w:r>
      <w:r w:rsidR="00BE539A">
        <w:rPr>
          <w:rFonts w:ascii="Times New Roman" w:hAnsi="Times New Roman"/>
          <w:szCs w:val="24"/>
        </w:rPr>
        <w:t xml:space="preserve">The single general provision on </w:t>
      </w:r>
      <w:r w:rsidR="00DB546D">
        <w:rPr>
          <w:rFonts w:ascii="Times New Roman" w:hAnsi="Times New Roman"/>
          <w:szCs w:val="24"/>
        </w:rPr>
        <w:t xml:space="preserve">the </w:t>
      </w:r>
      <w:r w:rsidR="00BE539A">
        <w:rPr>
          <w:rFonts w:ascii="Times New Roman" w:hAnsi="Times New Roman"/>
          <w:szCs w:val="24"/>
        </w:rPr>
        <w:t xml:space="preserve">imprisonment for all crimes was </w:t>
      </w:r>
      <w:r w:rsidR="00BE539A">
        <w:rPr>
          <w:rFonts w:ascii="Times New Roman" w:hAnsi="Times New Roman"/>
          <w:szCs w:val="24"/>
        </w:rPr>
        <w:lastRenderedPageBreak/>
        <w:t>intended to make judges role flexible since the requirements are not incompatible with the principle of legality.</w:t>
      </w:r>
      <w:r w:rsidR="00BE539A">
        <w:rPr>
          <w:rStyle w:val="FootnoteReference"/>
          <w:rFonts w:ascii="Times New Roman" w:hAnsi="Times New Roman"/>
          <w:szCs w:val="24"/>
        </w:rPr>
        <w:footnoteReference w:id="1258"/>
      </w:r>
      <w:r w:rsidR="00DB546D">
        <w:rPr>
          <w:rFonts w:ascii="Times New Roman" w:hAnsi="Times New Roman"/>
          <w:szCs w:val="24"/>
        </w:rPr>
        <w:t>One could not be certain</w:t>
      </w:r>
      <w:r w:rsidR="00C5187E" w:rsidRPr="00505D18">
        <w:rPr>
          <w:rFonts w:ascii="Times New Roman" w:hAnsi="Times New Roman"/>
          <w:szCs w:val="24"/>
        </w:rPr>
        <w:t xml:space="preserve"> if </w:t>
      </w:r>
      <w:r w:rsidR="003758B8">
        <w:rPr>
          <w:rFonts w:ascii="Times New Roman" w:hAnsi="Times New Roman"/>
          <w:szCs w:val="24"/>
        </w:rPr>
        <w:t xml:space="preserve">the declared sentence </w:t>
      </w:r>
      <w:r w:rsidR="00C5187E" w:rsidRPr="00505D18">
        <w:rPr>
          <w:rFonts w:ascii="Times New Roman" w:hAnsi="Times New Roman"/>
          <w:szCs w:val="24"/>
        </w:rPr>
        <w:t>w</w:t>
      </w:r>
      <w:r w:rsidR="00100B41">
        <w:rPr>
          <w:rFonts w:ascii="Times New Roman" w:hAnsi="Times New Roman"/>
          <w:szCs w:val="24"/>
        </w:rPr>
        <w:t>ere</w:t>
      </w:r>
      <w:r w:rsidR="00C5187E" w:rsidRPr="00505D18">
        <w:rPr>
          <w:rFonts w:ascii="Times New Roman" w:hAnsi="Times New Roman"/>
          <w:szCs w:val="24"/>
        </w:rPr>
        <w:t xml:space="preserve"> </w:t>
      </w:r>
      <w:r w:rsidR="003758B8">
        <w:rPr>
          <w:rFonts w:ascii="Times New Roman" w:hAnsi="Times New Roman"/>
          <w:szCs w:val="24"/>
        </w:rPr>
        <w:t>primari</w:t>
      </w:r>
      <w:r w:rsidR="00C5187E" w:rsidRPr="00505D18">
        <w:rPr>
          <w:rFonts w:ascii="Times New Roman" w:hAnsi="Times New Roman"/>
          <w:szCs w:val="24"/>
        </w:rPr>
        <w:t xml:space="preserve">ly based on retribution or just desert theory. Although </w:t>
      </w:r>
      <w:r w:rsidR="003758B8">
        <w:rPr>
          <w:rFonts w:ascii="Times New Roman" w:hAnsi="Times New Roman"/>
          <w:szCs w:val="24"/>
        </w:rPr>
        <w:t>‘</w:t>
      </w:r>
      <w:r w:rsidR="00C5187E" w:rsidRPr="00505D18">
        <w:rPr>
          <w:rFonts w:ascii="Times New Roman" w:hAnsi="Times New Roman"/>
          <w:szCs w:val="24"/>
        </w:rPr>
        <w:t>Just desert</w:t>
      </w:r>
      <w:r w:rsidR="003758B8">
        <w:rPr>
          <w:rFonts w:ascii="Times New Roman" w:hAnsi="Times New Roman"/>
          <w:szCs w:val="24"/>
        </w:rPr>
        <w:t>’</w:t>
      </w:r>
      <w:r w:rsidR="00C5187E" w:rsidRPr="00505D18">
        <w:rPr>
          <w:rFonts w:ascii="Times New Roman" w:hAnsi="Times New Roman"/>
          <w:szCs w:val="24"/>
        </w:rPr>
        <w:t xml:space="preserve"> theory might have been partly considered, the </w:t>
      </w:r>
      <w:r w:rsidR="003758B8">
        <w:rPr>
          <w:rFonts w:ascii="Times New Roman" w:hAnsi="Times New Roman"/>
          <w:szCs w:val="24"/>
        </w:rPr>
        <w:t xml:space="preserve">term of </w:t>
      </w:r>
      <w:r w:rsidR="00C5187E" w:rsidRPr="00505D18">
        <w:rPr>
          <w:rFonts w:ascii="Times New Roman" w:hAnsi="Times New Roman"/>
          <w:szCs w:val="24"/>
        </w:rPr>
        <w:t>imprisonment seems t</w:t>
      </w:r>
      <w:r w:rsidR="00841D53">
        <w:rPr>
          <w:rFonts w:ascii="Times New Roman" w:hAnsi="Times New Roman"/>
          <w:szCs w:val="24"/>
        </w:rPr>
        <w:t>o consider rehabilitation by striking a balance between</w:t>
      </w:r>
      <w:r w:rsidR="00C5187E" w:rsidRPr="00505D18">
        <w:rPr>
          <w:rFonts w:ascii="Times New Roman" w:hAnsi="Times New Roman"/>
          <w:szCs w:val="24"/>
        </w:rPr>
        <w:t xml:space="preserve"> retributive and restorative functions</w:t>
      </w:r>
      <w:r w:rsidR="00841D53">
        <w:rPr>
          <w:rFonts w:ascii="Times New Roman" w:hAnsi="Times New Roman"/>
          <w:szCs w:val="24"/>
        </w:rPr>
        <w:t>.</w:t>
      </w:r>
      <w:r w:rsidR="00C5187E" w:rsidRPr="00505D18">
        <w:rPr>
          <w:rFonts w:ascii="Times New Roman" w:hAnsi="Times New Roman"/>
          <w:szCs w:val="24"/>
        </w:rPr>
        <w:t xml:space="preserve"> </w:t>
      </w:r>
    </w:p>
    <w:p w14:paraId="2D47F17B" w14:textId="7A81CD17" w:rsidR="00DB546D" w:rsidRDefault="00977430" w:rsidP="00C5187E">
      <w:pPr>
        <w:spacing w:line="480" w:lineRule="auto"/>
        <w:jc w:val="both"/>
        <w:rPr>
          <w:rFonts w:ascii="Times New Roman" w:hAnsi="Times New Roman"/>
          <w:szCs w:val="24"/>
        </w:rPr>
      </w:pPr>
      <w:r>
        <w:rPr>
          <w:rFonts w:ascii="Times New Roman" w:hAnsi="Times New Roman"/>
          <w:szCs w:val="24"/>
        </w:rPr>
        <w:t xml:space="preserve">In both cases, </w:t>
      </w:r>
      <w:r w:rsidR="004B6DCF">
        <w:rPr>
          <w:rFonts w:ascii="Times New Roman" w:hAnsi="Times New Roman"/>
          <w:szCs w:val="24"/>
        </w:rPr>
        <w:t>victims' objection</w:t>
      </w:r>
      <w:r>
        <w:rPr>
          <w:rFonts w:ascii="Times New Roman" w:hAnsi="Times New Roman"/>
          <w:szCs w:val="24"/>
        </w:rPr>
        <w:t xml:space="preserve"> to the declared sentence</w:t>
      </w:r>
      <w:r w:rsidR="008F607F">
        <w:rPr>
          <w:rFonts w:ascii="Times New Roman" w:hAnsi="Times New Roman"/>
          <w:szCs w:val="24"/>
        </w:rPr>
        <w:t xml:space="preserve"> espouses the marked differences in the </w:t>
      </w:r>
      <w:r w:rsidR="004B4640">
        <w:rPr>
          <w:rFonts w:ascii="Times New Roman" w:hAnsi="Times New Roman"/>
          <w:szCs w:val="24"/>
        </w:rPr>
        <w:t>victims' cultural background</w:t>
      </w:r>
      <w:r w:rsidR="008F607F">
        <w:rPr>
          <w:rFonts w:ascii="Times New Roman" w:hAnsi="Times New Roman"/>
          <w:szCs w:val="24"/>
        </w:rPr>
        <w:t xml:space="preserve"> and the </w:t>
      </w:r>
      <w:r w:rsidR="009E01A2">
        <w:rPr>
          <w:rFonts w:ascii="Times New Roman" w:hAnsi="Times New Roman"/>
          <w:szCs w:val="24"/>
        </w:rPr>
        <w:t>Rome Statute's applicable law</w:t>
      </w:r>
      <w:r w:rsidR="008F607F">
        <w:rPr>
          <w:rFonts w:ascii="Times New Roman" w:hAnsi="Times New Roman"/>
          <w:szCs w:val="24"/>
        </w:rPr>
        <w:t>.</w:t>
      </w:r>
      <w:r w:rsidR="00D44152">
        <w:rPr>
          <w:rFonts w:ascii="Times New Roman" w:hAnsi="Times New Roman"/>
          <w:szCs w:val="24"/>
        </w:rPr>
        <w:t xml:space="preserve"> </w:t>
      </w:r>
      <w:r w:rsidR="00367EED">
        <w:rPr>
          <w:rFonts w:ascii="Times New Roman" w:hAnsi="Times New Roman"/>
          <w:szCs w:val="24"/>
        </w:rPr>
        <w:t>According to article 77 and 78, in considering the appropriate sentence, the judges had to choose between life imprisonment and term of imprisonment</w:t>
      </w:r>
      <w:r w:rsidR="00DB546D">
        <w:rPr>
          <w:rFonts w:ascii="Times New Roman" w:hAnsi="Times New Roman"/>
          <w:szCs w:val="24"/>
        </w:rPr>
        <w:t>,</w:t>
      </w:r>
      <w:r w:rsidR="00367EED">
        <w:rPr>
          <w:rFonts w:ascii="Times New Roman" w:hAnsi="Times New Roman"/>
          <w:szCs w:val="24"/>
        </w:rPr>
        <w:t xml:space="preserve"> which is not higher than 30years.</w:t>
      </w:r>
      <w:r w:rsidR="00D44152">
        <w:rPr>
          <w:rFonts w:ascii="Times New Roman" w:hAnsi="Times New Roman"/>
          <w:szCs w:val="24"/>
        </w:rPr>
        <w:t xml:space="preserve"> </w:t>
      </w:r>
      <w:r w:rsidR="00DB546D">
        <w:rPr>
          <w:rFonts w:ascii="Times New Roman" w:hAnsi="Times New Roman"/>
          <w:szCs w:val="24"/>
        </w:rPr>
        <w:t>The Rome Statute did not codify the death penalty</w:t>
      </w:r>
      <w:r w:rsidR="00367EED">
        <w:rPr>
          <w:rFonts w:ascii="Times New Roman" w:hAnsi="Times New Roman"/>
          <w:szCs w:val="24"/>
        </w:rPr>
        <w:t>.</w:t>
      </w:r>
      <w:r w:rsidR="00D44152">
        <w:rPr>
          <w:rFonts w:ascii="Times New Roman" w:hAnsi="Times New Roman"/>
          <w:szCs w:val="24"/>
        </w:rPr>
        <w:t xml:space="preserve"> </w:t>
      </w:r>
      <w:r w:rsidR="00367EED">
        <w:rPr>
          <w:rFonts w:ascii="Times New Roman" w:hAnsi="Times New Roman"/>
          <w:szCs w:val="24"/>
        </w:rPr>
        <w:t xml:space="preserve">In some national jurisdictions, DRC inclusive, </w:t>
      </w:r>
      <w:r w:rsidR="00DB546D">
        <w:rPr>
          <w:rFonts w:ascii="Times New Roman" w:hAnsi="Times New Roman"/>
          <w:szCs w:val="24"/>
        </w:rPr>
        <w:t xml:space="preserve">the </w:t>
      </w:r>
      <w:r w:rsidR="00367EED">
        <w:rPr>
          <w:rFonts w:ascii="Times New Roman" w:hAnsi="Times New Roman"/>
          <w:szCs w:val="24"/>
        </w:rPr>
        <w:t>death penalty is capital punishment.</w:t>
      </w:r>
      <w:r w:rsidR="00D44152">
        <w:rPr>
          <w:rFonts w:ascii="Times New Roman" w:hAnsi="Times New Roman"/>
          <w:szCs w:val="24"/>
        </w:rPr>
        <w:t xml:space="preserve"> </w:t>
      </w:r>
      <w:r w:rsidR="00DB546D">
        <w:rPr>
          <w:rFonts w:ascii="Times New Roman" w:hAnsi="Times New Roman"/>
          <w:szCs w:val="24"/>
        </w:rPr>
        <w:t>T</w:t>
      </w:r>
      <w:r w:rsidR="00367EED">
        <w:rPr>
          <w:rFonts w:ascii="Times New Roman" w:hAnsi="Times New Roman"/>
          <w:szCs w:val="24"/>
        </w:rPr>
        <w:t xml:space="preserve">he victims might have anticipated </w:t>
      </w:r>
      <w:r w:rsidR="00F56CDC">
        <w:rPr>
          <w:rFonts w:ascii="Times New Roman" w:hAnsi="Times New Roman"/>
          <w:szCs w:val="24"/>
        </w:rPr>
        <w:t>‘severe or ‘capital punishment’ for the gravity of the crimes committed.</w:t>
      </w:r>
    </w:p>
    <w:p w14:paraId="54D900CA" w14:textId="2644346B" w:rsidR="00C5187E" w:rsidRPr="003758B8" w:rsidRDefault="00B504F7" w:rsidP="00C5187E">
      <w:pPr>
        <w:spacing w:line="480" w:lineRule="auto"/>
        <w:jc w:val="both"/>
        <w:rPr>
          <w:rFonts w:ascii="Times New Roman" w:hAnsi="Times New Roman"/>
        </w:rPr>
      </w:pPr>
      <w:r>
        <w:rPr>
          <w:rFonts w:ascii="Times New Roman" w:hAnsi="Times New Roman"/>
          <w:szCs w:val="24"/>
        </w:rPr>
        <w:t xml:space="preserve">Due to the lack of consensus regarding the </w:t>
      </w:r>
      <w:r w:rsidR="004B4640">
        <w:rPr>
          <w:rFonts w:ascii="Times New Roman" w:hAnsi="Times New Roman"/>
          <w:szCs w:val="24"/>
        </w:rPr>
        <w:t>law's adoption</w:t>
      </w:r>
      <w:r>
        <w:rPr>
          <w:rFonts w:ascii="Times New Roman" w:hAnsi="Times New Roman"/>
          <w:szCs w:val="24"/>
        </w:rPr>
        <w:t xml:space="preserve"> on penalties,</w:t>
      </w:r>
      <w:r w:rsidR="00D44152">
        <w:rPr>
          <w:rFonts w:ascii="Times New Roman" w:hAnsi="Times New Roman"/>
          <w:szCs w:val="24"/>
        </w:rPr>
        <w:t xml:space="preserve"> </w:t>
      </w:r>
      <w:r>
        <w:rPr>
          <w:rFonts w:ascii="Times New Roman" w:hAnsi="Times New Roman"/>
          <w:szCs w:val="24"/>
        </w:rPr>
        <w:t xml:space="preserve">the </w:t>
      </w:r>
      <w:r w:rsidR="009E01A2">
        <w:rPr>
          <w:rFonts w:ascii="Times New Roman" w:hAnsi="Times New Roman"/>
          <w:szCs w:val="24"/>
        </w:rPr>
        <w:t>Diplomatic Conference's working group</w:t>
      </w:r>
      <w:r>
        <w:rPr>
          <w:rFonts w:ascii="Times New Roman" w:hAnsi="Times New Roman"/>
          <w:szCs w:val="24"/>
        </w:rPr>
        <w:t xml:space="preserve"> deleted it from the Draft Statu</w:t>
      </w:r>
      <w:r w:rsidR="007B0B3D">
        <w:rPr>
          <w:rFonts w:ascii="Times New Roman" w:hAnsi="Times New Roman"/>
          <w:szCs w:val="24"/>
        </w:rPr>
        <w:t>t</w:t>
      </w:r>
      <w:r>
        <w:rPr>
          <w:rFonts w:ascii="Times New Roman" w:hAnsi="Times New Roman"/>
          <w:szCs w:val="24"/>
        </w:rPr>
        <w:t>e.</w:t>
      </w:r>
      <w:r>
        <w:rPr>
          <w:rStyle w:val="FootnoteReference"/>
          <w:rFonts w:ascii="Times New Roman" w:hAnsi="Times New Roman"/>
          <w:szCs w:val="24"/>
        </w:rPr>
        <w:footnoteReference w:id="1259"/>
      </w:r>
      <w:r>
        <w:rPr>
          <w:rFonts w:ascii="Times New Roman" w:hAnsi="Times New Roman"/>
          <w:szCs w:val="24"/>
        </w:rPr>
        <w:t>However, in consideration of appropriate sentencing, the judges could refer to Article 21(general principles of law derived by Court from national jurisdictions).</w:t>
      </w:r>
      <w:r w:rsidR="00DB546D">
        <w:rPr>
          <w:rFonts w:ascii="Times New Roman" w:hAnsi="Times New Roman"/>
          <w:szCs w:val="24"/>
        </w:rPr>
        <w:t xml:space="preserve"> </w:t>
      </w:r>
      <w:r>
        <w:rPr>
          <w:rFonts w:ascii="Times New Roman" w:hAnsi="Times New Roman"/>
          <w:szCs w:val="24"/>
        </w:rPr>
        <w:t>Additionally, the application of capital punishment and death penalty was vehemently opposed by a large majority of the de</w:t>
      </w:r>
      <w:r w:rsidR="00D44152">
        <w:rPr>
          <w:rFonts w:ascii="Times New Roman" w:hAnsi="Times New Roman"/>
          <w:szCs w:val="24"/>
        </w:rPr>
        <w:t>l</w:t>
      </w:r>
      <w:r>
        <w:rPr>
          <w:rFonts w:ascii="Times New Roman" w:hAnsi="Times New Roman"/>
          <w:szCs w:val="24"/>
        </w:rPr>
        <w:t>egation</w:t>
      </w:r>
      <w:r w:rsidR="00D44152">
        <w:rPr>
          <w:rFonts w:ascii="Times New Roman" w:hAnsi="Times New Roman"/>
          <w:szCs w:val="24"/>
        </w:rPr>
        <w:t xml:space="preserve"> </w:t>
      </w:r>
      <w:r w:rsidR="00DB546D">
        <w:rPr>
          <w:rFonts w:ascii="Times New Roman" w:hAnsi="Times New Roman"/>
          <w:szCs w:val="24"/>
        </w:rPr>
        <w:t>based on</w:t>
      </w:r>
      <w:r>
        <w:rPr>
          <w:rFonts w:ascii="Times New Roman" w:hAnsi="Times New Roman"/>
          <w:szCs w:val="24"/>
        </w:rPr>
        <w:t xml:space="preserve"> </w:t>
      </w:r>
      <w:r w:rsidR="00D44152">
        <w:rPr>
          <w:rFonts w:ascii="Times New Roman" w:hAnsi="Times New Roman"/>
          <w:szCs w:val="24"/>
        </w:rPr>
        <w:t xml:space="preserve">its violation of human rights(dignity of </w:t>
      </w:r>
      <w:r w:rsidR="00DB546D">
        <w:rPr>
          <w:rFonts w:ascii="Times New Roman" w:hAnsi="Times New Roman"/>
          <w:szCs w:val="24"/>
        </w:rPr>
        <w:t xml:space="preserve">the </w:t>
      </w:r>
      <w:r w:rsidR="00D44152">
        <w:rPr>
          <w:rFonts w:ascii="Times New Roman" w:hAnsi="Times New Roman"/>
          <w:szCs w:val="24"/>
        </w:rPr>
        <w:t xml:space="preserve">human </w:t>
      </w:r>
      <w:r w:rsidR="00D44152">
        <w:rPr>
          <w:rFonts w:ascii="Times New Roman" w:hAnsi="Times New Roman"/>
          <w:szCs w:val="24"/>
        </w:rPr>
        <w:lastRenderedPageBreak/>
        <w:t>person)</w:t>
      </w:r>
      <w:r w:rsidR="001308D9">
        <w:rPr>
          <w:rFonts w:ascii="Times New Roman" w:hAnsi="Times New Roman"/>
          <w:szCs w:val="24"/>
        </w:rPr>
        <w:t xml:space="preserve"> and </w:t>
      </w:r>
      <w:r w:rsidR="00DB546D">
        <w:rPr>
          <w:rFonts w:ascii="Times New Roman" w:hAnsi="Times New Roman"/>
          <w:szCs w:val="24"/>
        </w:rPr>
        <w:t xml:space="preserve">the </w:t>
      </w:r>
      <w:r w:rsidR="001308D9">
        <w:rPr>
          <w:rFonts w:ascii="Times New Roman" w:hAnsi="Times New Roman"/>
          <w:szCs w:val="24"/>
        </w:rPr>
        <w:t>possibility of rehabilitation</w:t>
      </w:r>
      <w:r w:rsidR="00D44152">
        <w:rPr>
          <w:rFonts w:ascii="Times New Roman" w:hAnsi="Times New Roman"/>
          <w:szCs w:val="24"/>
        </w:rPr>
        <w:t>.</w:t>
      </w:r>
      <w:r w:rsidR="00D44152">
        <w:rPr>
          <w:rStyle w:val="FootnoteReference"/>
          <w:rFonts w:ascii="Times New Roman" w:hAnsi="Times New Roman"/>
          <w:szCs w:val="24"/>
        </w:rPr>
        <w:footnoteReference w:id="1260"/>
      </w:r>
      <w:r w:rsidR="00DB546D">
        <w:rPr>
          <w:rFonts w:ascii="Times New Roman" w:hAnsi="Times New Roman"/>
          <w:szCs w:val="24"/>
        </w:rPr>
        <w:t xml:space="preserve"> </w:t>
      </w:r>
      <w:r w:rsidR="00255EF8">
        <w:rPr>
          <w:rFonts w:ascii="Times New Roman" w:hAnsi="Times New Roman"/>
          <w:szCs w:val="24"/>
        </w:rPr>
        <w:t xml:space="preserve"> </w:t>
      </w:r>
      <w:r w:rsidR="00545531">
        <w:rPr>
          <w:rFonts w:ascii="Times New Roman" w:hAnsi="Times New Roman"/>
          <w:szCs w:val="24"/>
        </w:rPr>
        <w:t xml:space="preserve"> </w:t>
      </w:r>
      <w:r w:rsidR="00D44152">
        <w:rPr>
          <w:rFonts w:ascii="Times New Roman" w:hAnsi="Times New Roman"/>
          <w:szCs w:val="24"/>
        </w:rPr>
        <w:t xml:space="preserve">A reflection of the disparity between </w:t>
      </w:r>
      <w:r w:rsidR="002A7B46">
        <w:rPr>
          <w:rFonts w:ascii="Times New Roman" w:hAnsi="Times New Roman"/>
          <w:szCs w:val="24"/>
        </w:rPr>
        <w:t xml:space="preserve">the </w:t>
      </w:r>
      <w:r w:rsidR="00D44152">
        <w:rPr>
          <w:rFonts w:ascii="Times New Roman" w:hAnsi="Times New Roman"/>
          <w:szCs w:val="24"/>
        </w:rPr>
        <w:t>progressive and conservative states.</w:t>
      </w:r>
    </w:p>
    <w:p w14:paraId="22D0B077" w14:textId="1BF97B62" w:rsidR="00FB3021" w:rsidRPr="00255EF8" w:rsidRDefault="00C26013" w:rsidP="00505D18">
      <w:pPr>
        <w:spacing w:line="480" w:lineRule="auto"/>
        <w:jc w:val="both"/>
        <w:rPr>
          <w:rFonts w:ascii="Times New Roman" w:hAnsi="Times New Roman"/>
          <w:szCs w:val="24"/>
        </w:rPr>
      </w:pPr>
      <w:r>
        <w:rPr>
          <w:rFonts w:ascii="Times New Roman" w:eastAsia="Cambria" w:hAnsi="Times New Roman"/>
          <w:szCs w:val="24"/>
          <w:lang w:eastAsia="ja-JP"/>
        </w:rPr>
        <w:t>One could argue that sentencing outcome goes beyond proportionality; instead, it underscores both general and individual deterrence.</w:t>
      </w:r>
      <w:r w:rsidR="00C5187E">
        <w:rPr>
          <w:rFonts w:ascii="Times New Roman" w:eastAsia="Cambria" w:hAnsi="Times New Roman"/>
          <w:szCs w:val="24"/>
          <w:lang w:eastAsia="ja-JP"/>
        </w:rPr>
        <w:t xml:space="preserve"> </w:t>
      </w:r>
      <w:r>
        <w:rPr>
          <w:rFonts w:ascii="Times New Roman" w:eastAsia="Cambria" w:hAnsi="Times New Roman"/>
          <w:szCs w:val="24"/>
          <w:lang w:eastAsia="ja-JP"/>
        </w:rPr>
        <w:t>The declared sentence serve as a just dessert for the convicted person as well as a deterrent function</w:t>
      </w:r>
      <w:r w:rsidR="00C5187E">
        <w:rPr>
          <w:rFonts w:ascii="Times New Roman" w:eastAsia="Cambria" w:hAnsi="Times New Roman"/>
          <w:szCs w:val="24"/>
          <w:lang w:eastAsia="ja-JP"/>
        </w:rPr>
        <w:t>.</w:t>
      </w:r>
      <w:r w:rsidR="003A09BF" w:rsidRPr="00505D18">
        <w:rPr>
          <w:rFonts w:ascii="Times New Roman" w:eastAsia="Cambria" w:hAnsi="Times New Roman"/>
          <w:szCs w:val="24"/>
          <w:lang w:eastAsia="ja-JP"/>
        </w:rPr>
        <w:t xml:space="preserve"> </w:t>
      </w:r>
      <w:r w:rsidR="00C5187E">
        <w:rPr>
          <w:rFonts w:ascii="Times New Roman" w:hAnsi="Times New Roman"/>
          <w:szCs w:val="24"/>
        </w:rPr>
        <w:t>P</w:t>
      </w:r>
      <w:r w:rsidR="00BF4B5D" w:rsidRPr="00505D18">
        <w:rPr>
          <w:rFonts w:ascii="Times New Roman" w:hAnsi="Times New Roman"/>
          <w:szCs w:val="24"/>
        </w:rPr>
        <w:t>rior studies also note that deterrent as an arm of retributive justice serves a more rhetoric function then a pragmatic one.</w:t>
      </w:r>
      <w:r w:rsidR="00BF4B5D" w:rsidRPr="00505D18">
        <w:rPr>
          <w:rStyle w:val="FootnoteReference"/>
          <w:rFonts w:ascii="Times New Roman" w:hAnsi="Times New Roman"/>
          <w:szCs w:val="24"/>
        </w:rPr>
        <w:footnoteReference w:id="1261"/>
      </w:r>
      <w:r w:rsidR="00DB546D">
        <w:rPr>
          <w:rFonts w:ascii="Times New Roman" w:eastAsia="Cambria" w:hAnsi="Times New Roman"/>
          <w:szCs w:val="24"/>
          <w:lang w:eastAsia="ja-JP"/>
        </w:rPr>
        <w:t>Therefore, sentencing at the ICC drifts towards reform</w:t>
      </w:r>
      <w:r w:rsidR="00FB3021">
        <w:rPr>
          <w:rFonts w:ascii="Times New Roman" w:eastAsia="Cambria" w:hAnsi="Times New Roman"/>
          <w:szCs w:val="24"/>
          <w:lang w:eastAsia="ja-JP"/>
        </w:rPr>
        <w:t xml:space="preserve">ing the convict. </w:t>
      </w:r>
      <w:r w:rsidR="00D74A8C">
        <w:rPr>
          <w:rFonts w:ascii="Times New Roman" w:eastAsia="Cambria" w:hAnsi="Times New Roman"/>
          <w:szCs w:val="24"/>
          <w:lang w:eastAsia="ja-JP"/>
        </w:rPr>
        <w:t xml:space="preserve">The </w:t>
      </w:r>
      <w:r w:rsidR="004B4640">
        <w:rPr>
          <w:rFonts w:ascii="Times New Roman" w:eastAsia="Cambria" w:hAnsi="Times New Roman"/>
          <w:szCs w:val="24"/>
          <w:lang w:eastAsia="ja-JP"/>
        </w:rPr>
        <w:t>Rome Statut</w:t>
      </w:r>
      <w:r w:rsidR="00977430">
        <w:rPr>
          <w:rFonts w:ascii="Times New Roman" w:eastAsia="Cambria" w:hAnsi="Times New Roman"/>
          <w:szCs w:val="24"/>
          <w:lang w:eastAsia="ja-JP"/>
        </w:rPr>
        <w:t>e</w:t>
      </w:r>
      <w:r w:rsidR="004B4640">
        <w:rPr>
          <w:rFonts w:ascii="Times New Roman" w:eastAsia="Cambria" w:hAnsi="Times New Roman"/>
          <w:szCs w:val="24"/>
          <w:lang w:eastAsia="ja-JP"/>
        </w:rPr>
        <w:t xml:space="preserve"> provisions</w:t>
      </w:r>
      <w:r w:rsidR="00D74A8C">
        <w:rPr>
          <w:rFonts w:ascii="Times New Roman" w:eastAsia="Cambria" w:hAnsi="Times New Roman"/>
          <w:szCs w:val="24"/>
          <w:lang w:eastAsia="ja-JP"/>
        </w:rPr>
        <w:t xml:space="preserve"> and the ICC Rules of Evidence and Procedure mirrors</w:t>
      </w:r>
      <w:r w:rsidR="005C767A">
        <w:rPr>
          <w:rFonts w:ascii="Times New Roman" w:eastAsia="Cambria" w:hAnsi="Times New Roman"/>
          <w:szCs w:val="24"/>
          <w:lang w:eastAsia="ja-JP"/>
        </w:rPr>
        <w:t xml:space="preserve"> a transformative approach towards retributive justice.</w:t>
      </w:r>
      <w:r w:rsidR="00FB3021">
        <w:rPr>
          <w:rFonts w:ascii="Times New Roman" w:eastAsia="Cambria" w:hAnsi="Times New Roman"/>
          <w:szCs w:val="24"/>
          <w:lang w:eastAsia="ja-JP"/>
        </w:rPr>
        <w:t xml:space="preserve"> </w:t>
      </w:r>
      <w:r w:rsidR="005C767A">
        <w:rPr>
          <w:rFonts w:ascii="Times New Roman" w:eastAsia="Cambria" w:hAnsi="Times New Roman"/>
          <w:szCs w:val="24"/>
          <w:lang w:eastAsia="ja-JP"/>
        </w:rPr>
        <w:t>A classic example is found in the strict conditions</w:t>
      </w:r>
      <w:r w:rsidR="00255EF8">
        <w:rPr>
          <w:rStyle w:val="FootnoteReference"/>
          <w:rFonts w:ascii="Times New Roman" w:eastAsia="Cambria" w:hAnsi="Times New Roman"/>
          <w:szCs w:val="24"/>
          <w:lang w:eastAsia="ja-JP"/>
        </w:rPr>
        <w:footnoteReference w:id="1262"/>
      </w:r>
      <w:r w:rsidR="005C767A">
        <w:rPr>
          <w:rFonts w:ascii="Times New Roman" w:eastAsia="Cambria" w:hAnsi="Times New Roman"/>
          <w:szCs w:val="24"/>
          <w:lang w:eastAsia="ja-JP"/>
        </w:rPr>
        <w:t xml:space="preserve"> set out for the imposition of </w:t>
      </w:r>
      <w:r w:rsidR="00FB3021">
        <w:rPr>
          <w:rFonts w:ascii="Times New Roman" w:eastAsia="Cambria" w:hAnsi="Times New Roman"/>
          <w:szCs w:val="24"/>
          <w:lang w:eastAsia="ja-JP"/>
        </w:rPr>
        <w:t xml:space="preserve">a </w:t>
      </w:r>
      <w:r w:rsidR="00A80DB9">
        <w:rPr>
          <w:rFonts w:ascii="Times New Roman" w:eastAsia="Cambria" w:hAnsi="Times New Roman"/>
          <w:szCs w:val="24"/>
          <w:lang w:eastAsia="ja-JP"/>
        </w:rPr>
        <w:t>life sentence and the exclusion of death sentence</w:t>
      </w:r>
      <w:r w:rsidR="00255EF8">
        <w:rPr>
          <w:rFonts w:ascii="Times New Roman" w:eastAsia="Cambria" w:hAnsi="Times New Roman"/>
          <w:szCs w:val="24"/>
          <w:lang w:eastAsia="ja-JP"/>
        </w:rPr>
        <w:t>—a</w:t>
      </w:r>
      <w:r w:rsidR="00A80DB9">
        <w:rPr>
          <w:rFonts w:ascii="Times New Roman" w:eastAsia="Cambria" w:hAnsi="Times New Roman"/>
          <w:szCs w:val="24"/>
          <w:lang w:eastAsia="ja-JP"/>
        </w:rPr>
        <w:t>n attempt to foster reintegration and rehabilitation of offenders</w:t>
      </w:r>
      <w:r w:rsidR="00FB3021">
        <w:rPr>
          <w:rFonts w:ascii="Times New Roman" w:eastAsia="Cambria" w:hAnsi="Times New Roman"/>
          <w:szCs w:val="24"/>
          <w:lang w:eastAsia="ja-JP"/>
        </w:rPr>
        <w:t>.</w:t>
      </w:r>
    </w:p>
    <w:p w14:paraId="6979ED91" w14:textId="1B766858" w:rsidR="00D74A8C" w:rsidRDefault="00FB3021" w:rsidP="00505D18">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 xml:space="preserve">One notable </w:t>
      </w:r>
      <w:r w:rsidR="00CC1550">
        <w:rPr>
          <w:rFonts w:ascii="Times New Roman" w:eastAsia="Cambria" w:hAnsi="Times New Roman"/>
          <w:szCs w:val="24"/>
          <w:lang w:eastAsia="ja-JP"/>
        </w:rPr>
        <w:t xml:space="preserve">point is the </w:t>
      </w:r>
      <w:r w:rsidR="004B4640">
        <w:rPr>
          <w:rFonts w:ascii="Times New Roman" w:eastAsia="Cambria" w:hAnsi="Times New Roman"/>
          <w:szCs w:val="24"/>
          <w:lang w:eastAsia="ja-JP"/>
        </w:rPr>
        <w:t>ICC's role</w:t>
      </w:r>
      <w:r w:rsidR="00CC1550">
        <w:rPr>
          <w:rFonts w:ascii="Times New Roman" w:eastAsia="Cambria" w:hAnsi="Times New Roman"/>
          <w:szCs w:val="24"/>
          <w:lang w:eastAsia="ja-JP"/>
        </w:rPr>
        <w:t xml:space="preserve"> and penal servitude in promoting the restoration of the offender.</w:t>
      </w:r>
      <w:r w:rsidR="00A80DB9">
        <w:rPr>
          <w:rFonts w:ascii="Times New Roman" w:eastAsia="Cambria" w:hAnsi="Times New Roman"/>
          <w:szCs w:val="24"/>
          <w:lang w:eastAsia="ja-JP"/>
        </w:rPr>
        <w:t xml:space="preserve"> </w:t>
      </w:r>
      <w:r w:rsidR="00CC1550">
        <w:rPr>
          <w:rFonts w:ascii="Times New Roman" w:eastAsia="Cambria" w:hAnsi="Times New Roman"/>
          <w:szCs w:val="24"/>
          <w:lang w:eastAsia="ja-JP"/>
        </w:rPr>
        <w:t>There are speculations a</w:t>
      </w:r>
      <w:r w:rsidR="004B4640">
        <w:rPr>
          <w:rFonts w:ascii="Times New Roman" w:eastAsia="Cambria" w:hAnsi="Times New Roman"/>
          <w:szCs w:val="24"/>
          <w:lang w:eastAsia="ja-JP"/>
        </w:rPr>
        <w:t>bout</w:t>
      </w:r>
      <w:r w:rsidR="00CC1550">
        <w:rPr>
          <w:rFonts w:ascii="Times New Roman" w:eastAsia="Cambria" w:hAnsi="Times New Roman"/>
          <w:szCs w:val="24"/>
          <w:lang w:eastAsia="ja-JP"/>
        </w:rPr>
        <w:t xml:space="preserve"> the outcome of rehabilitation for international prisoners</w:t>
      </w:r>
      <w:r w:rsidR="00A97124">
        <w:rPr>
          <w:rFonts w:ascii="Times New Roman" w:eastAsia="Cambria" w:hAnsi="Times New Roman"/>
          <w:szCs w:val="24"/>
          <w:lang w:eastAsia="ja-JP"/>
        </w:rPr>
        <w:t>, which</w:t>
      </w:r>
      <w:r w:rsidR="00CC1550">
        <w:rPr>
          <w:rFonts w:ascii="Times New Roman" w:eastAsia="Cambria" w:hAnsi="Times New Roman"/>
          <w:szCs w:val="24"/>
          <w:lang w:eastAsia="ja-JP"/>
        </w:rPr>
        <w:t xml:space="preserve"> raises the question of the degree of transformation the </w:t>
      </w:r>
      <w:r w:rsidR="00CC1550">
        <w:rPr>
          <w:rFonts w:ascii="Times New Roman" w:eastAsia="Cambria" w:hAnsi="Times New Roman"/>
          <w:szCs w:val="24"/>
          <w:lang w:eastAsia="ja-JP"/>
        </w:rPr>
        <w:lastRenderedPageBreak/>
        <w:t>sentenced person is exposed to post-conviction. It is crucial to assess the effectiveness of rehabilitation and the impact of the sentencing decision on the convicts.</w:t>
      </w:r>
      <w:r w:rsidR="001063B8">
        <w:rPr>
          <w:rFonts w:ascii="Times New Roman" w:eastAsia="Cambria" w:hAnsi="Times New Roman"/>
          <w:szCs w:val="24"/>
          <w:lang w:eastAsia="ja-JP"/>
        </w:rPr>
        <w:t xml:space="preserve"> The assessment would enable us to weigh the outcome of sentencing on international criminals.</w:t>
      </w:r>
      <w:r w:rsidR="0045285F">
        <w:rPr>
          <w:rFonts w:ascii="Times New Roman" w:eastAsia="Cambria" w:hAnsi="Times New Roman"/>
          <w:szCs w:val="24"/>
          <w:lang w:eastAsia="ja-JP"/>
        </w:rPr>
        <w:t xml:space="preserve"> If the Rome Statute aims to encourage </w:t>
      </w:r>
      <w:r w:rsidR="004B4640">
        <w:rPr>
          <w:rFonts w:ascii="Times New Roman" w:eastAsia="Cambria" w:hAnsi="Times New Roman"/>
          <w:szCs w:val="24"/>
          <w:lang w:eastAsia="ja-JP"/>
        </w:rPr>
        <w:t>convicts' reformation</w:t>
      </w:r>
      <w:r w:rsidR="0045285F">
        <w:rPr>
          <w:rFonts w:ascii="Times New Roman" w:eastAsia="Cambria" w:hAnsi="Times New Roman"/>
          <w:szCs w:val="24"/>
          <w:lang w:eastAsia="ja-JP"/>
        </w:rPr>
        <w:t xml:space="preserve"> through a rehabilitation program(imprisonment), it is reasonable to examine </w:t>
      </w:r>
      <w:r w:rsidR="001454D8">
        <w:rPr>
          <w:rFonts w:ascii="Times New Roman" w:eastAsia="Cambria" w:hAnsi="Times New Roman"/>
          <w:szCs w:val="24"/>
          <w:lang w:eastAsia="ja-JP"/>
        </w:rPr>
        <w:t>international sentences' enforcement system</w:t>
      </w:r>
      <w:r w:rsidR="0045285F">
        <w:rPr>
          <w:rFonts w:ascii="Times New Roman" w:eastAsia="Cambria" w:hAnsi="Times New Roman"/>
          <w:szCs w:val="24"/>
          <w:lang w:eastAsia="ja-JP"/>
        </w:rPr>
        <w:t>.</w:t>
      </w:r>
    </w:p>
    <w:p w14:paraId="393CF50E" w14:textId="13389207" w:rsidR="0045285F" w:rsidRDefault="0045285F" w:rsidP="00505D18">
      <w:pPr>
        <w:spacing w:line="480" w:lineRule="auto"/>
        <w:jc w:val="both"/>
        <w:rPr>
          <w:rFonts w:ascii="Times New Roman" w:eastAsia="Cambria" w:hAnsi="Times New Roman"/>
          <w:szCs w:val="24"/>
          <w:lang w:eastAsia="ja-JP"/>
        </w:rPr>
      </w:pPr>
      <w:r>
        <w:rPr>
          <w:rFonts w:ascii="Times New Roman" w:eastAsia="Cambria" w:hAnsi="Times New Roman"/>
          <w:szCs w:val="24"/>
          <w:lang w:eastAsia="ja-JP"/>
        </w:rPr>
        <w:t>Since the ICC has not established a specialised prison for convicts, Article 103 of the Rome Statute stipulates that the sentenced person shall serve their term of imprisonment in a State designated by the Court from a list of State</w:t>
      </w:r>
      <w:r w:rsidR="005E10AF">
        <w:rPr>
          <w:rFonts w:ascii="Times New Roman" w:eastAsia="Cambria" w:hAnsi="Times New Roman"/>
          <w:szCs w:val="24"/>
          <w:lang w:eastAsia="ja-JP"/>
        </w:rPr>
        <w:t>s</w:t>
      </w:r>
      <w:r>
        <w:rPr>
          <w:rFonts w:ascii="Times New Roman" w:eastAsia="Cambria" w:hAnsi="Times New Roman"/>
          <w:szCs w:val="24"/>
          <w:lang w:eastAsia="ja-JP"/>
        </w:rPr>
        <w:t xml:space="preserve"> which have agreed to accept sentenced persons.</w:t>
      </w:r>
      <w:r w:rsidR="00906B9C">
        <w:rPr>
          <w:rFonts w:ascii="Times New Roman" w:eastAsia="Cambria" w:hAnsi="Times New Roman"/>
          <w:szCs w:val="24"/>
          <w:lang w:eastAsia="ja-JP"/>
        </w:rPr>
        <w:t xml:space="preserve"> Given this situation, it implies that </w:t>
      </w:r>
      <w:r w:rsidR="004B4640">
        <w:rPr>
          <w:rFonts w:ascii="Times New Roman" w:eastAsia="Cambria" w:hAnsi="Times New Roman"/>
          <w:szCs w:val="24"/>
          <w:lang w:eastAsia="ja-JP"/>
        </w:rPr>
        <w:t>convicts' transformation</w:t>
      </w:r>
      <w:r w:rsidR="00906B9C">
        <w:rPr>
          <w:rFonts w:ascii="Times New Roman" w:eastAsia="Cambria" w:hAnsi="Times New Roman"/>
          <w:szCs w:val="24"/>
          <w:lang w:eastAsia="ja-JP"/>
        </w:rPr>
        <w:t xml:space="preserve"> is left under the </w:t>
      </w:r>
      <w:r w:rsidR="009E01A2">
        <w:rPr>
          <w:rFonts w:ascii="Times New Roman" w:eastAsia="Cambria" w:hAnsi="Times New Roman"/>
          <w:szCs w:val="24"/>
          <w:lang w:eastAsia="ja-JP"/>
        </w:rPr>
        <w:t>host State's supervision</w:t>
      </w:r>
      <w:r w:rsidR="00906B9C">
        <w:rPr>
          <w:rFonts w:ascii="Times New Roman" w:eastAsia="Cambria" w:hAnsi="Times New Roman"/>
          <w:szCs w:val="24"/>
          <w:lang w:eastAsia="ja-JP"/>
        </w:rPr>
        <w:t>.</w:t>
      </w:r>
      <w:r w:rsidR="00F16ACC">
        <w:rPr>
          <w:rFonts w:ascii="Times New Roman" w:eastAsia="Cambria" w:hAnsi="Times New Roman"/>
          <w:szCs w:val="24"/>
          <w:lang w:eastAsia="ja-JP"/>
        </w:rPr>
        <w:t xml:space="preserve"> </w:t>
      </w:r>
      <w:r w:rsidR="00906B9C">
        <w:rPr>
          <w:rFonts w:ascii="Times New Roman" w:eastAsia="Cambria" w:hAnsi="Times New Roman"/>
          <w:szCs w:val="24"/>
          <w:lang w:eastAsia="ja-JP"/>
        </w:rPr>
        <w:t xml:space="preserve">Therefore, one question that comes to mind </w:t>
      </w:r>
      <w:r w:rsidR="00F16ACC">
        <w:rPr>
          <w:rFonts w:ascii="Times New Roman" w:eastAsia="Cambria" w:hAnsi="Times New Roman"/>
          <w:szCs w:val="24"/>
          <w:lang w:eastAsia="ja-JP"/>
        </w:rPr>
        <w:t xml:space="preserve">if these prisons are well equipped for the rehabilitation of international prisoners. The study of Hola et al. advances answers to this question. Hola found that </w:t>
      </w:r>
      <w:r w:rsidR="0043576F">
        <w:rPr>
          <w:rFonts w:ascii="Times New Roman" w:eastAsia="Cambria" w:hAnsi="Times New Roman"/>
          <w:szCs w:val="24"/>
          <w:lang w:eastAsia="ja-JP"/>
        </w:rPr>
        <w:t>correctional facilities</w:t>
      </w:r>
      <w:r w:rsidR="00F16ACC">
        <w:rPr>
          <w:rFonts w:ascii="Times New Roman" w:eastAsia="Cambria" w:hAnsi="Times New Roman"/>
          <w:szCs w:val="24"/>
          <w:lang w:eastAsia="ja-JP"/>
        </w:rPr>
        <w:t xml:space="preserve"> </w:t>
      </w:r>
      <w:r w:rsidR="0043576F">
        <w:rPr>
          <w:rFonts w:ascii="Times New Roman" w:eastAsia="Cambria" w:hAnsi="Times New Roman"/>
          <w:szCs w:val="24"/>
          <w:lang w:eastAsia="ja-JP"/>
        </w:rPr>
        <w:t>lack provisions for transforming the calibre of international prisoners.</w:t>
      </w:r>
      <w:r w:rsidR="0043576F">
        <w:rPr>
          <w:rStyle w:val="FootnoteReference"/>
          <w:rFonts w:ascii="Times New Roman" w:eastAsia="Cambria" w:hAnsi="Times New Roman"/>
          <w:szCs w:val="24"/>
          <w:lang w:eastAsia="ja-JP"/>
        </w:rPr>
        <w:footnoteReference w:id="1263"/>
      </w:r>
      <w:r w:rsidR="0043576F">
        <w:rPr>
          <w:rFonts w:ascii="Times New Roman" w:eastAsia="Cambria" w:hAnsi="Times New Roman"/>
          <w:szCs w:val="24"/>
          <w:lang w:eastAsia="ja-JP"/>
        </w:rPr>
        <w:t xml:space="preserve"> She noted that the staff were exclusively trained for local prisoners.</w:t>
      </w:r>
      <w:r w:rsidR="0043576F">
        <w:rPr>
          <w:rStyle w:val="FootnoteReference"/>
          <w:rFonts w:ascii="Times New Roman" w:eastAsia="Cambria" w:hAnsi="Times New Roman"/>
          <w:szCs w:val="24"/>
          <w:lang w:eastAsia="ja-JP"/>
        </w:rPr>
        <w:footnoteReference w:id="1264"/>
      </w:r>
      <w:r w:rsidR="0017392A">
        <w:rPr>
          <w:rFonts w:ascii="Times New Roman" w:eastAsia="Cambria" w:hAnsi="Times New Roman"/>
          <w:szCs w:val="24"/>
          <w:lang w:eastAsia="ja-JP"/>
        </w:rPr>
        <w:t xml:space="preserve">If the host prison is not upgraded to </w:t>
      </w:r>
      <w:r w:rsidR="0017392A">
        <w:rPr>
          <w:rFonts w:ascii="Times New Roman" w:eastAsia="Cambria" w:hAnsi="Times New Roman"/>
          <w:szCs w:val="24"/>
          <w:lang w:eastAsia="ja-JP"/>
        </w:rPr>
        <w:lastRenderedPageBreak/>
        <w:t xml:space="preserve">quality of reform, then the international prisoner is subject to the lower/poor standard of rehabilitation, </w:t>
      </w:r>
      <w:r w:rsidR="004B4640">
        <w:rPr>
          <w:rFonts w:ascii="Times New Roman" w:eastAsia="Cambria" w:hAnsi="Times New Roman"/>
          <w:szCs w:val="24"/>
          <w:lang w:eastAsia="ja-JP"/>
        </w:rPr>
        <w:t>defeating</w:t>
      </w:r>
      <w:r w:rsidR="0017392A">
        <w:rPr>
          <w:rFonts w:ascii="Times New Roman" w:eastAsia="Cambria" w:hAnsi="Times New Roman"/>
          <w:szCs w:val="24"/>
          <w:lang w:eastAsia="ja-JP"/>
        </w:rPr>
        <w:t xml:space="preserve"> the purpose of sentencing. </w:t>
      </w:r>
    </w:p>
    <w:p w14:paraId="424BA6B8" w14:textId="6488AB65" w:rsidR="00D057FA" w:rsidRPr="00505D18" w:rsidRDefault="00D057FA" w:rsidP="00505D18">
      <w:pPr>
        <w:spacing w:line="480" w:lineRule="auto"/>
        <w:jc w:val="both"/>
        <w:rPr>
          <w:rFonts w:ascii="Times New Roman" w:hAnsi="Times New Roman"/>
          <w:szCs w:val="24"/>
        </w:rPr>
      </w:pPr>
      <w:r>
        <w:rPr>
          <w:rFonts w:ascii="Times New Roman" w:hAnsi="Times New Roman"/>
          <w:szCs w:val="24"/>
        </w:rPr>
        <w:t>The section below moves on to give recommendations.</w:t>
      </w:r>
    </w:p>
    <w:p w14:paraId="1A61639E" w14:textId="77777777" w:rsidR="00305BF0" w:rsidRPr="00E14BD0" w:rsidRDefault="008C2BF4" w:rsidP="00E14BD0">
      <w:pPr>
        <w:pStyle w:val="Heading2"/>
      </w:pPr>
      <w:bookmarkStart w:id="99" w:name="_Toc60235863"/>
      <w:r w:rsidRPr="00505D18">
        <w:t>5</w:t>
      </w:r>
      <w:r w:rsidR="00305BF0" w:rsidRPr="00505D18">
        <w:t>.2 Recommendation</w:t>
      </w:r>
      <w:bookmarkEnd w:id="99"/>
    </w:p>
    <w:p w14:paraId="2537534E" w14:textId="6FE27D69" w:rsidR="00F23024" w:rsidRDefault="006D38D9" w:rsidP="00F23024">
      <w:pPr>
        <w:spacing w:line="480" w:lineRule="auto"/>
        <w:jc w:val="both"/>
        <w:rPr>
          <w:rFonts w:ascii="Times New Roman" w:hAnsi="Times New Roman"/>
          <w:szCs w:val="24"/>
        </w:rPr>
      </w:pPr>
      <w:r w:rsidRPr="00505D18">
        <w:rPr>
          <w:rFonts w:ascii="Times New Roman" w:hAnsi="Times New Roman"/>
          <w:szCs w:val="24"/>
        </w:rPr>
        <w:t>The question raised by this study is the extent to which the court respects victims’ rights and interests.</w:t>
      </w:r>
      <w:r w:rsidR="00F23024">
        <w:rPr>
          <w:rFonts w:ascii="Times New Roman" w:hAnsi="Times New Roman"/>
          <w:szCs w:val="24"/>
        </w:rPr>
        <w:t xml:space="preserve"> The</w:t>
      </w:r>
      <w:r w:rsidR="002C13ED">
        <w:rPr>
          <w:rFonts w:ascii="Times New Roman" w:hAnsi="Times New Roman"/>
          <w:szCs w:val="24"/>
        </w:rPr>
        <w:t xml:space="preserve"> researcher divided the</w:t>
      </w:r>
      <w:r w:rsidR="00F23024">
        <w:rPr>
          <w:rFonts w:ascii="Times New Roman" w:hAnsi="Times New Roman"/>
          <w:szCs w:val="24"/>
        </w:rPr>
        <w:t xml:space="preserve"> problem into three thematic categories; prosecutorial discretion, trial process and sentencing.</w:t>
      </w:r>
    </w:p>
    <w:p w14:paraId="5EF21D8E" w14:textId="19D57D4D" w:rsidR="005E10AF" w:rsidRDefault="005E10AF" w:rsidP="00F23024">
      <w:pPr>
        <w:spacing w:line="480" w:lineRule="auto"/>
        <w:jc w:val="both"/>
        <w:rPr>
          <w:rFonts w:ascii="Times New Roman" w:hAnsi="Times New Roman"/>
          <w:szCs w:val="24"/>
        </w:rPr>
      </w:pPr>
      <w:r>
        <w:rPr>
          <w:rFonts w:ascii="Times New Roman" w:hAnsi="Times New Roman"/>
          <w:szCs w:val="24"/>
        </w:rPr>
        <w:t xml:space="preserve">The overall assessment of victims </w:t>
      </w:r>
      <w:r w:rsidR="004B6DCF">
        <w:rPr>
          <w:rFonts w:ascii="Times New Roman" w:hAnsi="Times New Roman"/>
          <w:szCs w:val="24"/>
        </w:rPr>
        <w:t xml:space="preserve">in </w:t>
      </w:r>
      <w:r>
        <w:rPr>
          <w:rFonts w:ascii="Times New Roman" w:hAnsi="Times New Roman"/>
          <w:szCs w:val="24"/>
        </w:rPr>
        <w:t>the investigation, trial proceedings</w:t>
      </w:r>
      <w:r w:rsidR="00C306A0">
        <w:rPr>
          <w:rFonts w:ascii="Times New Roman" w:hAnsi="Times New Roman"/>
          <w:szCs w:val="24"/>
        </w:rPr>
        <w:t>, and sentencing reveals that the ICC needs to improve</w:t>
      </w:r>
      <w:r>
        <w:rPr>
          <w:rFonts w:ascii="Times New Roman" w:hAnsi="Times New Roman"/>
          <w:szCs w:val="24"/>
        </w:rPr>
        <w:t xml:space="preserve"> victim engagement.</w:t>
      </w:r>
      <w:r w:rsidRPr="005E10AF">
        <w:rPr>
          <w:rFonts w:ascii="Times New Roman" w:hAnsi="Times New Roman"/>
        </w:rPr>
        <w:t xml:space="preserve"> </w:t>
      </w:r>
      <w:r w:rsidRPr="003758B8">
        <w:rPr>
          <w:rFonts w:ascii="Times New Roman" w:hAnsi="Times New Roman"/>
        </w:rPr>
        <w:t>To foster victim part</w:t>
      </w:r>
      <w:r>
        <w:rPr>
          <w:rFonts w:ascii="Times New Roman" w:hAnsi="Times New Roman"/>
        </w:rPr>
        <w:t>ic</w:t>
      </w:r>
      <w:r w:rsidRPr="003758B8">
        <w:rPr>
          <w:rFonts w:ascii="Times New Roman" w:hAnsi="Times New Roman"/>
        </w:rPr>
        <w:t xml:space="preserve">ipation, the ICC needs to increase victim engagement </w:t>
      </w:r>
      <w:r>
        <w:rPr>
          <w:rFonts w:ascii="Times New Roman" w:hAnsi="Times New Roman"/>
        </w:rPr>
        <w:t>f</w:t>
      </w:r>
      <w:r w:rsidRPr="003758B8">
        <w:rPr>
          <w:rFonts w:ascii="Times New Roman" w:hAnsi="Times New Roman"/>
        </w:rPr>
        <w:t>rom the investigation stage to the post</w:t>
      </w:r>
      <w:r>
        <w:rPr>
          <w:rFonts w:ascii="Times New Roman" w:hAnsi="Times New Roman"/>
        </w:rPr>
        <w:t>-</w:t>
      </w:r>
      <w:r w:rsidRPr="003758B8">
        <w:rPr>
          <w:rFonts w:ascii="Times New Roman" w:hAnsi="Times New Roman"/>
        </w:rPr>
        <w:t xml:space="preserve">sentence phase. </w:t>
      </w:r>
      <w:r>
        <w:rPr>
          <w:rFonts w:ascii="Times New Roman" w:hAnsi="Times New Roman"/>
          <w:szCs w:val="24"/>
        </w:rPr>
        <w:t xml:space="preserve"> There seems to be a gap between the operation of the court and victims.</w:t>
      </w:r>
    </w:p>
    <w:p w14:paraId="5683A5EF" w14:textId="20B8234E" w:rsidR="00153D67" w:rsidRPr="00505D18" w:rsidRDefault="002C13ED" w:rsidP="0044794D">
      <w:pPr>
        <w:spacing w:before="240" w:line="480" w:lineRule="auto"/>
        <w:jc w:val="both"/>
        <w:rPr>
          <w:rFonts w:ascii="Times New Roman" w:hAnsi="Times New Roman"/>
          <w:szCs w:val="24"/>
        </w:rPr>
      </w:pPr>
      <w:r>
        <w:rPr>
          <w:rFonts w:ascii="Times New Roman" w:hAnsi="Times New Roman"/>
          <w:szCs w:val="24"/>
        </w:rPr>
        <w:t>More research is needed to understand better why the ICC might need to incorporate VIS during sentencing.</w:t>
      </w:r>
      <w:r w:rsidR="000825EA" w:rsidRPr="00505D18">
        <w:rPr>
          <w:rFonts w:ascii="Times New Roman" w:hAnsi="Times New Roman"/>
          <w:szCs w:val="24"/>
        </w:rPr>
        <w:t xml:space="preserve"> There </w:t>
      </w:r>
      <w:r w:rsidR="005E10AF">
        <w:rPr>
          <w:rFonts w:ascii="Times New Roman" w:hAnsi="Times New Roman"/>
          <w:szCs w:val="24"/>
        </w:rPr>
        <w:t xml:space="preserve">could be </w:t>
      </w:r>
      <w:r w:rsidR="000825EA" w:rsidRPr="00505D18">
        <w:rPr>
          <w:rFonts w:ascii="Times New Roman" w:hAnsi="Times New Roman"/>
          <w:szCs w:val="24"/>
        </w:rPr>
        <w:t>a definite need for VIS because it engages the emotions of victims.</w:t>
      </w:r>
      <w:r>
        <w:rPr>
          <w:rFonts w:ascii="Times New Roman" w:hAnsi="Times New Roman"/>
          <w:szCs w:val="24"/>
        </w:rPr>
        <w:t xml:space="preserve"> Nonetheless, it could be unworkable because of the large numbers of victims involved in victims participation during this sentence hearing phase.</w:t>
      </w:r>
    </w:p>
    <w:p w14:paraId="009E6205" w14:textId="72C7C78C" w:rsidR="002C13ED" w:rsidRPr="00B45C8D" w:rsidRDefault="00906870" w:rsidP="00374164">
      <w:pPr>
        <w:spacing w:line="480" w:lineRule="auto"/>
        <w:jc w:val="both"/>
        <w:rPr>
          <w:rFonts w:ascii="Times New Roman" w:hAnsi="Times New Roman"/>
          <w:iCs/>
          <w:szCs w:val="24"/>
        </w:rPr>
      </w:pPr>
      <w:r w:rsidRPr="00505D18">
        <w:rPr>
          <w:rFonts w:ascii="Times New Roman" w:hAnsi="Times New Roman"/>
          <w:szCs w:val="24"/>
        </w:rPr>
        <w:t xml:space="preserve">Moreover, it is recommended that </w:t>
      </w:r>
      <w:r w:rsidR="004B4640">
        <w:rPr>
          <w:rFonts w:ascii="Times New Roman" w:hAnsi="Times New Roman"/>
          <w:szCs w:val="24"/>
        </w:rPr>
        <w:t>restorative justice practice may increase victims’ positive perception of the ICC, which could be done by striking a balance between victims'</w:t>
      </w:r>
      <w:r w:rsidR="00A97E07">
        <w:rPr>
          <w:rFonts w:ascii="Times New Roman" w:hAnsi="Times New Roman"/>
          <w:szCs w:val="24"/>
        </w:rPr>
        <w:t xml:space="preserve"> interests in sentencing and justification for sentencing.</w:t>
      </w:r>
      <w:r w:rsidR="00A97E07" w:rsidRPr="00A97E07">
        <w:rPr>
          <w:rFonts w:ascii="Times New Roman" w:hAnsi="Times New Roman"/>
          <w:szCs w:val="24"/>
        </w:rPr>
        <w:t xml:space="preserve"> </w:t>
      </w:r>
      <w:proofErr w:type="spellStart"/>
      <w:r w:rsidR="00A97E07" w:rsidRPr="00505D18">
        <w:rPr>
          <w:rFonts w:ascii="Times New Roman" w:hAnsi="Times New Roman"/>
          <w:szCs w:val="24"/>
        </w:rPr>
        <w:t>Henham</w:t>
      </w:r>
      <w:proofErr w:type="spellEnd"/>
      <w:r w:rsidR="00A97E07" w:rsidRPr="00505D18">
        <w:rPr>
          <w:rFonts w:ascii="Times New Roman" w:hAnsi="Times New Roman"/>
          <w:szCs w:val="24"/>
        </w:rPr>
        <w:t xml:space="preserve"> posits that restorative justice </w:t>
      </w:r>
      <w:r w:rsidR="00A97E07" w:rsidRPr="00505D18">
        <w:rPr>
          <w:rFonts w:ascii="Times New Roman" w:hAnsi="Times New Roman"/>
          <w:i/>
          <w:szCs w:val="24"/>
        </w:rPr>
        <w:t>“</w:t>
      </w:r>
      <w:r w:rsidR="00A97E07" w:rsidRPr="001E48B5">
        <w:rPr>
          <w:rFonts w:ascii="Times New Roman" w:hAnsi="Times New Roman"/>
          <w:szCs w:val="24"/>
        </w:rPr>
        <w:t xml:space="preserve">implies an approach to </w:t>
      </w:r>
      <w:r w:rsidR="00A97E07">
        <w:rPr>
          <w:rFonts w:ascii="Times New Roman" w:hAnsi="Times New Roman"/>
          <w:szCs w:val="24"/>
        </w:rPr>
        <w:t xml:space="preserve">a </w:t>
      </w:r>
      <w:r w:rsidR="00A97E07" w:rsidRPr="001E48B5">
        <w:rPr>
          <w:rFonts w:ascii="Times New Roman" w:hAnsi="Times New Roman"/>
          <w:szCs w:val="24"/>
        </w:rPr>
        <w:t xml:space="preserve">punishment which is tolerant of the diverse </w:t>
      </w:r>
      <w:r w:rsidR="00A97E07" w:rsidRPr="001E48B5">
        <w:rPr>
          <w:rFonts w:ascii="Times New Roman" w:hAnsi="Times New Roman"/>
          <w:szCs w:val="24"/>
        </w:rPr>
        <w:lastRenderedPageBreak/>
        <w:t>contexts of criminality and capable of accommodating and realising its implications</w:t>
      </w:r>
      <w:r w:rsidR="00A97E07" w:rsidRPr="00505D18">
        <w:rPr>
          <w:rFonts w:ascii="Times New Roman" w:hAnsi="Times New Roman"/>
          <w:i/>
          <w:szCs w:val="24"/>
        </w:rPr>
        <w:t>.”</w:t>
      </w:r>
      <w:r w:rsidR="00A97E07" w:rsidRPr="00505D18">
        <w:rPr>
          <w:rStyle w:val="FootnoteReference"/>
          <w:rFonts w:ascii="Times New Roman" w:hAnsi="Times New Roman"/>
          <w:i/>
          <w:szCs w:val="24"/>
        </w:rPr>
        <w:footnoteReference w:id="1265"/>
      </w:r>
      <w:r w:rsidR="00A97E07">
        <w:rPr>
          <w:rFonts w:ascii="Times New Roman" w:hAnsi="Times New Roman"/>
          <w:iCs/>
          <w:szCs w:val="24"/>
        </w:rPr>
        <w:t xml:space="preserve"> </w:t>
      </w:r>
      <w:r w:rsidR="00B45C8D">
        <w:rPr>
          <w:rFonts w:ascii="Times New Roman" w:hAnsi="Times New Roman"/>
          <w:iCs/>
          <w:szCs w:val="24"/>
        </w:rPr>
        <w:t xml:space="preserve">With increased restorative justice elements, comes an enhanced victim role. However, </w:t>
      </w:r>
      <w:r w:rsidR="00B45C8D">
        <w:rPr>
          <w:rFonts w:ascii="Times New Roman" w:hAnsi="Times New Roman"/>
          <w:szCs w:val="24"/>
        </w:rPr>
        <w:t>t</w:t>
      </w:r>
      <w:r w:rsidR="002C13ED">
        <w:rPr>
          <w:rFonts w:ascii="Times New Roman" w:hAnsi="Times New Roman"/>
          <w:szCs w:val="24"/>
        </w:rPr>
        <w:t>he extent of applicability of the restorative justice approach during criminal proceedings is limited because of the structure</w:t>
      </w:r>
      <w:r w:rsidR="00B45C8D">
        <w:rPr>
          <w:rFonts w:ascii="Times New Roman" w:hAnsi="Times New Roman"/>
          <w:szCs w:val="24"/>
        </w:rPr>
        <w:t xml:space="preserve"> of </w:t>
      </w:r>
      <w:r w:rsidR="002C13ED">
        <w:rPr>
          <w:rFonts w:ascii="Times New Roman" w:hAnsi="Times New Roman"/>
          <w:szCs w:val="24"/>
        </w:rPr>
        <w:t>the criminal proceedings</w:t>
      </w:r>
      <w:r w:rsidR="009E01A2">
        <w:rPr>
          <w:rFonts w:ascii="Times New Roman" w:hAnsi="Times New Roman"/>
          <w:szCs w:val="24"/>
        </w:rPr>
        <w:t xml:space="preserve">. </w:t>
      </w:r>
      <w:r w:rsidR="00B45C8D">
        <w:rPr>
          <w:rFonts w:ascii="Times New Roman" w:hAnsi="Times New Roman"/>
          <w:szCs w:val="24"/>
        </w:rPr>
        <w:t xml:space="preserve">The conventional context of </w:t>
      </w:r>
      <w:r w:rsidR="002C13ED">
        <w:rPr>
          <w:rFonts w:ascii="Times New Roman" w:hAnsi="Times New Roman"/>
          <w:szCs w:val="24"/>
        </w:rPr>
        <w:t xml:space="preserve">the </w:t>
      </w:r>
      <w:r w:rsidR="00B45C8D">
        <w:rPr>
          <w:rFonts w:ascii="Times New Roman" w:hAnsi="Times New Roman"/>
          <w:szCs w:val="24"/>
        </w:rPr>
        <w:t>ICC negates an advancement of restorative justice.</w:t>
      </w:r>
      <w:r w:rsidR="002C13ED">
        <w:rPr>
          <w:rFonts w:ascii="Times New Roman" w:hAnsi="Times New Roman"/>
          <w:szCs w:val="24"/>
        </w:rPr>
        <w:t xml:space="preserve"> The ICC </w:t>
      </w:r>
      <w:r w:rsidR="00A97E07">
        <w:rPr>
          <w:rFonts w:ascii="Times New Roman" w:hAnsi="Times New Roman"/>
          <w:szCs w:val="24"/>
        </w:rPr>
        <w:t>structure might</w:t>
      </w:r>
      <w:r w:rsidR="002C13ED">
        <w:rPr>
          <w:rFonts w:ascii="Times New Roman" w:hAnsi="Times New Roman"/>
          <w:szCs w:val="24"/>
        </w:rPr>
        <w:t xml:space="preserve"> not</w:t>
      </w:r>
      <w:r w:rsidR="00A97E07">
        <w:rPr>
          <w:rFonts w:ascii="Times New Roman" w:hAnsi="Times New Roman"/>
          <w:szCs w:val="24"/>
        </w:rPr>
        <w:t xml:space="preserve"> be</w:t>
      </w:r>
      <w:r w:rsidR="002C13ED">
        <w:rPr>
          <w:rFonts w:ascii="Times New Roman" w:hAnsi="Times New Roman"/>
          <w:szCs w:val="24"/>
        </w:rPr>
        <w:t xml:space="preserve"> suitable to incorporate full restorative activities. However, it is commendable that the ICC adopted </w:t>
      </w:r>
      <w:r w:rsidR="005E10AF">
        <w:rPr>
          <w:rFonts w:ascii="Times New Roman" w:hAnsi="Times New Roman"/>
          <w:szCs w:val="24"/>
        </w:rPr>
        <w:t xml:space="preserve">more </w:t>
      </w:r>
      <w:r w:rsidR="002C13ED">
        <w:rPr>
          <w:rFonts w:ascii="Times New Roman" w:hAnsi="Times New Roman"/>
          <w:szCs w:val="24"/>
        </w:rPr>
        <w:t xml:space="preserve">restorative elements to complement the </w:t>
      </w:r>
      <w:r w:rsidR="00B45C8D">
        <w:rPr>
          <w:rFonts w:ascii="Times New Roman" w:hAnsi="Times New Roman"/>
          <w:szCs w:val="24"/>
        </w:rPr>
        <w:t>punitive</w:t>
      </w:r>
      <w:r w:rsidR="002C13ED">
        <w:rPr>
          <w:rFonts w:ascii="Times New Roman" w:hAnsi="Times New Roman"/>
          <w:szCs w:val="24"/>
        </w:rPr>
        <w:t xml:space="preserve"> approach. </w:t>
      </w:r>
    </w:p>
    <w:p w14:paraId="4CD215E8" w14:textId="086EB674" w:rsidR="005E10AF" w:rsidRDefault="00906870" w:rsidP="00374164">
      <w:pPr>
        <w:spacing w:line="480" w:lineRule="auto"/>
        <w:jc w:val="both"/>
        <w:rPr>
          <w:rFonts w:ascii="Times New Roman" w:hAnsi="Times New Roman"/>
          <w:szCs w:val="24"/>
        </w:rPr>
      </w:pPr>
      <w:r w:rsidRPr="00505D18">
        <w:rPr>
          <w:rFonts w:ascii="Times New Roman" w:hAnsi="Times New Roman"/>
          <w:szCs w:val="24"/>
        </w:rPr>
        <w:t xml:space="preserve">Given that it is impracticable to include </w:t>
      </w:r>
      <w:r w:rsidR="001E48B5">
        <w:rPr>
          <w:rFonts w:ascii="Times New Roman" w:hAnsi="Times New Roman"/>
          <w:szCs w:val="24"/>
        </w:rPr>
        <w:t xml:space="preserve">the </w:t>
      </w:r>
      <w:r w:rsidRPr="00505D18">
        <w:rPr>
          <w:rFonts w:ascii="Times New Roman" w:hAnsi="Times New Roman"/>
          <w:szCs w:val="24"/>
        </w:rPr>
        <w:t>full restorative justice process during the</w:t>
      </w:r>
      <w:r w:rsidR="00614A11" w:rsidRPr="00505D18">
        <w:rPr>
          <w:rFonts w:ascii="Times New Roman" w:hAnsi="Times New Roman"/>
          <w:szCs w:val="24"/>
        </w:rPr>
        <w:t xml:space="preserve"> trial or sentence hearing. </w:t>
      </w:r>
      <w:r w:rsidR="008839E7">
        <w:rPr>
          <w:rFonts w:ascii="Times New Roman" w:hAnsi="Times New Roman"/>
          <w:szCs w:val="24"/>
        </w:rPr>
        <w:t>The ICC could complement its restorative function at the domestic jurisdiction of the affected State. This could be similar to the community-Based Gacaca Courts in Rwanda.</w:t>
      </w:r>
      <w:r w:rsidR="00153D67">
        <w:rPr>
          <w:rFonts w:ascii="Times New Roman" w:hAnsi="Times New Roman"/>
          <w:szCs w:val="24"/>
        </w:rPr>
        <w:t xml:space="preserve"> </w:t>
      </w:r>
      <w:r w:rsidR="008839E7">
        <w:rPr>
          <w:rFonts w:ascii="Times New Roman" w:hAnsi="Times New Roman"/>
          <w:szCs w:val="24"/>
        </w:rPr>
        <w:t xml:space="preserve">A viable recommendation </w:t>
      </w:r>
      <w:r w:rsidR="00374164">
        <w:rPr>
          <w:rFonts w:ascii="Times New Roman" w:hAnsi="Times New Roman"/>
          <w:szCs w:val="24"/>
        </w:rPr>
        <w:t xml:space="preserve">since the ICC is not a </w:t>
      </w:r>
      <w:r w:rsidR="009E01A2">
        <w:rPr>
          <w:rFonts w:ascii="Times New Roman" w:hAnsi="Times New Roman"/>
          <w:szCs w:val="24"/>
        </w:rPr>
        <w:t>‘</w:t>
      </w:r>
      <w:r w:rsidR="00374164">
        <w:rPr>
          <w:rFonts w:ascii="Times New Roman" w:hAnsi="Times New Roman"/>
          <w:szCs w:val="24"/>
        </w:rPr>
        <w:t>self-</w:t>
      </w:r>
      <w:r w:rsidR="009E01A2">
        <w:rPr>
          <w:rFonts w:ascii="Times New Roman" w:hAnsi="Times New Roman"/>
          <w:szCs w:val="24"/>
        </w:rPr>
        <w:t>contained’</w:t>
      </w:r>
      <w:r w:rsidR="00374164">
        <w:rPr>
          <w:rFonts w:ascii="Times New Roman" w:hAnsi="Times New Roman"/>
          <w:szCs w:val="24"/>
        </w:rPr>
        <w:t xml:space="preserve"> institution- fragmented part of the international criminal justice system, based on pluralism</w:t>
      </w:r>
      <w:r w:rsidR="005E10AF">
        <w:rPr>
          <w:rFonts w:ascii="Times New Roman" w:hAnsi="Times New Roman"/>
          <w:szCs w:val="24"/>
        </w:rPr>
        <w:t>.</w:t>
      </w:r>
      <w:r w:rsidR="00374164">
        <w:rPr>
          <w:rStyle w:val="FootnoteReference"/>
          <w:rFonts w:ascii="Times New Roman" w:hAnsi="Times New Roman"/>
          <w:szCs w:val="24"/>
        </w:rPr>
        <w:footnoteReference w:id="1266"/>
      </w:r>
      <w:r w:rsidR="00374164">
        <w:rPr>
          <w:rFonts w:ascii="Times New Roman" w:hAnsi="Times New Roman"/>
          <w:szCs w:val="24"/>
        </w:rPr>
        <w:t xml:space="preserve"> </w:t>
      </w:r>
    </w:p>
    <w:p w14:paraId="1E8ADB11" w14:textId="576069E6" w:rsidR="00D057FA" w:rsidRPr="00374164" w:rsidRDefault="00906870" w:rsidP="00374164">
      <w:pPr>
        <w:spacing w:line="480" w:lineRule="auto"/>
        <w:jc w:val="both"/>
        <w:rPr>
          <w:szCs w:val="24"/>
        </w:rPr>
      </w:pPr>
      <w:r w:rsidRPr="00505D18">
        <w:rPr>
          <w:rFonts w:ascii="Times New Roman" w:hAnsi="Times New Roman"/>
          <w:szCs w:val="24"/>
        </w:rPr>
        <w:t xml:space="preserve">It </w:t>
      </w:r>
      <w:r w:rsidR="00153D67">
        <w:rPr>
          <w:rFonts w:ascii="Times New Roman" w:hAnsi="Times New Roman"/>
          <w:szCs w:val="24"/>
        </w:rPr>
        <w:t xml:space="preserve">is revealed that neither </w:t>
      </w:r>
      <w:r w:rsidRPr="00505D18">
        <w:rPr>
          <w:rFonts w:ascii="Times New Roman" w:hAnsi="Times New Roman"/>
          <w:szCs w:val="24"/>
        </w:rPr>
        <w:t xml:space="preserve">the Court Statute nor rules make provision for the </w:t>
      </w:r>
      <w:r w:rsidR="009E01A2">
        <w:rPr>
          <w:rFonts w:ascii="Times New Roman" w:hAnsi="Times New Roman"/>
          <w:szCs w:val="24"/>
        </w:rPr>
        <w:t>offender's reintegration</w:t>
      </w:r>
      <w:r w:rsidRPr="00505D18">
        <w:rPr>
          <w:rFonts w:ascii="Times New Roman" w:hAnsi="Times New Roman"/>
          <w:szCs w:val="24"/>
        </w:rPr>
        <w:t xml:space="preserve"> after the sentence reduction. </w:t>
      </w:r>
      <w:r w:rsidR="003F2084" w:rsidRPr="00505D18">
        <w:rPr>
          <w:rFonts w:ascii="Times New Roman" w:hAnsi="Times New Roman"/>
          <w:szCs w:val="24"/>
        </w:rPr>
        <w:t>Arguably, this</w:t>
      </w:r>
      <w:r w:rsidR="00B737CB">
        <w:rPr>
          <w:rFonts w:ascii="Times New Roman" w:hAnsi="Times New Roman"/>
          <w:szCs w:val="24"/>
        </w:rPr>
        <w:t xml:space="preserve"> compl</w:t>
      </w:r>
      <w:r w:rsidR="008839E7">
        <w:rPr>
          <w:rFonts w:ascii="Times New Roman" w:hAnsi="Times New Roman"/>
          <w:szCs w:val="24"/>
        </w:rPr>
        <w:t>e</w:t>
      </w:r>
      <w:r w:rsidR="00B737CB">
        <w:rPr>
          <w:rFonts w:ascii="Times New Roman" w:hAnsi="Times New Roman"/>
          <w:szCs w:val="24"/>
        </w:rPr>
        <w:t>mentary practice</w:t>
      </w:r>
      <w:r w:rsidR="003F2084" w:rsidRPr="00505D18">
        <w:rPr>
          <w:rFonts w:ascii="Times New Roman" w:hAnsi="Times New Roman"/>
          <w:szCs w:val="24"/>
        </w:rPr>
        <w:t xml:space="preserve"> is necessary </w:t>
      </w:r>
      <w:r w:rsidR="004B4640">
        <w:rPr>
          <w:rFonts w:ascii="Times New Roman" w:hAnsi="Times New Roman"/>
          <w:szCs w:val="24"/>
        </w:rPr>
        <w:t>to maintain stability and mend</w:t>
      </w:r>
      <w:r w:rsidRPr="00505D18">
        <w:rPr>
          <w:rFonts w:ascii="Times New Roman" w:hAnsi="Times New Roman"/>
          <w:szCs w:val="24"/>
        </w:rPr>
        <w:t xml:space="preserve"> the relationship between the victims, offender </w:t>
      </w:r>
      <w:r w:rsidRPr="00505D18">
        <w:rPr>
          <w:rFonts w:ascii="Times New Roman" w:hAnsi="Times New Roman"/>
          <w:szCs w:val="24"/>
        </w:rPr>
        <w:lastRenderedPageBreak/>
        <w:t>and society.</w:t>
      </w:r>
      <w:r w:rsidR="00893A7B" w:rsidRPr="00505D18">
        <w:rPr>
          <w:szCs w:val="24"/>
        </w:rPr>
        <w:t xml:space="preserve"> </w:t>
      </w:r>
      <w:r w:rsidR="00D057FA" w:rsidRPr="00505D18">
        <w:rPr>
          <w:rFonts w:ascii="Times New Roman" w:hAnsi="Times New Roman"/>
          <w:szCs w:val="24"/>
        </w:rPr>
        <w:t>With this approach</w:t>
      </w:r>
      <w:r w:rsidR="005E10AF">
        <w:rPr>
          <w:rFonts w:ascii="Times New Roman" w:hAnsi="Times New Roman"/>
          <w:szCs w:val="24"/>
        </w:rPr>
        <w:t>,</w:t>
      </w:r>
      <w:r w:rsidR="00D057FA" w:rsidRPr="00505D18">
        <w:rPr>
          <w:rFonts w:ascii="Times New Roman" w:hAnsi="Times New Roman"/>
          <w:szCs w:val="24"/>
        </w:rPr>
        <w:t xml:space="preserve"> recourse to the laws and principles guiding the domestic jurisdiction involved may fulfil victims expectations. </w:t>
      </w:r>
    </w:p>
    <w:p w14:paraId="5002DE3C" w14:textId="5A5CC16F" w:rsidR="00D057FA" w:rsidRDefault="00EB5B4D" w:rsidP="00EB5B4D">
      <w:pPr>
        <w:spacing w:line="480" w:lineRule="auto"/>
        <w:jc w:val="both"/>
        <w:rPr>
          <w:rFonts w:ascii="Times New Roman" w:hAnsi="Times New Roman"/>
          <w:szCs w:val="24"/>
        </w:rPr>
      </w:pPr>
      <w:r>
        <w:rPr>
          <w:rFonts w:ascii="Times New Roman" w:hAnsi="Times New Roman"/>
          <w:szCs w:val="24"/>
        </w:rPr>
        <w:t>Fulfilling victims’ expectations contributes towards the outcome of judicial processes. S</w:t>
      </w:r>
      <w:r w:rsidR="00D057FA" w:rsidRPr="00505D18">
        <w:rPr>
          <w:rFonts w:ascii="Times New Roman" w:hAnsi="Times New Roman"/>
          <w:szCs w:val="24"/>
        </w:rPr>
        <w:t>ubstantive justice redresses the harm victims have suffered, and the causes of victimisation.</w:t>
      </w:r>
      <w:r w:rsidR="00D057FA" w:rsidRPr="00505D18">
        <w:rPr>
          <w:rStyle w:val="FootnoteReference"/>
          <w:rFonts w:ascii="Times New Roman" w:hAnsi="Times New Roman"/>
          <w:szCs w:val="24"/>
        </w:rPr>
        <w:footnoteReference w:id="1267"/>
      </w:r>
      <w:r w:rsidR="00D057FA" w:rsidRPr="00505D18">
        <w:rPr>
          <w:rFonts w:ascii="Times New Roman" w:hAnsi="Times New Roman"/>
          <w:szCs w:val="24"/>
        </w:rPr>
        <w:t xml:space="preserve">According to </w:t>
      </w:r>
      <w:proofErr w:type="spellStart"/>
      <w:r w:rsidR="00D057FA" w:rsidRPr="00505D18">
        <w:rPr>
          <w:rFonts w:ascii="Times New Roman" w:hAnsi="Times New Roman"/>
          <w:szCs w:val="24"/>
        </w:rPr>
        <w:t>Bassiouni</w:t>
      </w:r>
      <w:proofErr w:type="spellEnd"/>
      <w:r w:rsidR="00D057FA" w:rsidRPr="00505D18">
        <w:rPr>
          <w:rFonts w:ascii="Times New Roman" w:hAnsi="Times New Roman"/>
          <w:szCs w:val="24"/>
        </w:rPr>
        <w:t xml:space="preserve">, </w:t>
      </w:r>
      <w:r w:rsidR="009E01A2">
        <w:rPr>
          <w:rFonts w:ascii="Times New Roman" w:hAnsi="Times New Roman"/>
          <w:szCs w:val="24"/>
        </w:rPr>
        <w:t>judicial processes' outcome</w:t>
      </w:r>
      <w:r w:rsidR="00D057FA" w:rsidRPr="00505D18">
        <w:rPr>
          <w:rFonts w:ascii="Times New Roman" w:hAnsi="Times New Roman"/>
          <w:szCs w:val="24"/>
        </w:rPr>
        <w:t xml:space="preserve"> corresponds with an effective remedy in human rights law, which has developed three rights for victims of gross violation: truth; justice and reparations.</w:t>
      </w:r>
      <w:r w:rsidR="00D057FA" w:rsidRPr="00505D18">
        <w:rPr>
          <w:rStyle w:val="FootnoteReference"/>
          <w:rFonts w:ascii="Times New Roman" w:hAnsi="Times New Roman"/>
          <w:szCs w:val="24"/>
        </w:rPr>
        <w:footnoteReference w:id="1268"/>
      </w:r>
      <w:r w:rsidR="00D057FA" w:rsidRPr="00505D18">
        <w:rPr>
          <w:rFonts w:ascii="Times New Roman" w:hAnsi="Times New Roman"/>
          <w:szCs w:val="24"/>
        </w:rPr>
        <w:t xml:space="preserve"> </w:t>
      </w:r>
      <w:r w:rsidR="00F01AB3">
        <w:rPr>
          <w:rFonts w:ascii="Times New Roman" w:hAnsi="Times New Roman"/>
          <w:szCs w:val="24"/>
        </w:rPr>
        <w:t>These substantive rights can be effectively exercised and enforced within procedural fairness entrenched by the ICC.</w:t>
      </w:r>
    </w:p>
    <w:p w14:paraId="11CC9C1D" w14:textId="5DFA596D" w:rsidR="00187FED" w:rsidRDefault="00187FED" w:rsidP="00EB5B4D">
      <w:pPr>
        <w:spacing w:line="480" w:lineRule="auto"/>
        <w:jc w:val="both"/>
        <w:rPr>
          <w:rFonts w:ascii="Times New Roman" w:hAnsi="Times New Roman"/>
          <w:szCs w:val="24"/>
        </w:rPr>
      </w:pPr>
      <w:r>
        <w:rPr>
          <w:rFonts w:ascii="Times New Roman" w:hAnsi="Times New Roman"/>
          <w:szCs w:val="24"/>
        </w:rPr>
        <w:t>Another viable means of ensuring victim participation is a collaborative implementation of other mechanisms of transitional justice. The ICC employs criminal prosecution and reparations, at the domestic level</w:t>
      </w:r>
      <w:r w:rsidR="009E01A2">
        <w:rPr>
          <w:rFonts w:ascii="Times New Roman" w:hAnsi="Times New Roman"/>
          <w:szCs w:val="24"/>
        </w:rPr>
        <w:t>. T</w:t>
      </w:r>
      <w:r>
        <w:rPr>
          <w:rFonts w:ascii="Times New Roman" w:hAnsi="Times New Roman"/>
          <w:szCs w:val="24"/>
        </w:rPr>
        <w:t>he use of truth commissions could complement storytelling and truth-telling</w:t>
      </w:r>
      <w:r w:rsidR="00F01AB3">
        <w:rPr>
          <w:rFonts w:ascii="Times New Roman" w:hAnsi="Times New Roman"/>
          <w:szCs w:val="24"/>
        </w:rPr>
        <w:t xml:space="preserve"> as </w:t>
      </w:r>
      <w:r w:rsidR="009E01A2">
        <w:rPr>
          <w:rFonts w:ascii="Times New Roman" w:hAnsi="Times New Roman"/>
          <w:szCs w:val="24"/>
        </w:rPr>
        <w:t>victims'</w:t>
      </w:r>
      <w:r w:rsidR="00F01AB3">
        <w:rPr>
          <w:rFonts w:ascii="Times New Roman" w:hAnsi="Times New Roman"/>
          <w:szCs w:val="24"/>
        </w:rPr>
        <w:t xml:space="preserve"> participation, which brings us to positive complementarity.</w:t>
      </w:r>
    </w:p>
    <w:p w14:paraId="01BB6627" w14:textId="24D9A0B4" w:rsidR="00B45C8D" w:rsidRPr="00A97E07" w:rsidRDefault="00B45C8D" w:rsidP="00B45C8D">
      <w:pPr>
        <w:spacing w:line="480" w:lineRule="auto"/>
        <w:jc w:val="both"/>
        <w:rPr>
          <w:rFonts w:ascii="Times New Roman" w:hAnsi="Times New Roman"/>
          <w:iCs/>
          <w:szCs w:val="24"/>
        </w:rPr>
      </w:pPr>
      <w:r>
        <w:rPr>
          <w:rFonts w:ascii="Times New Roman" w:hAnsi="Times New Roman"/>
          <w:iCs/>
          <w:szCs w:val="24"/>
        </w:rPr>
        <w:t>Besides, further research should investigate the relationship and impact of culture on the workings of the ICC.</w:t>
      </w:r>
      <w:r w:rsidR="005E10AF">
        <w:rPr>
          <w:rFonts w:ascii="Times New Roman" w:hAnsi="Times New Roman"/>
          <w:iCs/>
          <w:szCs w:val="24"/>
        </w:rPr>
        <w:t xml:space="preserve"> There is a connection between law and culture; therefore, there are instances where the </w:t>
      </w:r>
      <w:r w:rsidR="004B4640">
        <w:rPr>
          <w:rFonts w:ascii="Times New Roman" w:hAnsi="Times New Roman"/>
          <w:iCs/>
          <w:szCs w:val="24"/>
        </w:rPr>
        <w:t>domestic jurisdiction's culture and norms might clash with the court's statutory provisions</w:t>
      </w:r>
      <w:r w:rsidR="005E10AF">
        <w:rPr>
          <w:rFonts w:ascii="Times New Roman" w:hAnsi="Times New Roman"/>
          <w:iCs/>
          <w:szCs w:val="24"/>
        </w:rPr>
        <w:t>. Research into this area will assist the efficiency of the court.</w:t>
      </w:r>
      <w:r>
        <w:rPr>
          <w:rFonts w:ascii="Times New Roman" w:hAnsi="Times New Roman"/>
          <w:iCs/>
          <w:szCs w:val="24"/>
        </w:rPr>
        <w:t xml:space="preserve"> </w:t>
      </w:r>
      <w:r>
        <w:rPr>
          <w:rFonts w:ascii="Times New Roman" w:hAnsi="Times New Roman"/>
          <w:iCs/>
          <w:szCs w:val="24"/>
        </w:rPr>
        <w:lastRenderedPageBreak/>
        <w:t xml:space="preserve">Perhaps, this would give us new insights and perspectives into the </w:t>
      </w:r>
      <w:r w:rsidR="009E01A2">
        <w:rPr>
          <w:rFonts w:ascii="Times New Roman" w:hAnsi="Times New Roman"/>
          <w:iCs/>
          <w:szCs w:val="24"/>
        </w:rPr>
        <w:t>ICC's role</w:t>
      </w:r>
      <w:r>
        <w:rPr>
          <w:rFonts w:ascii="Times New Roman" w:hAnsi="Times New Roman"/>
          <w:iCs/>
          <w:szCs w:val="24"/>
        </w:rPr>
        <w:t xml:space="preserve"> in promoting transitional justice.</w:t>
      </w:r>
    </w:p>
    <w:p w14:paraId="1C87899B" w14:textId="55863AA3" w:rsidR="003758B8" w:rsidRPr="003758B8" w:rsidRDefault="005E10AF" w:rsidP="003758B8">
      <w:pPr>
        <w:spacing w:line="480" w:lineRule="auto"/>
        <w:jc w:val="both"/>
        <w:rPr>
          <w:rFonts w:ascii="Times New Roman" w:hAnsi="Times New Roman"/>
        </w:rPr>
      </w:pPr>
      <w:r>
        <w:rPr>
          <w:rFonts w:ascii="Times New Roman" w:hAnsi="Times New Roman"/>
        </w:rPr>
        <w:t>Research</w:t>
      </w:r>
      <w:r w:rsidR="007418B2">
        <w:rPr>
          <w:rFonts w:ascii="Times New Roman" w:hAnsi="Times New Roman"/>
        </w:rPr>
        <w:t xml:space="preserve"> might </w:t>
      </w:r>
      <w:r>
        <w:rPr>
          <w:rFonts w:ascii="Times New Roman" w:hAnsi="Times New Roman"/>
        </w:rPr>
        <w:t xml:space="preserve">also </w:t>
      </w:r>
      <w:r w:rsidR="007418B2">
        <w:rPr>
          <w:rFonts w:ascii="Times New Roman" w:hAnsi="Times New Roman"/>
        </w:rPr>
        <w:t>explore t</w:t>
      </w:r>
      <w:r w:rsidR="003758B8" w:rsidRPr="003758B8">
        <w:rPr>
          <w:rFonts w:ascii="Times New Roman" w:hAnsi="Times New Roman"/>
        </w:rPr>
        <w:t xml:space="preserve">he </w:t>
      </w:r>
      <w:r w:rsidR="004B4640">
        <w:rPr>
          <w:rFonts w:ascii="Times New Roman" w:hAnsi="Times New Roman"/>
        </w:rPr>
        <w:t>ICC's role</w:t>
      </w:r>
      <w:r w:rsidR="003758B8" w:rsidRPr="003758B8">
        <w:rPr>
          <w:rFonts w:ascii="Times New Roman" w:hAnsi="Times New Roman"/>
        </w:rPr>
        <w:t xml:space="preserve"> in </w:t>
      </w:r>
      <w:r w:rsidR="007418B2">
        <w:rPr>
          <w:rFonts w:ascii="Times New Roman" w:hAnsi="Times New Roman"/>
        </w:rPr>
        <w:t xml:space="preserve">the </w:t>
      </w:r>
      <w:r w:rsidR="003758B8" w:rsidRPr="003758B8">
        <w:rPr>
          <w:rFonts w:ascii="Times New Roman" w:hAnsi="Times New Roman"/>
        </w:rPr>
        <w:t>reintegration of the victims and offenders in the community.</w:t>
      </w:r>
      <w:r w:rsidR="00673AAB">
        <w:rPr>
          <w:rFonts w:ascii="Times New Roman" w:hAnsi="Times New Roman"/>
        </w:rPr>
        <w:t xml:space="preserve"> It is </w:t>
      </w:r>
      <w:r w:rsidR="00B45C8D">
        <w:rPr>
          <w:rFonts w:ascii="Times New Roman" w:hAnsi="Times New Roman"/>
        </w:rPr>
        <w:t>suggested</w:t>
      </w:r>
      <w:r w:rsidR="00673AAB">
        <w:rPr>
          <w:rFonts w:ascii="Times New Roman" w:hAnsi="Times New Roman"/>
        </w:rPr>
        <w:t xml:space="preserve"> that the ICC should establish a unique rehabilitation centre for convicts to serve their term; this will ensure monitoring and compliance with standards. It is also noted that the convicts must be willing to partake in the rehabilitation. A sentenced person who denies responsibility for the charges and allegations may not be interested in his restoration.</w:t>
      </w:r>
      <w:r w:rsidR="00B45C8D">
        <w:rPr>
          <w:rFonts w:ascii="Times New Roman" w:hAnsi="Times New Roman"/>
        </w:rPr>
        <w:t xml:space="preserve"> This information can be used to develop targeted interventions </w:t>
      </w:r>
      <w:r w:rsidR="004B4640">
        <w:rPr>
          <w:rFonts w:ascii="Times New Roman" w:hAnsi="Times New Roman"/>
        </w:rPr>
        <w:t>to supervise and upgrade</w:t>
      </w:r>
      <w:r w:rsidR="00B45C8D">
        <w:rPr>
          <w:rFonts w:ascii="Times New Roman" w:hAnsi="Times New Roman"/>
        </w:rPr>
        <w:t xml:space="preserve"> </w:t>
      </w:r>
      <w:r w:rsidR="009E01A2">
        <w:rPr>
          <w:rFonts w:ascii="Times New Roman" w:hAnsi="Times New Roman"/>
        </w:rPr>
        <w:t>offenders' correctional facilitie</w:t>
      </w:r>
      <w:r w:rsidR="00B45C8D">
        <w:rPr>
          <w:rFonts w:ascii="Times New Roman" w:hAnsi="Times New Roman"/>
        </w:rPr>
        <w:t>s for better results.</w:t>
      </w:r>
      <w:r w:rsidR="00673AAB">
        <w:rPr>
          <w:rFonts w:ascii="Times New Roman" w:hAnsi="Times New Roman"/>
        </w:rPr>
        <w:t xml:space="preserve">   </w:t>
      </w:r>
    </w:p>
    <w:p w14:paraId="16B6C691" w14:textId="35FA7A9A" w:rsidR="003758B8" w:rsidRPr="003758B8" w:rsidRDefault="003758B8" w:rsidP="003758B8">
      <w:pPr>
        <w:spacing w:line="480" w:lineRule="auto"/>
        <w:jc w:val="both"/>
        <w:rPr>
          <w:rFonts w:ascii="Times New Roman" w:hAnsi="Times New Roman"/>
        </w:rPr>
      </w:pPr>
    </w:p>
    <w:p w14:paraId="43A498D2" w14:textId="77777777" w:rsidR="003758B8" w:rsidRDefault="003758B8" w:rsidP="00EB5B4D">
      <w:pPr>
        <w:spacing w:line="480" w:lineRule="auto"/>
        <w:jc w:val="both"/>
        <w:rPr>
          <w:rFonts w:ascii="Times New Roman" w:hAnsi="Times New Roman"/>
          <w:szCs w:val="24"/>
        </w:rPr>
      </w:pPr>
    </w:p>
    <w:p w14:paraId="779B8941" w14:textId="2EC68AEE" w:rsidR="00187FED" w:rsidRPr="00505D18" w:rsidRDefault="00187FED" w:rsidP="00EB5B4D">
      <w:pPr>
        <w:spacing w:line="480" w:lineRule="auto"/>
        <w:jc w:val="both"/>
        <w:rPr>
          <w:rFonts w:ascii="Times New Roman" w:hAnsi="Times New Roman"/>
          <w:szCs w:val="24"/>
        </w:rPr>
      </w:pPr>
      <w:r>
        <w:rPr>
          <w:rFonts w:ascii="Times New Roman" w:hAnsi="Times New Roman"/>
          <w:szCs w:val="24"/>
        </w:rPr>
        <w:t xml:space="preserve"> </w:t>
      </w:r>
    </w:p>
    <w:p w14:paraId="19149371" w14:textId="77777777" w:rsidR="00D057FA" w:rsidRPr="00505D18" w:rsidRDefault="00D057FA" w:rsidP="00505D18">
      <w:pPr>
        <w:spacing w:before="240" w:line="480" w:lineRule="auto"/>
        <w:jc w:val="both"/>
        <w:rPr>
          <w:rFonts w:ascii="Times New Roman" w:hAnsi="Times New Roman"/>
          <w:szCs w:val="24"/>
        </w:rPr>
      </w:pPr>
    </w:p>
    <w:p w14:paraId="45692241" w14:textId="77777777" w:rsidR="00382CE6" w:rsidRDefault="00382CE6" w:rsidP="000825EA">
      <w:pPr>
        <w:spacing w:line="480" w:lineRule="auto"/>
        <w:jc w:val="both"/>
        <w:rPr>
          <w:szCs w:val="24"/>
        </w:rPr>
      </w:pPr>
    </w:p>
    <w:p w14:paraId="6D53E709" w14:textId="77777777" w:rsidR="00382CE6" w:rsidRDefault="00382CE6" w:rsidP="000825EA">
      <w:pPr>
        <w:spacing w:line="480" w:lineRule="auto"/>
        <w:jc w:val="both"/>
        <w:rPr>
          <w:szCs w:val="24"/>
        </w:rPr>
      </w:pPr>
    </w:p>
    <w:p w14:paraId="46D332CA" w14:textId="77777777" w:rsidR="00382CE6" w:rsidRPr="00906870" w:rsidRDefault="00382CE6" w:rsidP="000825EA">
      <w:pPr>
        <w:spacing w:line="480" w:lineRule="auto"/>
        <w:jc w:val="both"/>
        <w:rPr>
          <w:rFonts w:ascii="Times New Roman" w:hAnsi="Times New Roman"/>
          <w:szCs w:val="24"/>
        </w:rPr>
      </w:pPr>
    </w:p>
    <w:p w14:paraId="2F50463A" w14:textId="77777777" w:rsidR="00305BF0" w:rsidRPr="00305BF0" w:rsidRDefault="00305BF0" w:rsidP="000825EA">
      <w:pPr>
        <w:spacing w:line="480" w:lineRule="auto"/>
        <w:jc w:val="both"/>
        <w:rPr>
          <w:rFonts w:ascii="Times New Roman" w:hAnsi="Times New Roman"/>
        </w:rPr>
      </w:pPr>
    </w:p>
    <w:p w14:paraId="35A2E68E" w14:textId="77777777" w:rsidR="006E622A" w:rsidRPr="006E622A" w:rsidRDefault="006E622A" w:rsidP="000825EA">
      <w:pPr>
        <w:spacing w:after="0" w:line="480" w:lineRule="auto"/>
        <w:jc w:val="both"/>
        <w:rPr>
          <w:rFonts w:ascii="Times New Roman" w:eastAsia="Cambria" w:hAnsi="Times New Roman"/>
          <w:sz w:val="22"/>
          <w:lang w:eastAsia="ja-JP"/>
        </w:rPr>
      </w:pPr>
    </w:p>
    <w:p w14:paraId="45739400" w14:textId="77777777" w:rsidR="006E622A" w:rsidRPr="006E622A" w:rsidRDefault="006E622A" w:rsidP="000825EA">
      <w:pPr>
        <w:spacing w:after="0" w:line="480" w:lineRule="auto"/>
        <w:jc w:val="both"/>
        <w:rPr>
          <w:rFonts w:ascii="Times New Roman" w:eastAsia="Cambria" w:hAnsi="Times New Roman"/>
          <w:sz w:val="22"/>
          <w:lang w:eastAsia="ja-JP"/>
        </w:rPr>
      </w:pPr>
    </w:p>
    <w:p w14:paraId="7E01A999" w14:textId="77777777" w:rsidR="006E622A" w:rsidRPr="006E622A" w:rsidRDefault="006E622A" w:rsidP="000825EA">
      <w:pPr>
        <w:spacing w:after="0" w:line="480" w:lineRule="auto"/>
        <w:jc w:val="both"/>
        <w:rPr>
          <w:rFonts w:ascii="Times New Roman" w:eastAsia="Cambria" w:hAnsi="Times New Roman"/>
          <w:sz w:val="22"/>
          <w:lang w:eastAsia="ja-JP"/>
        </w:rPr>
      </w:pPr>
    </w:p>
    <w:p w14:paraId="20D45E7A" w14:textId="77777777" w:rsidR="006E622A" w:rsidRPr="006E622A" w:rsidRDefault="006E622A" w:rsidP="000825EA">
      <w:pPr>
        <w:spacing w:after="0" w:line="480" w:lineRule="auto"/>
        <w:jc w:val="both"/>
        <w:rPr>
          <w:rFonts w:ascii="Times New Roman" w:eastAsia="Cambria" w:hAnsi="Times New Roman"/>
          <w:sz w:val="22"/>
          <w:lang w:eastAsia="ja-JP"/>
        </w:rPr>
      </w:pPr>
    </w:p>
    <w:p w14:paraId="0E392698" w14:textId="77777777" w:rsidR="006E622A" w:rsidRPr="006E622A" w:rsidRDefault="006E622A" w:rsidP="000825EA">
      <w:pPr>
        <w:spacing w:after="0" w:line="480" w:lineRule="auto"/>
        <w:jc w:val="both"/>
        <w:rPr>
          <w:rFonts w:ascii="Times New Roman" w:eastAsia="Cambria" w:hAnsi="Times New Roman"/>
          <w:sz w:val="22"/>
          <w:lang w:eastAsia="ja-JP"/>
        </w:rPr>
      </w:pPr>
    </w:p>
    <w:p w14:paraId="628547C5" w14:textId="77777777" w:rsidR="006E622A" w:rsidRPr="006E622A" w:rsidRDefault="006E622A" w:rsidP="006E622A">
      <w:pPr>
        <w:spacing w:after="0" w:line="240" w:lineRule="auto"/>
        <w:rPr>
          <w:rFonts w:ascii="Times New Roman" w:eastAsia="Cambria" w:hAnsi="Times New Roman"/>
          <w:sz w:val="22"/>
          <w:lang w:eastAsia="ja-JP"/>
        </w:rPr>
      </w:pPr>
    </w:p>
    <w:p w14:paraId="2E1F3F63" w14:textId="77777777" w:rsidR="006E622A" w:rsidRPr="006E622A" w:rsidRDefault="006E622A" w:rsidP="006E622A">
      <w:pPr>
        <w:spacing w:after="0" w:line="240" w:lineRule="auto"/>
        <w:rPr>
          <w:rFonts w:ascii="Times New Roman" w:eastAsia="Cambria" w:hAnsi="Times New Roman"/>
          <w:sz w:val="22"/>
          <w:lang w:eastAsia="ja-JP"/>
        </w:rPr>
      </w:pPr>
    </w:p>
    <w:p w14:paraId="7FCF853D" w14:textId="77777777" w:rsidR="006F1830" w:rsidRDefault="006F1830" w:rsidP="006E622A">
      <w:pPr>
        <w:spacing w:after="0" w:line="240" w:lineRule="auto"/>
        <w:rPr>
          <w:rFonts w:ascii="Times New Roman" w:eastAsia="Cambria" w:hAnsi="Times New Roman"/>
          <w:b/>
          <w:sz w:val="22"/>
          <w:lang w:eastAsia="ja-JP"/>
        </w:rPr>
      </w:pPr>
      <w:r>
        <w:rPr>
          <w:rFonts w:ascii="Times New Roman" w:eastAsia="Cambria" w:hAnsi="Times New Roman"/>
          <w:b/>
          <w:sz w:val="22"/>
          <w:lang w:eastAsia="ja-JP"/>
        </w:rPr>
        <w:t xml:space="preserve">                                          </w:t>
      </w:r>
    </w:p>
    <w:p w14:paraId="573771EA" w14:textId="77777777" w:rsidR="006E622A" w:rsidRDefault="006F1830" w:rsidP="005E10AF">
      <w:pPr>
        <w:pStyle w:val="Heading1"/>
      </w:pPr>
      <w:r>
        <w:br w:type="page"/>
      </w:r>
      <w:bookmarkStart w:id="100" w:name="_Toc60235864"/>
      <w:r>
        <w:lastRenderedPageBreak/>
        <w:t>Bibliography</w:t>
      </w:r>
      <w:bookmarkEnd w:id="100"/>
    </w:p>
    <w:p w14:paraId="4C2A2EFB" w14:textId="77777777" w:rsidR="00294294" w:rsidRDefault="00294294" w:rsidP="00294294">
      <w:pPr>
        <w:rPr>
          <w:rFonts w:ascii="Times New Roman" w:hAnsi="Times New Roman"/>
          <w:b/>
          <w:bCs/>
          <w:szCs w:val="24"/>
        </w:rPr>
      </w:pPr>
      <w:r>
        <w:rPr>
          <w:rFonts w:ascii="Times New Roman" w:hAnsi="Times New Roman"/>
          <w:b/>
          <w:bCs/>
          <w:szCs w:val="24"/>
        </w:rPr>
        <w:t>Books</w:t>
      </w:r>
    </w:p>
    <w:p w14:paraId="095927DB" w14:textId="77777777" w:rsidR="00294294" w:rsidRDefault="00294294" w:rsidP="00294294">
      <w:pPr>
        <w:jc w:val="both"/>
        <w:rPr>
          <w:rFonts w:ascii="Times New Roman" w:hAnsi="Times New Roman"/>
          <w:szCs w:val="24"/>
        </w:rPr>
      </w:pPr>
      <w:r>
        <w:rPr>
          <w:rFonts w:ascii="Times New Roman" w:hAnsi="Times New Roman"/>
          <w:noProof/>
          <w:szCs w:val="24"/>
          <w:lang w:val="en-US"/>
        </w:rPr>
        <w:t xml:space="preserve">Ashworth, A. (1994). </w:t>
      </w:r>
      <w:r>
        <w:rPr>
          <w:rFonts w:ascii="Times New Roman" w:hAnsi="Times New Roman"/>
          <w:i/>
          <w:iCs/>
          <w:noProof/>
          <w:szCs w:val="24"/>
          <w:lang w:val="en-US"/>
        </w:rPr>
        <w:t>The Criminal Process: An Evaluative Study.</w:t>
      </w:r>
      <w:r>
        <w:rPr>
          <w:rFonts w:ascii="Times New Roman" w:hAnsi="Times New Roman"/>
          <w:noProof/>
          <w:szCs w:val="24"/>
          <w:lang w:val="en-US"/>
        </w:rPr>
        <w:t xml:space="preserve"> Oxford University Press.</w:t>
      </w:r>
    </w:p>
    <w:p w14:paraId="3C5AB9C7" w14:textId="77777777" w:rsidR="00294294" w:rsidRDefault="00294294" w:rsidP="00294294">
      <w:pPr>
        <w:jc w:val="both"/>
        <w:rPr>
          <w:rFonts w:ascii="Times New Roman" w:hAnsi="Times New Roman"/>
          <w:szCs w:val="24"/>
        </w:rPr>
      </w:pPr>
      <w:r>
        <w:rPr>
          <w:rFonts w:ascii="Times New Roman" w:hAnsi="Times New Roman"/>
          <w:szCs w:val="24"/>
        </w:rPr>
        <w:t xml:space="preserve">Ashworth, A. (1998). </w:t>
      </w:r>
      <w:r>
        <w:rPr>
          <w:rFonts w:ascii="Times New Roman" w:hAnsi="Times New Roman"/>
          <w:i/>
          <w:iCs/>
          <w:szCs w:val="24"/>
        </w:rPr>
        <w:t>The criminal Process: An Evaluative Study</w:t>
      </w:r>
      <w:r>
        <w:rPr>
          <w:rFonts w:ascii="Times New Roman" w:hAnsi="Times New Roman"/>
          <w:szCs w:val="24"/>
        </w:rPr>
        <w:t>. Oxford University Press.</w:t>
      </w:r>
    </w:p>
    <w:p w14:paraId="7F95CA2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Ashworth, A. (1995). </w:t>
      </w:r>
      <w:r>
        <w:rPr>
          <w:rFonts w:ascii="Times New Roman" w:hAnsi="Times New Roman"/>
          <w:i/>
          <w:iCs/>
          <w:noProof/>
          <w:szCs w:val="24"/>
          <w:lang w:val="en-US"/>
        </w:rPr>
        <w:t>‘Principles, Practice and Criminal Justice’.</w:t>
      </w:r>
    </w:p>
    <w:p w14:paraId="30782EB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Ashworth, A. (2000). </w:t>
      </w:r>
      <w:r>
        <w:rPr>
          <w:rFonts w:ascii="Times New Roman" w:hAnsi="Times New Roman"/>
          <w:i/>
          <w:iCs/>
          <w:noProof/>
          <w:szCs w:val="24"/>
          <w:lang w:val="en-US"/>
        </w:rPr>
        <w:t>Sentencing and Criminal Justice.</w:t>
      </w:r>
      <w:r>
        <w:rPr>
          <w:rFonts w:ascii="Times New Roman" w:hAnsi="Times New Roman"/>
          <w:noProof/>
          <w:szCs w:val="24"/>
          <w:lang w:val="en-US"/>
        </w:rPr>
        <w:t xml:space="preserve"> Butterworths.</w:t>
      </w:r>
    </w:p>
    <w:p w14:paraId="0DA56E3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Ashworth, A. (2000). </w:t>
      </w:r>
      <w:r>
        <w:rPr>
          <w:rFonts w:ascii="Times New Roman" w:hAnsi="Times New Roman"/>
          <w:i/>
          <w:iCs/>
          <w:noProof/>
          <w:szCs w:val="24"/>
          <w:lang w:val="en-US"/>
        </w:rPr>
        <w:t>Victims; rights, defendants' rights and criminal procedure in Adam Crawford and Jo Goody (eds.), Integrating a victim perspective within criminal justice: International Debates.</w:t>
      </w:r>
      <w:r>
        <w:rPr>
          <w:rFonts w:ascii="Times New Roman" w:hAnsi="Times New Roman"/>
          <w:noProof/>
          <w:szCs w:val="24"/>
          <w:lang w:val="en-US"/>
        </w:rPr>
        <w:t xml:space="preserve"> Ashgate.</w:t>
      </w:r>
    </w:p>
    <w:p w14:paraId="1E81E2E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Ashworth, A. (2016). </w:t>
      </w:r>
      <w:r>
        <w:rPr>
          <w:rFonts w:ascii="Times New Roman" w:hAnsi="Times New Roman"/>
          <w:i/>
          <w:iCs/>
          <w:noProof/>
          <w:szCs w:val="24"/>
          <w:lang w:val="en-US"/>
        </w:rPr>
        <w:t>Victims’ Rights, Defendants’ Rights and Criminal Procedure’ Integrating A Victim Perspective Within Criminal Justice in Adam Crawford and Jo Goody (ed).</w:t>
      </w:r>
      <w:r>
        <w:rPr>
          <w:rFonts w:ascii="Times New Roman" w:hAnsi="Times New Roman"/>
          <w:noProof/>
          <w:szCs w:val="24"/>
          <w:lang w:val="en-US"/>
        </w:rPr>
        <w:t xml:space="preserve"> Routledge.</w:t>
      </w:r>
    </w:p>
    <w:p w14:paraId="77E9ED1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Ashworth, V. H. (1998). </w:t>
      </w:r>
      <w:r>
        <w:rPr>
          <w:rFonts w:ascii="Times New Roman" w:hAnsi="Times New Roman"/>
          <w:i/>
          <w:iCs/>
          <w:noProof/>
          <w:szCs w:val="24"/>
          <w:lang w:val="en-US"/>
        </w:rPr>
        <w:t>Principled Sentencing: Readings on Theory and Policy.</w:t>
      </w:r>
      <w:r>
        <w:rPr>
          <w:rFonts w:ascii="Times New Roman" w:hAnsi="Times New Roman"/>
          <w:noProof/>
          <w:szCs w:val="24"/>
          <w:lang w:val="en-US"/>
        </w:rPr>
        <w:t xml:space="preserve"> Oxford: Hart Publishing.</w:t>
      </w:r>
    </w:p>
    <w:p w14:paraId="64386D6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Ashworth, A and Redmayne, M. (2005). </w:t>
      </w:r>
      <w:r>
        <w:rPr>
          <w:rFonts w:ascii="Times New Roman" w:hAnsi="Times New Roman"/>
          <w:i/>
          <w:iCs/>
          <w:noProof/>
          <w:szCs w:val="24"/>
          <w:lang w:val="en-US"/>
        </w:rPr>
        <w:t>The Criminal Process.</w:t>
      </w:r>
      <w:r>
        <w:rPr>
          <w:rFonts w:ascii="Times New Roman" w:hAnsi="Times New Roman"/>
          <w:noProof/>
          <w:szCs w:val="24"/>
          <w:lang w:val="en-US"/>
        </w:rPr>
        <w:t xml:space="preserve"> Oxford University Press.</w:t>
      </w:r>
    </w:p>
    <w:p w14:paraId="63CA0C8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Bazemore, G and Walgrave, L. (1999). </w:t>
      </w:r>
      <w:r>
        <w:rPr>
          <w:rFonts w:ascii="Times New Roman" w:hAnsi="Times New Roman"/>
          <w:i/>
          <w:iCs/>
          <w:noProof/>
          <w:szCs w:val="24"/>
          <w:lang w:val="en-US"/>
        </w:rPr>
        <w:t>'Restorative Juvenile Justice: In Search of Fundamentals and an Outline for Systemic Reform’ in G.Bazemore and L Walgrave (eds), Restorative Juvenile Justice: Repairing the Harm of Youth Crime'.</w:t>
      </w:r>
      <w:r>
        <w:rPr>
          <w:rFonts w:ascii="Times New Roman" w:hAnsi="Times New Roman"/>
          <w:noProof/>
          <w:szCs w:val="24"/>
          <w:lang w:val="en-US"/>
        </w:rPr>
        <w:t xml:space="preserve"> Monsey, New York: Criminal Justice Press.</w:t>
      </w:r>
    </w:p>
    <w:p w14:paraId="594F06B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Bentham, J. (1948). </w:t>
      </w:r>
      <w:r>
        <w:rPr>
          <w:rFonts w:ascii="Times New Roman" w:hAnsi="Times New Roman"/>
          <w:i/>
          <w:iCs/>
          <w:noProof/>
          <w:szCs w:val="24"/>
          <w:lang w:val="en-US"/>
        </w:rPr>
        <w:t>An Introduction to the Principles of Morals and Legislation.</w:t>
      </w:r>
      <w:r>
        <w:rPr>
          <w:rFonts w:ascii="Times New Roman" w:hAnsi="Times New Roman"/>
          <w:noProof/>
          <w:szCs w:val="24"/>
          <w:lang w:val="en-US"/>
        </w:rPr>
        <w:t xml:space="preserve"> New York: Macmillan.</w:t>
      </w:r>
    </w:p>
    <w:p w14:paraId="47C13707"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lastRenderedPageBreak/>
        <w:t xml:space="preserve">Birks, P. (1995). </w:t>
      </w:r>
      <w:r>
        <w:rPr>
          <w:rFonts w:ascii="Times New Roman" w:hAnsi="Times New Roman"/>
          <w:i/>
          <w:iCs/>
          <w:noProof/>
          <w:szCs w:val="24"/>
          <w:lang w:val="en-US"/>
        </w:rPr>
        <w:t>Pressing Problems in the Law, Volume 1, Criminal Justice &amp;Human Rights.</w:t>
      </w:r>
      <w:r>
        <w:rPr>
          <w:rFonts w:ascii="Times New Roman" w:hAnsi="Times New Roman"/>
          <w:noProof/>
          <w:szCs w:val="24"/>
          <w:lang w:val="en-US"/>
        </w:rPr>
        <w:t xml:space="preserve"> Oxford University.</w:t>
      </w:r>
    </w:p>
    <w:p w14:paraId="5A68E940"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Bolivae, D, Aerstern, I and Vanfraechem, I. (2013). </w:t>
      </w:r>
      <w:r>
        <w:rPr>
          <w:rFonts w:ascii="Times New Roman" w:hAnsi="Times New Roman"/>
          <w:i/>
          <w:iCs/>
          <w:noProof/>
          <w:szCs w:val="24"/>
          <w:lang w:val="en-US"/>
        </w:rPr>
        <w:t>“The Ritual of Apology and Restorative Justice: Exploring the Victims’ Perspective”, in Daniel Cuypers, Daniel Janssen, Jacques Haers and Barbara (eds.), Public Apology between Ritual and Regret: Symbolic Apology Between Ritual and Regret.</w:t>
      </w:r>
      <w:r>
        <w:rPr>
          <w:rFonts w:ascii="Times New Roman" w:hAnsi="Times New Roman"/>
          <w:noProof/>
          <w:szCs w:val="24"/>
          <w:lang w:val="en-US"/>
        </w:rPr>
        <w:t xml:space="preserve"> Brill.</w:t>
      </w:r>
    </w:p>
    <w:p w14:paraId="05C910B3"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Brienen, M and  Hoegen, H. (2000). </w:t>
      </w:r>
      <w:r>
        <w:rPr>
          <w:rFonts w:ascii="Times New Roman" w:hAnsi="Times New Roman"/>
          <w:i/>
          <w:iCs/>
          <w:noProof/>
          <w:szCs w:val="24"/>
          <w:lang w:val="en-US"/>
        </w:rPr>
        <w:t>Victims of crime in European criminal justice systems: the implementation of recommendation of the council of Europe on the position of the victim in the framework of criminal law and procedure.</w:t>
      </w:r>
      <w:r>
        <w:rPr>
          <w:rFonts w:ascii="Times New Roman" w:hAnsi="Times New Roman"/>
          <w:noProof/>
          <w:szCs w:val="24"/>
          <w:lang w:val="en-US"/>
        </w:rPr>
        <w:t xml:space="preserve"> Wolf Legal Productions.</w:t>
      </w:r>
    </w:p>
    <w:p w14:paraId="0D924B58"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Brienen, M and Howgen, E. (2001). </w:t>
      </w:r>
      <w:r>
        <w:rPr>
          <w:rFonts w:ascii="Times New Roman" w:hAnsi="Times New Roman"/>
          <w:i/>
          <w:iCs/>
          <w:noProof/>
          <w:szCs w:val="24"/>
          <w:lang w:val="en-US"/>
        </w:rPr>
        <w:t>’ Victims of Crime’: European Criminal Justice System.</w:t>
      </w:r>
      <w:r>
        <w:rPr>
          <w:rFonts w:ascii="Times New Roman" w:hAnsi="Times New Roman"/>
          <w:noProof/>
          <w:szCs w:val="24"/>
          <w:lang w:val="en-US"/>
        </w:rPr>
        <w:t xml:space="preserve"> Wolf Legal Publishers.</w:t>
      </w:r>
    </w:p>
    <w:p w14:paraId="406117CE"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Camp, T. V. (2011). </w:t>
      </w:r>
      <w:r>
        <w:rPr>
          <w:rFonts w:ascii="Times New Roman" w:hAnsi="Times New Roman"/>
          <w:i/>
          <w:iCs/>
          <w:noProof/>
          <w:szCs w:val="24"/>
          <w:lang w:val="en-US"/>
        </w:rPr>
        <w:t>Meeting Victims’ Needs: The Interplay between victims and restorative justice Policies and victims’ needs.</w:t>
      </w:r>
      <w:r>
        <w:rPr>
          <w:rFonts w:ascii="Times New Roman" w:hAnsi="Times New Roman"/>
          <w:noProof/>
          <w:szCs w:val="24"/>
          <w:lang w:val="en-US"/>
        </w:rPr>
        <w:t xml:space="preserve"> Doctoral thesis, University of Montreal.</w:t>
      </w:r>
    </w:p>
    <w:p w14:paraId="67DB1373"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Cassesse, A. (2006). </w:t>
      </w:r>
      <w:r>
        <w:rPr>
          <w:rFonts w:ascii="Times New Roman" w:hAnsi="Times New Roman"/>
          <w:i/>
          <w:iCs/>
          <w:noProof/>
          <w:szCs w:val="24"/>
          <w:lang w:val="en-US"/>
        </w:rPr>
        <w:t>International Criminal Law’ IN Malcolm Evans (ed), International Law.</w:t>
      </w:r>
      <w:r>
        <w:rPr>
          <w:rFonts w:ascii="Times New Roman" w:hAnsi="Times New Roman"/>
          <w:noProof/>
          <w:szCs w:val="24"/>
          <w:lang w:val="en-US"/>
        </w:rPr>
        <w:t xml:space="preserve"> Oxford University Press.</w:t>
      </w:r>
    </w:p>
    <w:p w14:paraId="5A8605E8"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Chazal, N. (2016). </w:t>
      </w:r>
      <w:r>
        <w:rPr>
          <w:rFonts w:ascii="Times New Roman" w:hAnsi="Times New Roman"/>
          <w:i/>
          <w:iCs/>
          <w:noProof/>
          <w:szCs w:val="24"/>
          <w:lang w:val="en-US"/>
        </w:rPr>
        <w:t>The International Criminal Court and Global Social Control: International Criminal Justice in Late Modernity.</w:t>
      </w:r>
      <w:r>
        <w:rPr>
          <w:rFonts w:ascii="Times New Roman" w:hAnsi="Times New Roman"/>
          <w:noProof/>
          <w:szCs w:val="24"/>
          <w:lang w:val="en-US"/>
        </w:rPr>
        <w:t xml:space="preserve"> Routledge.</w:t>
      </w:r>
    </w:p>
    <w:p w14:paraId="629D7B08"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Clarke, K. M. (2009). </w:t>
      </w:r>
      <w:r>
        <w:rPr>
          <w:rFonts w:ascii="Times New Roman" w:hAnsi="Times New Roman"/>
          <w:i/>
          <w:iCs/>
          <w:noProof/>
          <w:szCs w:val="24"/>
          <w:lang w:val="en-US"/>
        </w:rPr>
        <w:t>Fictions of Justice:</w:t>
      </w:r>
      <w:r w:rsidR="000F3F38">
        <w:rPr>
          <w:rFonts w:ascii="Times New Roman" w:hAnsi="Times New Roman"/>
          <w:i/>
          <w:iCs/>
          <w:noProof/>
          <w:szCs w:val="24"/>
          <w:lang w:val="en-US"/>
        </w:rPr>
        <w:t xml:space="preserve"> </w:t>
      </w:r>
      <w:r>
        <w:rPr>
          <w:rFonts w:ascii="Times New Roman" w:hAnsi="Times New Roman"/>
          <w:i/>
          <w:iCs/>
          <w:noProof/>
          <w:szCs w:val="24"/>
          <w:lang w:val="en-US"/>
        </w:rPr>
        <w:t>The International Criminal Court and the Challenge of Legal Pluralism in Sub-Saharan Africa.</w:t>
      </w:r>
      <w:r>
        <w:rPr>
          <w:rFonts w:ascii="Times New Roman" w:hAnsi="Times New Roman"/>
          <w:noProof/>
          <w:szCs w:val="24"/>
          <w:lang w:val="en-US"/>
        </w:rPr>
        <w:t xml:space="preserve"> New York: Cambridge University Press.</w:t>
      </w:r>
    </w:p>
    <w:p w14:paraId="4E85D55F" w14:textId="5651404B"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Clarke, K. M. (2009). </w:t>
      </w:r>
      <w:r>
        <w:rPr>
          <w:rFonts w:ascii="Times New Roman" w:hAnsi="Times New Roman"/>
          <w:i/>
          <w:iCs/>
          <w:noProof/>
          <w:szCs w:val="24"/>
          <w:lang w:val="en-US"/>
        </w:rPr>
        <w:t>Fictions of Justice: The International Criminal Court and the Challenge of Legal Pluralism in Sub-Saharan Africa.</w:t>
      </w:r>
      <w:r>
        <w:rPr>
          <w:rFonts w:ascii="Times New Roman" w:hAnsi="Times New Roman"/>
          <w:noProof/>
          <w:szCs w:val="24"/>
          <w:lang w:val="en-US"/>
        </w:rPr>
        <w:t xml:space="preserve"> New York: Cambridge University Press.</w:t>
      </w:r>
    </w:p>
    <w:p w14:paraId="061C57B0" w14:textId="5EFA1B13" w:rsidR="00F72A5B" w:rsidRPr="00F72A5B" w:rsidRDefault="00F72A5B" w:rsidP="000F3F38">
      <w:pPr>
        <w:jc w:val="both"/>
        <w:rPr>
          <w:rFonts w:ascii="Times New Roman" w:hAnsi="Times New Roman"/>
          <w:i/>
          <w:iCs/>
          <w:noProof/>
          <w:szCs w:val="24"/>
          <w:lang w:val="en-US"/>
        </w:rPr>
      </w:pPr>
      <w:r>
        <w:rPr>
          <w:rFonts w:ascii="Times New Roman" w:hAnsi="Times New Roman"/>
          <w:noProof/>
          <w:szCs w:val="24"/>
          <w:lang w:val="en-US"/>
        </w:rPr>
        <w:t xml:space="preserve">Clark P, (2018) </w:t>
      </w:r>
      <w:r>
        <w:rPr>
          <w:rFonts w:ascii="Times New Roman" w:hAnsi="Times New Roman"/>
          <w:i/>
          <w:iCs/>
          <w:noProof/>
          <w:szCs w:val="24"/>
          <w:lang w:val="en-US"/>
        </w:rPr>
        <w:t>Distant Justice: The Impact of International Criminal Court on African Politics</w:t>
      </w:r>
      <w:r>
        <w:rPr>
          <w:rFonts w:ascii="Times New Roman" w:hAnsi="Times New Roman"/>
          <w:noProof/>
          <w:szCs w:val="24"/>
          <w:lang w:val="en-US"/>
        </w:rPr>
        <w:t>, Cambridge University Press.</w:t>
      </w:r>
      <w:r>
        <w:rPr>
          <w:rFonts w:ascii="Times New Roman" w:hAnsi="Times New Roman"/>
          <w:i/>
          <w:iCs/>
          <w:noProof/>
          <w:szCs w:val="24"/>
          <w:lang w:val="en-US"/>
        </w:rPr>
        <w:t xml:space="preserve"> </w:t>
      </w:r>
    </w:p>
    <w:p w14:paraId="7F5773D3"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lastRenderedPageBreak/>
        <w:t xml:space="preserve">Cobban, H. (2007). </w:t>
      </w:r>
      <w:r>
        <w:rPr>
          <w:rFonts w:ascii="Times New Roman" w:hAnsi="Times New Roman"/>
          <w:i/>
          <w:iCs/>
          <w:noProof/>
          <w:szCs w:val="24"/>
          <w:lang w:val="en-US"/>
        </w:rPr>
        <w:t>Amnesty After Atrocity? Healing Nations after Genocide and War Crimes.</w:t>
      </w:r>
      <w:r>
        <w:rPr>
          <w:rFonts w:ascii="Times New Roman" w:hAnsi="Times New Roman"/>
          <w:noProof/>
          <w:szCs w:val="24"/>
          <w:lang w:val="en-US"/>
        </w:rPr>
        <w:t xml:space="preserve"> Paradigm.</w:t>
      </w:r>
    </w:p>
    <w:p w14:paraId="59036F72" w14:textId="7F074E3C" w:rsidR="00294294" w:rsidRDefault="00294294" w:rsidP="000F3F38">
      <w:pPr>
        <w:jc w:val="both"/>
        <w:rPr>
          <w:rFonts w:ascii="Times New Roman" w:hAnsi="Times New Roman"/>
          <w:szCs w:val="24"/>
        </w:rPr>
      </w:pPr>
      <w:r>
        <w:rPr>
          <w:rFonts w:ascii="Times New Roman" w:hAnsi="Times New Roman"/>
          <w:noProof/>
          <w:szCs w:val="24"/>
          <w:lang w:val="en-US"/>
        </w:rPr>
        <w:t xml:space="preserve">Combs, A. (2010). </w:t>
      </w:r>
      <w:r>
        <w:rPr>
          <w:rFonts w:ascii="Times New Roman" w:hAnsi="Times New Roman"/>
          <w:i/>
          <w:iCs/>
          <w:noProof/>
          <w:szCs w:val="24"/>
          <w:lang w:val="en-US"/>
        </w:rPr>
        <w:t>Fact-Finding without Facts:</w:t>
      </w:r>
      <w:r w:rsidR="00F72A5B">
        <w:rPr>
          <w:rFonts w:ascii="Times New Roman" w:hAnsi="Times New Roman"/>
          <w:i/>
          <w:iCs/>
          <w:noProof/>
          <w:szCs w:val="24"/>
          <w:lang w:val="en-US"/>
        </w:rPr>
        <w:t xml:space="preserve"> </w:t>
      </w:r>
      <w:r>
        <w:rPr>
          <w:rFonts w:ascii="Times New Roman" w:hAnsi="Times New Roman"/>
          <w:i/>
          <w:iCs/>
          <w:noProof/>
          <w:szCs w:val="24"/>
          <w:lang w:val="en-US"/>
        </w:rPr>
        <w:t>The Uncertain Evidentiary Foundations of International Convictions.</w:t>
      </w:r>
      <w:r>
        <w:rPr>
          <w:rFonts w:ascii="Times New Roman" w:hAnsi="Times New Roman"/>
          <w:noProof/>
          <w:szCs w:val="24"/>
          <w:lang w:val="en-US"/>
        </w:rPr>
        <w:t xml:space="preserve"> Cambridge University Press.</w:t>
      </w:r>
    </w:p>
    <w:p w14:paraId="73D743C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Cryer, R, Friman, H, Robinson, D and Whimshurst, E. (2014). </w:t>
      </w:r>
      <w:r>
        <w:rPr>
          <w:rFonts w:ascii="Times New Roman" w:hAnsi="Times New Roman"/>
          <w:i/>
          <w:iCs/>
          <w:noProof/>
          <w:szCs w:val="24"/>
          <w:lang w:val="en-US"/>
        </w:rPr>
        <w:t>An Introduction to International Criminal Law and Procedure.</w:t>
      </w:r>
      <w:r w:rsidR="000F3F38">
        <w:rPr>
          <w:rFonts w:ascii="Times New Roman" w:hAnsi="Times New Roman"/>
          <w:noProof/>
          <w:szCs w:val="24"/>
          <w:lang w:val="en-US"/>
        </w:rPr>
        <w:t xml:space="preserve"> Cambridge University Press</w:t>
      </w:r>
      <w:r>
        <w:rPr>
          <w:rFonts w:ascii="Times New Roman" w:hAnsi="Times New Roman"/>
          <w:noProof/>
          <w:szCs w:val="24"/>
          <w:lang w:val="en-US"/>
        </w:rPr>
        <w:t>.</w:t>
      </w:r>
    </w:p>
    <w:p w14:paraId="244F06B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Cunneen, C. (2008). </w:t>
      </w:r>
      <w:r>
        <w:rPr>
          <w:rFonts w:ascii="Times New Roman" w:hAnsi="Times New Roman"/>
          <w:i/>
          <w:iCs/>
          <w:noProof/>
          <w:szCs w:val="24"/>
          <w:lang w:val="en-US"/>
        </w:rPr>
        <w:t>“Exploring the Relationship between Reparations, the Gross Violations of Human Rights and Restorative Justice”, in D. Sullivan and L.Tift (eds) Handbook of Restorative Justice: A Global Perspective.</w:t>
      </w:r>
      <w:r>
        <w:rPr>
          <w:rFonts w:ascii="Times New Roman" w:hAnsi="Times New Roman"/>
          <w:noProof/>
          <w:szCs w:val="24"/>
          <w:lang w:val="en-US"/>
        </w:rPr>
        <w:t xml:space="preserve"> New York: Routledge.</w:t>
      </w:r>
    </w:p>
    <w:p w14:paraId="06C0D4E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Davis, G and Cretney, A. (1996). </w:t>
      </w:r>
      <w:r>
        <w:rPr>
          <w:rFonts w:ascii="Times New Roman" w:hAnsi="Times New Roman"/>
          <w:i/>
          <w:iCs/>
          <w:noProof/>
          <w:szCs w:val="24"/>
          <w:lang w:val="en-US"/>
        </w:rPr>
        <w:t>Punishing Violence.</w:t>
      </w:r>
      <w:r>
        <w:rPr>
          <w:rFonts w:ascii="Times New Roman" w:hAnsi="Times New Roman"/>
          <w:noProof/>
          <w:szCs w:val="24"/>
          <w:lang w:val="en-US"/>
        </w:rPr>
        <w:t xml:space="preserve"> London: Routledge.</w:t>
      </w:r>
    </w:p>
    <w:p w14:paraId="2EB352A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De Smet, S. (2015). </w:t>
      </w:r>
      <w:r>
        <w:rPr>
          <w:rFonts w:ascii="Times New Roman" w:hAnsi="Times New Roman"/>
          <w:i/>
          <w:iCs/>
          <w:noProof/>
          <w:szCs w:val="24"/>
          <w:lang w:val="en-US"/>
        </w:rPr>
        <w:t>‘Standard of Proof at the ICC-Beyond Reasonable Doubt or Beyond Reason’In Carsten Stahn (ed) The Law and Practice of the International Criminal Court.</w:t>
      </w:r>
      <w:r>
        <w:rPr>
          <w:rFonts w:ascii="Times New Roman" w:hAnsi="Times New Roman"/>
          <w:noProof/>
          <w:szCs w:val="24"/>
          <w:lang w:val="en-US"/>
        </w:rPr>
        <w:t xml:space="preserve"> Oxford University Press.</w:t>
      </w:r>
    </w:p>
    <w:p w14:paraId="307733E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Dignan, J. (2005). </w:t>
      </w:r>
      <w:r>
        <w:rPr>
          <w:rFonts w:ascii="Times New Roman" w:hAnsi="Times New Roman"/>
          <w:i/>
          <w:iCs/>
          <w:noProof/>
          <w:szCs w:val="24"/>
          <w:lang w:val="en-US"/>
        </w:rPr>
        <w:t>Understanding victims and restorative justice.</w:t>
      </w:r>
      <w:r>
        <w:rPr>
          <w:rFonts w:ascii="Times New Roman" w:hAnsi="Times New Roman"/>
          <w:noProof/>
          <w:szCs w:val="24"/>
          <w:lang w:val="en-US"/>
        </w:rPr>
        <w:t xml:space="preserve"> Open University Press.</w:t>
      </w:r>
    </w:p>
    <w:p w14:paraId="680FE1B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Doak, J. (2008). </w:t>
      </w:r>
      <w:r>
        <w:rPr>
          <w:rFonts w:ascii="Times New Roman" w:hAnsi="Times New Roman"/>
          <w:i/>
          <w:iCs/>
          <w:noProof/>
          <w:szCs w:val="24"/>
          <w:lang w:val="en-US"/>
        </w:rPr>
        <w:t>Victims’ Rights, Human Rights and Criminal Justice: Reconceiving the Role of Third Parties.</w:t>
      </w:r>
      <w:r>
        <w:rPr>
          <w:rFonts w:ascii="Times New Roman" w:hAnsi="Times New Roman"/>
          <w:noProof/>
          <w:szCs w:val="24"/>
          <w:lang w:val="en-US"/>
        </w:rPr>
        <w:t xml:space="preserve"> Hart Publishing.</w:t>
      </w:r>
    </w:p>
    <w:p w14:paraId="4453026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Doak, J. (2014). </w:t>
      </w:r>
      <w:r>
        <w:rPr>
          <w:rFonts w:ascii="Times New Roman" w:hAnsi="Times New Roman"/>
          <w:i/>
          <w:iCs/>
          <w:noProof/>
          <w:szCs w:val="24"/>
          <w:lang w:val="en-US"/>
        </w:rPr>
        <w:t>Victims’ Rights in the Criminal Justice System, in Bruinsma Weisburg(ed) Encyclopedia of Criminology and Criminal Justice.</w:t>
      </w:r>
      <w:r>
        <w:rPr>
          <w:rFonts w:ascii="Times New Roman" w:hAnsi="Times New Roman"/>
          <w:noProof/>
          <w:szCs w:val="24"/>
          <w:lang w:val="en-US"/>
        </w:rPr>
        <w:t xml:space="preserve"> Springer.</w:t>
      </w:r>
    </w:p>
    <w:p w14:paraId="3F90B40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Donat-Catin, D. (1999). </w:t>
      </w:r>
      <w:r>
        <w:rPr>
          <w:rFonts w:ascii="Times New Roman" w:hAnsi="Times New Roman"/>
          <w:i/>
          <w:iCs/>
          <w:noProof/>
          <w:szCs w:val="24"/>
          <w:lang w:val="en-US"/>
        </w:rPr>
        <w:t>‘Article 68: Protection of Victims and Witnesses and their Participation in the Proceedings' in O Triffterer (ed.), Commentary on the Rome Statute of the International Criminal Court.</w:t>
      </w:r>
    </w:p>
    <w:p w14:paraId="2D56BB9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Donnely, J. (2014). </w:t>
      </w:r>
      <w:r>
        <w:rPr>
          <w:rFonts w:ascii="Times New Roman" w:hAnsi="Times New Roman"/>
          <w:i/>
          <w:iCs/>
          <w:noProof/>
          <w:szCs w:val="24"/>
          <w:lang w:val="en-US"/>
        </w:rPr>
        <w:t>Universal Declaration of Human Rights in Theory and Practice.</w:t>
      </w:r>
      <w:r>
        <w:rPr>
          <w:rFonts w:ascii="Times New Roman" w:hAnsi="Times New Roman"/>
          <w:noProof/>
          <w:szCs w:val="24"/>
          <w:lang w:val="en-US"/>
        </w:rPr>
        <w:t xml:space="preserve"> Cornell University Press.</w:t>
      </w:r>
    </w:p>
    <w:p w14:paraId="736699C4" w14:textId="77777777" w:rsidR="00294294" w:rsidRPr="000F3F38"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Dressler, J. (1995). </w:t>
      </w:r>
      <w:r>
        <w:rPr>
          <w:rFonts w:ascii="Times New Roman" w:hAnsi="Times New Roman"/>
          <w:i/>
          <w:iCs/>
          <w:noProof/>
          <w:szCs w:val="24"/>
          <w:lang w:val="en-US"/>
        </w:rPr>
        <w:t>Understanding Criminal Law.</w:t>
      </w:r>
      <w:r w:rsidR="000F3F38">
        <w:rPr>
          <w:rFonts w:ascii="Times New Roman" w:hAnsi="Times New Roman"/>
          <w:iCs/>
          <w:noProof/>
          <w:szCs w:val="24"/>
          <w:lang w:val="en-US"/>
        </w:rPr>
        <w:t>LexisNexis</w:t>
      </w:r>
    </w:p>
    <w:p w14:paraId="4225EA3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Drumbl, M. (2007). </w:t>
      </w:r>
      <w:r>
        <w:rPr>
          <w:rFonts w:ascii="Times New Roman" w:hAnsi="Times New Roman"/>
          <w:i/>
          <w:iCs/>
          <w:noProof/>
          <w:szCs w:val="24"/>
          <w:lang w:val="en-US"/>
        </w:rPr>
        <w:t>Atrocity Punishment and International Law.</w:t>
      </w:r>
      <w:r>
        <w:rPr>
          <w:rFonts w:ascii="Times New Roman" w:hAnsi="Times New Roman"/>
          <w:noProof/>
          <w:szCs w:val="24"/>
          <w:lang w:val="en-US"/>
        </w:rPr>
        <w:t xml:space="preserve"> Cambridge University Press.</w:t>
      </w:r>
    </w:p>
    <w:p w14:paraId="43971D1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Findlay, M and Henham, R. (2005). </w:t>
      </w:r>
      <w:r>
        <w:rPr>
          <w:rFonts w:ascii="Times New Roman" w:hAnsi="Times New Roman"/>
          <w:i/>
          <w:iCs/>
          <w:noProof/>
          <w:szCs w:val="24"/>
          <w:lang w:val="en-US"/>
        </w:rPr>
        <w:t>Transforming International Criminal Justice: Retributive and Restorative justice.</w:t>
      </w:r>
      <w:r>
        <w:rPr>
          <w:rFonts w:ascii="Times New Roman" w:hAnsi="Times New Roman"/>
          <w:noProof/>
          <w:szCs w:val="24"/>
          <w:lang w:val="en-US"/>
        </w:rPr>
        <w:t xml:space="preserve"> Wilan Publishing.</w:t>
      </w:r>
    </w:p>
    <w:p w14:paraId="1744D94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Foley, T. (2014). </w:t>
      </w:r>
      <w:r>
        <w:rPr>
          <w:rFonts w:ascii="Times New Roman" w:hAnsi="Times New Roman"/>
          <w:i/>
          <w:iCs/>
          <w:noProof/>
          <w:szCs w:val="24"/>
          <w:lang w:val="en-US"/>
        </w:rPr>
        <w:t>Developing restorative justice jurisprudence: rethinking responses to criminal wrongdoing.</w:t>
      </w:r>
      <w:r>
        <w:rPr>
          <w:rFonts w:ascii="Times New Roman" w:hAnsi="Times New Roman"/>
          <w:noProof/>
          <w:szCs w:val="24"/>
          <w:lang w:val="en-US"/>
        </w:rPr>
        <w:t xml:space="preserve"> Farnham Ashgate.</w:t>
      </w:r>
    </w:p>
    <w:p w14:paraId="47500FF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Funk, M. (2010). </w:t>
      </w:r>
      <w:r>
        <w:rPr>
          <w:rFonts w:ascii="Times New Roman" w:hAnsi="Times New Roman"/>
          <w:i/>
          <w:iCs/>
          <w:noProof/>
          <w:szCs w:val="24"/>
          <w:lang w:val="en-US"/>
        </w:rPr>
        <w:t>Victims’ Rights and Advocacy at the International Criminal Court.</w:t>
      </w:r>
      <w:r>
        <w:rPr>
          <w:rFonts w:ascii="Times New Roman" w:hAnsi="Times New Roman"/>
          <w:noProof/>
          <w:szCs w:val="24"/>
          <w:lang w:val="en-US"/>
        </w:rPr>
        <w:t xml:space="preserve"> Oxford: Oxford University Press.</w:t>
      </w:r>
    </w:p>
    <w:p w14:paraId="6580959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Glasius, M. (2006). </w:t>
      </w:r>
      <w:r>
        <w:rPr>
          <w:rFonts w:ascii="Times New Roman" w:hAnsi="Times New Roman"/>
          <w:i/>
          <w:iCs/>
          <w:noProof/>
          <w:szCs w:val="24"/>
          <w:lang w:val="en-US"/>
        </w:rPr>
        <w:t>The International Criminal Court: A Global Civil Society achievement.</w:t>
      </w:r>
      <w:r>
        <w:rPr>
          <w:rFonts w:ascii="Times New Roman" w:hAnsi="Times New Roman"/>
          <w:noProof/>
          <w:szCs w:val="24"/>
          <w:lang w:val="en-US"/>
        </w:rPr>
        <w:t xml:space="preserve"> Routledge.</w:t>
      </w:r>
    </w:p>
    <w:p w14:paraId="10F8E56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Gurmendi, S. F. (1999). </w:t>
      </w:r>
      <w:r>
        <w:rPr>
          <w:rFonts w:ascii="Times New Roman" w:hAnsi="Times New Roman"/>
          <w:i/>
          <w:iCs/>
          <w:noProof/>
          <w:szCs w:val="24"/>
          <w:lang w:val="en-US"/>
        </w:rPr>
        <w:t>'The Role of the Prosecutor' in Roy Lee (ed), The International Criminal Court: The Making f the Rome Statute-Issues, Negotiations and Results.</w:t>
      </w:r>
      <w:r>
        <w:rPr>
          <w:rFonts w:ascii="Times New Roman" w:hAnsi="Times New Roman"/>
          <w:noProof/>
          <w:szCs w:val="24"/>
          <w:lang w:val="en-US"/>
        </w:rPr>
        <w:t xml:space="preserve"> Kluwer Law International.</w:t>
      </w:r>
    </w:p>
    <w:p w14:paraId="3784944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Guzman, M. (2014). ‘Proportionate Sentencing at the International Criminal Court‘. </w:t>
      </w:r>
      <w:r>
        <w:rPr>
          <w:rFonts w:ascii="Times New Roman" w:hAnsi="Times New Roman"/>
          <w:i/>
          <w:iCs/>
          <w:noProof/>
          <w:szCs w:val="24"/>
          <w:lang w:val="en-US"/>
        </w:rPr>
        <w:t>Research Paper No. 2014-2015</w:t>
      </w:r>
      <w:r>
        <w:rPr>
          <w:rFonts w:ascii="Times New Roman" w:hAnsi="Times New Roman"/>
          <w:noProof/>
          <w:szCs w:val="24"/>
          <w:lang w:val="en-US"/>
        </w:rPr>
        <w:t>. Temple University Legal Studies Research Series.</w:t>
      </w:r>
    </w:p>
    <w:p w14:paraId="743A348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Hall, M. (2017). </w:t>
      </w:r>
      <w:r>
        <w:rPr>
          <w:rFonts w:ascii="Times New Roman" w:hAnsi="Times New Roman"/>
          <w:i/>
          <w:iCs/>
          <w:noProof/>
          <w:szCs w:val="24"/>
          <w:lang w:val="en-US"/>
        </w:rPr>
        <w:t>Victims of Crime: Construction, Governance and Policy.</w:t>
      </w:r>
      <w:r>
        <w:rPr>
          <w:rFonts w:ascii="Times New Roman" w:hAnsi="Times New Roman"/>
          <w:noProof/>
          <w:szCs w:val="24"/>
          <w:lang w:val="en-US"/>
        </w:rPr>
        <w:t xml:space="preserve"> Palgrave Macmillan.</w:t>
      </w:r>
    </w:p>
    <w:p w14:paraId="77FED23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Heikkila, M. (2004). </w:t>
      </w:r>
      <w:r>
        <w:rPr>
          <w:rFonts w:ascii="Times New Roman" w:hAnsi="Times New Roman"/>
          <w:i/>
          <w:iCs/>
          <w:noProof/>
          <w:szCs w:val="24"/>
          <w:lang w:val="en-US"/>
        </w:rPr>
        <w:t>International Criminal Tribunals and Victims of Crime: A Study of the Status of Victims Before International Criminal Tribunals and of Factors Affecting this Status.</w:t>
      </w:r>
      <w:r>
        <w:rPr>
          <w:rFonts w:ascii="Times New Roman" w:hAnsi="Times New Roman"/>
          <w:noProof/>
          <w:szCs w:val="24"/>
          <w:lang w:val="en-US"/>
        </w:rPr>
        <w:t xml:space="preserve"> Institute for Human Rights, Abo Akademi University.</w:t>
      </w:r>
    </w:p>
    <w:p w14:paraId="05D4B09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Henham, R. (2005). </w:t>
      </w:r>
      <w:r>
        <w:rPr>
          <w:rFonts w:ascii="Times New Roman" w:hAnsi="Times New Roman"/>
          <w:i/>
          <w:iCs/>
          <w:noProof/>
          <w:szCs w:val="24"/>
          <w:lang w:val="en-US"/>
        </w:rPr>
        <w:t>“Procedural Rules and Trial Practice" in Ralph Henham (ed), Punishment and Process in International Criminal Trials.</w:t>
      </w:r>
      <w:r>
        <w:rPr>
          <w:rFonts w:ascii="Times New Roman" w:hAnsi="Times New Roman"/>
          <w:noProof/>
          <w:szCs w:val="24"/>
          <w:lang w:val="en-US"/>
        </w:rPr>
        <w:t xml:space="preserve"> Ashgate.</w:t>
      </w:r>
    </w:p>
    <w:p w14:paraId="4B87C53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Henham, R. (2005). </w:t>
      </w:r>
      <w:r>
        <w:rPr>
          <w:rFonts w:ascii="Times New Roman" w:hAnsi="Times New Roman"/>
          <w:i/>
          <w:iCs/>
          <w:noProof/>
          <w:szCs w:val="24"/>
          <w:lang w:val="en-US"/>
        </w:rPr>
        <w:t>“Reconceptualising International Penalty” in Ralph Henham and Mark Findlay (eds.), in Punishment and Process in International Criminal Trials.</w:t>
      </w:r>
      <w:r>
        <w:rPr>
          <w:rFonts w:ascii="Times New Roman" w:hAnsi="Times New Roman"/>
          <w:noProof/>
          <w:szCs w:val="24"/>
          <w:lang w:val="en-US"/>
        </w:rPr>
        <w:t xml:space="preserve"> Ashgate.</w:t>
      </w:r>
    </w:p>
    <w:p w14:paraId="32A5641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Henham, R. (2005). </w:t>
      </w:r>
      <w:r>
        <w:rPr>
          <w:rFonts w:ascii="Times New Roman" w:hAnsi="Times New Roman"/>
          <w:i/>
          <w:iCs/>
          <w:noProof/>
          <w:szCs w:val="24"/>
          <w:lang w:val="en-US"/>
        </w:rPr>
        <w:t>“Sentencing as Social Reality” Ralph Henham and Mark Findlay (eds.), in Punishment and Process in International Criminal Trial.</w:t>
      </w:r>
      <w:r>
        <w:rPr>
          <w:rFonts w:ascii="Times New Roman" w:hAnsi="Times New Roman"/>
          <w:noProof/>
          <w:szCs w:val="24"/>
          <w:lang w:val="en-US"/>
        </w:rPr>
        <w:t xml:space="preserve"> Ashgate.</w:t>
      </w:r>
    </w:p>
    <w:p w14:paraId="0DFE688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Henham, R. (2005). </w:t>
      </w:r>
      <w:r>
        <w:rPr>
          <w:rFonts w:ascii="Times New Roman" w:hAnsi="Times New Roman"/>
          <w:i/>
          <w:iCs/>
          <w:noProof/>
          <w:szCs w:val="24"/>
          <w:lang w:val="en-US"/>
        </w:rPr>
        <w:t>Punishment and Process in International Criminal Trials in Mark Findlay and Ralph Henham’s (Eds.), International and Comparative Criminal Justice.</w:t>
      </w:r>
      <w:r>
        <w:rPr>
          <w:rFonts w:ascii="Times New Roman" w:hAnsi="Times New Roman"/>
          <w:noProof/>
          <w:szCs w:val="24"/>
          <w:lang w:val="en-US"/>
        </w:rPr>
        <w:t xml:space="preserve"> Aldershot Ashgate.</w:t>
      </w:r>
    </w:p>
    <w:p w14:paraId="73FDD60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Horowitz, K. N. (2002). </w:t>
      </w:r>
      <w:r>
        <w:rPr>
          <w:rFonts w:ascii="Times New Roman" w:hAnsi="Times New Roman"/>
          <w:i/>
          <w:iCs/>
          <w:noProof/>
          <w:szCs w:val="24"/>
          <w:lang w:val="en-US"/>
        </w:rPr>
        <w:t>Social Psychology.</w:t>
      </w:r>
    </w:p>
    <w:p w14:paraId="6C084DC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Hudson, B. (2003). Understanding Justice: An introduction to ideas, perspectives and controversies in Modern Penal Theory.</w:t>
      </w:r>
    </w:p>
    <w:p w14:paraId="159C2ADA" w14:textId="77777777" w:rsidR="00294294" w:rsidRDefault="00294294" w:rsidP="00294294">
      <w:pPr>
        <w:jc w:val="both"/>
        <w:rPr>
          <w:rFonts w:ascii="Times New Roman" w:hAnsi="Times New Roman"/>
          <w:szCs w:val="24"/>
        </w:rPr>
      </w:pPr>
      <w:r>
        <w:rPr>
          <w:rFonts w:ascii="Times New Roman" w:hAnsi="Times New Roman"/>
          <w:noProof/>
          <w:szCs w:val="24"/>
          <w:lang w:val="en-US"/>
        </w:rPr>
        <w:t xml:space="preserve">Huyse, L. (2003). </w:t>
      </w:r>
      <w:r>
        <w:rPr>
          <w:rFonts w:ascii="Times New Roman" w:hAnsi="Times New Roman"/>
          <w:i/>
          <w:iCs/>
          <w:noProof/>
          <w:szCs w:val="24"/>
          <w:lang w:val="en-US"/>
        </w:rPr>
        <w:t>'Justice’, in D. Bloomfield, T. Barnes and L. Huyse (eds) Reconciliation After Violent Conflict: A Handbook.</w:t>
      </w:r>
      <w:r>
        <w:rPr>
          <w:rFonts w:ascii="Times New Roman" w:hAnsi="Times New Roman"/>
          <w:noProof/>
          <w:szCs w:val="24"/>
          <w:lang w:val="en-US"/>
        </w:rPr>
        <w:t xml:space="preserve"> Stockholm: International Institute for Democracy and Electoral Assistance.</w:t>
      </w:r>
    </w:p>
    <w:p w14:paraId="513A20E0" w14:textId="67B17313" w:rsidR="00294294" w:rsidRDefault="000F3F38" w:rsidP="00294294">
      <w:pPr>
        <w:jc w:val="both"/>
        <w:rPr>
          <w:rFonts w:ascii="Times New Roman" w:hAnsi="Times New Roman"/>
          <w:noProof/>
          <w:szCs w:val="24"/>
          <w:lang w:val="en-US"/>
        </w:rPr>
      </w:pPr>
      <w:r>
        <w:rPr>
          <w:rFonts w:ascii="Times New Roman" w:hAnsi="Times New Roman"/>
          <w:iCs/>
          <w:noProof/>
          <w:szCs w:val="24"/>
          <w:lang w:val="en-US"/>
        </w:rPr>
        <w:t>Lee R.</w:t>
      </w:r>
      <w:r w:rsidR="00294294">
        <w:rPr>
          <w:rFonts w:ascii="Times New Roman" w:hAnsi="Times New Roman"/>
          <w:i/>
          <w:iCs/>
          <w:noProof/>
          <w:szCs w:val="24"/>
          <w:lang w:val="en-US"/>
        </w:rPr>
        <w:t>International Criminal Court: The Making of the Rome Statute –Issues, Negotiations, and Results” in Roy Lee (ed).</w:t>
      </w:r>
      <w:r w:rsidR="00294294">
        <w:rPr>
          <w:rFonts w:ascii="Times New Roman" w:hAnsi="Times New Roman"/>
          <w:noProof/>
          <w:szCs w:val="24"/>
          <w:lang w:val="en-US"/>
        </w:rPr>
        <w:t xml:space="preserve"> (1999). Springer.</w:t>
      </w:r>
    </w:p>
    <w:p w14:paraId="3E0C243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Ivison, D. (1999). </w:t>
      </w:r>
      <w:r>
        <w:rPr>
          <w:rFonts w:ascii="Times New Roman" w:hAnsi="Times New Roman"/>
          <w:i/>
          <w:iCs/>
          <w:noProof/>
          <w:szCs w:val="24"/>
          <w:lang w:val="en-US"/>
        </w:rPr>
        <w:t>Justifying Punishment in Intercultural Contexts: Whose Norms? Which Values, in Matt Matravers (ed.), Punishment and Political Theory.</w:t>
      </w:r>
      <w:r>
        <w:rPr>
          <w:rFonts w:ascii="Times New Roman" w:hAnsi="Times New Roman"/>
          <w:noProof/>
          <w:szCs w:val="24"/>
          <w:lang w:val="en-US"/>
        </w:rPr>
        <w:t xml:space="preserve"> Oxford: Hart Publishing.</w:t>
      </w:r>
    </w:p>
    <w:p w14:paraId="72D7237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Jackson, J. (2008). </w:t>
      </w:r>
      <w:r>
        <w:rPr>
          <w:rFonts w:ascii="Times New Roman" w:hAnsi="Times New Roman"/>
          <w:i/>
          <w:iCs/>
          <w:noProof/>
          <w:szCs w:val="24"/>
          <w:lang w:val="en-US"/>
        </w:rPr>
        <w:t>Transnational Faces of Justice: Two Attempts to Build Common Standards Beyond National Boundaries ‘ in John Jackson, Maximo Langer and Peter Tillers(eds), Crime Procedure and Evidence in a Comparative and International Context.</w:t>
      </w:r>
      <w:r>
        <w:rPr>
          <w:rFonts w:ascii="Times New Roman" w:hAnsi="Times New Roman"/>
          <w:noProof/>
          <w:szCs w:val="24"/>
          <w:lang w:val="en-US"/>
        </w:rPr>
        <w:t xml:space="preserve"> Hart.</w:t>
      </w:r>
    </w:p>
    <w:p w14:paraId="42781D8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Jennings, M. (2008). </w:t>
      </w:r>
      <w:r>
        <w:rPr>
          <w:rFonts w:ascii="Times New Roman" w:hAnsi="Times New Roman"/>
          <w:i/>
          <w:iCs/>
          <w:noProof/>
          <w:szCs w:val="24"/>
          <w:lang w:val="en-US"/>
        </w:rPr>
        <w:t>“Article 78-Determination of the sentence “ in O.Triffere (Ed), Commentary on the Rome Statute of the International Criminal Court.</w:t>
      </w:r>
    </w:p>
    <w:p w14:paraId="15120F7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Jorda, C and de Hemptinne, J. (2002). </w:t>
      </w:r>
      <w:r>
        <w:rPr>
          <w:rFonts w:ascii="Times New Roman" w:hAnsi="Times New Roman"/>
          <w:i/>
          <w:iCs/>
          <w:noProof/>
          <w:szCs w:val="24"/>
          <w:lang w:val="en-US"/>
        </w:rPr>
        <w:t>The Rome Statute of the International Criminal Court: A Commentary.</w:t>
      </w:r>
      <w:r>
        <w:rPr>
          <w:rFonts w:ascii="Times New Roman" w:hAnsi="Times New Roman"/>
          <w:noProof/>
          <w:szCs w:val="24"/>
          <w:lang w:val="en-US"/>
        </w:rPr>
        <w:t xml:space="preserve"> Oxford: Oxford University Press.</w:t>
      </w:r>
    </w:p>
    <w:p w14:paraId="70E874B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Kant, I. (1996). </w:t>
      </w:r>
      <w:r>
        <w:rPr>
          <w:rFonts w:ascii="Times New Roman" w:hAnsi="Times New Roman"/>
          <w:i/>
          <w:iCs/>
          <w:noProof/>
          <w:szCs w:val="24"/>
          <w:lang w:val="en-US"/>
        </w:rPr>
        <w:t>Metaphysics of morals.</w:t>
      </w:r>
      <w:r>
        <w:rPr>
          <w:rFonts w:ascii="Times New Roman" w:hAnsi="Times New Roman"/>
          <w:noProof/>
          <w:szCs w:val="24"/>
          <w:lang w:val="en-US"/>
        </w:rPr>
        <w:t xml:space="preserve"> Cambridge University Press.</w:t>
      </w:r>
    </w:p>
    <w:p w14:paraId="20D26F9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Keller, K. J. (2015). </w:t>
      </w:r>
      <w:r>
        <w:rPr>
          <w:rFonts w:ascii="Times New Roman" w:hAnsi="Times New Roman"/>
          <w:i/>
          <w:iCs/>
          <w:noProof/>
          <w:szCs w:val="24"/>
          <w:lang w:val="en-US"/>
        </w:rPr>
        <w:t>A Stick to Hit the Accused With’: The Legal Characterisation of Facts under Regulation 55’ in Reason’In Carsten Stahn (ed) The Law and Practice of the International Criminal Court.</w:t>
      </w:r>
      <w:r>
        <w:rPr>
          <w:rFonts w:ascii="Times New Roman" w:hAnsi="Times New Roman"/>
          <w:noProof/>
          <w:szCs w:val="24"/>
          <w:lang w:val="en-US"/>
        </w:rPr>
        <w:t xml:space="preserve"> Oxford University Press.</w:t>
      </w:r>
    </w:p>
    <w:p w14:paraId="440ED47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Kenny, K. (2000). </w:t>
      </w:r>
      <w:r>
        <w:rPr>
          <w:rFonts w:ascii="Times New Roman" w:hAnsi="Times New Roman"/>
          <w:i/>
          <w:iCs/>
          <w:noProof/>
          <w:szCs w:val="24"/>
          <w:lang w:val="en-US"/>
        </w:rPr>
        <w:t>‘The Right to Participate in International Human Rights Fieldwork’.</w:t>
      </w:r>
      <w:r>
        <w:rPr>
          <w:rFonts w:ascii="Times New Roman" w:hAnsi="Times New Roman"/>
          <w:noProof/>
          <w:szCs w:val="24"/>
          <w:lang w:val="en-US"/>
        </w:rPr>
        <w:t xml:space="preserve"> International Human Rights Network.</w:t>
      </w:r>
    </w:p>
    <w:p w14:paraId="07FA657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Lacey, N. (1987). </w:t>
      </w:r>
      <w:r>
        <w:rPr>
          <w:rFonts w:ascii="Times New Roman" w:hAnsi="Times New Roman"/>
          <w:i/>
          <w:iCs/>
          <w:noProof/>
          <w:szCs w:val="24"/>
          <w:lang w:val="en-US"/>
        </w:rPr>
        <w:t>‘Discretion and Due Process at the Post Conviction Stage’, in I.H Denis, (ed), Criminal Law and Justice.</w:t>
      </w:r>
      <w:r>
        <w:rPr>
          <w:rFonts w:ascii="Times New Roman" w:hAnsi="Times New Roman"/>
          <w:noProof/>
          <w:szCs w:val="24"/>
          <w:lang w:val="en-US"/>
        </w:rPr>
        <w:t xml:space="preserve"> London: Sweet and Maxwell.</w:t>
      </w:r>
    </w:p>
    <w:p w14:paraId="2C13B74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Leyh, B. M. (2011). </w:t>
      </w:r>
      <w:r>
        <w:rPr>
          <w:rFonts w:ascii="Times New Roman" w:hAnsi="Times New Roman"/>
          <w:i/>
          <w:iCs/>
          <w:noProof/>
          <w:szCs w:val="24"/>
          <w:lang w:val="en-US"/>
        </w:rPr>
        <w:t>Procedural Justice? Victim Participation in International Criminal Proceedings.</w:t>
      </w:r>
      <w:r>
        <w:rPr>
          <w:rFonts w:ascii="Times New Roman" w:hAnsi="Times New Roman"/>
          <w:noProof/>
          <w:szCs w:val="24"/>
          <w:lang w:val="en-US"/>
        </w:rPr>
        <w:t xml:space="preserve"> Intersentia.</w:t>
      </w:r>
    </w:p>
    <w:p w14:paraId="0B6B4DAE" w14:textId="77777777" w:rsidR="00294294" w:rsidRDefault="00294294" w:rsidP="00294294">
      <w:pPr>
        <w:jc w:val="both"/>
        <w:rPr>
          <w:rFonts w:ascii="Times New Roman" w:hAnsi="Times New Roman"/>
          <w:szCs w:val="24"/>
        </w:rPr>
      </w:pPr>
      <w:r>
        <w:rPr>
          <w:rFonts w:ascii="Times New Roman" w:hAnsi="Times New Roman"/>
          <w:noProof/>
          <w:szCs w:val="24"/>
          <w:lang w:val="en-US"/>
        </w:rPr>
        <w:t xml:space="preserve">Lind, A and Tyler, T. (1988). </w:t>
      </w:r>
      <w:r>
        <w:rPr>
          <w:rFonts w:ascii="Times New Roman" w:hAnsi="Times New Roman"/>
          <w:i/>
          <w:iCs/>
          <w:noProof/>
          <w:szCs w:val="24"/>
          <w:lang w:val="en-US"/>
        </w:rPr>
        <w:t>The Social Psychology of Procedural Justice.</w:t>
      </w:r>
      <w:r>
        <w:rPr>
          <w:rFonts w:ascii="Times New Roman" w:hAnsi="Times New Roman"/>
          <w:noProof/>
          <w:szCs w:val="24"/>
          <w:lang w:val="en-US"/>
        </w:rPr>
        <w:t xml:space="preserve"> Plenum Press.</w:t>
      </w:r>
    </w:p>
    <w:p w14:paraId="2E8FBDBD" w14:textId="77777777" w:rsidR="00294294" w:rsidRDefault="00294294" w:rsidP="00294294">
      <w:pPr>
        <w:jc w:val="both"/>
        <w:rPr>
          <w:rFonts w:ascii="Times New Roman" w:hAnsi="Times New Roman"/>
          <w:szCs w:val="24"/>
        </w:rPr>
      </w:pPr>
      <w:proofErr w:type="spellStart"/>
      <w:r>
        <w:rPr>
          <w:rFonts w:ascii="Times New Roman" w:hAnsi="Times New Roman"/>
          <w:szCs w:val="24"/>
        </w:rPr>
        <w:t>Luban</w:t>
      </w:r>
      <w:proofErr w:type="spellEnd"/>
      <w:r>
        <w:rPr>
          <w:rFonts w:ascii="Times New Roman" w:hAnsi="Times New Roman"/>
          <w:szCs w:val="24"/>
        </w:rPr>
        <w:t xml:space="preserve">, D. (2010). </w:t>
      </w:r>
      <w:r>
        <w:rPr>
          <w:rFonts w:ascii="Times New Roman" w:hAnsi="Times New Roman"/>
          <w:i/>
          <w:iCs/>
          <w:szCs w:val="24"/>
        </w:rPr>
        <w:t xml:space="preserve">‘Fairness to Rightness: Jurisdiction, Legality, and the legitimacy of international criminal law’ in Samantha Besson &amp; John </w:t>
      </w:r>
      <w:proofErr w:type="spellStart"/>
      <w:r>
        <w:rPr>
          <w:rFonts w:ascii="Times New Roman" w:hAnsi="Times New Roman"/>
          <w:i/>
          <w:iCs/>
          <w:szCs w:val="24"/>
        </w:rPr>
        <w:t>Taioulas</w:t>
      </w:r>
      <w:proofErr w:type="spellEnd"/>
      <w:r>
        <w:rPr>
          <w:rFonts w:ascii="Times New Roman" w:hAnsi="Times New Roman"/>
          <w:i/>
          <w:iCs/>
          <w:szCs w:val="24"/>
        </w:rPr>
        <w:t xml:space="preserve"> (eds.), The Philosophy of International Law</w:t>
      </w:r>
      <w:r>
        <w:rPr>
          <w:rFonts w:ascii="Times New Roman" w:hAnsi="Times New Roman"/>
          <w:i/>
          <w:szCs w:val="24"/>
        </w:rPr>
        <w:t xml:space="preserve">. </w:t>
      </w:r>
      <w:r>
        <w:rPr>
          <w:rFonts w:ascii="Times New Roman" w:hAnsi="Times New Roman"/>
          <w:szCs w:val="24"/>
        </w:rPr>
        <w:t>Oxford University Press.</w:t>
      </w:r>
    </w:p>
    <w:p w14:paraId="5B6ED7F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Marshall, T. (1999). </w:t>
      </w:r>
      <w:r>
        <w:rPr>
          <w:rFonts w:ascii="Times New Roman" w:hAnsi="Times New Roman"/>
          <w:i/>
          <w:iCs/>
          <w:noProof/>
          <w:szCs w:val="24"/>
          <w:lang w:val="en-US"/>
        </w:rPr>
        <w:t>Restorative Justice: An Overview.</w:t>
      </w:r>
      <w:r>
        <w:rPr>
          <w:rFonts w:ascii="Times New Roman" w:hAnsi="Times New Roman"/>
          <w:noProof/>
          <w:szCs w:val="24"/>
          <w:lang w:val="en-US"/>
        </w:rPr>
        <w:t xml:space="preserve"> London: Home Office.</w:t>
      </w:r>
    </w:p>
    <w:p w14:paraId="46603CE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Mawby, R and Walkate, S. (1994). </w:t>
      </w:r>
      <w:r>
        <w:rPr>
          <w:rFonts w:ascii="Times New Roman" w:hAnsi="Times New Roman"/>
          <w:i/>
          <w:iCs/>
          <w:noProof/>
          <w:szCs w:val="24"/>
          <w:lang w:val="en-US"/>
        </w:rPr>
        <w:t>Critical Victimology: International Perspectives.</w:t>
      </w:r>
      <w:r>
        <w:rPr>
          <w:rFonts w:ascii="Times New Roman" w:hAnsi="Times New Roman"/>
          <w:noProof/>
          <w:szCs w:val="24"/>
          <w:lang w:val="en-US"/>
        </w:rPr>
        <w:t xml:space="preserve"> Sage.</w:t>
      </w:r>
    </w:p>
    <w:p w14:paraId="750D54C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McCold, P and Wachel, T. (2002). </w:t>
      </w:r>
      <w:r>
        <w:rPr>
          <w:rFonts w:ascii="Times New Roman" w:hAnsi="Times New Roman"/>
          <w:i/>
          <w:iCs/>
          <w:noProof/>
          <w:szCs w:val="24"/>
          <w:lang w:val="en-US"/>
        </w:rPr>
        <w:t>‘Restorative Theory validation' In Elmer Weitekamp and H.Kerner (eds.), Restorative Justice: theoretical foundations.</w:t>
      </w:r>
      <w:r>
        <w:rPr>
          <w:rFonts w:ascii="Times New Roman" w:hAnsi="Times New Roman"/>
          <w:noProof/>
          <w:szCs w:val="24"/>
          <w:lang w:val="en-US"/>
        </w:rPr>
        <w:t xml:space="preserve"> Willan Publishing.</w:t>
      </w:r>
    </w:p>
    <w:p w14:paraId="1B79BDCB" w14:textId="77777777" w:rsidR="00294294" w:rsidRDefault="00294294" w:rsidP="00294294">
      <w:pPr>
        <w:jc w:val="both"/>
        <w:rPr>
          <w:rFonts w:ascii="Times New Roman" w:hAnsi="Times New Roman"/>
          <w:noProof/>
          <w:szCs w:val="24"/>
          <w:lang w:val="en-US"/>
        </w:rPr>
      </w:pPr>
      <w:r>
        <w:rPr>
          <w:rFonts w:ascii="Times New Roman" w:hAnsi="Times New Roman"/>
          <w:szCs w:val="24"/>
        </w:rPr>
        <w:t>McConville</w:t>
      </w:r>
      <w:r>
        <w:rPr>
          <w:rFonts w:ascii="Times New Roman" w:hAnsi="Times New Roman"/>
          <w:noProof/>
          <w:szCs w:val="24"/>
          <w:lang w:val="en-US"/>
        </w:rPr>
        <w:t xml:space="preserve">, M and Wilson, G. (2002). </w:t>
      </w:r>
      <w:r>
        <w:rPr>
          <w:rFonts w:ascii="Times New Roman" w:hAnsi="Times New Roman"/>
          <w:i/>
          <w:iCs/>
          <w:noProof/>
          <w:szCs w:val="24"/>
          <w:lang w:val="en-US"/>
        </w:rPr>
        <w:t>The Handbook of the Criminal Justice Process.</w:t>
      </w:r>
      <w:r>
        <w:rPr>
          <w:rFonts w:ascii="Times New Roman" w:hAnsi="Times New Roman"/>
          <w:noProof/>
          <w:szCs w:val="24"/>
          <w:lang w:val="en-US"/>
        </w:rPr>
        <w:t xml:space="preserve"> Oxford University Press.</w:t>
      </w:r>
    </w:p>
    <w:p w14:paraId="2872DF7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McDermott, Y. (2013). </w:t>
      </w:r>
      <w:r>
        <w:rPr>
          <w:rFonts w:ascii="Times New Roman" w:hAnsi="Times New Roman"/>
          <w:i/>
          <w:iCs/>
          <w:noProof/>
          <w:szCs w:val="24"/>
          <w:lang w:val="en-US"/>
        </w:rPr>
        <w:t>‘Rights in Reverse’ in Williams Schabas (eds), The Ashgate Research Companion to International Criminal Law.</w:t>
      </w:r>
      <w:r>
        <w:rPr>
          <w:rFonts w:ascii="Times New Roman" w:hAnsi="Times New Roman"/>
          <w:noProof/>
          <w:szCs w:val="24"/>
          <w:lang w:val="en-US"/>
        </w:rPr>
        <w:t xml:space="preserve"> Ashgate.</w:t>
      </w:r>
    </w:p>
    <w:p w14:paraId="59F31C49"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McLaughlin, C. (2007). ‘Victim and Witness Measures of the International Criminal Court: A Comparative Analysis''. </w:t>
      </w:r>
      <w:r>
        <w:rPr>
          <w:rFonts w:ascii="Times New Roman" w:hAnsi="Times New Roman"/>
          <w:i/>
          <w:iCs/>
          <w:noProof/>
          <w:szCs w:val="24"/>
          <w:lang w:val="en-US"/>
        </w:rPr>
        <w:t>The Law and Practice of the International Courts and tribunals</w:t>
      </w:r>
      <w:r>
        <w:rPr>
          <w:rFonts w:ascii="Times New Roman" w:hAnsi="Times New Roman"/>
          <w:noProof/>
          <w:szCs w:val="24"/>
          <w:lang w:val="en-US"/>
        </w:rPr>
        <w:t>.</w:t>
      </w:r>
    </w:p>
    <w:p w14:paraId="5E9110B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Moffett, L. (2014). </w:t>
      </w:r>
      <w:r>
        <w:rPr>
          <w:rFonts w:ascii="Times New Roman" w:hAnsi="Times New Roman"/>
          <w:i/>
          <w:iCs/>
          <w:noProof/>
          <w:szCs w:val="24"/>
          <w:lang w:val="en-US"/>
        </w:rPr>
        <w:t>Justice for Victims before the International Criminal Court.</w:t>
      </w:r>
      <w:r>
        <w:rPr>
          <w:rFonts w:ascii="Times New Roman" w:hAnsi="Times New Roman"/>
          <w:noProof/>
          <w:szCs w:val="24"/>
          <w:lang w:val="en-US"/>
        </w:rPr>
        <w:t xml:space="preserve"> Routledge.</w:t>
      </w:r>
    </w:p>
    <w:p w14:paraId="7E3BCB9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Moore, M. (1997). </w:t>
      </w:r>
      <w:r>
        <w:rPr>
          <w:rFonts w:ascii="Times New Roman" w:hAnsi="Times New Roman"/>
          <w:i/>
          <w:iCs/>
          <w:noProof/>
          <w:szCs w:val="24"/>
          <w:lang w:val="en-US"/>
        </w:rPr>
        <w:t>Placing Blame: A General Theory of the Criminal law.</w:t>
      </w:r>
      <w:r>
        <w:rPr>
          <w:rFonts w:ascii="Times New Roman" w:hAnsi="Times New Roman"/>
          <w:noProof/>
          <w:szCs w:val="24"/>
          <w:lang w:val="en-US"/>
        </w:rPr>
        <w:t xml:space="preserve"> University of Chicago.</w:t>
      </w:r>
    </w:p>
    <w:p w14:paraId="56FD809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Ness V and Strong, H. (1997). </w:t>
      </w:r>
      <w:r>
        <w:rPr>
          <w:rFonts w:ascii="Times New Roman" w:hAnsi="Times New Roman"/>
          <w:i/>
          <w:iCs/>
          <w:noProof/>
          <w:szCs w:val="24"/>
          <w:lang w:val="en-US"/>
        </w:rPr>
        <w:t>Restoring Justice.</w:t>
      </w:r>
      <w:r>
        <w:rPr>
          <w:rFonts w:ascii="Times New Roman" w:hAnsi="Times New Roman"/>
          <w:noProof/>
          <w:szCs w:val="24"/>
          <w:lang w:val="en-US"/>
        </w:rPr>
        <w:t xml:space="preserve"> Anderson Publishing.</w:t>
      </w:r>
    </w:p>
    <w:p w14:paraId="563C32D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Ness, V. (2002). </w:t>
      </w:r>
      <w:r>
        <w:rPr>
          <w:rFonts w:ascii="Times New Roman" w:hAnsi="Times New Roman"/>
          <w:i/>
          <w:iCs/>
          <w:noProof/>
          <w:szCs w:val="24"/>
          <w:lang w:val="en-US"/>
        </w:rPr>
        <w:t>‘The Shape of things to come: a framework for thinking about a restorative justice system' in EGM Weitekamp &amp; H. Kerner (eds), Restorative justice theoretical foundations.</w:t>
      </w:r>
      <w:r>
        <w:rPr>
          <w:rFonts w:ascii="Times New Roman" w:hAnsi="Times New Roman"/>
          <w:noProof/>
          <w:szCs w:val="24"/>
          <w:lang w:val="en-US"/>
        </w:rPr>
        <w:t xml:space="preserve"> Willan Publishing.</w:t>
      </w:r>
    </w:p>
    <w:p w14:paraId="5E77759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Ness, V and Stong, H. (2006). </w:t>
      </w:r>
      <w:r>
        <w:rPr>
          <w:rFonts w:ascii="Times New Roman" w:hAnsi="Times New Roman"/>
          <w:i/>
          <w:iCs/>
          <w:noProof/>
          <w:szCs w:val="24"/>
          <w:lang w:val="en-US"/>
        </w:rPr>
        <w:t>Restoring Justice.</w:t>
      </w:r>
      <w:r>
        <w:rPr>
          <w:rFonts w:ascii="Times New Roman" w:hAnsi="Times New Roman"/>
          <w:noProof/>
          <w:szCs w:val="24"/>
          <w:lang w:val="en-US"/>
        </w:rPr>
        <w:t xml:space="preserve"> Anderson Publishing.</w:t>
      </w:r>
    </w:p>
    <w:p w14:paraId="27E6012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Pace, W and Thieroff, M. (1999). “Participation of Non-Governmental Organisations” Roy Lee(ed), The International Criminal Court: The Making of the Rome Statute: The Issues, Negotiations, Results'.</w:t>
      </w:r>
    </w:p>
    <w:p w14:paraId="3DC65DC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Packer, H. (1968). </w:t>
      </w:r>
      <w:r>
        <w:rPr>
          <w:rFonts w:ascii="Times New Roman" w:hAnsi="Times New Roman"/>
          <w:i/>
          <w:iCs/>
          <w:noProof/>
          <w:szCs w:val="24"/>
          <w:lang w:val="en-US"/>
        </w:rPr>
        <w:t>The Limits of Criminal Sanction.</w:t>
      </w:r>
      <w:r>
        <w:rPr>
          <w:rFonts w:ascii="Times New Roman" w:hAnsi="Times New Roman"/>
          <w:noProof/>
          <w:szCs w:val="24"/>
          <w:lang w:val="en-US"/>
        </w:rPr>
        <w:t xml:space="preserve"> Stanford University Press.</w:t>
      </w:r>
    </w:p>
    <w:p w14:paraId="7E096340" w14:textId="1A637842"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Paulsson, J. (2005). </w:t>
      </w:r>
      <w:r>
        <w:rPr>
          <w:rFonts w:ascii="Times New Roman" w:hAnsi="Times New Roman"/>
          <w:i/>
          <w:iCs/>
          <w:noProof/>
          <w:szCs w:val="24"/>
          <w:lang w:val="en-US"/>
        </w:rPr>
        <w:t xml:space="preserve">Denial of Justice in </w:t>
      </w:r>
      <w:r w:rsidR="00B0259B">
        <w:rPr>
          <w:rFonts w:ascii="Times New Roman" w:hAnsi="Times New Roman"/>
          <w:i/>
          <w:iCs/>
          <w:noProof/>
          <w:szCs w:val="24"/>
          <w:lang w:val="en-US"/>
        </w:rPr>
        <w:t>I</w:t>
      </w:r>
      <w:r>
        <w:rPr>
          <w:rFonts w:ascii="Times New Roman" w:hAnsi="Times New Roman"/>
          <w:i/>
          <w:iCs/>
          <w:noProof/>
          <w:szCs w:val="24"/>
          <w:lang w:val="en-US"/>
        </w:rPr>
        <w:t>nternational Law.</w:t>
      </w:r>
      <w:r>
        <w:rPr>
          <w:rFonts w:ascii="Times New Roman" w:hAnsi="Times New Roman"/>
          <w:noProof/>
          <w:szCs w:val="24"/>
          <w:lang w:val="en-US"/>
        </w:rPr>
        <w:t xml:space="preserve"> Cambridge University Press.</w:t>
      </w:r>
    </w:p>
    <w:p w14:paraId="49319007" w14:textId="77777777" w:rsidR="00294294" w:rsidRDefault="00294294" w:rsidP="00294294">
      <w:pPr>
        <w:jc w:val="both"/>
        <w:rPr>
          <w:rFonts w:ascii="Times New Roman" w:hAnsi="Times New Roman"/>
          <w:szCs w:val="24"/>
          <w:lang w:val="en-US"/>
        </w:rPr>
      </w:pPr>
      <w:r>
        <w:rPr>
          <w:rFonts w:ascii="Times New Roman" w:hAnsi="Times New Roman"/>
          <w:noProof/>
          <w:szCs w:val="24"/>
          <w:lang w:val="en-US"/>
        </w:rPr>
        <w:t xml:space="preserve">Philpott, D. (2012). </w:t>
      </w:r>
      <w:r>
        <w:rPr>
          <w:rFonts w:ascii="Times New Roman" w:hAnsi="Times New Roman"/>
          <w:i/>
          <w:iCs/>
          <w:noProof/>
          <w:szCs w:val="24"/>
          <w:lang w:val="en-US"/>
        </w:rPr>
        <w:t>Just and Unjust Peace: An Ethic of Political Reconciliation.</w:t>
      </w:r>
      <w:r>
        <w:rPr>
          <w:rFonts w:ascii="Times New Roman" w:hAnsi="Times New Roman"/>
          <w:noProof/>
          <w:szCs w:val="24"/>
          <w:lang w:val="en-US"/>
        </w:rPr>
        <w:t xml:space="preserve"> Oxford University Press.</w:t>
      </w:r>
    </w:p>
    <w:p w14:paraId="0D6F271A" w14:textId="77777777" w:rsidR="00294294" w:rsidRDefault="00294294" w:rsidP="00294294">
      <w:pPr>
        <w:jc w:val="both"/>
        <w:rPr>
          <w:rFonts w:ascii="Times New Roman" w:hAnsi="Times New Roman"/>
          <w:szCs w:val="24"/>
          <w:lang w:val="en-US"/>
        </w:rPr>
      </w:pPr>
      <w:r>
        <w:rPr>
          <w:rFonts w:ascii="Times New Roman" w:hAnsi="Times New Roman"/>
          <w:szCs w:val="24"/>
          <w:lang w:val="en-US"/>
        </w:rPr>
        <w:t xml:space="preserve">Rawls, J. (1971). </w:t>
      </w:r>
      <w:r>
        <w:rPr>
          <w:rFonts w:ascii="Times New Roman" w:hAnsi="Times New Roman"/>
          <w:i/>
          <w:iCs/>
          <w:szCs w:val="24"/>
          <w:lang w:val="en-US"/>
        </w:rPr>
        <w:t>‘A Theory of Justice’</w:t>
      </w:r>
      <w:r>
        <w:rPr>
          <w:rFonts w:ascii="Times New Roman" w:hAnsi="Times New Roman"/>
          <w:szCs w:val="24"/>
          <w:lang w:val="en-US"/>
        </w:rPr>
        <w:t>. Cambridge, Massachusetts, Harvard University.</w:t>
      </w:r>
    </w:p>
    <w:p w14:paraId="7C3BB9A7" w14:textId="527D0ECE"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Robertson, G. (1999). </w:t>
      </w:r>
      <w:r>
        <w:rPr>
          <w:rFonts w:ascii="Times New Roman" w:hAnsi="Times New Roman"/>
          <w:i/>
          <w:iCs/>
          <w:noProof/>
          <w:szCs w:val="24"/>
          <w:lang w:val="en-US"/>
        </w:rPr>
        <w:t>Crimes Against Humanity: The Struggle for Global Justice.</w:t>
      </w:r>
      <w:r>
        <w:rPr>
          <w:rFonts w:ascii="Times New Roman" w:hAnsi="Times New Roman"/>
          <w:noProof/>
          <w:szCs w:val="24"/>
          <w:lang w:val="en-US"/>
        </w:rPr>
        <w:t xml:space="preserve"> New York: The New Press.</w:t>
      </w:r>
    </w:p>
    <w:p w14:paraId="1A4E382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Robinson, G and  Raynor, P. (2005). </w:t>
      </w:r>
      <w:r>
        <w:rPr>
          <w:rFonts w:ascii="Times New Roman" w:hAnsi="Times New Roman"/>
          <w:i/>
          <w:iCs/>
          <w:noProof/>
          <w:szCs w:val="24"/>
          <w:lang w:val="en-US"/>
        </w:rPr>
        <w:t>Rehabilitation, Crime and Justice.</w:t>
      </w:r>
      <w:r>
        <w:rPr>
          <w:rFonts w:ascii="Times New Roman" w:hAnsi="Times New Roman"/>
          <w:noProof/>
          <w:szCs w:val="24"/>
          <w:lang w:val="en-US"/>
        </w:rPr>
        <w:t xml:space="preserve"> Palgrave Macmillan.</w:t>
      </w:r>
    </w:p>
    <w:p w14:paraId="45CBF23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Schabas, W. (2004). </w:t>
      </w:r>
      <w:r>
        <w:rPr>
          <w:rFonts w:ascii="Times New Roman" w:hAnsi="Times New Roman"/>
          <w:i/>
          <w:iCs/>
          <w:noProof/>
          <w:szCs w:val="24"/>
          <w:lang w:val="en-US"/>
        </w:rPr>
        <w:t>An Introduction to the International Criminal Court.</w:t>
      </w:r>
      <w:r>
        <w:rPr>
          <w:rFonts w:ascii="Times New Roman" w:hAnsi="Times New Roman"/>
          <w:noProof/>
          <w:szCs w:val="24"/>
          <w:lang w:val="en-US"/>
        </w:rPr>
        <w:t xml:space="preserve"> Cambridge University Press.</w:t>
      </w:r>
    </w:p>
    <w:p w14:paraId="3C18634D" w14:textId="7FBB60C9"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Schabas, W. (2011). </w:t>
      </w:r>
      <w:r>
        <w:rPr>
          <w:rFonts w:ascii="Times New Roman" w:hAnsi="Times New Roman"/>
          <w:i/>
          <w:iCs/>
          <w:noProof/>
          <w:szCs w:val="24"/>
          <w:lang w:val="en-US"/>
        </w:rPr>
        <w:t xml:space="preserve">An Introduction to </w:t>
      </w:r>
      <w:r w:rsidR="00B0259B">
        <w:rPr>
          <w:rFonts w:ascii="Times New Roman" w:hAnsi="Times New Roman"/>
          <w:i/>
          <w:iCs/>
          <w:noProof/>
          <w:szCs w:val="24"/>
          <w:lang w:val="en-US"/>
        </w:rPr>
        <w:t>I</w:t>
      </w:r>
      <w:r>
        <w:rPr>
          <w:rFonts w:ascii="Times New Roman" w:hAnsi="Times New Roman"/>
          <w:i/>
          <w:iCs/>
          <w:noProof/>
          <w:szCs w:val="24"/>
          <w:lang w:val="en-US"/>
        </w:rPr>
        <w:t>nternational Criminal Court.</w:t>
      </w:r>
      <w:r>
        <w:rPr>
          <w:rFonts w:ascii="Times New Roman" w:hAnsi="Times New Roman"/>
          <w:noProof/>
          <w:szCs w:val="24"/>
          <w:lang w:val="en-US"/>
        </w:rPr>
        <w:t xml:space="preserve"> Cambridge University Press.</w:t>
      </w:r>
    </w:p>
    <w:p w14:paraId="0EA65EB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Schabas, W. (2013). </w:t>
      </w:r>
      <w:r>
        <w:rPr>
          <w:rFonts w:ascii="Times New Roman" w:hAnsi="Times New Roman"/>
          <w:i/>
          <w:iCs/>
          <w:noProof/>
          <w:szCs w:val="24"/>
          <w:lang w:val="en-US"/>
        </w:rPr>
        <w:t>The International Criminal Court: A Commentary on the Rome Statute.</w:t>
      </w:r>
      <w:r>
        <w:rPr>
          <w:rFonts w:ascii="Times New Roman" w:hAnsi="Times New Roman"/>
          <w:noProof/>
          <w:szCs w:val="24"/>
          <w:lang w:val="en-US"/>
        </w:rPr>
        <w:t xml:space="preserve"> Oxford University Press.</w:t>
      </w:r>
    </w:p>
    <w:p w14:paraId="1F8C288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Schabas, W. (2016). </w:t>
      </w:r>
      <w:r>
        <w:rPr>
          <w:rFonts w:ascii="Times New Roman" w:hAnsi="Times New Roman"/>
          <w:i/>
          <w:iCs/>
          <w:noProof/>
          <w:szCs w:val="24"/>
          <w:lang w:val="en-US"/>
        </w:rPr>
        <w:t>The International Criminal Court: A Commentary on the Rome Statute.</w:t>
      </w:r>
      <w:r>
        <w:rPr>
          <w:rFonts w:ascii="Times New Roman" w:hAnsi="Times New Roman"/>
          <w:noProof/>
          <w:szCs w:val="24"/>
          <w:lang w:val="en-US"/>
        </w:rPr>
        <w:t xml:space="preserve"> Oxford University Press.</w:t>
      </w:r>
    </w:p>
    <w:p w14:paraId="5EFAEC8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Shapland, J, Robinson, G and Sorsby, A. (2011). </w:t>
      </w:r>
      <w:r>
        <w:rPr>
          <w:rFonts w:ascii="Times New Roman" w:hAnsi="Times New Roman"/>
          <w:i/>
          <w:iCs/>
          <w:noProof/>
          <w:szCs w:val="24"/>
          <w:lang w:val="en-US"/>
        </w:rPr>
        <w:t>Restorative Justice in Practice: Evaluating what works for victims and offenders.</w:t>
      </w:r>
      <w:r>
        <w:rPr>
          <w:rFonts w:ascii="Times New Roman" w:hAnsi="Times New Roman"/>
          <w:noProof/>
          <w:szCs w:val="24"/>
          <w:lang w:val="en-US"/>
        </w:rPr>
        <w:t xml:space="preserve"> Routledge.</w:t>
      </w:r>
    </w:p>
    <w:p w14:paraId="5B4FCC3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Shapland, J, Wilmore, J and Duff, P. (1985). </w:t>
      </w:r>
      <w:r>
        <w:rPr>
          <w:rFonts w:ascii="Times New Roman" w:hAnsi="Times New Roman"/>
          <w:i/>
          <w:iCs/>
          <w:noProof/>
          <w:szCs w:val="24"/>
          <w:lang w:val="en-US"/>
        </w:rPr>
        <w:t>‘Victims and the Criminal Justice System.</w:t>
      </w:r>
      <w:r>
        <w:rPr>
          <w:rFonts w:ascii="Times New Roman" w:hAnsi="Times New Roman"/>
          <w:noProof/>
          <w:szCs w:val="24"/>
          <w:lang w:val="en-US"/>
        </w:rPr>
        <w:t xml:space="preserve"> Aldershot: Gower.</w:t>
      </w:r>
    </w:p>
    <w:p w14:paraId="1F59E1B3" w14:textId="77777777" w:rsidR="00294294" w:rsidRDefault="00294294" w:rsidP="00294294">
      <w:pPr>
        <w:jc w:val="both"/>
        <w:rPr>
          <w:rFonts w:ascii="Times New Roman" w:hAnsi="Times New Roman"/>
          <w:szCs w:val="24"/>
        </w:rPr>
      </w:pPr>
      <w:r>
        <w:rPr>
          <w:rFonts w:ascii="Times New Roman" w:hAnsi="Times New Roman"/>
          <w:noProof/>
          <w:szCs w:val="24"/>
          <w:lang w:val="en-US"/>
        </w:rPr>
        <w:t xml:space="preserve">Siegel, L. (2013). </w:t>
      </w:r>
      <w:r>
        <w:rPr>
          <w:rFonts w:ascii="Times New Roman" w:hAnsi="Times New Roman"/>
          <w:i/>
          <w:iCs/>
          <w:noProof/>
          <w:szCs w:val="24"/>
          <w:lang w:val="en-US"/>
        </w:rPr>
        <w:t>Criminology: Theories, Patterns, and Typologies.</w:t>
      </w:r>
      <w:r>
        <w:rPr>
          <w:rFonts w:ascii="Times New Roman" w:hAnsi="Times New Roman"/>
          <w:noProof/>
          <w:szCs w:val="24"/>
          <w:lang w:val="en-US"/>
        </w:rPr>
        <w:t xml:space="preserve"> Wadsworth Cengage Learning.</w:t>
      </w:r>
    </w:p>
    <w:p w14:paraId="56345EB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Strang, H. (2002). </w:t>
      </w:r>
      <w:r>
        <w:rPr>
          <w:rFonts w:ascii="Times New Roman" w:hAnsi="Times New Roman"/>
          <w:i/>
          <w:iCs/>
          <w:noProof/>
          <w:szCs w:val="24"/>
          <w:lang w:val="en-US"/>
        </w:rPr>
        <w:t>Repair and Revenge: Victims and Restorative Justice.</w:t>
      </w:r>
      <w:r>
        <w:rPr>
          <w:rFonts w:ascii="Times New Roman" w:hAnsi="Times New Roman"/>
          <w:noProof/>
          <w:szCs w:val="24"/>
          <w:lang w:val="en-US"/>
        </w:rPr>
        <w:t xml:space="preserve"> Oxford: Oxford University Press.</w:t>
      </w:r>
    </w:p>
    <w:p w14:paraId="3221EE9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Suarez, G. (2009). </w:t>
      </w:r>
      <w:r>
        <w:rPr>
          <w:rFonts w:ascii="Times New Roman" w:hAnsi="Times New Roman"/>
          <w:i/>
          <w:iCs/>
          <w:noProof/>
          <w:szCs w:val="24"/>
          <w:lang w:val="en-US"/>
        </w:rPr>
        <w:t>Kindersoldaten im Volgersstarfretch.</w:t>
      </w:r>
    </w:p>
    <w:p w14:paraId="5ACAF07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Tochilovsky, V. (1999). </w:t>
      </w:r>
      <w:r>
        <w:rPr>
          <w:rFonts w:ascii="Times New Roman" w:hAnsi="Times New Roman"/>
          <w:i/>
          <w:iCs/>
          <w:noProof/>
          <w:szCs w:val="24"/>
          <w:lang w:val="en-US"/>
        </w:rPr>
        <w:t xml:space="preserve">Victims’ Procedural Rights at Trial: Approach of Continental Europe and the International Tribunal for the Former Yugoslavia” in Van Dijk (ed) </w:t>
      </w:r>
      <w:r>
        <w:rPr>
          <w:rFonts w:ascii="Times New Roman" w:hAnsi="Times New Roman"/>
          <w:i/>
          <w:iCs/>
          <w:noProof/>
          <w:szCs w:val="24"/>
          <w:lang w:val="en-US"/>
        </w:rPr>
        <w:lastRenderedPageBreak/>
        <w:t>Caring for Crime Victims: Selected Proceedings of the 9th International Symposium on Victimology.</w:t>
      </w:r>
      <w:r>
        <w:rPr>
          <w:rFonts w:ascii="Times New Roman" w:hAnsi="Times New Roman"/>
          <w:noProof/>
          <w:szCs w:val="24"/>
          <w:lang w:val="en-US"/>
        </w:rPr>
        <w:t xml:space="preserve"> Criminal Justice Press.</w:t>
      </w:r>
    </w:p>
    <w:p w14:paraId="36780EBA" w14:textId="22ADE48E"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Tyler, T, Thibaut, J and Walker, L. (1975). </w:t>
      </w:r>
      <w:r>
        <w:rPr>
          <w:rFonts w:ascii="Times New Roman" w:hAnsi="Times New Roman"/>
          <w:i/>
          <w:iCs/>
          <w:noProof/>
          <w:szCs w:val="24"/>
          <w:lang w:val="en-US"/>
        </w:rPr>
        <w:t>A Theory of Procedure: Psychological Analysis.</w:t>
      </w:r>
      <w:r>
        <w:rPr>
          <w:rFonts w:ascii="Times New Roman" w:hAnsi="Times New Roman"/>
          <w:noProof/>
          <w:szCs w:val="24"/>
          <w:lang w:val="en-US"/>
        </w:rPr>
        <w:t xml:space="preserve"> Hillsdale, Lawrence Er</w:t>
      </w:r>
      <w:r w:rsidR="00B0259B">
        <w:rPr>
          <w:rFonts w:ascii="Times New Roman" w:hAnsi="Times New Roman"/>
          <w:noProof/>
          <w:szCs w:val="24"/>
          <w:lang w:val="en-US"/>
        </w:rPr>
        <w:t>l</w:t>
      </w:r>
      <w:r>
        <w:rPr>
          <w:rFonts w:ascii="Times New Roman" w:hAnsi="Times New Roman"/>
          <w:noProof/>
          <w:szCs w:val="24"/>
          <w:lang w:val="en-US"/>
        </w:rPr>
        <w:t>baum Association.</w:t>
      </w:r>
    </w:p>
    <w:p w14:paraId="36D9B4F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Tyler, T. (1990). </w:t>
      </w:r>
      <w:r>
        <w:rPr>
          <w:rFonts w:ascii="Times New Roman" w:hAnsi="Times New Roman"/>
          <w:i/>
          <w:iCs/>
          <w:noProof/>
          <w:szCs w:val="24"/>
          <w:lang w:val="en-US"/>
        </w:rPr>
        <w:t>Why Do People obey the Law?</w:t>
      </w:r>
      <w:r>
        <w:rPr>
          <w:rFonts w:ascii="Times New Roman" w:hAnsi="Times New Roman"/>
          <w:noProof/>
          <w:szCs w:val="24"/>
          <w:lang w:val="en-US"/>
        </w:rPr>
        <w:t xml:space="preserve"> Yale University Press.</w:t>
      </w:r>
    </w:p>
    <w:p w14:paraId="59000E7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Vennen, V. (2016). </w:t>
      </w:r>
      <w:r>
        <w:rPr>
          <w:rFonts w:ascii="Times New Roman" w:hAnsi="Times New Roman"/>
          <w:i/>
          <w:iCs/>
          <w:noProof/>
          <w:szCs w:val="24"/>
          <w:lang w:val="en-US"/>
        </w:rPr>
        <w:t>‘Towards a relational theory of restorative justice’ in B.Hopkins (ed.), Restorative Justice in Practice: Insights into what works and why.</w:t>
      </w:r>
      <w:r>
        <w:rPr>
          <w:rFonts w:ascii="Times New Roman" w:hAnsi="Times New Roman"/>
          <w:noProof/>
          <w:szCs w:val="24"/>
          <w:lang w:val="en-US"/>
        </w:rPr>
        <w:t xml:space="preserve"> Jessica Kingsley Publishers.</w:t>
      </w:r>
    </w:p>
    <w:p w14:paraId="7237E7E9"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Walgrave, L. (2008). </w:t>
      </w:r>
      <w:r>
        <w:rPr>
          <w:rFonts w:ascii="Times New Roman" w:hAnsi="Times New Roman"/>
          <w:i/>
          <w:iCs/>
          <w:noProof/>
          <w:szCs w:val="24"/>
          <w:lang w:val="en-US"/>
        </w:rPr>
        <w:t>Restorative Justice Self-Interest and Responsible Citizenship.</w:t>
      </w:r>
      <w:r>
        <w:rPr>
          <w:rFonts w:ascii="Times New Roman" w:hAnsi="Times New Roman"/>
          <w:noProof/>
          <w:szCs w:val="24"/>
          <w:lang w:val="en-US"/>
        </w:rPr>
        <w:t xml:space="preserve"> Willan Publishing.</w:t>
      </w:r>
    </w:p>
    <w:p w14:paraId="65C8B91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Wormer, V and Walker, L. (2013). </w:t>
      </w:r>
      <w:r>
        <w:rPr>
          <w:rFonts w:ascii="Times New Roman" w:hAnsi="Times New Roman"/>
          <w:i/>
          <w:iCs/>
          <w:noProof/>
          <w:szCs w:val="24"/>
          <w:lang w:val="en-US"/>
        </w:rPr>
        <w:t>‘Preface’, In Van Warmer and L. Walker (eds), Restorative justice today: practical applications.</w:t>
      </w:r>
      <w:r>
        <w:rPr>
          <w:rFonts w:ascii="Times New Roman" w:hAnsi="Times New Roman"/>
          <w:noProof/>
          <w:szCs w:val="24"/>
          <w:lang w:val="en-US"/>
        </w:rPr>
        <w:t xml:space="preserve"> Sage.</w:t>
      </w:r>
    </w:p>
    <w:p w14:paraId="6070E93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Walther, S. (2012). </w:t>
      </w:r>
      <w:r>
        <w:rPr>
          <w:rFonts w:ascii="Times New Roman" w:hAnsi="Times New Roman"/>
          <w:i/>
          <w:iCs/>
          <w:noProof/>
          <w:szCs w:val="24"/>
          <w:lang w:val="en-US"/>
        </w:rPr>
        <w:t>‘Victims Rights: Procedural and Constitutional Principles for Victim Participation in Germany‘ in Edna Erez, Michael Kilchling and Jo-Anne Wemmers (eds), Therapeutic Jurisprudence and Victim Participation in Justice.</w:t>
      </w:r>
      <w:r>
        <w:rPr>
          <w:rFonts w:ascii="Times New Roman" w:hAnsi="Times New Roman"/>
          <w:noProof/>
          <w:szCs w:val="24"/>
          <w:lang w:val="en-US"/>
        </w:rPr>
        <w:t xml:space="preserve"> Caroline Academic Press.</w:t>
      </w:r>
    </w:p>
    <w:p w14:paraId="66B0B31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Weigend, T. (2005). </w:t>
      </w:r>
      <w:r>
        <w:rPr>
          <w:rFonts w:ascii="Times New Roman" w:hAnsi="Times New Roman"/>
          <w:i/>
          <w:iCs/>
          <w:noProof/>
          <w:szCs w:val="24"/>
          <w:lang w:val="en-US"/>
        </w:rPr>
        <w:t>'Sentencing and Punishment in Germany ‘, in Michael Tonry and Richard Fraser (eds), sentencing and sanctions in Western Countries.</w:t>
      </w:r>
      <w:r>
        <w:rPr>
          <w:rFonts w:ascii="Times New Roman" w:hAnsi="Times New Roman"/>
          <w:noProof/>
          <w:szCs w:val="24"/>
          <w:lang w:val="en-US"/>
        </w:rPr>
        <w:t xml:space="preserve"> Oxford University Press.</w:t>
      </w:r>
    </w:p>
    <w:p w14:paraId="23D40CD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Wemmers, J.-A. (2017). </w:t>
      </w:r>
      <w:r>
        <w:rPr>
          <w:rFonts w:ascii="Times New Roman" w:hAnsi="Times New Roman"/>
          <w:i/>
          <w:iCs/>
          <w:noProof/>
          <w:szCs w:val="24"/>
          <w:lang w:val="en-US"/>
        </w:rPr>
        <w:t>Victimology: A Canadian Perspective.</w:t>
      </w:r>
      <w:r>
        <w:rPr>
          <w:rFonts w:ascii="Times New Roman" w:hAnsi="Times New Roman"/>
          <w:noProof/>
          <w:szCs w:val="24"/>
          <w:lang w:val="en-US"/>
        </w:rPr>
        <w:t xml:space="preserve"> University of Toronto Press.</w:t>
      </w:r>
    </w:p>
    <w:p w14:paraId="18FE765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Wemmers, J.-A., M. (2011). </w:t>
      </w:r>
      <w:r>
        <w:rPr>
          <w:rFonts w:ascii="Times New Roman" w:hAnsi="Times New Roman"/>
          <w:i/>
          <w:iCs/>
          <w:noProof/>
          <w:szCs w:val="24"/>
          <w:lang w:val="en-US"/>
        </w:rPr>
        <w:t>Victims need for justice: individual versus collective justice in R. Letschert, R. Haveman, A. M de Brouwer and A. Pemberton (eds.), Victimology approaches to international crimes.</w:t>
      </w:r>
      <w:r>
        <w:rPr>
          <w:rFonts w:ascii="Times New Roman" w:hAnsi="Times New Roman"/>
          <w:noProof/>
          <w:szCs w:val="24"/>
          <w:lang w:val="en-US"/>
        </w:rPr>
        <w:t xml:space="preserve"> Intersentia.</w:t>
      </w:r>
    </w:p>
    <w:p w14:paraId="750FC63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Wemmers, J.-A., M. (2014). </w:t>
      </w:r>
      <w:r>
        <w:rPr>
          <w:rFonts w:ascii="Times New Roman" w:hAnsi="Times New Roman"/>
          <w:i/>
          <w:iCs/>
          <w:noProof/>
          <w:szCs w:val="24"/>
          <w:lang w:val="en-US"/>
        </w:rPr>
        <w:t>The Healing Role of Reparations, Jo-Anne Wemmers (ed.) Reparations for Victims of Crimes against Humanity.</w:t>
      </w:r>
      <w:r>
        <w:rPr>
          <w:rFonts w:ascii="Times New Roman" w:hAnsi="Times New Roman"/>
          <w:noProof/>
          <w:szCs w:val="24"/>
          <w:lang w:val="en-US"/>
        </w:rPr>
        <w:t xml:space="preserve"> Routledge Publishing.</w:t>
      </w:r>
    </w:p>
    <w:p w14:paraId="7933420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Zehr, H. (2002). </w:t>
      </w:r>
      <w:r>
        <w:rPr>
          <w:rFonts w:ascii="Times New Roman" w:hAnsi="Times New Roman"/>
          <w:i/>
          <w:iCs/>
          <w:noProof/>
          <w:szCs w:val="24"/>
          <w:lang w:val="en-US"/>
        </w:rPr>
        <w:t>The Little Book of Restorative Justice: Revised and Updated.</w:t>
      </w:r>
      <w:r>
        <w:rPr>
          <w:rFonts w:ascii="Times New Roman" w:hAnsi="Times New Roman"/>
          <w:noProof/>
          <w:szCs w:val="24"/>
          <w:lang w:val="en-US"/>
        </w:rPr>
        <w:t xml:space="preserve"> The Little Book of Justice and Peacebuilding.</w:t>
      </w:r>
    </w:p>
    <w:p w14:paraId="3E790D0A" w14:textId="77777777" w:rsidR="00294294" w:rsidRDefault="00294294" w:rsidP="00294294">
      <w:pPr>
        <w:jc w:val="both"/>
        <w:rPr>
          <w:rFonts w:ascii="Times New Roman" w:hAnsi="Times New Roman"/>
          <w:szCs w:val="24"/>
          <w:lang w:val="en-US"/>
        </w:rPr>
      </w:pPr>
    </w:p>
    <w:p w14:paraId="44F61445" w14:textId="77777777" w:rsidR="00294294" w:rsidRDefault="00294294" w:rsidP="00294294">
      <w:pPr>
        <w:jc w:val="both"/>
        <w:rPr>
          <w:rFonts w:ascii="Times New Roman" w:hAnsi="Times New Roman"/>
          <w:szCs w:val="24"/>
          <w:lang w:val="en-US"/>
        </w:rPr>
      </w:pPr>
    </w:p>
    <w:p w14:paraId="228D5041" w14:textId="0425EEC3" w:rsidR="00294294" w:rsidRDefault="00294294" w:rsidP="00294294">
      <w:pPr>
        <w:jc w:val="both"/>
        <w:rPr>
          <w:rFonts w:ascii="Times New Roman" w:hAnsi="Times New Roman"/>
          <w:b/>
          <w:bCs/>
          <w:szCs w:val="24"/>
        </w:rPr>
      </w:pPr>
      <w:r>
        <w:rPr>
          <w:rFonts w:ascii="Times New Roman" w:hAnsi="Times New Roman"/>
          <w:b/>
          <w:bCs/>
          <w:szCs w:val="24"/>
        </w:rPr>
        <w:t>Articles</w:t>
      </w:r>
    </w:p>
    <w:p w14:paraId="224CA4D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Akhaven, P. (2001). ’Beyond Impunity: Can International Criminal Justice Prevent Future Atrocities?’. </w:t>
      </w:r>
      <w:r>
        <w:rPr>
          <w:rFonts w:ascii="Times New Roman" w:hAnsi="Times New Roman"/>
          <w:i/>
          <w:iCs/>
          <w:noProof/>
          <w:szCs w:val="24"/>
          <w:lang w:val="en-US"/>
        </w:rPr>
        <w:t>American Journal of International Law</w:t>
      </w:r>
      <w:r>
        <w:rPr>
          <w:rFonts w:ascii="Times New Roman" w:hAnsi="Times New Roman"/>
          <w:noProof/>
          <w:szCs w:val="24"/>
          <w:lang w:val="en-US"/>
        </w:rPr>
        <w:t>, 27.</w:t>
      </w:r>
    </w:p>
    <w:p w14:paraId="715C435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Aldana-Pindell, R. (2002). In Vindication of Justiticiable Victims’ Rights to Truth and Justice for State-Sponsored Crimes. </w:t>
      </w:r>
      <w:r>
        <w:rPr>
          <w:rFonts w:ascii="Times New Roman" w:hAnsi="Times New Roman"/>
          <w:i/>
          <w:iCs/>
          <w:noProof/>
          <w:szCs w:val="24"/>
          <w:lang w:val="en-US"/>
        </w:rPr>
        <w:t>Vander Journal of Transnational Law</w:t>
      </w:r>
      <w:r>
        <w:rPr>
          <w:rFonts w:ascii="Times New Roman" w:hAnsi="Times New Roman"/>
          <w:noProof/>
          <w:szCs w:val="24"/>
          <w:lang w:val="en-US"/>
        </w:rPr>
        <w:t>, 1399-1413.</w:t>
      </w:r>
    </w:p>
    <w:p w14:paraId="7B9030C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Ambos, K. (2003). 'International Criminal Procedure: adversarial, inquisitorial or mixed?'. </w:t>
      </w:r>
      <w:r>
        <w:rPr>
          <w:rFonts w:ascii="Times New Roman" w:hAnsi="Times New Roman"/>
          <w:i/>
          <w:iCs/>
          <w:noProof/>
          <w:szCs w:val="24"/>
          <w:lang w:val="en-US"/>
        </w:rPr>
        <w:t>International Criminal Law</w:t>
      </w:r>
      <w:r>
        <w:rPr>
          <w:rFonts w:ascii="Times New Roman" w:hAnsi="Times New Roman"/>
          <w:noProof/>
          <w:szCs w:val="24"/>
          <w:lang w:val="en-US"/>
        </w:rPr>
        <w:t>.</w:t>
      </w:r>
    </w:p>
    <w:p w14:paraId="65AC29E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Andrew, S and Bonita J. (2010). ‘Rehabilitating Criminal Justice Policy and Practice'. </w:t>
      </w:r>
      <w:r>
        <w:rPr>
          <w:rFonts w:ascii="Times New Roman" w:hAnsi="Times New Roman"/>
          <w:i/>
          <w:iCs/>
          <w:noProof/>
          <w:szCs w:val="24"/>
          <w:lang w:val="en-US"/>
        </w:rPr>
        <w:t>Psychology, Public Policy and Law</w:t>
      </w:r>
      <w:r>
        <w:rPr>
          <w:rFonts w:ascii="Times New Roman" w:hAnsi="Times New Roman"/>
          <w:noProof/>
          <w:szCs w:val="24"/>
          <w:lang w:val="en-US"/>
        </w:rPr>
        <w:t>, 39-55.</w:t>
      </w:r>
    </w:p>
    <w:p w14:paraId="18D0FE4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Aptel, C. (2012). “Prosecutorial discretion at the ICC and victims’ right to remedy: Narrowing the Impunity Gap”. </w:t>
      </w:r>
      <w:r>
        <w:rPr>
          <w:rFonts w:ascii="Times New Roman" w:hAnsi="Times New Roman"/>
          <w:i/>
          <w:iCs/>
          <w:noProof/>
          <w:szCs w:val="24"/>
          <w:lang w:val="en-US"/>
        </w:rPr>
        <w:t>Journal of International Criminal Justice</w:t>
      </w:r>
      <w:r>
        <w:rPr>
          <w:rFonts w:ascii="Times New Roman" w:hAnsi="Times New Roman"/>
          <w:noProof/>
          <w:szCs w:val="24"/>
          <w:lang w:val="en-US"/>
        </w:rPr>
        <w:t>.</w:t>
      </w:r>
    </w:p>
    <w:p w14:paraId="24B8B95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Barnett, R. (1977). Restitution: A New Paradigm of Criminal Justice. </w:t>
      </w:r>
      <w:r>
        <w:rPr>
          <w:rFonts w:ascii="Times New Roman" w:hAnsi="Times New Roman"/>
          <w:i/>
          <w:iCs/>
          <w:noProof/>
          <w:szCs w:val="24"/>
          <w:lang w:val="en-US"/>
        </w:rPr>
        <w:t>Ethics</w:t>
      </w:r>
      <w:r>
        <w:rPr>
          <w:rFonts w:ascii="Times New Roman" w:hAnsi="Times New Roman"/>
          <w:noProof/>
          <w:szCs w:val="24"/>
          <w:lang w:val="en-US"/>
        </w:rPr>
        <w:t>, 279-284.</w:t>
      </w:r>
    </w:p>
    <w:p w14:paraId="5DAA677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Bassiouni, C. (1982). The Proscribing Function of International Criminal Law in the Process of International Protection of Human Rights. </w:t>
      </w:r>
      <w:r>
        <w:rPr>
          <w:rFonts w:ascii="Times New Roman" w:hAnsi="Times New Roman"/>
          <w:i/>
          <w:iCs/>
          <w:noProof/>
          <w:szCs w:val="24"/>
          <w:lang w:val="en-US"/>
        </w:rPr>
        <w:t>Yale Journal of International Law</w:t>
      </w:r>
      <w:r>
        <w:rPr>
          <w:rFonts w:ascii="Times New Roman" w:hAnsi="Times New Roman"/>
          <w:noProof/>
          <w:szCs w:val="24"/>
          <w:lang w:val="en-US"/>
        </w:rPr>
        <w:t>.</w:t>
      </w:r>
    </w:p>
    <w:p w14:paraId="6D50108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Bassiouni, C. (2006). ‘International Recognition of Victims’ Rights'. </w:t>
      </w:r>
      <w:r>
        <w:rPr>
          <w:rFonts w:ascii="Times New Roman" w:hAnsi="Times New Roman"/>
          <w:i/>
          <w:iCs/>
          <w:noProof/>
          <w:szCs w:val="24"/>
          <w:lang w:val="en-US"/>
        </w:rPr>
        <w:t>Human Rights Law Review</w:t>
      </w:r>
      <w:r>
        <w:rPr>
          <w:rFonts w:ascii="Times New Roman" w:hAnsi="Times New Roman"/>
          <w:noProof/>
          <w:szCs w:val="24"/>
          <w:lang w:val="en-US"/>
        </w:rPr>
        <w:t>, 203-279.</w:t>
      </w:r>
    </w:p>
    <w:p w14:paraId="3397E6A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Bennet, L. (1999). Systemic Obstacles to the Criminal Prosecution of a Battering Partner: A Victim Perspective. </w:t>
      </w:r>
      <w:r>
        <w:rPr>
          <w:rFonts w:ascii="Times New Roman" w:hAnsi="Times New Roman"/>
          <w:i/>
          <w:iCs/>
          <w:noProof/>
          <w:szCs w:val="24"/>
          <w:lang w:val="en-US"/>
        </w:rPr>
        <w:t>Journal of Interpersonal Violence</w:t>
      </w:r>
      <w:r>
        <w:rPr>
          <w:rFonts w:ascii="Times New Roman" w:hAnsi="Times New Roman"/>
          <w:noProof/>
          <w:szCs w:val="24"/>
          <w:lang w:val="en-US"/>
        </w:rPr>
        <w:t>, 761.</w:t>
      </w:r>
    </w:p>
    <w:p w14:paraId="6577C6F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Beresford, S. (2001). “Unshackling the Paper Tiger-the Sentencing Practices of the Ad Hoc International Criminal Tribunals for the Former Yugoslavia and Rwanda". </w:t>
      </w:r>
      <w:r>
        <w:rPr>
          <w:rFonts w:ascii="Times New Roman" w:hAnsi="Times New Roman"/>
          <w:i/>
          <w:iCs/>
          <w:noProof/>
          <w:szCs w:val="24"/>
          <w:lang w:val="en-US"/>
        </w:rPr>
        <w:t>International Criminal Law Review</w:t>
      </w:r>
      <w:r>
        <w:rPr>
          <w:rFonts w:ascii="Times New Roman" w:hAnsi="Times New Roman"/>
          <w:noProof/>
          <w:szCs w:val="24"/>
          <w:lang w:val="en-US"/>
        </w:rPr>
        <w:t>, 33.</w:t>
      </w:r>
    </w:p>
    <w:p w14:paraId="3F18E41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Bibas, S and Bierschbach, R. A. (2004). Integrating Remorse and Apology into Criminal Procedure. </w:t>
      </w:r>
      <w:r>
        <w:rPr>
          <w:rFonts w:ascii="Times New Roman" w:hAnsi="Times New Roman"/>
          <w:i/>
          <w:iCs/>
          <w:noProof/>
          <w:szCs w:val="24"/>
          <w:lang w:val="en-US"/>
        </w:rPr>
        <w:t>Yale Law Journal</w:t>
      </w:r>
      <w:r>
        <w:rPr>
          <w:rFonts w:ascii="Times New Roman" w:hAnsi="Times New Roman"/>
          <w:noProof/>
          <w:szCs w:val="24"/>
          <w:lang w:val="en-US"/>
        </w:rPr>
        <w:t>, 85.</w:t>
      </w:r>
    </w:p>
    <w:p w14:paraId="38F2676C" w14:textId="77777777" w:rsidR="00294294" w:rsidRDefault="00294294" w:rsidP="00294294">
      <w:pPr>
        <w:jc w:val="both"/>
        <w:rPr>
          <w:rFonts w:ascii="Times New Roman" w:hAnsi="Times New Roman"/>
          <w:szCs w:val="24"/>
          <w:lang w:val="en-US"/>
        </w:rPr>
      </w:pPr>
      <w:r>
        <w:rPr>
          <w:rFonts w:ascii="Times New Roman" w:hAnsi="Times New Roman"/>
          <w:noProof/>
          <w:szCs w:val="24"/>
          <w:lang w:val="en-US"/>
        </w:rPr>
        <w:t xml:space="preserve">Blad, J. (2015). ‘The Politics of restorative justice'. </w:t>
      </w:r>
      <w:r>
        <w:rPr>
          <w:rFonts w:ascii="Times New Roman" w:hAnsi="Times New Roman"/>
          <w:i/>
          <w:iCs/>
          <w:noProof/>
          <w:szCs w:val="24"/>
          <w:lang w:val="en-US"/>
        </w:rPr>
        <w:t>Restorative Justice: An International Journal</w:t>
      </w:r>
      <w:r>
        <w:rPr>
          <w:rFonts w:ascii="Times New Roman" w:hAnsi="Times New Roman"/>
          <w:noProof/>
          <w:szCs w:val="24"/>
          <w:lang w:val="en-US"/>
        </w:rPr>
        <w:t>, 1-5.</w:t>
      </w:r>
    </w:p>
    <w:p w14:paraId="46766EC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Booth, T, Bosma, A and Lens K. (2018). ‘Accommodating the Expressive Function of Victim Impact Statements: The Scope for Victims’ Voices in Dutch Courtrooms'. </w:t>
      </w:r>
      <w:r>
        <w:rPr>
          <w:rFonts w:ascii="Times New Roman" w:hAnsi="Times New Roman"/>
          <w:i/>
          <w:iCs/>
          <w:noProof/>
          <w:szCs w:val="24"/>
          <w:lang w:val="en-US"/>
        </w:rPr>
        <w:t>British Journal of Criminology</w:t>
      </w:r>
      <w:r>
        <w:rPr>
          <w:rFonts w:ascii="Times New Roman" w:hAnsi="Times New Roman"/>
          <w:noProof/>
          <w:szCs w:val="24"/>
          <w:lang w:val="en-US"/>
        </w:rPr>
        <w:t>, 1480-1498.</w:t>
      </w:r>
    </w:p>
    <w:p w14:paraId="4883B7C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Braun, K. (2013). ‘Giving Victims a Voice: On the Problems of Introducing Victim Impact Statements in German Criminal Procedure'. </w:t>
      </w:r>
      <w:r>
        <w:rPr>
          <w:rFonts w:ascii="Times New Roman" w:hAnsi="Times New Roman"/>
          <w:i/>
          <w:iCs/>
          <w:noProof/>
          <w:szCs w:val="24"/>
          <w:lang w:val="en-US"/>
        </w:rPr>
        <w:t>German Law Journal</w:t>
      </w:r>
      <w:r>
        <w:rPr>
          <w:rFonts w:ascii="Times New Roman" w:hAnsi="Times New Roman"/>
          <w:noProof/>
          <w:szCs w:val="24"/>
          <w:lang w:val="en-US"/>
        </w:rPr>
        <w:t>, 1889-1891.</w:t>
      </w:r>
    </w:p>
    <w:p w14:paraId="002D588F" w14:textId="77777777" w:rsidR="00294294" w:rsidRDefault="00294294" w:rsidP="00294294">
      <w:pPr>
        <w:jc w:val="both"/>
        <w:rPr>
          <w:rFonts w:ascii="Times New Roman" w:hAnsi="Times New Roman"/>
          <w:szCs w:val="24"/>
          <w:lang w:val="en-US"/>
        </w:rPr>
      </w:pPr>
      <w:r>
        <w:rPr>
          <w:rFonts w:ascii="Times New Roman" w:hAnsi="Times New Roman"/>
          <w:noProof/>
          <w:szCs w:val="24"/>
          <w:lang w:val="en-US"/>
        </w:rPr>
        <w:t xml:space="preserve">Brubacher, M. (2004). ‘Prosecutorial Discretion within the International Criminal Court’. </w:t>
      </w:r>
      <w:r>
        <w:rPr>
          <w:rFonts w:ascii="Times New Roman" w:hAnsi="Times New Roman"/>
          <w:i/>
          <w:iCs/>
          <w:noProof/>
          <w:szCs w:val="24"/>
          <w:lang w:val="en-US"/>
        </w:rPr>
        <w:t>Journal of International Criminal Justice</w:t>
      </w:r>
      <w:r>
        <w:rPr>
          <w:rFonts w:ascii="Times New Roman" w:hAnsi="Times New Roman"/>
          <w:noProof/>
          <w:szCs w:val="24"/>
          <w:lang w:val="en-US"/>
        </w:rPr>
        <w:t>.</w:t>
      </w:r>
    </w:p>
    <w:p w14:paraId="66AB199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Christie, N. (1977). 'Conflict As Property'. </w:t>
      </w:r>
      <w:r>
        <w:rPr>
          <w:rFonts w:ascii="Times New Roman" w:hAnsi="Times New Roman"/>
          <w:i/>
          <w:iCs/>
          <w:noProof/>
          <w:szCs w:val="24"/>
          <w:lang w:val="en-US"/>
        </w:rPr>
        <w:t>British Journal of Criminology</w:t>
      </w:r>
      <w:r>
        <w:rPr>
          <w:rFonts w:ascii="Times New Roman" w:hAnsi="Times New Roman"/>
          <w:noProof/>
          <w:szCs w:val="24"/>
          <w:lang w:val="en-US"/>
        </w:rPr>
        <w:t>.</w:t>
      </w:r>
    </w:p>
    <w:p w14:paraId="4D00FC0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Christodoulidis, E. (2000). ‘Truth and Reconciliation as Risks'. </w:t>
      </w:r>
      <w:r>
        <w:rPr>
          <w:rFonts w:ascii="Times New Roman" w:hAnsi="Times New Roman"/>
          <w:i/>
          <w:iCs/>
          <w:noProof/>
          <w:szCs w:val="24"/>
          <w:lang w:val="en-US"/>
        </w:rPr>
        <w:t>Social and legal Studies</w:t>
      </w:r>
      <w:r>
        <w:rPr>
          <w:rFonts w:ascii="Times New Roman" w:hAnsi="Times New Roman"/>
          <w:noProof/>
          <w:szCs w:val="24"/>
          <w:lang w:val="en-US"/>
        </w:rPr>
        <w:t>, 179.</w:t>
      </w:r>
    </w:p>
    <w:p w14:paraId="39D0DEA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Chung, C. (2008). ‘Victims’ Participation at the International Criminal Court: Are Concessions of the Court Clouding the Promise?'. </w:t>
      </w:r>
      <w:r>
        <w:rPr>
          <w:rFonts w:ascii="Times New Roman" w:hAnsi="Times New Roman"/>
          <w:i/>
          <w:iCs/>
          <w:noProof/>
          <w:szCs w:val="24"/>
          <w:lang w:val="en-US"/>
        </w:rPr>
        <w:t>Northwestern Journal of Human Rights</w:t>
      </w:r>
      <w:r>
        <w:rPr>
          <w:rFonts w:ascii="Times New Roman" w:hAnsi="Times New Roman"/>
          <w:noProof/>
          <w:szCs w:val="24"/>
          <w:lang w:val="en-US"/>
        </w:rPr>
        <w:t>, 459.</w:t>
      </w:r>
    </w:p>
    <w:p w14:paraId="1CF96A4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Clark, J. (2009). ‘The Limits of Retributive Justice:Findings of an Empirical Study in Bosnia and Herzegovina’. </w:t>
      </w:r>
      <w:r>
        <w:rPr>
          <w:rFonts w:ascii="Times New Roman" w:hAnsi="Times New Roman"/>
          <w:i/>
          <w:iCs/>
          <w:noProof/>
          <w:szCs w:val="24"/>
          <w:lang w:val="en-US"/>
        </w:rPr>
        <w:t>Journal of International Criminal Justice</w:t>
      </w:r>
      <w:r>
        <w:rPr>
          <w:rFonts w:ascii="Times New Roman" w:hAnsi="Times New Roman"/>
          <w:noProof/>
          <w:szCs w:val="24"/>
          <w:lang w:val="en-US"/>
        </w:rPr>
        <w:t>, 463.</w:t>
      </w:r>
    </w:p>
    <w:p w14:paraId="2770056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Cleary, S. S. (2008). ‘Victims’ Participation in the Investigations of the International Criminal Court'. </w:t>
      </w:r>
      <w:r>
        <w:rPr>
          <w:rFonts w:ascii="Times New Roman" w:hAnsi="Times New Roman"/>
          <w:i/>
          <w:iCs/>
          <w:noProof/>
          <w:szCs w:val="24"/>
          <w:lang w:val="en-US"/>
        </w:rPr>
        <w:t>Transnational Law and Contemporary Problem</w:t>
      </w:r>
      <w:r>
        <w:rPr>
          <w:rFonts w:ascii="Times New Roman" w:hAnsi="Times New Roman"/>
          <w:noProof/>
          <w:szCs w:val="24"/>
          <w:lang w:val="en-US"/>
        </w:rPr>
        <w:t>, 73-105.</w:t>
      </w:r>
    </w:p>
    <w:p w14:paraId="0F8D37A9" w14:textId="77777777" w:rsidR="00294294" w:rsidRDefault="00294294" w:rsidP="00294294">
      <w:pPr>
        <w:jc w:val="both"/>
        <w:rPr>
          <w:rFonts w:ascii="Times New Roman" w:hAnsi="Times New Roman"/>
          <w:szCs w:val="24"/>
        </w:rPr>
      </w:pPr>
      <w:r>
        <w:rPr>
          <w:rFonts w:ascii="Times New Roman" w:hAnsi="Times New Roman"/>
          <w:noProof/>
          <w:szCs w:val="24"/>
          <w:lang w:val="en-US"/>
        </w:rPr>
        <w:t xml:space="preserve">Cote, L. (2005). “Reflections on the Exercise of the Prosecutorial Discretion in International Criminal Law''. </w:t>
      </w:r>
      <w:r>
        <w:rPr>
          <w:rFonts w:ascii="Times New Roman" w:hAnsi="Times New Roman"/>
          <w:i/>
          <w:iCs/>
          <w:noProof/>
          <w:szCs w:val="24"/>
          <w:lang w:val="en-US"/>
        </w:rPr>
        <w:t>Journal of International Criminal Justice</w:t>
      </w:r>
      <w:r>
        <w:rPr>
          <w:rFonts w:ascii="Times New Roman" w:hAnsi="Times New Roman"/>
          <w:noProof/>
          <w:szCs w:val="24"/>
          <w:lang w:val="en-US"/>
        </w:rPr>
        <w:t>, 162-189.</w:t>
      </w:r>
    </w:p>
    <w:p w14:paraId="379D1B0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Cryer, R. C. (2009). 'Royalism and the King Article 21 of the Rome Statute and the Politics of Sources'. </w:t>
      </w:r>
      <w:r>
        <w:rPr>
          <w:rFonts w:ascii="Times New Roman" w:hAnsi="Times New Roman"/>
          <w:i/>
          <w:iCs/>
          <w:noProof/>
          <w:szCs w:val="24"/>
          <w:lang w:val="en-US"/>
        </w:rPr>
        <w:t>New Criminal Law Review</w:t>
      </w:r>
      <w:r>
        <w:rPr>
          <w:rFonts w:ascii="Times New Roman" w:hAnsi="Times New Roman"/>
          <w:noProof/>
          <w:szCs w:val="24"/>
          <w:lang w:val="en-US"/>
        </w:rPr>
        <w:t>, 390-391.</w:t>
      </w:r>
    </w:p>
    <w:p w14:paraId="21236E3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Czametzky, J and Rychlak, R. (2003). “An Empire of Law?: Legalism and the International Criminal Court'. </w:t>
      </w:r>
      <w:r>
        <w:rPr>
          <w:rFonts w:ascii="Times New Roman" w:hAnsi="Times New Roman"/>
          <w:i/>
          <w:iCs/>
          <w:noProof/>
          <w:szCs w:val="24"/>
          <w:lang w:val="en-US"/>
        </w:rPr>
        <w:t>Notre Dame Law Review</w:t>
      </w:r>
      <w:r>
        <w:rPr>
          <w:rFonts w:ascii="Times New Roman" w:hAnsi="Times New Roman"/>
          <w:noProof/>
          <w:szCs w:val="24"/>
          <w:lang w:val="en-US"/>
        </w:rPr>
        <w:t>.</w:t>
      </w:r>
    </w:p>
    <w:p w14:paraId="6748A339"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Danner, A. (2001). Constructing Hierarchy of Crimes in International Criminal Law Sentencing. </w:t>
      </w:r>
      <w:r>
        <w:rPr>
          <w:rFonts w:ascii="Times New Roman" w:hAnsi="Times New Roman"/>
          <w:i/>
          <w:iCs/>
          <w:noProof/>
          <w:szCs w:val="24"/>
          <w:lang w:val="en-US"/>
        </w:rPr>
        <w:t>Vancouver Law Review</w:t>
      </w:r>
      <w:r>
        <w:rPr>
          <w:rFonts w:ascii="Times New Roman" w:hAnsi="Times New Roman"/>
          <w:noProof/>
          <w:szCs w:val="24"/>
          <w:lang w:val="en-US"/>
        </w:rPr>
        <w:t>, 415-442.</w:t>
      </w:r>
    </w:p>
    <w:p w14:paraId="68AAC11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Danner, A. (2003). ‘Enhancing the Legitimacy and Accountability of Prosecutorial Discretion at the International Criminal Court'. </w:t>
      </w:r>
      <w:r>
        <w:rPr>
          <w:rFonts w:ascii="Times New Roman" w:hAnsi="Times New Roman"/>
          <w:i/>
          <w:iCs/>
          <w:noProof/>
          <w:szCs w:val="24"/>
          <w:lang w:val="en-US"/>
        </w:rPr>
        <w:t>American Journal of International Law</w:t>
      </w:r>
      <w:r>
        <w:rPr>
          <w:rFonts w:ascii="Times New Roman" w:hAnsi="Times New Roman"/>
          <w:noProof/>
          <w:szCs w:val="24"/>
          <w:lang w:val="en-US"/>
        </w:rPr>
        <w:t>, 510-552.</w:t>
      </w:r>
    </w:p>
    <w:p w14:paraId="79BE3AB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Danner, A. (2003). ‘Navigating law and politics: the prosecutor of the International Criminal Court and the Independent Counsel’. </w:t>
      </w:r>
      <w:r>
        <w:rPr>
          <w:rFonts w:ascii="Times New Roman" w:hAnsi="Times New Roman"/>
          <w:i/>
          <w:iCs/>
          <w:noProof/>
          <w:szCs w:val="24"/>
          <w:lang w:val="en-US"/>
        </w:rPr>
        <w:t>Standford Law Review</w:t>
      </w:r>
      <w:r>
        <w:rPr>
          <w:rFonts w:ascii="Times New Roman" w:hAnsi="Times New Roman"/>
          <w:noProof/>
          <w:szCs w:val="24"/>
          <w:lang w:val="en-US"/>
        </w:rPr>
        <w:t>, 1655.</w:t>
      </w:r>
    </w:p>
    <w:p w14:paraId="11E0450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De Hoon, M. (2017). “The Future of the International Criminal Court.On Critique, Legalism and Strengthening the ICC’s Legitimacy '. </w:t>
      </w:r>
      <w:r>
        <w:rPr>
          <w:rFonts w:ascii="Times New Roman" w:hAnsi="Times New Roman"/>
          <w:i/>
          <w:iCs/>
          <w:noProof/>
          <w:szCs w:val="24"/>
          <w:lang w:val="en-US"/>
        </w:rPr>
        <w:t>International Criminal Law Review</w:t>
      </w:r>
      <w:r>
        <w:rPr>
          <w:rFonts w:ascii="Times New Roman" w:hAnsi="Times New Roman"/>
          <w:noProof/>
          <w:szCs w:val="24"/>
          <w:lang w:val="en-US"/>
        </w:rPr>
        <w:t>, 591-595.</w:t>
      </w:r>
    </w:p>
    <w:p w14:paraId="63C49B1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Delmas-Marty, M. (2006). ‘Interaction between National and International Criminal Law in the Preliminary Phase of Trial at the ICC’. </w:t>
      </w:r>
      <w:r>
        <w:rPr>
          <w:rFonts w:ascii="Times New Roman" w:hAnsi="Times New Roman"/>
          <w:i/>
          <w:iCs/>
          <w:noProof/>
          <w:szCs w:val="24"/>
          <w:lang w:val="en-US"/>
        </w:rPr>
        <w:t>Journal of International Criminal Justice</w:t>
      </w:r>
      <w:r>
        <w:rPr>
          <w:rFonts w:ascii="Times New Roman" w:hAnsi="Times New Roman"/>
          <w:noProof/>
          <w:szCs w:val="24"/>
          <w:lang w:val="en-US"/>
        </w:rPr>
        <w:t>, 10.</w:t>
      </w:r>
    </w:p>
    <w:p w14:paraId="087DDB9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Dembour, M-B and Haslam, E. (2004). Silencing Hearings? Victim-Witnesses at war Crimes Trials. </w:t>
      </w:r>
      <w:r>
        <w:rPr>
          <w:rFonts w:ascii="Times New Roman" w:hAnsi="Times New Roman"/>
          <w:i/>
          <w:iCs/>
          <w:noProof/>
          <w:szCs w:val="24"/>
          <w:lang w:val="en-US"/>
        </w:rPr>
        <w:t>European Journal of International Law</w:t>
      </w:r>
      <w:r>
        <w:rPr>
          <w:rFonts w:ascii="Times New Roman" w:hAnsi="Times New Roman"/>
          <w:noProof/>
          <w:szCs w:val="24"/>
          <w:lang w:val="en-US"/>
        </w:rPr>
        <w:t>, 151-177.</w:t>
      </w:r>
    </w:p>
    <w:p w14:paraId="5F5E898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Dixon, P and Tenove, C. (2013). “International Criminal Justice as a Transnational Field: Rules, Authority and Victims”. </w:t>
      </w:r>
      <w:r>
        <w:rPr>
          <w:rFonts w:ascii="Times New Roman" w:hAnsi="Times New Roman"/>
          <w:i/>
          <w:iCs/>
          <w:noProof/>
          <w:szCs w:val="24"/>
          <w:lang w:val="en-US"/>
        </w:rPr>
        <w:t>International Journal of Transnational Justice</w:t>
      </w:r>
      <w:r>
        <w:rPr>
          <w:rFonts w:ascii="Times New Roman" w:hAnsi="Times New Roman"/>
          <w:noProof/>
          <w:szCs w:val="24"/>
          <w:lang w:val="en-US"/>
        </w:rPr>
        <w:t>, 408.</w:t>
      </w:r>
    </w:p>
    <w:p w14:paraId="48CEA6B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Doak, J. (2005). ‘Victims’ Rights in Criminal Trials:</w:t>
      </w:r>
      <w:r w:rsidR="000F3F38">
        <w:rPr>
          <w:rFonts w:ascii="Times New Roman" w:hAnsi="Times New Roman"/>
          <w:noProof/>
          <w:szCs w:val="24"/>
          <w:lang w:val="en-US"/>
        </w:rPr>
        <w:t xml:space="preserve"> </w:t>
      </w:r>
      <w:r>
        <w:rPr>
          <w:rFonts w:ascii="Times New Roman" w:hAnsi="Times New Roman"/>
          <w:noProof/>
          <w:szCs w:val="24"/>
          <w:lang w:val="en-US"/>
        </w:rPr>
        <w:t xml:space="preserve">Prospects for Participation’. </w:t>
      </w:r>
      <w:r>
        <w:rPr>
          <w:rFonts w:ascii="Times New Roman" w:hAnsi="Times New Roman"/>
          <w:i/>
          <w:iCs/>
          <w:noProof/>
          <w:szCs w:val="24"/>
          <w:lang w:val="en-US"/>
        </w:rPr>
        <w:t>Journal of Law and Society</w:t>
      </w:r>
      <w:r>
        <w:rPr>
          <w:rFonts w:ascii="Times New Roman" w:hAnsi="Times New Roman"/>
          <w:noProof/>
          <w:szCs w:val="24"/>
          <w:lang w:val="en-US"/>
        </w:rPr>
        <w:t>, 1-26.</w:t>
      </w:r>
    </w:p>
    <w:p w14:paraId="3ADE3D1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Dong, J. (2009). Prosecutorial Discretion at the International Criminal Court:</w:t>
      </w:r>
      <w:r w:rsidR="000F3F38">
        <w:rPr>
          <w:rFonts w:ascii="Times New Roman" w:hAnsi="Times New Roman"/>
          <w:noProof/>
          <w:szCs w:val="24"/>
          <w:lang w:val="en-US"/>
        </w:rPr>
        <w:t xml:space="preserve"> </w:t>
      </w:r>
      <w:r>
        <w:rPr>
          <w:rFonts w:ascii="Times New Roman" w:hAnsi="Times New Roman"/>
          <w:noProof/>
          <w:szCs w:val="24"/>
          <w:lang w:val="en-US"/>
        </w:rPr>
        <w:t xml:space="preserve">A Comparative Study. </w:t>
      </w:r>
      <w:r>
        <w:rPr>
          <w:rFonts w:ascii="Times New Roman" w:hAnsi="Times New Roman"/>
          <w:i/>
          <w:iCs/>
          <w:noProof/>
          <w:szCs w:val="24"/>
          <w:lang w:val="en-US"/>
        </w:rPr>
        <w:t>Journal of Politics and Law</w:t>
      </w:r>
      <w:r>
        <w:rPr>
          <w:rFonts w:ascii="Times New Roman" w:hAnsi="Times New Roman"/>
          <w:noProof/>
          <w:szCs w:val="24"/>
          <w:lang w:val="en-US"/>
        </w:rPr>
        <w:t>.</w:t>
      </w:r>
    </w:p>
    <w:p w14:paraId="7ADAF5F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Doolin, K. (2007). ‘But what does it mean?</w:t>
      </w:r>
      <w:r w:rsidR="000F3F38">
        <w:rPr>
          <w:rFonts w:ascii="Times New Roman" w:hAnsi="Times New Roman"/>
          <w:noProof/>
          <w:szCs w:val="24"/>
          <w:lang w:val="en-US"/>
        </w:rPr>
        <w:t xml:space="preserve"> </w:t>
      </w:r>
      <w:r>
        <w:rPr>
          <w:rFonts w:ascii="Times New Roman" w:hAnsi="Times New Roman"/>
          <w:noProof/>
          <w:szCs w:val="24"/>
          <w:lang w:val="en-US"/>
        </w:rPr>
        <w:t xml:space="preserve">Seeking definitional clarity in restorative justice'. </w:t>
      </w:r>
      <w:r>
        <w:rPr>
          <w:rFonts w:ascii="Times New Roman" w:hAnsi="Times New Roman"/>
          <w:i/>
          <w:iCs/>
          <w:noProof/>
          <w:szCs w:val="24"/>
          <w:lang w:val="en-US"/>
        </w:rPr>
        <w:t>Journal of Criminal Law</w:t>
      </w:r>
      <w:r>
        <w:rPr>
          <w:rFonts w:ascii="Times New Roman" w:hAnsi="Times New Roman"/>
          <w:noProof/>
          <w:szCs w:val="24"/>
          <w:lang w:val="en-US"/>
        </w:rPr>
        <w:t>.</w:t>
      </w:r>
    </w:p>
    <w:p w14:paraId="3D1C1286" w14:textId="77777777" w:rsidR="00294294" w:rsidRDefault="000F3F38" w:rsidP="00294294">
      <w:pPr>
        <w:jc w:val="both"/>
        <w:rPr>
          <w:rFonts w:ascii="Times New Roman" w:hAnsi="Times New Roman"/>
          <w:noProof/>
          <w:szCs w:val="24"/>
          <w:lang w:val="en-US"/>
        </w:rPr>
      </w:pPr>
      <w:r>
        <w:rPr>
          <w:rFonts w:ascii="Times New Roman" w:hAnsi="Times New Roman"/>
          <w:noProof/>
          <w:szCs w:val="24"/>
          <w:lang w:val="en-US"/>
        </w:rPr>
        <w:t>Duus-Otterstrom, G. (2018). ‘</w:t>
      </w:r>
      <w:r w:rsidR="00294294">
        <w:rPr>
          <w:rFonts w:ascii="Times New Roman" w:hAnsi="Times New Roman"/>
          <w:noProof/>
          <w:szCs w:val="24"/>
          <w:lang w:val="en-US"/>
        </w:rPr>
        <w:t>Retributivism and Public Opinion’:</w:t>
      </w:r>
      <w:r>
        <w:rPr>
          <w:rFonts w:ascii="Times New Roman" w:hAnsi="Times New Roman"/>
          <w:noProof/>
          <w:szCs w:val="24"/>
          <w:lang w:val="en-US"/>
        </w:rPr>
        <w:t xml:space="preserve"> </w:t>
      </w:r>
      <w:r w:rsidR="00294294">
        <w:rPr>
          <w:rFonts w:ascii="Times New Roman" w:hAnsi="Times New Roman"/>
          <w:noProof/>
          <w:szCs w:val="24"/>
          <w:lang w:val="en-US"/>
        </w:rPr>
        <w:t xml:space="preserve">On the Context of Sensitivity of Desert’. </w:t>
      </w:r>
      <w:r w:rsidR="00294294">
        <w:rPr>
          <w:rFonts w:ascii="Times New Roman" w:hAnsi="Times New Roman"/>
          <w:i/>
          <w:iCs/>
          <w:noProof/>
          <w:szCs w:val="24"/>
          <w:lang w:val="en-US"/>
        </w:rPr>
        <w:t>Criminal Law and Philosophy</w:t>
      </w:r>
      <w:r w:rsidR="00294294">
        <w:rPr>
          <w:rFonts w:ascii="Times New Roman" w:hAnsi="Times New Roman"/>
          <w:noProof/>
          <w:szCs w:val="24"/>
          <w:lang w:val="en-US"/>
        </w:rPr>
        <w:t>, 125-142.</w:t>
      </w:r>
    </w:p>
    <w:p w14:paraId="78FF8541" w14:textId="77777777" w:rsidR="00294294" w:rsidRDefault="00294294" w:rsidP="00294294">
      <w:pPr>
        <w:jc w:val="both"/>
        <w:rPr>
          <w:rFonts w:ascii="Times New Roman" w:hAnsi="Times New Roman"/>
          <w:szCs w:val="24"/>
        </w:rPr>
      </w:pPr>
      <w:r>
        <w:rPr>
          <w:rFonts w:ascii="Times New Roman" w:hAnsi="Times New Roman"/>
          <w:noProof/>
          <w:szCs w:val="24"/>
          <w:lang w:val="en-US"/>
        </w:rPr>
        <w:t>Edwards, I. (2004). An Ambiguous Participant:</w:t>
      </w:r>
      <w:r w:rsidR="000F3F38">
        <w:rPr>
          <w:rFonts w:ascii="Times New Roman" w:hAnsi="Times New Roman"/>
          <w:noProof/>
          <w:szCs w:val="24"/>
          <w:lang w:val="en-US"/>
        </w:rPr>
        <w:t xml:space="preserve"> </w:t>
      </w:r>
      <w:r>
        <w:rPr>
          <w:rFonts w:ascii="Times New Roman" w:hAnsi="Times New Roman"/>
          <w:noProof/>
          <w:szCs w:val="24"/>
          <w:lang w:val="en-US"/>
        </w:rPr>
        <w:t>The Crime Victim and Criminal Justice Dec</w:t>
      </w:r>
      <w:r w:rsidR="000F3F38">
        <w:rPr>
          <w:rFonts w:ascii="Times New Roman" w:hAnsi="Times New Roman"/>
          <w:noProof/>
          <w:szCs w:val="24"/>
          <w:lang w:val="en-US"/>
        </w:rPr>
        <w:t>isi</w:t>
      </w:r>
      <w:r>
        <w:rPr>
          <w:rFonts w:ascii="Times New Roman" w:hAnsi="Times New Roman"/>
          <w:noProof/>
          <w:szCs w:val="24"/>
          <w:lang w:val="en-US"/>
        </w:rPr>
        <w:t xml:space="preserve">on-Making. </w:t>
      </w:r>
      <w:r>
        <w:rPr>
          <w:rFonts w:ascii="Times New Roman" w:hAnsi="Times New Roman"/>
          <w:i/>
          <w:iCs/>
          <w:noProof/>
          <w:szCs w:val="24"/>
          <w:lang w:val="en-US"/>
        </w:rPr>
        <w:t>British Journal Of Criminology</w:t>
      </w:r>
      <w:r>
        <w:rPr>
          <w:rFonts w:ascii="Times New Roman" w:hAnsi="Times New Roman"/>
          <w:noProof/>
          <w:szCs w:val="24"/>
          <w:lang w:val="en-US"/>
        </w:rPr>
        <w:t>, 967-982.</w:t>
      </w:r>
    </w:p>
    <w:p w14:paraId="7DA80200" w14:textId="77777777" w:rsidR="00294294" w:rsidRDefault="00294294" w:rsidP="00294294">
      <w:pPr>
        <w:jc w:val="both"/>
        <w:rPr>
          <w:rFonts w:ascii="Times New Roman" w:hAnsi="Times New Roman"/>
          <w:noProof/>
          <w:szCs w:val="24"/>
          <w:lang w:val="en-US"/>
        </w:rPr>
      </w:pPr>
      <w:r>
        <w:rPr>
          <w:rFonts w:ascii="Times New Roman" w:hAnsi="Times New Roman"/>
          <w:szCs w:val="24"/>
        </w:rPr>
        <w:t>England and Wales Criminal Justice Act, 2003.</w:t>
      </w:r>
    </w:p>
    <w:p w14:paraId="3161AFB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Ezzah, E. (1989). ‘Victims and Victimology: The Facts and the Rhetoric'. </w:t>
      </w:r>
      <w:r>
        <w:rPr>
          <w:rFonts w:ascii="Times New Roman" w:hAnsi="Times New Roman"/>
          <w:i/>
          <w:iCs/>
          <w:noProof/>
          <w:szCs w:val="24"/>
          <w:lang w:val="en-US"/>
        </w:rPr>
        <w:t>International Review of Victimology</w:t>
      </w:r>
      <w:r>
        <w:rPr>
          <w:rFonts w:ascii="Times New Roman" w:hAnsi="Times New Roman"/>
          <w:noProof/>
          <w:szCs w:val="24"/>
          <w:lang w:val="en-US"/>
        </w:rPr>
        <w:t>, 43-66.</w:t>
      </w:r>
    </w:p>
    <w:p w14:paraId="0B9EC0B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Feldman, D. (2001). ‘Human Dignity as a Legal Value-Part II'. </w:t>
      </w:r>
      <w:r>
        <w:rPr>
          <w:rFonts w:ascii="Times New Roman" w:hAnsi="Times New Roman"/>
          <w:i/>
          <w:iCs/>
          <w:noProof/>
          <w:szCs w:val="24"/>
          <w:lang w:val="en-US"/>
        </w:rPr>
        <w:t>Public Law</w:t>
      </w:r>
      <w:r>
        <w:rPr>
          <w:rFonts w:ascii="Times New Roman" w:hAnsi="Times New Roman"/>
          <w:noProof/>
          <w:szCs w:val="24"/>
          <w:lang w:val="en-US"/>
        </w:rPr>
        <w:t>, 75.</w:t>
      </w:r>
    </w:p>
    <w:p w14:paraId="64551AE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Fenwick, H. (1997). ‘Procedural Rights of Victims of Crime: Public or Private Ordering of the Criminal Justice Process?'. </w:t>
      </w:r>
      <w:r>
        <w:rPr>
          <w:rFonts w:ascii="Times New Roman" w:hAnsi="Times New Roman"/>
          <w:i/>
          <w:iCs/>
          <w:noProof/>
          <w:szCs w:val="24"/>
          <w:lang w:val="en-US"/>
        </w:rPr>
        <w:t>The Modern Law Review</w:t>
      </w:r>
      <w:r>
        <w:rPr>
          <w:rFonts w:ascii="Times New Roman" w:hAnsi="Times New Roman"/>
          <w:noProof/>
          <w:szCs w:val="24"/>
          <w:lang w:val="en-US"/>
        </w:rPr>
        <w:t>, 317-333.</w:t>
      </w:r>
    </w:p>
    <w:p w14:paraId="2FF50C1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Gans, J and Esmaeili, H. (2000). Islamic Law across Cultural Borders:</w:t>
      </w:r>
      <w:r w:rsidR="000F3F38">
        <w:rPr>
          <w:rFonts w:ascii="Times New Roman" w:hAnsi="Times New Roman"/>
          <w:noProof/>
          <w:szCs w:val="24"/>
          <w:lang w:val="en-US"/>
        </w:rPr>
        <w:t xml:space="preserve"> </w:t>
      </w:r>
      <w:r>
        <w:rPr>
          <w:rFonts w:ascii="Times New Roman" w:hAnsi="Times New Roman"/>
          <w:noProof/>
          <w:szCs w:val="24"/>
          <w:lang w:val="en-US"/>
        </w:rPr>
        <w:t xml:space="preserve">The Involvement of Western Nationals in Suadi Muder Trials. </w:t>
      </w:r>
      <w:r>
        <w:rPr>
          <w:rFonts w:ascii="Times New Roman" w:hAnsi="Times New Roman"/>
          <w:i/>
          <w:iCs/>
          <w:noProof/>
          <w:szCs w:val="24"/>
          <w:lang w:val="en-US"/>
        </w:rPr>
        <w:t>Denver Journal of International Law and Policy</w:t>
      </w:r>
      <w:r>
        <w:rPr>
          <w:rFonts w:ascii="Times New Roman" w:hAnsi="Times New Roman"/>
          <w:noProof/>
          <w:szCs w:val="24"/>
          <w:lang w:val="en-US"/>
        </w:rPr>
        <w:t>, 145-174.</w:t>
      </w:r>
    </w:p>
    <w:p w14:paraId="66DEC7B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Garbett, C. (2016). ‘From passive objects to active agents: changing conceptions of victim identities at the ICTY and ICC'. </w:t>
      </w:r>
      <w:r>
        <w:rPr>
          <w:rFonts w:ascii="Times New Roman" w:hAnsi="Times New Roman"/>
          <w:i/>
          <w:iCs/>
          <w:noProof/>
          <w:szCs w:val="24"/>
          <w:lang w:val="en-US"/>
        </w:rPr>
        <w:t>Journal of Human Rights</w:t>
      </w:r>
      <w:r>
        <w:rPr>
          <w:rFonts w:ascii="Times New Roman" w:hAnsi="Times New Roman"/>
          <w:noProof/>
          <w:szCs w:val="24"/>
          <w:lang w:val="en-US"/>
        </w:rPr>
        <w:t>, 40-59.</w:t>
      </w:r>
    </w:p>
    <w:p w14:paraId="0B9FC79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Gavin, M and Beloof, D. Crime Victims Agency. </w:t>
      </w:r>
      <w:r>
        <w:rPr>
          <w:rFonts w:ascii="Times New Roman" w:hAnsi="Times New Roman"/>
          <w:i/>
          <w:iCs/>
          <w:noProof/>
          <w:szCs w:val="24"/>
          <w:lang w:val="en-US"/>
        </w:rPr>
        <w:t>Ohio State Journal of Criminal Law</w:t>
      </w:r>
      <w:r>
        <w:rPr>
          <w:rFonts w:ascii="Times New Roman" w:hAnsi="Times New Roman"/>
          <w:noProof/>
          <w:szCs w:val="24"/>
          <w:lang w:val="en-US"/>
        </w:rPr>
        <w:t>, 68.</w:t>
      </w:r>
    </w:p>
    <w:p w14:paraId="0BB9A49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Glickman, S. (2004). “Victims’ Justice: Legitimising the Sentencing Regime of the International Criminal Court". </w:t>
      </w:r>
      <w:r>
        <w:rPr>
          <w:rFonts w:ascii="Times New Roman" w:hAnsi="Times New Roman"/>
          <w:i/>
          <w:iCs/>
          <w:noProof/>
          <w:szCs w:val="24"/>
          <w:lang w:val="en-US"/>
        </w:rPr>
        <w:t>Columbia Journal of Tra</w:t>
      </w:r>
      <w:r w:rsidR="000F3F38">
        <w:rPr>
          <w:rFonts w:ascii="Times New Roman" w:hAnsi="Times New Roman"/>
          <w:i/>
          <w:iCs/>
          <w:noProof/>
          <w:szCs w:val="24"/>
          <w:lang w:val="en-US"/>
        </w:rPr>
        <w:t>n</w:t>
      </w:r>
      <w:r>
        <w:rPr>
          <w:rFonts w:ascii="Times New Roman" w:hAnsi="Times New Roman"/>
          <w:i/>
          <w:iCs/>
          <w:noProof/>
          <w:szCs w:val="24"/>
          <w:lang w:val="en-US"/>
        </w:rPr>
        <w:t>snational Law</w:t>
      </w:r>
      <w:r>
        <w:rPr>
          <w:rFonts w:ascii="Times New Roman" w:hAnsi="Times New Roman"/>
          <w:noProof/>
          <w:szCs w:val="24"/>
          <w:lang w:val="en-US"/>
        </w:rPr>
        <w:t>, 229-264.</w:t>
      </w:r>
    </w:p>
    <w:p w14:paraId="6BECAE9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Goh, J. (2013). “Proportionality-An Unattainable Ideal in the Criminal Justice </w:t>
      </w:r>
      <w:r w:rsidR="000F3F38">
        <w:rPr>
          <w:rFonts w:ascii="Times New Roman" w:hAnsi="Times New Roman"/>
          <w:noProof/>
          <w:szCs w:val="24"/>
          <w:lang w:val="en-US"/>
        </w:rPr>
        <w:t>S</w:t>
      </w:r>
      <w:r>
        <w:rPr>
          <w:rFonts w:ascii="Times New Roman" w:hAnsi="Times New Roman"/>
          <w:noProof/>
          <w:szCs w:val="24"/>
          <w:lang w:val="en-US"/>
        </w:rPr>
        <w:t xml:space="preserve">ystem". </w:t>
      </w:r>
      <w:r>
        <w:rPr>
          <w:rFonts w:ascii="Times New Roman" w:hAnsi="Times New Roman"/>
          <w:i/>
          <w:iCs/>
          <w:noProof/>
          <w:szCs w:val="24"/>
          <w:lang w:val="en-US"/>
        </w:rPr>
        <w:t>Manchester Student Law Review</w:t>
      </w:r>
      <w:r>
        <w:rPr>
          <w:rFonts w:ascii="Times New Roman" w:hAnsi="Times New Roman"/>
          <w:noProof/>
          <w:szCs w:val="24"/>
          <w:lang w:val="en-US"/>
        </w:rPr>
        <w:t>.</w:t>
      </w:r>
    </w:p>
    <w:p w14:paraId="71F2C05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Greco, G. (2007). Victims’Rights Overview under the ICC Legal Framework: A Juisprudental Analysis. </w:t>
      </w:r>
      <w:r>
        <w:rPr>
          <w:rFonts w:ascii="Times New Roman" w:hAnsi="Times New Roman"/>
          <w:i/>
          <w:iCs/>
          <w:noProof/>
          <w:szCs w:val="24"/>
          <w:lang w:val="en-US"/>
        </w:rPr>
        <w:t>International Criminal law Review</w:t>
      </w:r>
      <w:r>
        <w:rPr>
          <w:rFonts w:ascii="Times New Roman" w:hAnsi="Times New Roman"/>
          <w:noProof/>
          <w:szCs w:val="24"/>
          <w:lang w:val="en-US"/>
        </w:rPr>
        <w:t>, 549.</w:t>
      </w:r>
    </w:p>
    <w:p w14:paraId="08CA334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Grey, T. (1973). The first virtue: review essay on Joh</w:t>
      </w:r>
      <w:r w:rsidR="000F3F38">
        <w:rPr>
          <w:rFonts w:ascii="Times New Roman" w:hAnsi="Times New Roman"/>
          <w:noProof/>
          <w:szCs w:val="24"/>
          <w:lang w:val="en-US"/>
        </w:rPr>
        <w:t>n</w:t>
      </w:r>
      <w:r>
        <w:rPr>
          <w:rFonts w:ascii="Times New Roman" w:hAnsi="Times New Roman"/>
          <w:noProof/>
          <w:szCs w:val="24"/>
          <w:lang w:val="en-US"/>
        </w:rPr>
        <w:t xml:space="preserve"> Rawl's ''A Theory of Justice''. </w:t>
      </w:r>
      <w:r>
        <w:rPr>
          <w:rFonts w:ascii="Times New Roman" w:hAnsi="Times New Roman"/>
          <w:i/>
          <w:iCs/>
          <w:noProof/>
          <w:szCs w:val="24"/>
          <w:lang w:val="en-US"/>
        </w:rPr>
        <w:t>Stanford Law Review</w:t>
      </w:r>
      <w:r>
        <w:rPr>
          <w:rFonts w:ascii="Times New Roman" w:hAnsi="Times New Roman"/>
          <w:noProof/>
          <w:szCs w:val="24"/>
          <w:lang w:val="en-US"/>
        </w:rPr>
        <w:t>, 286-327.</w:t>
      </w:r>
    </w:p>
    <w:p w14:paraId="501F25DB" w14:textId="04ABE831"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Haslam, E. (2004). “Victim Participation at the International Criminal Court: A Triumph of Hope Over Experience?, in Dominic McGoldrick (ed) The Permanent International Criminal Court: </w:t>
      </w:r>
      <w:r>
        <w:rPr>
          <w:rFonts w:ascii="Times New Roman" w:hAnsi="Times New Roman"/>
          <w:i/>
          <w:iCs/>
          <w:noProof/>
          <w:szCs w:val="24"/>
          <w:lang w:val="en-US"/>
        </w:rPr>
        <w:t>Legal and Policy Issues</w:t>
      </w:r>
      <w:r>
        <w:rPr>
          <w:rFonts w:ascii="Times New Roman" w:hAnsi="Times New Roman"/>
          <w:noProof/>
          <w:szCs w:val="24"/>
          <w:lang w:val="en-US"/>
        </w:rPr>
        <w:t>, 315, 390.</w:t>
      </w:r>
    </w:p>
    <w:p w14:paraId="55FC195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Hemptine, J. (2010). ‘Challenges Raised by Victims’ Part</w:t>
      </w:r>
      <w:r w:rsidR="000F3F38">
        <w:rPr>
          <w:rFonts w:ascii="Times New Roman" w:hAnsi="Times New Roman"/>
          <w:noProof/>
          <w:szCs w:val="24"/>
          <w:lang w:val="en-US"/>
        </w:rPr>
        <w:t>i</w:t>
      </w:r>
      <w:r>
        <w:rPr>
          <w:rFonts w:ascii="Times New Roman" w:hAnsi="Times New Roman"/>
          <w:noProof/>
          <w:szCs w:val="24"/>
          <w:lang w:val="en-US"/>
        </w:rPr>
        <w:t xml:space="preserve">cipation in the Proceedings of the Special Tribunal for Lebanon'. </w:t>
      </w:r>
      <w:r>
        <w:rPr>
          <w:rFonts w:ascii="Times New Roman" w:hAnsi="Times New Roman"/>
          <w:i/>
          <w:iCs/>
          <w:noProof/>
          <w:szCs w:val="24"/>
          <w:lang w:val="en-US"/>
        </w:rPr>
        <w:t>Journal of International Criminal Justice</w:t>
      </w:r>
      <w:r>
        <w:rPr>
          <w:rFonts w:ascii="Times New Roman" w:hAnsi="Times New Roman"/>
          <w:noProof/>
          <w:szCs w:val="24"/>
          <w:lang w:val="en-US"/>
        </w:rPr>
        <w:t>, 165-179.</w:t>
      </w:r>
    </w:p>
    <w:p w14:paraId="43646C0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Henham, R. (1998). ‘Human Rights, Due Process and Sentencing '. </w:t>
      </w:r>
      <w:r>
        <w:rPr>
          <w:rFonts w:ascii="Times New Roman" w:hAnsi="Times New Roman"/>
          <w:i/>
          <w:iCs/>
          <w:noProof/>
          <w:szCs w:val="24"/>
          <w:lang w:val="en-US"/>
        </w:rPr>
        <w:t>British Journal of Criminology</w:t>
      </w:r>
      <w:r>
        <w:rPr>
          <w:rFonts w:ascii="Times New Roman" w:hAnsi="Times New Roman"/>
          <w:noProof/>
          <w:szCs w:val="24"/>
          <w:lang w:val="en-US"/>
        </w:rPr>
        <w:t>, 592-610.</w:t>
      </w:r>
    </w:p>
    <w:p w14:paraId="7E91317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Henham, R. (2003). ‘Some issues for sentencing in the international criminal court'. </w:t>
      </w:r>
      <w:r>
        <w:rPr>
          <w:rFonts w:ascii="Times New Roman" w:hAnsi="Times New Roman"/>
          <w:i/>
          <w:iCs/>
          <w:noProof/>
          <w:szCs w:val="24"/>
          <w:lang w:val="en-US"/>
        </w:rPr>
        <w:t>International and Comparative Law Quarterly</w:t>
      </w:r>
      <w:r>
        <w:rPr>
          <w:rFonts w:ascii="Times New Roman" w:hAnsi="Times New Roman"/>
          <w:noProof/>
          <w:szCs w:val="24"/>
          <w:lang w:val="en-US"/>
        </w:rPr>
        <w:t>, 108.</w:t>
      </w:r>
    </w:p>
    <w:p w14:paraId="2322A14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Henham, R. (2003). “The Philosophical Foundations of International Sentencing”. </w:t>
      </w:r>
      <w:r>
        <w:rPr>
          <w:rFonts w:ascii="Times New Roman" w:hAnsi="Times New Roman"/>
          <w:i/>
          <w:iCs/>
          <w:noProof/>
          <w:szCs w:val="24"/>
          <w:lang w:val="en-US"/>
        </w:rPr>
        <w:t>Journal of International Criminal Justice</w:t>
      </w:r>
      <w:r>
        <w:rPr>
          <w:rFonts w:ascii="Times New Roman" w:hAnsi="Times New Roman"/>
          <w:noProof/>
          <w:szCs w:val="24"/>
          <w:lang w:val="en-US"/>
        </w:rPr>
        <w:t>, 64-85.</w:t>
      </w:r>
    </w:p>
    <w:p w14:paraId="029209E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Henham, R. (2004). “Theorising the penalty of Sentencing International Criminal Trials". </w:t>
      </w:r>
      <w:r>
        <w:rPr>
          <w:rFonts w:ascii="Times New Roman" w:hAnsi="Times New Roman"/>
          <w:i/>
          <w:iCs/>
          <w:noProof/>
          <w:szCs w:val="24"/>
          <w:lang w:val="en-US"/>
        </w:rPr>
        <w:t>Theoretical Criminology</w:t>
      </w:r>
      <w:r>
        <w:rPr>
          <w:rFonts w:ascii="Times New Roman" w:hAnsi="Times New Roman"/>
          <w:noProof/>
          <w:szCs w:val="24"/>
          <w:lang w:val="en-US"/>
        </w:rPr>
        <w:t>, 329-441.</w:t>
      </w:r>
    </w:p>
    <w:p w14:paraId="3793502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Henham, R. (2007). “International Sentencing in the Context of Collective Violence”. </w:t>
      </w:r>
      <w:r>
        <w:rPr>
          <w:rFonts w:ascii="Times New Roman" w:hAnsi="Times New Roman"/>
          <w:i/>
          <w:iCs/>
          <w:noProof/>
          <w:szCs w:val="24"/>
          <w:lang w:val="en-US"/>
        </w:rPr>
        <w:t>International Criminal Law Review</w:t>
      </w:r>
      <w:r>
        <w:rPr>
          <w:rFonts w:ascii="Times New Roman" w:hAnsi="Times New Roman"/>
          <w:noProof/>
          <w:szCs w:val="24"/>
          <w:lang w:val="en-US"/>
        </w:rPr>
        <w:t>, 449-454.</w:t>
      </w:r>
    </w:p>
    <w:p w14:paraId="297651C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Hirsch, A. (1992). “Proportionality in the Philosophy of Punishment”. </w:t>
      </w:r>
      <w:r>
        <w:rPr>
          <w:rFonts w:ascii="Times New Roman" w:hAnsi="Times New Roman"/>
          <w:i/>
          <w:iCs/>
          <w:noProof/>
          <w:szCs w:val="24"/>
          <w:lang w:val="en-US"/>
        </w:rPr>
        <w:t>Crime and Justice</w:t>
      </w:r>
      <w:r>
        <w:rPr>
          <w:rFonts w:ascii="Times New Roman" w:hAnsi="Times New Roman"/>
          <w:noProof/>
          <w:szCs w:val="24"/>
          <w:lang w:val="en-US"/>
        </w:rPr>
        <w:t>, 55-56.</w:t>
      </w:r>
    </w:p>
    <w:p w14:paraId="3B2BB12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Hodgson, J. (2001). ‘The Police, the Prosecutor and the juge d’instruction:</w:t>
      </w:r>
      <w:r w:rsidR="000F3F38">
        <w:rPr>
          <w:rFonts w:ascii="Times New Roman" w:hAnsi="Times New Roman"/>
          <w:noProof/>
          <w:szCs w:val="24"/>
          <w:lang w:val="en-US"/>
        </w:rPr>
        <w:t xml:space="preserve"> </w:t>
      </w:r>
      <w:r>
        <w:rPr>
          <w:rFonts w:ascii="Times New Roman" w:hAnsi="Times New Roman"/>
          <w:noProof/>
          <w:szCs w:val="24"/>
          <w:lang w:val="en-US"/>
        </w:rPr>
        <w:t>Judicial Supervision in France,</w:t>
      </w:r>
      <w:r w:rsidR="000F3F38">
        <w:rPr>
          <w:rFonts w:ascii="Times New Roman" w:hAnsi="Times New Roman"/>
          <w:noProof/>
          <w:szCs w:val="24"/>
          <w:lang w:val="en-US"/>
        </w:rPr>
        <w:t xml:space="preserve"> </w:t>
      </w:r>
      <w:r>
        <w:rPr>
          <w:rFonts w:ascii="Times New Roman" w:hAnsi="Times New Roman"/>
          <w:noProof/>
          <w:szCs w:val="24"/>
          <w:lang w:val="en-US"/>
        </w:rPr>
        <w:t xml:space="preserve">Theory and Practice’ . </w:t>
      </w:r>
      <w:r>
        <w:rPr>
          <w:rFonts w:ascii="Times New Roman" w:hAnsi="Times New Roman"/>
          <w:i/>
          <w:iCs/>
          <w:noProof/>
          <w:szCs w:val="24"/>
          <w:lang w:val="en-US"/>
        </w:rPr>
        <w:t>British Journal of Criminology</w:t>
      </w:r>
      <w:r>
        <w:rPr>
          <w:rFonts w:ascii="Times New Roman" w:hAnsi="Times New Roman"/>
          <w:noProof/>
          <w:szCs w:val="24"/>
          <w:lang w:val="en-US"/>
        </w:rPr>
        <w:t>, 342-361.</w:t>
      </w:r>
    </w:p>
    <w:p w14:paraId="16373288" w14:textId="51F74CAF"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Hole, A. (2005). “The Sentencing Provisions of the International Criminal Court”. </w:t>
      </w:r>
      <w:r>
        <w:rPr>
          <w:rFonts w:ascii="Times New Roman" w:hAnsi="Times New Roman"/>
          <w:i/>
          <w:iCs/>
          <w:noProof/>
          <w:szCs w:val="24"/>
          <w:lang w:val="en-US"/>
        </w:rPr>
        <w:t>International Journal of Punishment and Sentencing</w:t>
      </w:r>
      <w:r>
        <w:rPr>
          <w:rFonts w:ascii="Times New Roman" w:hAnsi="Times New Roman"/>
          <w:noProof/>
          <w:szCs w:val="24"/>
          <w:lang w:val="en-US"/>
        </w:rPr>
        <w:t>, 37-69.</w:t>
      </w:r>
    </w:p>
    <w:p w14:paraId="5E9A425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Hoyle, C and Ulrich, L. (2014). New Court, New Justice? The evolution of Justice for victims of Domestic courts and The International Criminal Court. </w:t>
      </w:r>
      <w:r>
        <w:rPr>
          <w:rFonts w:ascii="Times New Roman" w:hAnsi="Times New Roman"/>
          <w:i/>
          <w:iCs/>
          <w:noProof/>
          <w:szCs w:val="24"/>
          <w:lang w:val="en-US"/>
        </w:rPr>
        <w:t>Journal of International Criminal Justice</w:t>
      </w:r>
      <w:r>
        <w:rPr>
          <w:rFonts w:ascii="Times New Roman" w:hAnsi="Times New Roman"/>
          <w:noProof/>
          <w:szCs w:val="24"/>
          <w:lang w:val="en-US"/>
        </w:rPr>
        <w:t>.</w:t>
      </w:r>
    </w:p>
    <w:p w14:paraId="5EEF6FD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Humphrey, J. (1984). ‘Human Rights and the United Nations: A Great Adventure’. </w:t>
      </w:r>
      <w:r>
        <w:rPr>
          <w:rFonts w:ascii="Times New Roman" w:hAnsi="Times New Roman"/>
          <w:i/>
          <w:iCs/>
          <w:noProof/>
          <w:szCs w:val="24"/>
          <w:lang w:val="en-US"/>
        </w:rPr>
        <w:t>International Journal</w:t>
      </w:r>
      <w:r>
        <w:rPr>
          <w:rFonts w:ascii="Times New Roman" w:hAnsi="Times New Roman"/>
          <w:noProof/>
          <w:szCs w:val="24"/>
          <w:lang w:val="en-US"/>
        </w:rPr>
        <w:t>, 44.</w:t>
      </w:r>
    </w:p>
    <w:p w14:paraId="22A1CD4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Hunt, D. (2004). "The International Criminal Court: High Hopes, Creative Ambiguity “ and the Unfortunate Mistrust in international Judges. </w:t>
      </w:r>
      <w:r>
        <w:rPr>
          <w:rFonts w:ascii="Times New Roman" w:hAnsi="Times New Roman"/>
          <w:i/>
          <w:iCs/>
          <w:noProof/>
          <w:szCs w:val="24"/>
          <w:lang w:val="en-US"/>
        </w:rPr>
        <w:t>Journal of Criminal Justice</w:t>
      </w:r>
      <w:r>
        <w:rPr>
          <w:rFonts w:ascii="Times New Roman" w:hAnsi="Times New Roman"/>
          <w:noProof/>
          <w:szCs w:val="24"/>
          <w:lang w:val="en-US"/>
        </w:rPr>
        <w:t>, 56.</w:t>
      </w:r>
    </w:p>
    <w:p w14:paraId="344D6F5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Husak, D. (2000). “Retribution in Criminal Theory”. </w:t>
      </w:r>
      <w:r>
        <w:rPr>
          <w:rFonts w:ascii="Times New Roman" w:hAnsi="Times New Roman"/>
          <w:i/>
          <w:iCs/>
          <w:noProof/>
          <w:szCs w:val="24"/>
          <w:lang w:val="en-US"/>
        </w:rPr>
        <w:t>San Diego Law Review</w:t>
      </w:r>
      <w:r>
        <w:rPr>
          <w:rFonts w:ascii="Times New Roman" w:hAnsi="Times New Roman"/>
          <w:noProof/>
          <w:szCs w:val="24"/>
          <w:lang w:val="en-US"/>
        </w:rPr>
        <w:t>, 958-986.</w:t>
      </w:r>
    </w:p>
    <w:p w14:paraId="19B5462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Ivakovic, K and Hagan, J. (2011). ‘Reclaiming Justice: The International Tribunal for the Former Yugoslavia and Local Courts'. </w:t>
      </w:r>
      <w:r>
        <w:rPr>
          <w:rFonts w:ascii="Times New Roman" w:hAnsi="Times New Roman"/>
          <w:i/>
          <w:iCs/>
          <w:noProof/>
          <w:szCs w:val="24"/>
          <w:lang w:val="en-US"/>
        </w:rPr>
        <w:t>Journal of International Criminal Justice</w:t>
      </w:r>
      <w:r>
        <w:rPr>
          <w:rFonts w:ascii="Times New Roman" w:hAnsi="Times New Roman"/>
          <w:noProof/>
          <w:szCs w:val="24"/>
          <w:lang w:val="en-US"/>
        </w:rPr>
        <w:t>.</w:t>
      </w:r>
    </w:p>
    <w:p w14:paraId="5A5229ED" w14:textId="77777777" w:rsidR="00294294" w:rsidRDefault="00294294" w:rsidP="00294294">
      <w:pPr>
        <w:jc w:val="both"/>
        <w:rPr>
          <w:rFonts w:ascii="Times New Roman" w:hAnsi="Times New Roman"/>
          <w:szCs w:val="24"/>
          <w:lang w:val="en-US"/>
        </w:rPr>
      </w:pPr>
      <w:proofErr w:type="spellStart"/>
      <w:r>
        <w:rPr>
          <w:rFonts w:ascii="Times New Roman" w:hAnsi="Times New Roman"/>
          <w:szCs w:val="24"/>
          <w:lang w:val="en-US"/>
        </w:rPr>
        <w:t>J</w:t>
      </w:r>
      <w:r>
        <w:rPr>
          <w:rFonts w:ascii="Times New Roman" w:hAnsi="Times New Roman"/>
          <w:noProof/>
          <w:szCs w:val="24"/>
          <w:lang w:val="en-US"/>
        </w:rPr>
        <w:t>ouet</w:t>
      </w:r>
      <w:proofErr w:type="spellEnd"/>
      <w:r>
        <w:rPr>
          <w:rFonts w:ascii="Times New Roman" w:hAnsi="Times New Roman"/>
          <w:noProof/>
          <w:szCs w:val="24"/>
          <w:lang w:val="en-US"/>
        </w:rPr>
        <w:t xml:space="preserve">, M. (2007). 'Reconciling the Conflicting Rights of Victims and Defendants at the International Criminal Court'. </w:t>
      </w:r>
      <w:r>
        <w:rPr>
          <w:rFonts w:ascii="Times New Roman" w:hAnsi="Times New Roman"/>
          <w:i/>
          <w:iCs/>
          <w:noProof/>
          <w:szCs w:val="24"/>
          <w:lang w:val="en-US"/>
        </w:rPr>
        <w:t>St Lou</w:t>
      </w:r>
      <w:r w:rsidR="000F3F38">
        <w:rPr>
          <w:rFonts w:ascii="Times New Roman" w:hAnsi="Times New Roman"/>
          <w:i/>
          <w:iCs/>
          <w:noProof/>
          <w:szCs w:val="24"/>
          <w:lang w:val="en-US"/>
        </w:rPr>
        <w:t>is</w:t>
      </w:r>
      <w:r>
        <w:rPr>
          <w:rFonts w:ascii="Times New Roman" w:hAnsi="Times New Roman"/>
          <w:i/>
          <w:iCs/>
          <w:noProof/>
          <w:szCs w:val="24"/>
          <w:lang w:val="en-US"/>
        </w:rPr>
        <w:t xml:space="preserve"> University Law Review</w:t>
      </w:r>
      <w:r>
        <w:rPr>
          <w:rFonts w:ascii="Times New Roman" w:hAnsi="Times New Roman"/>
          <w:noProof/>
          <w:szCs w:val="24"/>
          <w:lang w:val="en-US"/>
        </w:rPr>
        <w:t>, 253-254.</w:t>
      </w:r>
    </w:p>
    <w:p w14:paraId="1D1F536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Lacey, N. (2018). Theorising criminalisation through approach: A critical appreciation. </w:t>
      </w:r>
      <w:r>
        <w:rPr>
          <w:rFonts w:ascii="Times New Roman" w:hAnsi="Times New Roman"/>
          <w:i/>
          <w:iCs/>
          <w:noProof/>
          <w:szCs w:val="24"/>
          <w:lang w:val="en-US"/>
        </w:rPr>
        <w:t>International Journal of Crime, Justice and Social Democracy</w:t>
      </w:r>
      <w:r>
        <w:rPr>
          <w:rFonts w:ascii="Times New Roman" w:hAnsi="Times New Roman"/>
          <w:noProof/>
          <w:szCs w:val="24"/>
          <w:lang w:val="en-US"/>
        </w:rPr>
        <w:t>, 122-127.</w:t>
      </w:r>
    </w:p>
    <w:p w14:paraId="55D02668" w14:textId="77777777" w:rsidR="00294294" w:rsidRDefault="00294294" w:rsidP="00294294">
      <w:pPr>
        <w:jc w:val="both"/>
        <w:rPr>
          <w:rFonts w:ascii="Times New Roman" w:hAnsi="Times New Roman"/>
          <w:szCs w:val="24"/>
        </w:rPr>
      </w:pPr>
      <w:r>
        <w:rPr>
          <w:rFonts w:ascii="Times New Roman" w:hAnsi="Times New Roman"/>
          <w:noProof/>
          <w:szCs w:val="24"/>
          <w:lang w:val="en-US"/>
        </w:rPr>
        <w:t xml:space="preserve">Lambourne, W. (2009). ‘Transitional Justice and Peacebuilding after Mass Violence'. </w:t>
      </w:r>
      <w:r>
        <w:rPr>
          <w:rFonts w:ascii="Times New Roman" w:hAnsi="Times New Roman"/>
          <w:i/>
          <w:iCs/>
          <w:noProof/>
          <w:szCs w:val="24"/>
          <w:lang w:val="en-US"/>
        </w:rPr>
        <w:t>International Journal of Transitional Justice</w:t>
      </w:r>
      <w:r>
        <w:rPr>
          <w:rFonts w:ascii="Times New Roman" w:hAnsi="Times New Roman"/>
          <w:noProof/>
          <w:szCs w:val="24"/>
          <w:lang w:val="en-US"/>
        </w:rPr>
        <w:t>, 28-48.</w:t>
      </w:r>
    </w:p>
    <w:p w14:paraId="2D5E4B4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Leyh, B. M. (2009). “Two for the Price of One:</w:t>
      </w:r>
      <w:r w:rsidR="000F3F38">
        <w:rPr>
          <w:rFonts w:ascii="Times New Roman" w:hAnsi="Times New Roman"/>
          <w:noProof/>
          <w:szCs w:val="24"/>
          <w:lang w:val="en-US"/>
        </w:rPr>
        <w:t xml:space="preserve"> </w:t>
      </w:r>
      <w:r>
        <w:rPr>
          <w:rFonts w:ascii="Times New Roman" w:hAnsi="Times New Roman"/>
          <w:noProof/>
          <w:szCs w:val="24"/>
          <w:lang w:val="en-US"/>
        </w:rPr>
        <w:t xml:space="preserve">Attempts by the Extraordinary Chambers in the Courts of Cambodia to Combine Retributive and Restorative Justice Principles'. </w:t>
      </w:r>
      <w:r>
        <w:rPr>
          <w:rFonts w:ascii="Times New Roman" w:hAnsi="Times New Roman"/>
          <w:i/>
          <w:iCs/>
          <w:noProof/>
          <w:szCs w:val="24"/>
          <w:lang w:val="en-US"/>
        </w:rPr>
        <w:t>Leiden Journal of International Law</w:t>
      </w:r>
      <w:r>
        <w:rPr>
          <w:rFonts w:ascii="Times New Roman" w:hAnsi="Times New Roman"/>
          <w:noProof/>
          <w:szCs w:val="24"/>
          <w:lang w:val="en-US"/>
        </w:rPr>
        <w:t>.</w:t>
      </w:r>
    </w:p>
    <w:p w14:paraId="1579F6E6" w14:textId="77777777" w:rsidR="00294294" w:rsidRDefault="00294294" w:rsidP="00294294">
      <w:pPr>
        <w:jc w:val="both"/>
        <w:rPr>
          <w:rFonts w:ascii="Times New Roman" w:hAnsi="Times New Roman"/>
          <w:szCs w:val="24"/>
        </w:rPr>
      </w:pPr>
      <w:r>
        <w:rPr>
          <w:rFonts w:ascii="Times New Roman" w:hAnsi="Times New Roman"/>
          <w:noProof/>
          <w:szCs w:val="24"/>
          <w:lang w:val="en-US"/>
        </w:rPr>
        <w:t>Leyh, B. M. (2012). ''Victim Oriented Measures at International Criminal Institutions:</w:t>
      </w:r>
      <w:r w:rsidR="000F3F38">
        <w:rPr>
          <w:rFonts w:ascii="Times New Roman" w:hAnsi="Times New Roman"/>
          <w:noProof/>
          <w:szCs w:val="24"/>
          <w:lang w:val="en-US"/>
        </w:rPr>
        <w:t xml:space="preserve"> </w:t>
      </w:r>
      <w:r>
        <w:rPr>
          <w:rFonts w:ascii="Times New Roman" w:hAnsi="Times New Roman"/>
          <w:noProof/>
          <w:szCs w:val="24"/>
          <w:lang w:val="en-US"/>
        </w:rPr>
        <w:t xml:space="preserve">Participation and its Pitfalls''. </w:t>
      </w:r>
      <w:r>
        <w:rPr>
          <w:rFonts w:ascii="Times New Roman" w:hAnsi="Times New Roman"/>
          <w:i/>
          <w:iCs/>
          <w:noProof/>
          <w:szCs w:val="24"/>
          <w:lang w:val="en-US"/>
        </w:rPr>
        <w:t>International Criminal Law Review</w:t>
      </w:r>
      <w:r>
        <w:rPr>
          <w:rFonts w:ascii="Times New Roman" w:hAnsi="Times New Roman"/>
          <w:noProof/>
          <w:szCs w:val="24"/>
          <w:lang w:val="en-US"/>
        </w:rPr>
        <w:t>, 375-435.</w:t>
      </w:r>
    </w:p>
    <w:p w14:paraId="030199D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Malsch, M and Carrier, R. (1999). “Victims’ wishes for compensation: the immaterial aspect”. </w:t>
      </w:r>
      <w:r>
        <w:rPr>
          <w:rFonts w:ascii="Times New Roman" w:hAnsi="Times New Roman"/>
          <w:i/>
          <w:iCs/>
          <w:noProof/>
          <w:szCs w:val="24"/>
          <w:lang w:val="en-US"/>
        </w:rPr>
        <w:t>Journal of Criminal Justice</w:t>
      </w:r>
      <w:r>
        <w:rPr>
          <w:rFonts w:ascii="Times New Roman" w:hAnsi="Times New Roman"/>
          <w:noProof/>
          <w:szCs w:val="24"/>
          <w:lang w:val="en-US"/>
        </w:rPr>
        <w:t>, 239-239.</w:t>
      </w:r>
    </w:p>
    <w:p w14:paraId="6F76AC9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McCrudden, C. (2008). ‘Human Dignity and Judicial Interpretation of Human Rights'. </w:t>
      </w:r>
      <w:r>
        <w:rPr>
          <w:rFonts w:ascii="Times New Roman" w:hAnsi="Times New Roman"/>
          <w:i/>
          <w:iCs/>
          <w:noProof/>
          <w:szCs w:val="24"/>
          <w:lang w:val="en-US"/>
        </w:rPr>
        <w:t>European Jour</w:t>
      </w:r>
      <w:r w:rsidR="000F3F38">
        <w:rPr>
          <w:rFonts w:ascii="Times New Roman" w:hAnsi="Times New Roman"/>
          <w:i/>
          <w:iCs/>
          <w:noProof/>
          <w:szCs w:val="24"/>
          <w:lang w:val="en-US"/>
        </w:rPr>
        <w:t>na</w:t>
      </w:r>
      <w:r>
        <w:rPr>
          <w:rFonts w:ascii="Times New Roman" w:hAnsi="Times New Roman"/>
          <w:i/>
          <w:iCs/>
          <w:noProof/>
          <w:szCs w:val="24"/>
          <w:lang w:val="en-US"/>
        </w:rPr>
        <w:t>l of International Law</w:t>
      </w:r>
      <w:r>
        <w:rPr>
          <w:rFonts w:ascii="Times New Roman" w:hAnsi="Times New Roman"/>
          <w:noProof/>
          <w:szCs w:val="24"/>
          <w:lang w:val="en-US"/>
        </w:rPr>
        <w:t>, 655-724.</w:t>
      </w:r>
    </w:p>
    <w:p w14:paraId="36C8B3A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McGonigle, B. (2009). Bridging the Divides In International Criminal Proceedings:</w:t>
      </w:r>
      <w:r w:rsidR="000F3F38">
        <w:rPr>
          <w:rFonts w:ascii="Times New Roman" w:hAnsi="Times New Roman"/>
          <w:noProof/>
          <w:szCs w:val="24"/>
          <w:lang w:val="en-US"/>
        </w:rPr>
        <w:t xml:space="preserve"> </w:t>
      </w:r>
      <w:r>
        <w:rPr>
          <w:rFonts w:ascii="Times New Roman" w:hAnsi="Times New Roman"/>
          <w:noProof/>
          <w:szCs w:val="24"/>
          <w:lang w:val="en-US"/>
        </w:rPr>
        <w:t xml:space="preserve">An Examination into the Victim Participation Endeavor of the International Criminal Proceedings. </w:t>
      </w:r>
      <w:r>
        <w:rPr>
          <w:rFonts w:ascii="Times New Roman" w:hAnsi="Times New Roman"/>
          <w:i/>
          <w:iCs/>
          <w:noProof/>
          <w:szCs w:val="24"/>
          <w:lang w:val="en-US"/>
        </w:rPr>
        <w:t>Florida Journal of International Law</w:t>
      </w:r>
      <w:r>
        <w:rPr>
          <w:rFonts w:ascii="Times New Roman" w:hAnsi="Times New Roman"/>
          <w:noProof/>
          <w:szCs w:val="24"/>
          <w:lang w:val="en-US"/>
        </w:rPr>
        <w:t>.</w:t>
      </w:r>
    </w:p>
    <w:p w14:paraId="4CA16D2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McGonigle, B. (2009). 'Two for the Price of One:</w:t>
      </w:r>
      <w:r w:rsidR="000F3F38">
        <w:rPr>
          <w:rFonts w:ascii="Times New Roman" w:hAnsi="Times New Roman"/>
          <w:noProof/>
          <w:szCs w:val="24"/>
          <w:lang w:val="en-US"/>
        </w:rPr>
        <w:t xml:space="preserve"> </w:t>
      </w:r>
      <w:r>
        <w:rPr>
          <w:rFonts w:ascii="Times New Roman" w:hAnsi="Times New Roman"/>
          <w:noProof/>
          <w:szCs w:val="24"/>
          <w:lang w:val="en-US"/>
        </w:rPr>
        <w:t xml:space="preserve">Attempts by the Extraordinary Chambers in the Courts of Cambodia to combine Retributive and Restorative Justice'. </w:t>
      </w:r>
      <w:r>
        <w:rPr>
          <w:rFonts w:ascii="Times New Roman" w:hAnsi="Times New Roman"/>
          <w:i/>
          <w:iCs/>
          <w:noProof/>
          <w:szCs w:val="24"/>
          <w:lang w:val="en-US"/>
        </w:rPr>
        <w:t>Leiden Journal of International Law</w:t>
      </w:r>
      <w:r>
        <w:rPr>
          <w:rFonts w:ascii="Times New Roman" w:hAnsi="Times New Roman"/>
          <w:noProof/>
          <w:szCs w:val="24"/>
          <w:lang w:val="en-US"/>
        </w:rPr>
        <w:t>.</w:t>
      </w:r>
    </w:p>
    <w:p w14:paraId="67E6512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McGovern, M and Lundy, P. (2008). ‘Whose Justice?</w:t>
      </w:r>
      <w:r w:rsidR="000F3F38">
        <w:rPr>
          <w:rFonts w:ascii="Times New Roman" w:hAnsi="Times New Roman"/>
          <w:noProof/>
          <w:szCs w:val="24"/>
          <w:lang w:val="en-US"/>
        </w:rPr>
        <w:t xml:space="preserve"> </w:t>
      </w:r>
      <w:r>
        <w:rPr>
          <w:rFonts w:ascii="Times New Roman" w:hAnsi="Times New Roman"/>
          <w:noProof/>
          <w:szCs w:val="24"/>
          <w:lang w:val="en-US"/>
        </w:rPr>
        <w:t xml:space="preserve">Rethinking Transitional Justice from the Bottom Up’. </w:t>
      </w:r>
      <w:r>
        <w:rPr>
          <w:rFonts w:ascii="Times New Roman" w:hAnsi="Times New Roman"/>
          <w:i/>
          <w:iCs/>
          <w:noProof/>
          <w:szCs w:val="24"/>
          <w:lang w:val="en-US"/>
        </w:rPr>
        <w:t>Journal of Law and Society</w:t>
      </w:r>
      <w:r>
        <w:rPr>
          <w:rFonts w:ascii="Times New Roman" w:hAnsi="Times New Roman"/>
          <w:noProof/>
          <w:szCs w:val="24"/>
          <w:lang w:val="en-US"/>
        </w:rPr>
        <w:t>.</w:t>
      </w:r>
    </w:p>
    <w:p w14:paraId="09C538E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Megret, F. (2002). 'The Politics of International Criminal Justice’. </w:t>
      </w:r>
      <w:r>
        <w:rPr>
          <w:rFonts w:ascii="Times New Roman" w:hAnsi="Times New Roman"/>
          <w:i/>
          <w:iCs/>
          <w:noProof/>
          <w:szCs w:val="24"/>
          <w:lang w:val="en-US"/>
        </w:rPr>
        <w:t>European Journal of International Criminal Justice</w:t>
      </w:r>
      <w:r>
        <w:rPr>
          <w:rFonts w:ascii="Times New Roman" w:hAnsi="Times New Roman"/>
          <w:noProof/>
          <w:szCs w:val="24"/>
          <w:lang w:val="en-US"/>
        </w:rPr>
        <w:t>, 1261-1284.</w:t>
      </w:r>
    </w:p>
    <w:p w14:paraId="6E243AD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Mekjian, G and Varughese, M. (2005). Hearing the Victims’ s Voice: Analysis of Victims’ Advocate Participation in the Trial Proceedings of the International Criminal Court. </w:t>
      </w:r>
      <w:r>
        <w:rPr>
          <w:rFonts w:ascii="Times New Roman" w:hAnsi="Times New Roman"/>
          <w:i/>
          <w:iCs/>
          <w:noProof/>
          <w:szCs w:val="24"/>
          <w:lang w:val="en-US"/>
        </w:rPr>
        <w:t>Pace International Law Review</w:t>
      </w:r>
      <w:r>
        <w:rPr>
          <w:rFonts w:ascii="Times New Roman" w:hAnsi="Times New Roman"/>
          <w:noProof/>
          <w:szCs w:val="24"/>
          <w:lang w:val="en-US"/>
        </w:rPr>
        <w:t>, 1-20.</w:t>
      </w:r>
    </w:p>
    <w:p w14:paraId="7EF3781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Miers, D. (1992). The Responsibilities of the Rights of Victims of Crime. </w:t>
      </w:r>
      <w:r>
        <w:rPr>
          <w:rFonts w:ascii="Times New Roman" w:hAnsi="Times New Roman"/>
          <w:i/>
          <w:iCs/>
          <w:noProof/>
          <w:szCs w:val="24"/>
          <w:lang w:val="en-US"/>
        </w:rPr>
        <w:t>Modern Law Review</w:t>
      </w:r>
      <w:r>
        <w:rPr>
          <w:rFonts w:ascii="Times New Roman" w:hAnsi="Times New Roman"/>
          <w:noProof/>
          <w:szCs w:val="24"/>
          <w:lang w:val="en-US"/>
        </w:rPr>
        <w:t>, 482-496.</w:t>
      </w:r>
    </w:p>
    <w:p w14:paraId="5D54018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Moffett, L. (2012). ‘The Role of Victims in the International Criminal Tribunal of the Second World War'. </w:t>
      </w:r>
      <w:r>
        <w:rPr>
          <w:rFonts w:ascii="Times New Roman" w:hAnsi="Times New Roman"/>
          <w:i/>
          <w:iCs/>
          <w:noProof/>
          <w:szCs w:val="24"/>
          <w:lang w:val="en-US"/>
        </w:rPr>
        <w:t>International Criminal Law Review</w:t>
      </w:r>
      <w:r>
        <w:rPr>
          <w:rFonts w:ascii="Times New Roman" w:hAnsi="Times New Roman"/>
          <w:noProof/>
          <w:szCs w:val="24"/>
          <w:lang w:val="en-US"/>
        </w:rPr>
        <w:t>, 245-270.</w:t>
      </w:r>
    </w:p>
    <w:p w14:paraId="7ACB376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Moffett, L. (2015). 'Elaborating Justice for victims of at the International Criminal Court:</w:t>
      </w:r>
      <w:r w:rsidR="000F3F38">
        <w:rPr>
          <w:rFonts w:ascii="Times New Roman" w:hAnsi="Times New Roman"/>
          <w:noProof/>
          <w:szCs w:val="24"/>
          <w:lang w:val="en-US"/>
        </w:rPr>
        <w:t xml:space="preserve"> </w:t>
      </w:r>
      <w:r>
        <w:rPr>
          <w:rFonts w:ascii="Times New Roman" w:hAnsi="Times New Roman"/>
          <w:noProof/>
          <w:szCs w:val="24"/>
          <w:lang w:val="en-US"/>
        </w:rPr>
        <w:t xml:space="preserve">Beyond Rhetoric and the Hague'. </w:t>
      </w:r>
      <w:r>
        <w:rPr>
          <w:rFonts w:ascii="Times New Roman" w:hAnsi="Times New Roman"/>
          <w:i/>
          <w:iCs/>
          <w:noProof/>
          <w:szCs w:val="24"/>
          <w:lang w:val="en-US"/>
        </w:rPr>
        <w:t>Journal of International Criminal Justice</w:t>
      </w:r>
      <w:r>
        <w:rPr>
          <w:rFonts w:ascii="Times New Roman" w:hAnsi="Times New Roman"/>
          <w:noProof/>
          <w:szCs w:val="24"/>
          <w:lang w:val="en-US"/>
        </w:rPr>
        <w:t>, 281-311.</w:t>
      </w:r>
    </w:p>
    <w:p w14:paraId="611AA1A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Moffett, L. (2015). Meaningful and Effective? ‘Considering Victims’ Interests Through Participation at the International Criminal Court'. </w:t>
      </w:r>
      <w:r>
        <w:rPr>
          <w:rFonts w:ascii="Times New Roman" w:hAnsi="Times New Roman"/>
          <w:i/>
          <w:iCs/>
          <w:noProof/>
          <w:szCs w:val="24"/>
          <w:lang w:val="en-US"/>
        </w:rPr>
        <w:t>Criminal Law Forum</w:t>
      </w:r>
      <w:r>
        <w:rPr>
          <w:rFonts w:ascii="Times New Roman" w:hAnsi="Times New Roman"/>
          <w:noProof/>
          <w:szCs w:val="24"/>
          <w:lang w:val="en-US"/>
        </w:rPr>
        <w:t>, 255-289.</w:t>
      </w:r>
    </w:p>
    <w:p w14:paraId="55B82EC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Moffett, L. (2017). ‘Victim Personal Statements in Managing Victims’ Voices in Sentencing in Northern Ireland: Taking a More Procedural Justice Approach'. </w:t>
      </w:r>
      <w:r>
        <w:rPr>
          <w:rFonts w:ascii="Times New Roman" w:hAnsi="Times New Roman"/>
          <w:i/>
          <w:iCs/>
          <w:noProof/>
          <w:szCs w:val="24"/>
          <w:lang w:val="en-US"/>
        </w:rPr>
        <w:t>Northern Ireland Legal Quarterly</w:t>
      </w:r>
      <w:r>
        <w:rPr>
          <w:rFonts w:ascii="Times New Roman" w:hAnsi="Times New Roman"/>
          <w:noProof/>
          <w:szCs w:val="24"/>
          <w:lang w:val="en-US"/>
        </w:rPr>
        <w:t>, 1-27.</w:t>
      </w:r>
    </w:p>
    <w:p w14:paraId="15E6669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Mors, M. B. (2006). International Sentencing Law: In Search of a Justification and Coherent Framework. </w:t>
      </w:r>
      <w:r>
        <w:rPr>
          <w:rFonts w:ascii="Times New Roman" w:hAnsi="Times New Roman"/>
          <w:i/>
          <w:iCs/>
          <w:noProof/>
          <w:szCs w:val="24"/>
          <w:lang w:val="en-US"/>
        </w:rPr>
        <w:t>International Criminal Law Review</w:t>
      </w:r>
      <w:r>
        <w:rPr>
          <w:rFonts w:ascii="Times New Roman" w:hAnsi="Times New Roman"/>
          <w:noProof/>
          <w:szCs w:val="24"/>
          <w:lang w:val="en-US"/>
        </w:rPr>
        <w:t>, 253.</w:t>
      </w:r>
    </w:p>
    <w:p w14:paraId="42FAD62C" w14:textId="77777777" w:rsidR="00294294" w:rsidRDefault="00294294" w:rsidP="00294294">
      <w:pPr>
        <w:jc w:val="both"/>
        <w:rPr>
          <w:rFonts w:ascii="Times New Roman" w:hAnsi="Times New Roman"/>
          <w:color w:val="222222"/>
          <w:szCs w:val="24"/>
          <w:shd w:val="clear" w:color="auto" w:fill="FFFFFF"/>
        </w:rPr>
      </w:pPr>
      <w:r>
        <w:rPr>
          <w:rFonts w:ascii="Times New Roman" w:hAnsi="Times New Roman"/>
          <w:noProof/>
          <w:szCs w:val="24"/>
          <w:lang w:val="en-US"/>
        </w:rPr>
        <w:t xml:space="preserve">Ness, D. V, and Nolan, P. (2007). Legislation for Restorative Justice. </w:t>
      </w:r>
      <w:r>
        <w:rPr>
          <w:rFonts w:ascii="Times New Roman" w:hAnsi="Times New Roman"/>
          <w:i/>
          <w:iCs/>
          <w:noProof/>
          <w:szCs w:val="24"/>
          <w:lang w:val="en-US"/>
        </w:rPr>
        <w:t>Regent Law Review</w:t>
      </w:r>
      <w:r>
        <w:rPr>
          <w:rFonts w:ascii="Times New Roman" w:hAnsi="Times New Roman"/>
          <w:noProof/>
          <w:szCs w:val="24"/>
          <w:lang w:val="en-US"/>
        </w:rPr>
        <w:t>, 53-66.</w:t>
      </w:r>
    </w:p>
    <w:p w14:paraId="2BF7209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Paramentier, S. (2003). 'Global Justice in the Aftermath of Mass Violence: The Role of the International Criminal Court in Dealing with Political Crimes’. </w:t>
      </w:r>
      <w:r>
        <w:rPr>
          <w:rFonts w:ascii="Times New Roman" w:hAnsi="Times New Roman"/>
          <w:i/>
          <w:iCs/>
          <w:noProof/>
          <w:szCs w:val="24"/>
          <w:lang w:val="en-US"/>
        </w:rPr>
        <w:t>International Journal of Criminology</w:t>
      </w:r>
      <w:r>
        <w:rPr>
          <w:rFonts w:ascii="Times New Roman" w:hAnsi="Times New Roman"/>
          <w:noProof/>
          <w:szCs w:val="24"/>
          <w:lang w:val="en-US"/>
        </w:rPr>
        <w:t>, 203-211.</w:t>
      </w:r>
    </w:p>
    <w:p w14:paraId="42AAFD94"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Parsons, J and Bergin, P. (2010). ‘The Impact of Criminal Justice Involvement on Victims’ Mental Health'. </w:t>
      </w:r>
      <w:r>
        <w:rPr>
          <w:rFonts w:ascii="Times New Roman" w:hAnsi="Times New Roman"/>
          <w:i/>
          <w:iCs/>
          <w:noProof/>
          <w:szCs w:val="24"/>
          <w:lang w:val="en-US"/>
        </w:rPr>
        <w:t>Journal of Traumatic Stress</w:t>
      </w:r>
      <w:r>
        <w:rPr>
          <w:rFonts w:ascii="Times New Roman" w:hAnsi="Times New Roman"/>
          <w:noProof/>
          <w:szCs w:val="24"/>
          <w:lang w:val="en-US"/>
        </w:rPr>
        <w:t>, 182-188.</w:t>
      </w:r>
    </w:p>
    <w:p w14:paraId="34CEE8B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Pearson, Z. (2006). ‘Non—Governmental Organisations and the International Criminal Court:</w:t>
      </w:r>
      <w:r w:rsidR="000F3F38">
        <w:rPr>
          <w:rFonts w:ascii="Times New Roman" w:hAnsi="Times New Roman"/>
          <w:noProof/>
          <w:szCs w:val="24"/>
          <w:lang w:val="en-US"/>
        </w:rPr>
        <w:t xml:space="preserve"> </w:t>
      </w:r>
      <w:r>
        <w:rPr>
          <w:rFonts w:ascii="Times New Roman" w:hAnsi="Times New Roman"/>
          <w:noProof/>
          <w:szCs w:val="24"/>
          <w:lang w:val="en-US"/>
        </w:rPr>
        <w:t>Changing Land</w:t>
      </w:r>
      <w:r w:rsidR="000F3F38">
        <w:rPr>
          <w:rFonts w:ascii="Times New Roman" w:hAnsi="Times New Roman"/>
          <w:noProof/>
          <w:szCs w:val="24"/>
          <w:lang w:val="en-US"/>
        </w:rPr>
        <w:t>s</w:t>
      </w:r>
      <w:r>
        <w:rPr>
          <w:rFonts w:ascii="Times New Roman" w:hAnsi="Times New Roman"/>
          <w:noProof/>
          <w:szCs w:val="24"/>
          <w:lang w:val="en-US"/>
        </w:rPr>
        <w:t xml:space="preserve">capes of International Law'. </w:t>
      </w:r>
      <w:r>
        <w:rPr>
          <w:rFonts w:ascii="Times New Roman" w:hAnsi="Times New Roman"/>
          <w:i/>
          <w:iCs/>
          <w:noProof/>
          <w:szCs w:val="24"/>
          <w:lang w:val="en-US"/>
        </w:rPr>
        <w:t>Cornel International Law Journal</w:t>
      </w:r>
      <w:r>
        <w:rPr>
          <w:rFonts w:ascii="Times New Roman" w:hAnsi="Times New Roman"/>
          <w:noProof/>
          <w:szCs w:val="24"/>
          <w:lang w:val="en-US"/>
        </w:rPr>
        <w:t>, 243-284.</w:t>
      </w:r>
    </w:p>
    <w:p w14:paraId="00C36990"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Perez-Leon-Acevedo, J. P. (2019). “Assessing Victim Participation during Sentencing at the International Criminal Court”. </w:t>
      </w:r>
      <w:r>
        <w:rPr>
          <w:rFonts w:ascii="Times New Roman" w:hAnsi="Times New Roman"/>
          <w:i/>
          <w:iCs/>
          <w:noProof/>
          <w:szCs w:val="24"/>
          <w:lang w:val="en-US"/>
        </w:rPr>
        <w:t>Journal of Criminal Justice</w:t>
      </w:r>
      <w:r>
        <w:rPr>
          <w:rFonts w:ascii="Times New Roman" w:hAnsi="Times New Roman"/>
          <w:noProof/>
          <w:szCs w:val="24"/>
          <w:lang w:val="en-US"/>
        </w:rPr>
        <w:t>, 431-451.</w:t>
      </w:r>
    </w:p>
    <w:p w14:paraId="63B5770D" w14:textId="77777777" w:rsidR="00294294" w:rsidRDefault="00294294" w:rsidP="00294294">
      <w:pPr>
        <w:jc w:val="both"/>
        <w:rPr>
          <w:rFonts w:ascii="Times New Roman" w:hAnsi="Times New Roman"/>
          <w:szCs w:val="24"/>
        </w:rPr>
      </w:pPr>
      <w:r>
        <w:rPr>
          <w:rFonts w:ascii="Times New Roman" w:hAnsi="Times New Roman"/>
          <w:noProof/>
          <w:szCs w:val="24"/>
          <w:lang w:val="en-US"/>
        </w:rPr>
        <w:lastRenderedPageBreak/>
        <w:t xml:space="preserve">Ponte, C. D. (2006). ''Investigation and Prosecution of Large –Scale Crimes at the International Level''. </w:t>
      </w:r>
      <w:r>
        <w:rPr>
          <w:rFonts w:ascii="Times New Roman" w:hAnsi="Times New Roman"/>
          <w:i/>
          <w:iCs/>
          <w:noProof/>
          <w:szCs w:val="24"/>
          <w:lang w:val="en-US"/>
        </w:rPr>
        <w:t>Journal of International Criminal justice</w:t>
      </w:r>
      <w:r>
        <w:rPr>
          <w:rFonts w:ascii="Times New Roman" w:hAnsi="Times New Roman"/>
          <w:noProof/>
          <w:szCs w:val="24"/>
          <w:lang w:val="en-US"/>
        </w:rPr>
        <w:t>.</w:t>
      </w:r>
    </w:p>
    <w:p w14:paraId="43A52157" w14:textId="77777777" w:rsidR="00294294" w:rsidRDefault="00294294" w:rsidP="00294294">
      <w:pPr>
        <w:jc w:val="both"/>
        <w:rPr>
          <w:rFonts w:ascii="Times New Roman" w:hAnsi="Times New Roman"/>
          <w:noProof/>
          <w:szCs w:val="24"/>
          <w:lang w:val="en-US"/>
        </w:rPr>
      </w:pPr>
      <w:proofErr w:type="spellStart"/>
      <w:r>
        <w:rPr>
          <w:rFonts w:ascii="Times New Roman" w:hAnsi="Times New Roman"/>
          <w:szCs w:val="24"/>
          <w:lang w:val="en-US"/>
        </w:rPr>
        <w:t>Rauschenbach</w:t>
      </w:r>
      <w:proofErr w:type="spellEnd"/>
      <w:r>
        <w:rPr>
          <w:rFonts w:ascii="Times New Roman" w:hAnsi="Times New Roman"/>
          <w:szCs w:val="24"/>
          <w:lang w:val="en-US"/>
        </w:rPr>
        <w:t>, M and</w:t>
      </w:r>
      <w:r>
        <w:rPr>
          <w:rFonts w:ascii="Times New Roman" w:hAnsi="Times New Roman"/>
          <w:noProof/>
          <w:szCs w:val="24"/>
          <w:lang w:val="en-US"/>
        </w:rPr>
        <w:t xml:space="preserve"> Scalia, D. (2008). ‘Victims and International Criminal Justice: a vexed question?'. </w:t>
      </w:r>
      <w:r>
        <w:rPr>
          <w:rFonts w:ascii="Times New Roman" w:hAnsi="Times New Roman"/>
          <w:i/>
          <w:iCs/>
          <w:noProof/>
          <w:szCs w:val="24"/>
          <w:lang w:val="en-US"/>
        </w:rPr>
        <w:t>International Review of the Red Cross</w:t>
      </w:r>
      <w:r>
        <w:rPr>
          <w:rFonts w:ascii="Times New Roman" w:hAnsi="Times New Roman"/>
          <w:noProof/>
          <w:szCs w:val="24"/>
          <w:lang w:val="en-US"/>
        </w:rPr>
        <w:t>, 441-459.</w:t>
      </w:r>
    </w:p>
    <w:p w14:paraId="30FCCFF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Rawls, J. (1985). ‘Justice As Fairness:</w:t>
      </w:r>
      <w:r w:rsidR="000F3F38">
        <w:rPr>
          <w:rFonts w:ascii="Times New Roman" w:hAnsi="Times New Roman"/>
          <w:noProof/>
          <w:szCs w:val="24"/>
          <w:lang w:val="en-US"/>
        </w:rPr>
        <w:t xml:space="preserve"> </w:t>
      </w:r>
      <w:r>
        <w:rPr>
          <w:rFonts w:ascii="Times New Roman" w:hAnsi="Times New Roman"/>
          <w:noProof/>
          <w:szCs w:val="24"/>
          <w:lang w:val="en-US"/>
        </w:rPr>
        <w:t xml:space="preserve">Political Not Metaphysical'. </w:t>
      </w:r>
      <w:r>
        <w:rPr>
          <w:rFonts w:ascii="Times New Roman" w:hAnsi="Times New Roman"/>
          <w:i/>
          <w:iCs/>
          <w:noProof/>
          <w:szCs w:val="24"/>
          <w:lang w:val="en-US"/>
        </w:rPr>
        <w:t>Philosophy and Public Affairs</w:t>
      </w:r>
      <w:r>
        <w:rPr>
          <w:rFonts w:ascii="Times New Roman" w:hAnsi="Times New Roman"/>
          <w:noProof/>
          <w:szCs w:val="24"/>
          <w:lang w:val="en-US"/>
        </w:rPr>
        <w:t>, 223-251.</w:t>
      </w:r>
    </w:p>
    <w:p w14:paraId="6DC2E389"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Rigney, S. (2014). “The Words Don’t Fit You:</w:t>
      </w:r>
      <w:r w:rsidR="000F3F38">
        <w:rPr>
          <w:rFonts w:ascii="Times New Roman" w:hAnsi="Times New Roman"/>
          <w:noProof/>
          <w:szCs w:val="24"/>
          <w:lang w:val="en-US"/>
        </w:rPr>
        <w:t xml:space="preserve"> </w:t>
      </w:r>
      <w:r>
        <w:rPr>
          <w:rFonts w:ascii="Times New Roman" w:hAnsi="Times New Roman"/>
          <w:noProof/>
          <w:szCs w:val="24"/>
          <w:lang w:val="en-US"/>
        </w:rPr>
        <w:t xml:space="preserve">Recharacterisation of the Charges, Trial Fairness, and Katanga“. </w:t>
      </w:r>
      <w:r>
        <w:rPr>
          <w:rFonts w:ascii="Times New Roman" w:hAnsi="Times New Roman"/>
          <w:i/>
          <w:iCs/>
          <w:noProof/>
          <w:szCs w:val="24"/>
          <w:lang w:val="en-US"/>
        </w:rPr>
        <w:t>Melbourne Journal of International Law</w:t>
      </w:r>
      <w:r>
        <w:rPr>
          <w:rFonts w:ascii="Times New Roman" w:hAnsi="Times New Roman"/>
          <w:noProof/>
          <w:szCs w:val="24"/>
          <w:lang w:val="en-US"/>
        </w:rPr>
        <w:t>, 515.</w:t>
      </w:r>
    </w:p>
    <w:p w14:paraId="689FF06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Ristroph, A. (2005). “ Proportionality as a principle of Limited Government”. </w:t>
      </w:r>
      <w:r>
        <w:rPr>
          <w:rFonts w:ascii="Times New Roman" w:hAnsi="Times New Roman"/>
          <w:i/>
          <w:iCs/>
          <w:noProof/>
          <w:szCs w:val="24"/>
          <w:lang w:val="en-US"/>
        </w:rPr>
        <w:t>Duke Law Journal</w:t>
      </w:r>
      <w:r>
        <w:rPr>
          <w:rFonts w:ascii="Times New Roman" w:hAnsi="Times New Roman"/>
          <w:noProof/>
          <w:szCs w:val="24"/>
          <w:lang w:val="en-US"/>
        </w:rPr>
        <w:t>, 263-331.</w:t>
      </w:r>
    </w:p>
    <w:p w14:paraId="5AD7C14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Roche, D. (2005). ‘Truth Commission Amnesties and the International Criminal Court'. </w:t>
      </w:r>
      <w:r>
        <w:rPr>
          <w:rFonts w:ascii="Times New Roman" w:hAnsi="Times New Roman"/>
          <w:i/>
          <w:iCs/>
          <w:noProof/>
          <w:szCs w:val="24"/>
          <w:lang w:val="en-US"/>
        </w:rPr>
        <w:t>British Journal of Criminology</w:t>
      </w:r>
      <w:r>
        <w:rPr>
          <w:rFonts w:ascii="Times New Roman" w:hAnsi="Times New Roman"/>
          <w:noProof/>
          <w:szCs w:val="24"/>
          <w:lang w:val="en-US"/>
        </w:rPr>
        <w:t>, 565-575. Retrieved from 565-575.</w:t>
      </w:r>
    </w:p>
    <w:p w14:paraId="221F347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Rothe, D and Mullins, C. (2010). ‘Beyond the Juristic of International Criminal Justice System:</w:t>
      </w:r>
      <w:r w:rsidR="000F3F38">
        <w:rPr>
          <w:rFonts w:ascii="Times New Roman" w:hAnsi="Times New Roman"/>
          <w:noProof/>
          <w:szCs w:val="24"/>
          <w:lang w:val="en-US"/>
        </w:rPr>
        <w:t xml:space="preserve"> </w:t>
      </w:r>
      <w:r>
        <w:rPr>
          <w:rFonts w:ascii="Times New Roman" w:hAnsi="Times New Roman"/>
          <w:noProof/>
          <w:szCs w:val="24"/>
          <w:lang w:val="en-US"/>
        </w:rPr>
        <w:t xml:space="preserve">The Relevance of Criminological Insights to International Criminal Law and its Control’. </w:t>
      </w:r>
      <w:r>
        <w:rPr>
          <w:rFonts w:ascii="Times New Roman" w:hAnsi="Times New Roman"/>
          <w:i/>
          <w:iCs/>
          <w:noProof/>
          <w:szCs w:val="24"/>
          <w:lang w:val="en-US"/>
        </w:rPr>
        <w:t>International Criminal Law Review</w:t>
      </w:r>
      <w:r>
        <w:rPr>
          <w:rFonts w:ascii="Times New Roman" w:hAnsi="Times New Roman"/>
          <w:noProof/>
          <w:szCs w:val="24"/>
          <w:lang w:val="en-US"/>
        </w:rPr>
        <w:t>, 97-110.</w:t>
      </w:r>
    </w:p>
    <w:p w14:paraId="222C610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Sacouto, S and Cleary, K. (2008). Victims’ Participation in the Investigations of the International Criminal Court. </w:t>
      </w:r>
      <w:r>
        <w:rPr>
          <w:rFonts w:ascii="Times New Roman" w:hAnsi="Times New Roman"/>
          <w:i/>
          <w:iCs/>
          <w:noProof/>
          <w:szCs w:val="24"/>
          <w:lang w:val="en-US"/>
        </w:rPr>
        <w:t>Transnational Law and Contemporary Problems</w:t>
      </w:r>
      <w:r>
        <w:rPr>
          <w:rFonts w:ascii="Times New Roman" w:hAnsi="Times New Roman"/>
          <w:noProof/>
          <w:szCs w:val="24"/>
          <w:lang w:val="en-US"/>
        </w:rPr>
        <w:t>, 73-105.</w:t>
      </w:r>
    </w:p>
    <w:p w14:paraId="1B92C19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Schabas, W. (1997). Sentencing by International Tribunals: A Human Rights Approach. </w:t>
      </w:r>
      <w:r>
        <w:rPr>
          <w:rFonts w:ascii="Times New Roman" w:hAnsi="Times New Roman"/>
          <w:i/>
          <w:iCs/>
          <w:noProof/>
          <w:szCs w:val="24"/>
          <w:lang w:val="en-US"/>
        </w:rPr>
        <w:t>Duke Journal of Comparative and International Law</w:t>
      </w:r>
      <w:r>
        <w:rPr>
          <w:rFonts w:ascii="Times New Roman" w:hAnsi="Times New Roman"/>
          <w:noProof/>
          <w:szCs w:val="24"/>
          <w:lang w:val="en-US"/>
        </w:rPr>
        <w:t>, 461-481.</w:t>
      </w:r>
    </w:p>
    <w:p w14:paraId="681A010B"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Schabas, W. (2008). ‘O Brave New World’: The Role of the Prosecutor of the International Criminal Court. </w:t>
      </w:r>
      <w:r>
        <w:rPr>
          <w:rFonts w:ascii="Times New Roman" w:hAnsi="Times New Roman"/>
          <w:i/>
          <w:iCs/>
          <w:noProof/>
          <w:szCs w:val="24"/>
          <w:lang w:val="en-US"/>
        </w:rPr>
        <w:t>Die Friedens-Warte</w:t>
      </w:r>
      <w:r>
        <w:rPr>
          <w:rFonts w:ascii="Times New Roman" w:hAnsi="Times New Roman"/>
          <w:noProof/>
          <w:szCs w:val="24"/>
          <w:lang w:val="en-US"/>
        </w:rPr>
        <w:t>, 11-31.</w:t>
      </w:r>
    </w:p>
    <w:p w14:paraId="48A6E38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Schabas, W. (2008). “Prosecutorial discretion v. judicial activism at the International Criminal Court''. </w:t>
      </w:r>
      <w:r>
        <w:rPr>
          <w:rFonts w:ascii="Times New Roman" w:hAnsi="Times New Roman"/>
          <w:i/>
          <w:iCs/>
          <w:noProof/>
          <w:szCs w:val="24"/>
          <w:lang w:val="en-US"/>
        </w:rPr>
        <w:t>Journal of International Criminal Justice</w:t>
      </w:r>
      <w:r>
        <w:rPr>
          <w:rFonts w:ascii="Times New Roman" w:hAnsi="Times New Roman"/>
          <w:noProof/>
          <w:szCs w:val="24"/>
          <w:lang w:val="en-US"/>
        </w:rPr>
        <w:t>, 731-761.</w:t>
      </w:r>
    </w:p>
    <w:p w14:paraId="4572A3E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Shapland, J, Robinson, G and Sorsby, A. (2006). ‘Situating restorative Justice within criminal justice’. </w:t>
      </w:r>
      <w:r>
        <w:rPr>
          <w:rFonts w:ascii="Times New Roman" w:hAnsi="Times New Roman"/>
          <w:i/>
          <w:iCs/>
          <w:noProof/>
          <w:szCs w:val="24"/>
          <w:lang w:val="en-US"/>
        </w:rPr>
        <w:t>Theoretical Criminology</w:t>
      </w:r>
      <w:r>
        <w:rPr>
          <w:rFonts w:ascii="Times New Roman" w:hAnsi="Times New Roman"/>
          <w:noProof/>
          <w:szCs w:val="24"/>
          <w:lang w:val="en-US"/>
        </w:rPr>
        <w:t>.</w:t>
      </w:r>
    </w:p>
    <w:p w14:paraId="5A06BF2A"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Sloane, R. (2007). ‘The Expressive Capacity of International Punishment: The Limits of the National Law Analogy and the Potential of International Criminal Law'. </w:t>
      </w:r>
      <w:r>
        <w:rPr>
          <w:rFonts w:ascii="Times New Roman" w:hAnsi="Times New Roman"/>
          <w:i/>
          <w:iCs/>
          <w:noProof/>
          <w:szCs w:val="24"/>
          <w:lang w:val="en-US"/>
        </w:rPr>
        <w:t>Stanford Journal of International Law</w:t>
      </w:r>
      <w:r>
        <w:rPr>
          <w:rFonts w:ascii="Times New Roman" w:hAnsi="Times New Roman"/>
          <w:noProof/>
          <w:szCs w:val="24"/>
          <w:lang w:val="en-US"/>
        </w:rPr>
        <w:t>, 39-44.</w:t>
      </w:r>
    </w:p>
    <w:p w14:paraId="4FE09DD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Sloane, R. D. (2007). ‘Sentence for the Crimes of Crimes’: The Evolving ‘Common Law’ of Sentencing of the International Criminal Tribunal for Rwanda. </w:t>
      </w:r>
      <w:r>
        <w:rPr>
          <w:rFonts w:ascii="Times New Roman" w:hAnsi="Times New Roman"/>
          <w:i/>
          <w:iCs/>
          <w:noProof/>
          <w:szCs w:val="24"/>
          <w:lang w:val="en-US"/>
        </w:rPr>
        <w:t>International Criminal Justice</w:t>
      </w:r>
      <w:r>
        <w:rPr>
          <w:rFonts w:ascii="Times New Roman" w:hAnsi="Times New Roman"/>
          <w:noProof/>
          <w:szCs w:val="24"/>
          <w:lang w:val="en-US"/>
        </w:rPr>
        <w:t>, 713-724.</w:t>
      </w:r>
    </w:p>
    <w:p w14:paraId="7713933F"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Spencer, J. (2016). ‘Adversarial v.inquisitorial systems: is there still such a difference'. </w:t>
      </w:r>
      <w:r>
        <w:rPr>
          <w:rFonts w:ascii="Times New Roman" w:hAnsi="Times New Roman"/>
          <w:i/>
          <w:iCs/>
          <w:noProof/>
          <w:szCs w:val="24"/>
          <w:lang w:val="en-US"/>
        </w:rPr>
        <w:t>International Journal of Human Rights</w:t>
      </w:r>
      <w:r>
        <w:rPr>
          <w:rFonts w:ascii="Times New Roman" w:hAnsi="Times New Roman"/>
          <w:noProof/>
          <w:szCs w:val="24"/>
          <w:lang w:val="en-US"/>
        </w:rPr>
        <w:t>, 601-616.</w:t>
      </w:r>
    </w:p>
    <w:p w14:paraId="4504D1CC"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Stahn, C. (2012). ‘Between ‘faith’ and ‘Facts’:</w:t>
      </w:r>
      <w:r w:rsidR="000F3F38">
        <w:rPr>
          <w:rFonts w:ascii="Times New Roman" w:hAnsi="Times New Roman"/>
          <w:noProof/>
          <w:szCs w:val="24"/>
          <w:lang w:val="en-US"/>
        </w:rPr>
        <w:t xml:space="preserve"> </w:t>
      </w:r>
      <w:r>
        <w:rPr>
          <w:rFonts w:ascii="Times New Roman" w:hAnsi="Times New Roman"/>
          <w:noProof/>
          <w:szCs w:val="24"/>
          <w:lang w:val="en-US"/>
        </w:rPr>
        <w:t xml:space="preserve">By what standards should we assess international criminal justice?'. </w:t>
      </w:r>
      <w:r>
        <w:rPr>
          <w:rFonts w:ascii="Times New Roman" w:hAnsi="Times New Roman"/>
          <w:i/>
          <w:iCs/>
          <w:noProof/>
          <w:szCs w:val="24"/>
          <w:lang w:val="en-US"/>
        </w:rPr>
        <w:t>Leiden Journal of International Law</w:t>
      </w:r>
      <w:r>
        <w:rPr>
          <w:rFonts w:ascii="Times New Roman" w:hAnsi="Times New Roman"/>
          <w:noProof/>
          <w:szCs w:val="24"/>
          <w:lang w:val="en-US"/>
        </w:rPr>
        <w:t>, 251-267.</w:t>
      </w:r>
    </w:p>
    <w:p w14:paraId="64F146F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Suprun, D. (2016). 'Legal Repres</w:t>
      </w:r>
      <w:r w:rsidR="000F3F38">
        <w:rPr>
          <w:rFonts w:ascii="Times New Roman" w:hAnsi="Times New Roman"/>
          <w:noProof/>
          <w:szCs w:val="24"/>
          <w:lang w:val="en-US"/>
        </w:rPr>
        <w:t>e</w:t>
      </w:r>
      <w:r>
        <w:rPr>
          <w:rFonts w:ascii="Times New Roman" w:hAnsi="Times New Roman"/>
          <w:noProof/>
          <w:szCs w:val="24"/>
          <w:lang w:val="en-US"/>
        </w:rPr>
        <w:t>ntatives of Victi</w:t>
      </w:r>
      <w:r w:rsidR="000F3F38">
        <w:rPr>
          <w:rFonts w:ascii="Times New Roman" w:hAnsi="Times New Roman"/>
          <w:noProof/>
          <w:szCs w:val="24"/>
          <w:lang w:val="en-US"/>
        </w:rPr>
        <w:t>ms</w:t>
      </w:r>
      <w:r>
        <w:rPr>
          <w:rFonts w:ascii="Times New Roman" w:hAnsi="Times New Roman"/>
          <w:noProof/>
          <w:szCs w:val="24"/>
          <w:lang w:val="en-US"/>
        </w:rPr>
        <w:t xml:space="preserve"> before the ICC:</w:t>
      </w:r>
      <w:r w:rsidR="000F3F38">
        <w:rPr>
          <w:rFonts w:ascii="Times New Roman" w:hAnsi="Times New Roman"/>
          <w:noProof/>
          <w:szCs w:val="24"/>
          <w:lang w:val="en-US"/>
        </w:rPr>
        <w:t xml:space="preserve"> </w:t>
      </w:r>
      <w:r>
        <w:rPr>
          <w:rFonts w:ascii="Times New Roman" w:hAnsi="Times New Roman"/>
          <w:noProof/>
          <w:szCs w:val="24"/>
          <w:lang w:val="en-US"/>
        </w:rPr>
        <w:t>Developments,</w:t>
      </w:r>
      <w:r w:rsidR="000F3F38">
        <w:rPr>
          <w:rFonts w:ascii="Times New Roman" w:hAnsi="Times New Roman"/>
          <w:noProof/>
          <w:szCs w:val="24"/>
          <w:lang w:val="en-US"/>
        </w:rPr>
        <w:t xml:space="preserve"> </w:t>
      </w:r>
      <w:r>
        <w:rPr>
          <w:rFonts w:ascii="Times New Roman" w:hAnsi="Times New Roman"/>
          <w:noProof/>
          <w:szCs w:val="24"/>
          <w:lang w:val="en-US"/>
        </w:rPr>
        <w:t xml:space="preserve">Challenges and Perspectives'. </w:t>
      </w:r>
      <w:r>
        <w:rPr>
          <w:rFonts w:ascii="Times New Roman" w:hAnsi="Times New Roman"/>
          <w:i/>
          <w:iCs/>
          <w:noProof/>
          <w:szCs w:val="24"/>
          <w:lang w:val="en-US"/>
        </w:rPr>
        <w:t>International Criminal Law Review</w:t>
      </w:r>
      <w:r>
        <w:rPr>
          <w:rFonts w:ascii="Times New Roman" w:hAnsi="Times New Roman"/>
          <w:noProof/>
          <w:szCs w:val="24"/>
          <w:lang w:val="en-US"/>
        </w:rPr>
        <w:t>, 972-994.</w:t>
      </w:r>
    </w:p>
    <w:p w14:paraId="173C52FD"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Thibaut, J, Walker, L, La Tour, S and Houlden, P. (1974). ‘Procedural Justice as Fairness'. </w:t>
      </w:r>
      <w:r>
        <w:rPr>
          <w:rFonts w:ascii="Times New Roman" w:hAnsi="Times New Roman"/>
          <w:i/>
          <w:iCs/>
          <w:noProof/>
          <w:szCs w:val="24"/>
          <w:lang w:val="en-US"/>
        </w:rPr>
        <w:t>Stanford Law Review</w:t>
      </w:r>
      <w:r>
        <w:rPr>
          <w:rFonts w:ascii="Times New Roman" w:hAnsi="Times New Roman"/>
          <w:noProof/>
          <w:szCs w:val="24"/>
          <w:lang w:val="en-US"/>
        </w:rPr>
        <w:t>, 1271-1289.</w:t>
      </w:r>
    </w:p>
    <w:p w14:paraId="004884E9"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Tyler, T. (1988). ‘Procedural Justice and the Courts. </w:t>
      </w:r>
      <w:r>
        <w:rPr>
          <w:rFonts w:ascii="Times New Roman" w:hAnsi="Times New Roman"/>
          <w:i/>
          <w:iCs/>
          <w:noProof/>
          <w:szCs w:val="24"/>
          <w:lang w:val="en-US"/>
        </w:rPr>
        <w:t>Court Review: The Journal of the American Judges Association</w:t>
      </w:r>
      <w:r>
        <w:rPr>
          <w:rFonts w:ascii="Times New Roman" w:hAnsi="Times New Roman"/>
          <w:noProof/>
          <w:szCs w:val="24"/>
          <w:lang w:val="en-US"/>
        </w:rPr>
        <w:t>, 44.</w:t>
      </w:r>
    </w:p>
    <w:p w14:paraId="791F9FAE"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Tyler, T. (1988). 'What is Procedural Justice ?: Criteria used by Citizens to Assess the Fairness of Legal Procedures'. </w:t>
      </w:r>
      <w:r>
        <w:rPr>
          <w:rFonts w:ascii="Times New Roman" w:hAnsi="Times New Roman"/>
          <w:i/>
          <w:iCs/>
          <w:noProof/>
          <w:szCs w:val="24"/>
          <w:lang w:val="en-US"/>
        </w:rPr>
        <w:t>Law and Society Review</w:t>
      </w:r>
      <w:r>
        <w:rPr>
          <w:rFonts w:ascii="Times New Roman" w:hAnsi="Times New Roman"/>
          <w:noProof/>
          <w:szCs w:val="24"/>
          <w:lang w:val="en-US"/>
        </w:rPr>
        <w:t>, 103-136.</w:t>
      </w:r>
    </w:p>
    <w:p w14:paraId="4D3DC987"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Tyler, T. (2003). ‘Procedural Justice, Legitimacy, and the Effective Rule of Law’. </w:t>
      </w:r>
      <w:r>
        <w:rPr>
          <w:rFonts w:ascii="Times New Roman" w:hAnsi="Times New Roman"/>
          <w:i/>
          <w:iCs/>
          <w:noProof/>
          <w:szCs w:val="24"/>
          <w:lang w:val="en-US"/>
        </w:rPr>
        <w:t>Crime and Justice</w:t>
      </w:r>
      <w:r>
        <w:rPr>
          <w:rFonts w:ascii="Times New Roman" w:hAnsi="Times New Roman"/>
          <w:noProof/>
          <w:szCs w:val="24"/>
          <w:lang w:val="en-US"/>
        </w:rPr>
        <w:t>, 283-357.</w:t>
      </w:r>
    </w:p>
    <w:p w14:paraId="566916E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Tyler, T. (2007). Procedural justice and the Courts. </w:t>
      </w:r>
      <w:r>
        <w:rPr>
          <w:rFonts w:ascii="Times New Roman" w:hAnsi="Times New Roman"/>
          <w:i/>
          <w:iCs/>
          <w:noProof/>
          <w:szCs w:val="24"/>
          <w:lang w:val="en-US"/>
        </w:rPr>
        <w:t>Court Review: The Journal of the American Judges Association</w:t>
      </w:r>
      <w:r>
        <w:rPr>
          <w:rFonts w:ascii="Times New Roman" w:hAnsi="Times New Roman"/>
          <w:noProof/>
          <w:szCs w:val="24"/>
          <w:lang w:val="en-US"/>
        </w:rPr>
        <w:t>, 217.</w:t>
      </w:r>
    </w:p>
    <w:p w14:paraId="189FC9F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lastRenderedPageBreak/>
        <w:t xml:space="preserve">Tyler, T. (2017). ‘Procedural Justice and Policing: A Rush to Judgment'. </w:t>
      </w:r>
      <w:r>
        <w:rPr>
          <w:rFonts w:ascii="Times New Roman" w:hAnsi="Times New Roman"/>
          <w:i/>
          <w:iCs/>
          <w:noProof/>
          <w:szCs w:val="24"/>
          <w:lang w:val="en-US"/>
        </w:rPr>
        <w:t>Annual Review of Law and Social Science</w:t>
      </w:r>
      <w:r>
        <w:rPr>
          <w:rFonts w:ascii="Times New Roman" w:hAnsi="Times New Roman"/>
          <w:noProof/>
          <w:szCs w:val="24"/>
          <w:lang w:val="en-US"/>
        </w:rPr>
        <w:t>, 29-53.</w:t>
      </w:r>
    </w:p>
    <w:p w14:paraId="45132DB1"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Varaki, M. (2016). “Introducing a Fairness-Based Theory of Prosecutorial Legitimacy before the International Criminal Court''.E</w:t>
      </w:r>
      <w:r>
        <w:rPr>
          <w:rFonts w:ascii="Times New Roman" w:hAnsi="Times New Roman"/>
          <w:i/>
          <w:iCs/>
          <w:noProof/>
          <w:szCs w:val="24"/>
          <w:lang w:val="en-US"/>
        </w:rPr>
        <w:t>uropean Journal of International Law</w:t>
      </w:r>
      <w:r>
        <w:rPr>
          <w:rFonts w:ascii="Times New Roman" w:hAnsi="Times New Roman"/>
          <w:noProof/>
          <w:szCs w:val="24"/>
          <w:lang w:val="en-US"/>
        </w:rPr>
        <w:t>, 769-788.</w:t>
      </w:r>
    </w:p>
    <w:p w14:paraId="0BCCC4E8"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Villa-Vicencio, C. (2000). Why Perpetrators Should Not Always be Prosecuted: Where the International Criminal Court and Truth Commissions Meet. </w:t>
      </w:r>
      <w:r>
        <w:rPr>
          <w:rFonts w:ascii="Times New Roman" w:hAnsi="Times New Roman"/>
          <w:i/>
          <w:iCs/>
          <w:noProof/>
          <w:szCs w:val="24"/>
          <w:lang w:val="en-US"/>
        </w:rPr>
        <w:t>Emory Law Journal</w:t>
      </w:r>
      <w:r>
        <w:rPr>
          <w:rFonts w:ascii="Times New Roman" w:hAnsi="Times New Roman"/>
          <w:noProof/>
          <w:szCs w:val="24"/>
          <w:lang w:val="en-US"/>
        </w:rPr>
        <w:t>, 59-213.</w:t>
      </w:r>
    </w:p>
    <w:p w14:paraId="49AAB772"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Wemmers, J-A and Cryer, K. (2004). “Victims ‘Perspectives on restorative justice: How much involvement are victims looking for?'</w:t>
      </w:r>
      <w:r w:rsidR="000F3F38">
        <w:rPr>
          <w:rFonts w:ascii="Times New Roman" w:hAnsi="Times New Roman"/>
          <w:noProof/>
          <w:szCs w:val="24"/>
          <w:lang w:val="en-US"/>
        </w:rPr>
        <w:t>—</w:t>
      </w:r>
      <w:r>
        <w:rPr>
          <w:rFonts w:ascii="Times New Roman" w:hAnsi="Times New Roman"/>
          <w:i/>
          <w:iCs/>
          <w:noProof/>
          <w:szCs w:val="24"/>
          <w:lang w:val="en-US"/>
        </w:rPr>
        <w:t>International Review of Victimology</w:t>
      </w:r>
      <w:r>
        <w:rPr>
          <w:rFonts w:ascii="Times New Roman" w:hAnsi="Times New Roman"/>
          <w:noProof/>
          <w:szCs w:val="24"/>
          <w:lang w:val="en-US"/>
        </w:rPr>
        <w:t>, 259.</w:t>
      </w:r>
    </w:p>
    <w:p w14:paraId="354C6EF9" w14:textId="103B9E79" w:rsidR="00294294" w:rsidRDefault="00294294" w:rsidP="00294294">
      <w:pPr>
        <w:jc w:val="both"/>
        <w:rPr>
          <w:rFonts w:ascii="Times New Roman" w:hAnsi="Times New Roman"/>
          <w:noProof/>
          <w:szCs w:val="24"/>
          <w:lang w:val="en-US"/>
        </w:rPr>
      </w:pPr>
      <w:r>
        <w:rPr>
          <w:rFonts w:ascii="Times New Roman" w:hAnsi="Times New Roman"/>
          <w:noProof/>
          <w:szCs w:val="24"/>
          <w:lang w:val="en-US"/>
        </w:rPr>
        <w:t>Wemmers, J-A and C</w:t>
      </w:r>
      <w:r w:rsidR="00F72A5B">
        <w:rPr>
          <w:rFonts w:ascii="Times New Roman" w:hAnsi="Times New Roman"/>
          <w:noProof/>
          <w:szCs w:val="24"/>
          <w:lang w:val="en-US"/>
        </w:rPr>
        <w:t>r</w:t>
      </w:r>
      <w:r>
        <w:rPr>
          <w:rFonts w:ascii="Times New Roman" w:hAnsi="Times New Roman"/>
          <w:noProof/>
          <w:szCs w:val="24"/>
          <w:lang w:val="en-US"/>
        </w:rPr>
        <w:t>y</w:t>
      </w:r>
      <w:r w:rsidR="00F72A5B">
        <w:rPr>
          <w:rFonts w:ascii="Times New Roman" w:hAnsi="Times New Roman"/>
          <w:noProof/>
          <w:szCs w:val="24"/>
          <w:lang w:val="en-US"/>
        </w:rPr>
        <w:t>e</w:t>
      </w:r>
      <w:r>
        <w:rPr>
          <w:rFonts w:ascii="Times New Roman" w:hAnsi="Times New Roman"/>
          <w:noProof/>
          <w:szCs w:val="24"/>
          <w:lang w:val="en-US"/>
        </w:rPr>
        <w:t xml:space="preserve">r, K. (2005). “Can Mediation be Therapeutic for Crime Victims? An Evaluation of Victims’ experiences in mediation with young offenders''. </w:t>
      </w:r>
      <w:r>
        <w:rPr>
          <w:rFonts w:ascii="Times New Roman" w:hAnsi="Times New Roman"/>
          <w:i/>
          <w:iCs/>
          <w:noProof/>
          <w:szCs w:val="24"/>
          <w:lang w:val="en-US"/>
        </w:rPr>
        <w:t>Canadian Journal of Criminology and Criminal Justice</w:t>
      </w:r>
      <w:r>
        <w:rPr>
          <w:rFonts w:ascii="Times New Roman" w:hAnsi="Times New Roman"/>
          <w:noProof/>
          <w:szCs w:val="24"/>
          <w:lang w:val="en-US"/>
        </w:rPr>
        <w:t>, 527-544.</w:t>
      </w:r>
    </w:p>
    <w:p w14:paraId="504A2923"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Wemmers, J. A. (2013). Victims' Experience in the Criminal Justice System and their Recovery from Crime’. </w:t>
      </w:r>
      <w:r>
        <w:rPr>
          <w:rFonts w:ascii="Times New Roman" w:hAnsi="Times New Roman"/>
          <w:i/>
          <w:iCs/>
          <w:noProof/>
          <w:szCs w:val="24"/>
          <w:lang w:val="en-US"/>
        </w:rPr>
        <w:t>International Review of Victimology.</w:t>
      </w:r>
    </w:p>
    <w:p w14:paraId="48190605"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Wemmers, J.-A. (2013). Victim experiences in the criminal justice system and their recovery from crime. </w:t>
      </w:r>
      <w:r>
        <w:rPr>
          <w:rFonts w:ascii="Times New Roman" w:hAnsi="Times New Roman"/>
          <w:i/>
          <w:iCs/>
          <w:noProof/>
          <w:szCs w:val="24"/>
          <w:lang w:val="en-US"/>
        </w:rPr>
        <w:t>International Review of Vict</w:t>
      </w:r>
      <w:r w:rsidR="000F3F38">
        <w:rPr>
          <w:rFonts w:ascii="Times New Roman" w:hAnsi="Times New Roman"/>
          <w:i/>
          <w:iCs/>
          <w:noProof/>
          <w:szCs w:val="24"/>
          <w:lang w:val="en-US"/>
        </w:rPr>
        <w:t>i</w:t>
      </w:r>
      <w:r>
        <w:rPr>
          <w:rFonts w:ascii="Times New Roman" w:hAnsi="Times New Roman"/>
          <w:i/>
          <w:iCs/>
          <w:noProof/>
          <w:szCs w:val="24"/>
          <w:lang w:val="en-US"/>
        </w:rPr>
        <w:t>mology</w:t>
      </w:r>
      <w:r>
        <w:rPr>
          <w:rFonts w:ascii="Times New Roman" w:hAnsi="Times New Roman"/>
          <w:noProof/>
          <w:szCs w:val="24"/>
          <w:lang w:val="en-US"/>
        </w:rPr>
        <w:t>.</w:t>
      </w:r>
    </w:p>
    <w:p w14:paraId="0308D3A6" w14:textId="77777777" w:rsidR="00294294" w:rsidRDefault="00294294" w:rsidP="00294294">
      <w:pPr>
        <w:jc w:val="both"/>
        <w:rPr>
          <w:rFonts w:ascii="Times New Roman" w:hAnsi="Times New Roman"/>
          <w:noProof/>
          <w:szCs w:val="24"/>
          <w:lang w:val="en-US"/>
        </w:rPr>
      </w:pPr>
      <w:r>
        <w:rPr>
          <w:rFonts w:ascii="Times New Roman" w:hAnsi="Times New Roman"/>
          <w:noProof/>
          <w:szCs w:val="24"/>
          <w:lang w:val="en-US"/>
        </w:rPr>
        <w:t xml:space="preserve">Yusuf, U and Yahay, S. (2014). ‘Crime Victims and Criminal Justice Criminal Administration in Nigeria'. </w:t>
      </w:r>
      <w:r>
        <w:rPr>
          <w:rFonts w:ascii="Times New Roman" w:hAnsi="Times New Roman"/>
          <w:i/>
          <w:iCs/>
          <w:noProof/>
          <w:szCs w:val="24"/>
          <w:lang w:val="en-US"/>
        </w:rPr>
        <w:t>Global Journal of Interdisciplinary Social Sciences</w:t>
      </w:r>
      <w:r>
        <w:rPr>
          <w:rFonts w:ascii="Times New Roman" w:hAnsi="Times New Roman"/>
          <w:noProof/>
          <w:szCs w:val="24"/>
          <w:lang w:val="en-US"/>
        </w:rPr>
        <w:t>.</w:t>
      </w:r>
    </w:p>
    <w:p w14:paraId="04AC3504" w14:textId="77777777" w:rsidR="00294294" w:rsidRDefault="00294294" w:rsidP="00294294">
      <w:pPr>
        <w:jc w:val="both"/>
        <w:rPr>
          <w:rFonts w:ascii="Times New Roman" w:hAnsi="Times New Roman"/>
          <w:szCs w:val="24"/>
          <w:lang w:val="en-US"/>
        </w:rPr>
      </w:pPr>
    </w:p>
    <w:p w14:paraId="5D7A8649" w14:textId="77777777" w:rsidR="00294294" w:rsidRDefault="00294294" w:rsidP="00294294">
      <w:pPr>
        <w:jc w:val="both"/>
        <w:rPr>
          <w:rFonts w:ascii="Times New Roman" w:hAnsi="Times New Roman"/>
          <w:szCs w:val="24"/>
        </w:rPr>
      </w:pPr>
    </w:p>
    <w:p w14:paraId="407E9951" w14:textId="77777777" w:rsidR="000F3F38" w:rsidRDefault="000F3F38" w:rsidP="00294294">
      <w:pPr>
        <w:jc w:val="both"/>
        <w:rPr>
          <w:rFonts w:ascii="Times New Roman" w:hAnsi="Times New Roman"/>
          <w:b/>
          <w:bCs/>
          <w:szCs w:val="24"/>
        </w:rPr>
      </w:pPr>
    </w:p>
    <w:p w14:paraId="53CC9E2D" w14:textId="77777777" w:rsidR="000F3F38" w:rsidRDefault="000F3F38" w:rsidP="00294294">
      <w:pPr>
        <w:jc w:val="both"/>
        <w:rPr>
          <w:rFonts w:ascii="Times New Roman" w:hAnsi="Times New Roman"/>
          <w:b/>
          <w:bCs/>
          <w:szCs w:val="24"/>
        </w:rPr>
      </w:pPr>
    </w:p>
    <w:p w14:paraId="6BDD17CF" w14:textId="05ECBBFA" w:rsidR="00294294" w:rsidRDefault="00294294" w:rsidP="00294294">
      <w:pPr>
        <w:jc w:val="both"/>
        <w:rPr>
          <w:rFonts w:ascii="Times New Roman" w:hAnsi="Times New Roman"/>
          <w:b/>
          <w:bCs/>
          <w:szCs w:val="24"/>
        </w:rPr>
      </w:pPr>
      <w:r>
        <w:rPr>
          <w:rFonts w:ascii="Times New Roman" w:hAnsi="Times New Roman"/>
          <w:b/>
          <w:bCs/>
          <w:szCs w:val="24"/>
        </w:rPr>
        <w:lastRenderedPageBreak/>
        <w:t>Online Journal Articles</w:t>
      </w:r>
    </w:p>
    <w:p w14:paraId="5E9E2D67" w14:textId="1381610D" w:rsidR="00AE6C38" w:rsidRPr="00294294" w:rsidRDefault="00AE6C38" w:rsidP="00AE6C38">
      <w:pPr>
        <w:jc w:val="both"/>
        <w:rPr>
          <w:rFonts w:ascii="Times New Roman" w:hAnsi="Times New Roman"/>
          <w:noProof/>
          <w:szCs w:val="24"/>
          <w:lang w:val="en-US"/>
        </w:rPr>
      </w:pPr>
      <w:r w:rsidRPr="00294294">
        <w:rPr>
          <w:rFonts w:ascii="Times New Roman" w:hAnsi="Times New Roman"/>
          <w:noProof/>
          <w:szCs w:val="24"/>
          <w:lang w:val="en-US"/>
        </w:rPr>
        <w:t xml:space="preserve">Amnesty International. (1997, January). </w:t>
      </w:r>
      <w:r w:rsidRPr="00294294">
        <w:rPr>
          <w:rFonts w:ascii="Times New Roman" w:hAnsi="Times New Roman"/>
          <w:i/>
          <w:iCs/>
          <w:noProof/>
          <w:szCs w:val="24"/>
          <w:lang w:val="en-US"/>
        </w:rPr>
        <w:t>The International Criminal Court: Making the Right Choices –Part 1 108-109.</w:t>
      </w:r>
      <w:r w:rsidRPr="00294294">
        <w:rPr>
          <w:rFonts w:ascii="Times New Roman" w:hAnsi="Times New Roman"/>
          <w:noProof/>
          <w:szCs w:val="24"/>
          <w:lang w:val="en-US"/>
        </w:rPr>
        <w:t xml:space="preserve"> Retrieved from http://web.amnesty.org/library/pdf/IOR400011997ENGLISH/$File/Ior4000197.pdf.</w:t>
      </w:r>
    </w:p>
    <w:p w14:paraId="65F40CDB" w14:textId="4F7D4308" w:rsidR="00AE6C38" w:rsidRPr="00AE6C38" w:rsidRDefault="00AE6C38" w:rsidP="00294294">
      <w:pPr>
        <w:jc w:val="both"/>
        <w:rPr>
          <w:rFonts w:ascii="Times New Roman" w:hAnsi="Times New Roman"/>
          <w:szCs w:val="24"/>
          <w:lang w:val="en-US"/>
        </w:rPr>
      </w:pPr>
      <w:r w:rsidRPr="00294294">
        <w:rPr>
          <w:rFonts w:ascii="Times New Roman" w:hAnsi="Times New Roman"/>
          <w:noProof/>
          <w:szCs w:val="24"/>
          <w:lang w:val="en-US"/>
        </w:rPr>
        <w:t xml:space="preserve">Amnesty International. (2014, March 6). </w:t>
      </w:r>
      <w:r w:rsidRPr="00294294">
        <w:rPr>
          <w:rFonts w:ascii="Times New Roman" w:hAnsi="Times New Roman"/>
          <w:i/>
          <w:iCs/>
          <w:noProof/>
          <w:szCs w:val="24"/>
          <w:lang w:val="en-US"/>
        </w:rPr>
        <w:t>Democratic Republic of Congo: All you need to know about the historic case against Germain Katanga.</w:t>
      </w:r>
      <w:r w:rsidRPr="00294294">
        <w:rPr>
          <w:rFonts w:ascii="Times New Roman" w:hAnsi="Times New Roman"/>
          <w:noProof/>
          <w:szCs w:val="24"/>
          <w:lang w:val="en-US"/>
        </w:rPr>
        <w:t xml:space="preserve"> Retrieved from &lt;https://www.amanesty.org/en/latest/news/2014/03/drc-all-you-need-know-about-historic-case-against-germain-katanga/</w:t>
      </w:r>
    </w:p>
    <w:p w14:paraId="1BE75CE2"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t xml:space="preserve">Allen, R. </w:t>
      </w:r>
      <w:r w:rsidRPr="000F3F38">
        <w:rPr>
          <w:rFonts w:ascii="Times New Roman" w:hAnsi="Times New Roman"/>
          <w:i/>
          <w:iCs/>
          <w:noProof/>
          <w:szCs w:val="24"/>
          <w:lang w:val="en-US"/>
        </w:rPr>
        <w:t>‘Stakeholder an</w:t>
      </w:r>
      <w:r w:rsidR="000F3F38" w:rsidRPr="000F3F38">
        <w:rPr>
          <w:rFonts w:ascii="Times New Roman" w:hAnsi="Times New Roman"/>
          <w:i/>
          <w:iCs/>
          <w:noProof/>
          <w:szCs w:val="24"/>
          <w:lang w:val="en-US"/>
        </w:rPr>
        <w:t>a</w:t>
      </w:r>
      <w:r w:rsidRPr="000F3F38">
        <w:rPr>
          <w:rFonts w:ascii="Times New Roman" w:hAnsi="Times New Roman"/>
          <w:i/>
          <w:iCs/>
          <w:noProof/>
          <w:szCs w:val="24"/>
          <w:lang w:val="en-US"/>
        </w:rPr>
        <w:t>lysis'.</w:t>
      </w:r>
      <w:r w:rsidRPr="000F3F38">
        <w:rPr>
          <w:rFonts w:ascii="Times New Roman" w:hAnsi="Times New Roman"/>
          <w:noProof/>
          <w:szCs w:val="24"/>
          <w:lang w:val="en-US"/>
        </w:rPr>
        <w:t xml:space="preserve"> Retrieved from </w:t>
      </w:r>
      <w:hyperlink r:id="rId14" w:history="1">
        <w:r w:rsidRPr="000F3F38">
          <w:rPr>
            <w:rStyle w:val="Hyperlink"/>
            <w:rFonts w:ascii="Times New Roman" w:hAnsi="Times New Roman"/>
            <w:noProof/>
            <w:szCs w:val="24"/>
            <w:lang w:val="en-US"/>
          </w:rPr>
          <w:t>http://www.customer-insight.co.uk/article/874</w:t>
        </w:r>
      </w:hyperlink>
    </w:p>
    <w:p w14:paraId="15E3072C"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t>Arnstein, S. (1969). ‘A Ladder of Citizen Partic</w:t>
      </w:r>
      <w:r w:rsidR="000F3F38" w:rsidRPr="000F3F38">
        <w:rPr>
          <w:rFonts w:ascii="Times New Roman" w:hAnsi="Times New Roman"/>
          <w:noProof/>
          <w:szCs w:val="24"/>
          <w:lang w:val="en-US"/>
        </w:rPr>
        <w:t>i</w:t>
      </w:r>
      <w:r w:rsidRPr="000F3F38">
        <w:rPr>
          <w:rFonts w:ascii="Times New Roman" w:hAnsi="Times New Roman"/>
          <w:noProof/>
          <w:szCs w:val="24"/>
          <w:lang w:val="en-US"/>
        </w:rPr>
        <w:t xml:space="preserve">pation'. </w:t>
      </w:r>
      <w:r w:rsidRPr="000F3F38">
        <w:rPr>
          <w:rFonts w:ascii="Times New Roman" w:hAnsi="Times New Roman"/>
          <w:i/>
          <w:iCs/>
          <w:noProof/>
          <w:szCs w:val="24"/>
          <w:lang w:val="en-US"/>
        </w:rPr>
        <w:t>Journal of the American Planning Association</w:t>
      </w:r>
      <w:r w:rsidRPr="000F3F38">
        <w:rPr>
          <w:rFonts w:ascii="Times New Roman" w:hAnsi="Times New Roman"/>
          <w:noProof/>
          <w:szCs w:val="24"/>
          <w:lang w:val="en-US"/>
        </w:rPr>
        <w:t>, 216-224.</w:t>
      </w:r>
    </w:p>
    <w:p w14:paraId="4196D7E2"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t xml:space="preserve">Badagard, L and Klamberg, M. (2017). “The Gatekeeper of the ICC: Prosecutorial Strategies for Selecting Situations and Cases at the International Criminal Court'. </w:t>
      </w:r>
      <w:r w:rsidRPr="000F3F38">
        <w:rPr>
          <w:rFonts w:ascii="Times New Roman" w:hAnsi="Times New Roman"/>
          <w:i/>
          <w:iCs/>
          <w:noProof/>
          <w:szCs w:val="24"/>
          <w:lang w:val="en-US"/>
        </w:rPr>
        <w:t>Georgetown Journal of International Law</w:t>
      </w:r>
      <w:r w:rsidRPr="000F3F38">
        <w:rPr>
          <w:rFonts w:ascii="Times New Roman" w:hAnsi="Times New Roman"/>
          <w:noProof/>
          <w:szCs w:val="24"/>
          <w:lang w:val="en-US"/>
        </w:rPr>
        <w:t>.</w:t>
      </w:r>
    </w:p>
    <w:p w14:paraId="52E4DC15"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t xml:space="preserve">Basset, M. (2009). “Defending International Sentencing: Past Criticism to the Promise of the ICC”. </w:t>
      </w:r>
      <w:r w:rsidRPr="000F3F38">
        <w:rPr>
          <w:rFonts w:ascii="Times New Roman" w:hAnsi="Times New Roman"/>
          <w:i/>
          <w:iCs/>
          <w:noProof/>
          <w:szCs w:val="24"/>
          <w:lang w:val="en-US"/>
        </w:rPr>
        <w:t>Human Rights Brief</w:t>
      </w:r>
      <w:r w:rsidRPr="000F3F38">
        <w:rPr>
          <w:rFonts w:ascii="Times New Roman" w:hAnsi="Times New Roman"/>
          <w:noProof/>
          <w:szCs w:val="24"/>
          <w:lang w:val="en-US"/>
        </w:rPr>
        <w:t>, 22-23.</w:t>
      </w:r>
    </w:p>
    <w:p w14:paraId="30DBE972"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t xml:space="preserve">Bazemore, G. (1998). ‘Restorative Justice and earned redemption: communities, victims and offender reintegration'. </w:t>
      </w:r>
      <w:r w:rsidRPr="000F3F38">
        <w:rPr>
          <w:rFonts w:ascii="Times New Roman" w:hAnsi="Times New Roman"/>
          <w:i/>
          <w:iCs/>
          <w:noProof/>
          <w:szCs w:val="24"/>
          <w:lang w:val="en-US"/>
        </w:rPr>
        <w:t>American Behavioral Scientist</w:t>
      </w:r>
      <w:r w:rsidRPr="000F3F38">
        <w:rPr>
          <w:rFonts w:ascii="Times New Roman" w:hAnsi="Times New Roman"/>
          <w:noProof/>
          <w:szCs w:val="24"/>
          <w:lang w:val="en-US"/>
        </w:rPr>
        <w:t>, 768-813.</w:t>
      </w:r>
    </w:p>
    <w:p w14:paraId="7F978FC1" w14:textId="77777777" w:rsidR="00294294" w:rsidRPr="000F3F38" w:rsidRDefault="00294294" w:rsidP="00294294">
      <w:pPr>
        <w:jc w:val="both"/>
        <w:rPr>
          <w:rFonts w:ascii="Times New Roman" w:hAnsi="Times New Roman"/>
          <w:szCs w:val="24"/>
          <w:lang w:val="en-US"/>
        </w:rPr>
      </w:pPr>
      <w:proofErr w:type="spellStart"/>
      <w:r w:rsidRPr="000F3F38">
        <w:rPr>
          <w:rFonts w:ascii="Times New Roman" w:hAnsi="Times New Roman"/>
          <w:szCs w:val="24"/>
          <w:lang w:val="en-US"/>
        </w:rPr>
        <w:t>Bibas</w:t>
      </w:r>
      <w:proofErr w:type="spellEnd"/>
      <w:r w:rsidRPr="000F3F38">
        <w:rPr>
          <w:rFonts w:ascii="Times New Roman" w:hAnsi="Times New Roman"/>
          <w:szCs w:val="24"/>
          <w:lang w:val="en-US"/>
        </w:rPr>
        <w:t>, S. (2012). The machinery of criminal justice, Faculty scholarship at Penn Law &lt;https: scholarship.law.upenn.edu/</w:t>
      </w:r>
      <w:proofErr w:type="spellStart"/>
      <w:r w:rsidRPr="000F3F38">
        <w:rPr>
          <w:rFonts w:ascii="Times New Roman" w:hAnsi="Times New Roman"/>
          <w:szCs w:val="24"/>
          <w:lang w:val="en-US"/>
        </w:rPr>
        <w:t>faculty_scholarship</w:t>
      </w:r>
      <w:proofErr w:type="spellEnd"/>
      <w:r w:rsidRPr="000F3F38">
        <w:rPr>
          <w:rFonts w:ascii="Times New Roman" w:hAnsi="Times New Roman"/>
          <w:szCs w:val="24"/>
          <w:lang w:val="en-US"/>
        </w:rPr>
        <w:t>/395</w:t>
      </w:r>
      <w:r w:rsidR="000F3F38">
        <w:rPr>
          <w:rFonts w:ascii="Times New Roman" w:hAnsi="Times New Roman"/>
          <w:szCs w:val="24"/>
          <w:lang w:val="en-US"/>
        </w:rPr>
        <w:t>&gt;</w:t>
      </w:r>
    </w:p>
    <w:p w14:paraId="7472DB0B"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t xml:space="preserve">Bolton, J. (2002, November 14). </w:t>
      </w:r>
      <w:r w:rsidRPr="000F3F38">
        <w:rPr>
          <w:rFonts w:ascii="Times New Roman" w:hAnsi="Times New Roman"/>
          <w:i/>
          <w:iCs/>
          <w:noProof/>
          <w:szCs w:val="24"/>
          <w:lang w:val="en-US"/>
        </w:rPr>
        <w:t>‘The United States and the International Criminal Court, Remarks to the Federalist Society'.</w:t>
      </w:r>
      <w:r w:rsidRPr="000F3F38">
        <w:rPr>
          <w:rFonts w:ascii="Times New Roman" w:hAnsi="Times New Roman"/>
          <w:noProof/>
          <w:szCs w:val="24"/>
          <w:lang w:val="en-US"/>
        </w:rPr>
        <w:t xml:space="preserve"> Retrieved from www.state.gov/t/us/rm/13158/htm</w:t>
      </w:r>
    </w:p>
    <w:p w14:paraId="754A1F9E"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lastRenderedPageBreak/>
        <w:t xml:space="preserve">Fataki, O. L. (2016, December 13). </w:t>
      </w:r>
      <w:r w:rsidRPr="000F3F38">
        <w:rPr>
          <w:rFonts w:ascii="Times New Roman" w:hAnsi="Times New Roman"/>
          <w:i/>
          <w:iCs/>
          <w:noProof/>
          <w:szCs w:val="24"/>
          <w:lang w:val="en-US"/>
        </w:rPr>
        <w:t>World Coalition Against Death Penalty, Africa Towards the Abolition of the death Penalty in DRC: Advances to be confirmed.</w:t>
      </w:r>
      <w:r w:rsidRPr="000F3F38">
        <w:rPr>
          <w:rFonts w:ascii="Times New Roman" w:hAnsi="Times New Roman"/>
          <w:noProof/>
          <w:szCs w:val="24"/>
          <w:lang w:val="en-US"/>
        </w:rPr>
        <w:t xml:space="preserve"> Retrieved from World coalition: &lt;www.worldcoalition.org/Towards-the-abolition-of -the -death-penalty-in-DRC-advances-to-be-confirmed.html &gt;</w:t>
      </w:r>
    </w:p>
    <w:p w14:paraId="37ABDC85" w14:textId="1745A7D9" w:rsidR="00294294" w:rsidRPr="000F3F38" w:rsidRDefault="00294294" w:rsidP="00294294">
      <w:pPr>
        <w:jc w:val="both"/>
        <w:rPr>
          <w:rFonts w:ascii="Times New Roman" w:hAnsi="Times New Roman"/>
          <w:noProof/>
          <w:szCs w:val="24"/>
          <w:lang w:val="en-US"/>
        </w:rPr>
      </w:pPr>
      <w:r w:rsidRPr="00C310AB">
        <w:rPr>
          <w:rFonts w:ascii="Times New Roman" w:hAnsi="Times New Roman"/>
          <w:noProof/>
          <w:szCs w:val="24"/>
          <w:lang w:val="de-DE"/>
        </w:rPr>
        <w:t xml:space="preserve">Franklin Zimring, G. H. (n.d.). </w:t>
      </w:r>
      <w:r w:rsidRPr="000F3F38">
        <w:rPr>
          <w:rFonts w:ascii="Times New Roman" w:hAnsi="Times New Roman"/>
          <w:i/>
          <w:iCs/>
          <w:noProof/>
          <w:szCs w:val="24"/>
          <w:lang w:val="en-US"/>
        </w:rPr>
        <w:t xml:space="preserve">“Deterrence: The Legal </w:t>
      </w:r>
      <w:r w:rsidR="000F3F38" w:rsidRPr="000F3F38">
        <w:rPr>
          <w:rFonts w:ascii="Times New Roman" w:hAnsi="Times New Roman"/>
          <w:i/>
          <w:iCs/>
          <w:noProof/>
          <w:szCs w:val="24"/>
          <w:lang w:val="en-US"/>
        </w:rPr>
        <w:t>T</w:t>
      </w:r>
      <w:r w:rsidRPr="000F3F38">
        <w:rPr>
          <w:rFonts w:ascii="Times New Roman" w:hAnsi="Times New Roman"/>
          <w:i/>
          <w:iCs/>
          <w:noProof/>
          <w:szCs w:val="24"/>
          <w:lang w:val="en-US"/>
        </w:rPr>
        <w:t>hreat in Crime Control”.</w:t>
      </w:r>
      <w:r w:rsidRPr="000F3F38">
        <w:rPr>
          <w:rFonts w:ascii="Times New Roman" w:hAnsi="Times New Roman"/>
          <w:noProof/>
          <w:szCs w:val="24"/>
          <w:lang w:val="en-US"/>
        </w:rPr>
        <w:t xml:space="preserve"> Retrieved from &lt; https://www.ncjrs.gov/App/Publications/abstract.aspx?ID=10857 &gt;</w:t>
      </w:r>
    </w:p>
    <w:p w14:paraId="5737B85A" w14:textId="77777777" w:rsidR="00294294" w:rsidRPr="000F3F38" w:rsidRDefault="00294294" w:rsidP="00294294">
      <w:pPr>
        <w:jc w:val="both"/>
        <w:rPr>
          <w:rFonts w:ascii="Times New Roman" w:hAnsi="Times New Roman"/>
          <w:noProof/>
          <w:szCs w:val="24"/>
          <w:lang w:val="en-US"/>
        </w:rPr>
      </w:pPr>
      <w:r w:rsidRPr="000F3F38">
        <w:rPr>
          <w:rFonts w:ascii="Times New Roman" w:hAnsi="Times New Roman"/>
          <w:noProof/>
          <w:szCs w:val="24"/>
          <w:lang w:val="en-US"/>
        </w:rPr>
        <w:t xml:space="preserve">Goldstone, R. (2019). </w:t>
      </w:r>
      <w:r w:rsidRPr="000F3F38">
        <w:rPr>
          <w:rFonts w:ascii="Times New Roman" w:hAnsi="Times New Roman"/>
          <w:i/>
          <w:iCs/>
          <w:noProof/>
          <w:szCs w:val="24"/>
          <w:lang w:val="en-US"/>
        </w:rPr>
        <w:t>“Acquittals by the International Criminal Court".</w:t>
      </w:r>
      <w:r w:rsidRPr="000F3F38">
        <w:rPr>
          <w:rFonts w:ascii="Times New Roman" w:hAnsi="Times New Roman"/>
          <w:noProof/>
          <w:szCs w:val="24"/>
          <w:lang w:val="en-US"/>
        </w:rPr>
        <w:t xml:space="preserve"> Retrieved from &lt;https://www.ejiltalk.org/acquittals-by-the-international-criminal-court/&gt;</w:t>
      </w:r>
    </w:p>
    <w:p w14:paraId="0FA82CF7"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Heller, K. J. (2014, August 3). </w:t>
      </w:r>
      <w:r>
        <w:rPr>
          <w:rFonts w:ascii="Times New Roman" w:hAnsi="Times New Roman"/>
          <w:i/>
          <w:iCs/>
          <w:noProof/>
          <w:szCs w:val="24"/>
          <w:lang w:val="en-US"/>
        </w:rPr>
        <w:t>“Another Terrible Day for the OTP”.</w:t>
      </w:r>
      <w:r>
        <w:rPr>
          <w:rFonts w:ascii="Times New Roman" w:hAnsi="Times New Roman"/>
          <w:noProof/>
          <w:szCs w:val="24"/>
          <w:lang w:val="en-US"/>
        </w:rPr>
        <w:t xml:space="preserve"> Retrieved from Opinniojuris: </w:t>
      </w:r>
      <w:hyperlink r:id="rId15" w:history="1">
        <w:r w:rsidR="008501B1" w:rsidRPr="00345797">
          <w:rPr>
            <w:rStyle w:val="Hyperlink"/>
            <w:rFonts w:ascii="Times New Roman" w:hAnsi="Times New Roman"/>
            <w:noProof/>
            <w:szCs w:val="24"/>
            <w:lang w:val="en-US"/>
          </w:rPr>
          <w:t>http://opiniojuris.org/2014/03/08/another-terrible-day-otp</w:t>
        </w:r>
      </w:hyperlink>
      <w:r>
        <w:rPr>
          <w:rFonts w:ascii="Times New Roman" w:hAnsi="Times New Roman"/>
          <w:noProof/>
          <w:szCs w:val="24"/>
          <w:lang w:val="en-US"/>
        </w:rPr>
        <w:t>.</w:t>
      </w:r>
    </w:p>
    <w:p w14:paraId="41D1B228" w14:textId="6644F43D" w:rsidR="008501B1" w:rsidRDefault="008501B1" w:rsidP="008501B1">
      <w:pPr>
        <w:jc w:val="both"/>
        <w:rPr>
          <w:rFonts w:ascii="Times New Roman" w:hAnsi="Times New Roman"/>
          <w:i/>
          <w:iCs/>
          <w:szCs w:val="24"/>
        </w:rPr>
      </w:pPr>
      <w:r w:rsidRPr="00294294">
        <w:rPr>
          <w:rFonts w:ascii="Times New Roman" w:hAnsi="Times New Roman"/>
          <w:szCs w:val="24"/>
        </w:rPr>
        <w:t xml:space="preserve">Human Rights </w:t>
      </w:r>
      <w:proofErr w:type="spellStart"/>
      <w:r w:rsidRPr="00294294">
        <w:rPr>
          <w:rFonts w:ascii="Times New Roman" w:hAnsi="Times New Roman"/>
          <w:szCs w:val="24"/>
        </w:rPr>
        <w:t>Center</w:t>
      </w:r>
      <w:proofErr w:type="spellEnd"/>
      <w:r w:rsidRPr="00294294">
        <w:rPr>
          <w:rFonts w:ascii="Times New Roman" w:hAnsi="Times New Roman"/>
          <w:szCs w:val="24"/>
        </w:rPr>
        <w:t>. (2015). UC</w:t>
      </w:r>
      <w:r w:rsidR="00B0259B">
        <w:rPr>
          <w:rFonts w:ascii="Times New Roman" w:hAnsi="Times New Roman"/>
          <w:szCs w:val="24"/>
        </w:rPr>
        <w:t xml:space="preserve"> </w:t>
      </w:r>
      <w:r w:rsidRPr="00294294">
        <w:rPr>
          <w:rFonts w:ascii="Times New Roman" w:hAnsi="Times New Roman"/>
          <w:szCs w:val="24"/>
        </w:rPr>
        <w:t>Berkeley School of Law</w:t>
      </w:r>
      <w:r>
        <w:rPr>
          <w:rFonts w:ascii="Times New Roman" w:hAnsi="Times New Roman"/>
          <w:szCs w:val="24"/>
        </w:rPr>
        <w:t xml:space="preserve">, </w:t>
      </w:r>
      <w:r w:rsidRPr="00294294">
        <w:rPr>
          <w:rFonts w:ascii="Times New Roman" w:hAnsi="Times New Roman"/>
          <w:szCs w:val="24"/>
        </w:rPr>
        <w:t xml:space="preserve">The Victims’ Court? </w:t>
      </w:r>
      <w:r w:rsidRPr="00294294">
        <w:rPr>
          <w:rFonts w:ascii="Times New Roman" w:hAnsi="Times New Roman"/>
          <w:i/>
          <w:iCs/>
          <w:szCs w:val="24"/>
        </w:rPr>
        <w:t>A Study of 622 Victim Part</w:t>
      </w:r>
      <w:r>
        <w:rPr>
          <w:rFonts w:ascii="Times New Roman" w:hAnsi="Times New Roman"/>
          <w:i/>
          <w:iCs/>
          <w:szCs w:val="24"/>
        </w:rPr>
        <w:t>i</w:t>
      </w:r>
      <w:r w:rsidRPr="00294294">
        <w:rPr>
          <w:rFonts w:ascii="Times New Roman" w:hAnsi="Times New Roman"/>
          <w:i/>
          <w:iCs/>
          <w:szCs w:val="24"/>
        </w:rPr>
        <w:t>cipants at the International Criminal Court.</w:t>
      </w:r>
      <w:r>
        <w:rPr>
          <w:rFonts w:ascii="Times New Roman" w:hAnsi="Times New Roman"/>
          <w:i/>
          <w:iCs/>
          <w:szCs w:val="24"/>
        </w:rPr>
        <w:t xml:space="preserve"> </w:t>
      </w:r>
      <w:r w:rsidRPr="008501B1">
        <w:rPr>
          <w:rFonts w:ascii="Times New Roman" w:hAnsi="Times New Roman"/>
          <w:iCs/>
          <w:szCs w:val="24"/>
        </w:rPr>
        <w:t>Accessible at</w:t>
      </w:r>
      <w:r>
        <w:rPr>
          <w:rFonts w:ascii="Times New Roman" w:hAnsi="Times New Roman"/>
          <w:i/>
          <w:iCs/>
          <w:szCs w:val="24"/>
        </w:rPr>
        <w:t xml:space="preserve"> </w:t>
      </w:r>
      <w:hyperlink r:id="rId16" w:history="1">
        <w:r w:rsidRPr="00345797">
          <w:rPr>
            <w:rStyle w:val="Hyperlink"/>
            <w:rFonts w:ascii="Times New Roman" w:hAnsi="Times New Roman"/>
            <w:i/>
            <w:iCs/>
            <w:szCs w:val="24"/>
          </w:rPr>
          <w:t>https://www.law.berkeley.edu/wp-content/uploads/2015/04/The-Victims-Court-November-2015.pdf</w:t>
        </w:r>
      </w:hyperlink>
    </w:p>
    <w:p w14:paraId="24AC8BBD" w14:textId="1E97320C" w:rsidR="008501B1" w:rsidRDefault="008501B1" w:rsidP="008501B1">
      <w:pPr>
        <w:jc w:val="both"/>
        <w:rPr>
          <w:rFonts w:ascii="Times New Roman" w:hAnsi="Times New Roman"/>
          <w:noProof/>
          <w:szCs w:val="24"/>
          <w:lang w:val="en-US"/>
        </w:rPr>
      </w:pPr>
      <w:r w:rsidRPr="00294294">
        <w:rPr>
          <w:rFonts w:ascii="Times New Roman" w:hAnsi="Times New Roman"/>
          <w:noProof/>
          <w:szCs w:val="24"/>
          <w:lang w:val="en-US"/>
        </w:rPr>
        <w:t xml:space="preserve">Human Rights Watch. (2012, August 20). </w:t>
      </w:r>
      <w:r w:rsidRPr="00294294">
        <w:rPr>
          <w:rFonts w:ascii="Times New Roman" w:hAnsi="Times New Roman"/>
          <w:i/>
          <w:iCs/>
          <w:noProof/>
          <w:szCs w:val="24"/>
          <w:lang w:val="en-US"/>
        </w:rPr>
        <w:t>Women Initiatives for Gender Justice, Lubanga Judgment, The Prosecution ‘s Investigation and Use of Intermediaries.</w:t>
      </w:r>
      <w:r w:rsidRPr="00294294">
        <w:rPr>
          <w:rFonts w:ascii="Times New Roman" w:hAnsi="Times New Roman"/>
          <w:noProof/>
          <w:szCs w:val="24"/>
          <w:lang w:val="en-US"/>
        </w:rPr>
        <w:t xml:space="preserve"> Retrieved from Lubanga Trial.Org : </w:t>
      </w:r>
      <w:hyperlink r:id="rId17" w:history="1">
        <w:r w:rsidR="00B07E3B" w:rsidRPr="00345797">
          <w:rPr>
            <w:rStyle w:val="Hyperlink"/>
            <w:rFonts w:ascii="Times New Roman" w:hAnsi="Times New Roman"/>
            <w:noProof/>
            <w:szCs w:val="24"/>
            <w:lang w:val="en-US"/>
          </w:rPr>
          <w:t>http://www.lubangatrial.org/2012/08/20/lubanga-judgment-the prosecutions-investigation-and-use-of-intermediaries/.</w:t>
        </w:r>
      </w:hyperlink>
    </w:p>
    <w:p w14:paraId="0A799805" w14:textId="77777777" w:rsidR="00B07E3B" w:rsidRPr="00294294" w:rsidRDefault="00B07E3B" w:rsidP="00B07E3B">
      <w:pPr>
        <w:jc w:val="both"/>
        <w:rPr>
          <w:rFonts w:ascii="Times New Roman" w:hAnsi="Times New Roman"/>
          <w:noProof/>
          <w:szCs w:val="24"/>
          <w:lang w:val="en-US"/>
        </w:rPr>
      </w:pPr>
      <w:r w:rsidRPr="00294294">
        <w:rPr>
          <w:rFonts w:ascii="Times New Roman" w:hAnsi="Times New Roman"/>
          <w:noProof/>
          <w:szCs w:val="24"/>
          <w:lang w:val="en-US"/>
        </w:rPr>
        <w:t xml:space="preserve">Human Rights Watch. (2017, August 29). </w:t>
      </w:r>
      <w:r w:rsidRPr="00294294">
        <w:rPr>
          <w:rFonts w:ascii="Times New Roman" w:hAnsi="Times New Roman"/>
          <w:i/>
          <w:iCs/>
          <w:noProof/>
          <w:szCs w:val="24"/>
          <w:lang w:val="en-US"/>
        </w:rPr>
        <w:t>‘Who will Stand for Us? Victims Legal Representation at the ICC in the Ongwen Case and Beyond'.</w:t>
      </w:r>
      <w:r w:rsidRPr="00294294">
        <w:rPr>
          <w:rFonts w:ascii="Times New Roman" w:hAnsi="Times New Roman"/>
          <w:noProof/>
          <w:szCs w:val="24"/>
          <w:lang w:val="en-US"/>
        </w:rPr>
        <w:t xml:space="preserve"> Retrieved from &lt;https://www.hrw.org/report/2017/08/29/who-will-stand-us/victims-legal-representation-icc-ongwen-case-and-beyond&gt;</w:t>
      </w:r>
    </w:p>
    <w:p w14:paraId="75C9C0CB" w14:textId="472CC7F6" w:rsidR="00B07E3B" w:rsidRPr="00294294" w:rsidRDefault="00B07E3B" w:rsidP="00B07E3B">
      <w:pPr>
        <w:jc w:val="both"/>
        <w:rPr>
          <w:rFonts w:ascii="Times New Roman" w:eastAsiaTheme="minorHAnsi" w:hAnsi="Times New Roman"/>
          <w:noProof/>
          <w:szCs w:val="24"/>
          <w:lang w:val="en-US" w:eastAsia="en-US"/>
        </w:rPr>
      </w:pPr>
      <w:r w:rsidRPr="00294294">
        <w:rPr>
          <w:rFonts w:ascii="Times New Roman" w:hAnsi="Times New Roman"/>
          <w:noProof/>
          <w:szCs w:val="24"/>
          <w:lang w:val="en-US"/>
        </w:rPr>
        <w:t xml:space="preserve">International Criminal Court. (2004). </w:t>
      </w:r>
      <w:r w:rsidRPr="00294294">
        <w:rPr>
          <w:rFonts w:ascii="Times New Roman" w:hAnsi="Times New Roman"/>
          <w:i/>
          <w:iCs/>
          <w:noProof/>
          <w:szCs w:val="24"/>
          <w:lang w:val="en-US"/>
        </w:rPr>
        <w:t xml:space="preserve">Prosecutor receives </w:t>
      </w:r>
      <w:r w:rsidR="00B0259B">
        <w:rPr>
          <w:rFonts w:ascii="Times New Roman" w:hAnsi="Times New Roman"/>
          <w:i/>
          <w:iCs/>
          <w:noProof/>
          <w:szCs w:val="24"/>
          <w:lang w:val="en-US"/>
        </w:rPr>
        <w:t xml:space="preserve">a </w:t>
      </w:r>
      <w:r w:rsidRPr="00294294">
        <w:rPr>
          <w:rFonts w:ascii="Times New Roman" w:hAnsi="Times New Roman"/>
          <w:i/>
          <w:iCs/>
          <w:noProof/>
          <w:szCs w:val="24"/>
          <w:lang w:val="en-US"/>
        </w:rPr>
        <w:t>referral of the situation in the Democratic Republic of Congo, Situat</w:t>
      </w:r>
      <w:r w:rsidR="00B0259B">
        <w:rPr>
          <w:rFonts w:ascii="Times New Roman" w:hAnsi="Times New Roman"/>
          <w:i/>
          <w:iCs/>
          <w:noProof/>
          <w:szCs w:val="24"/>
          <w:lang w:val="en-US"/>
        </w:rPr>
        <w:t>i</w:t>
      </w:r>
      <w:r w:rsidRPr="00294294">
        <w:rPr>
          <w:rFonts w:ascii="Times New Roman" w:hAnsi="Times New Roman"/>
          <w:i/>
          <w:iCs/>
          <w:noProof/>
          <w:szCs w:val="24"/>
          <w:lang w:val="en-US"/>
        </w:rPr>
        <w:t>on:</w:t>
      </w:r>
      <w:r w:rsidR="00B0259B">
        <w:rPr>
          <w:rFonts w:ascii="Times New Roman" w:hAnsi="Times New Roman"/>
          <w:i/>
          <w:iCs/>
          <w:noProof/>
          <w:szCs w:val="24"/>
          <w:lang w:val="en-US"/>
        </w:rPr>
        <w:t xml:space="preserve"> </w:t>
      </w:r>
      <w:r w:rsidRPr="00294294">
        <w:rPr>
          <w:rFonts w:ascii="Times New Roman" w:hAnsi="Times New Roman"/>
          <w:i/>
          <w:iCs/>
          <w:noProof/>
          <w:szCs w:val="24"/>
          <w:lang w:val="en-US"/>
        </w:rPr>
        <w:t>Democratic Republic of Congo.</w:t>
      </w:r>
      <w:r w:rsidRPr="00294294">
        <w:rPr>
          <w:rFonts w:ascii="Times New Roman" w:hAnsi="Times New Roman"/>
          <w:noProof/>
          <w:szCs w:val="24"/>
          <w:lang w:val="en-US"/>
        </w:rPr>
        <w:t xml:space="preserve"> Press Release.</w:t>
      </w:r>
    </w:p>
    <w:p w14:paraId="57F628CD" w14:textId="77777777" w:rsidR="00B07E3B" w:rsidRPr="00294294" w:rsidRDefault="00B07E3B" w:rsidP="00B07E3B">
      <w:pPr>
        <w:jc w:val="both"/>
        <w:rPr>
          <w:rFonts w:ascii="Times New Roman" w:hAnsi="Times New Roman"/>
          <w:noProof/>
          <w:szCs w:val="24"/>
          <w:lang w:val="en-US"/>
        </w:rPr>
      </w:pPr>
      <w:r w:rsidRPr="00294294">
        <w:rPr>
          <w:rFonts w:ascii="Times New Roman" w:hAnsi="Times New Roman"/>
          <w:noProof/>
          <w:szCs w:val="24"/>
          <w:lang w:val="en-US"/>
        </w:rPr>
        <w:lastRenderedPageBreak/>
        <w:t xml:space="preserve">International Federation for Human Rights. (2008). </w:t>
      </w:r>
      <w:r w:rsidRPr="00294294">
        <w:rPr>
          <w:rFonts w:ascii="Times New Roman" w:hAnsi="Times New Roman"/>
          <w:i/>
          <w:iCs/>
          <w:noProof/>
          <w:szCs w:val="24"/>
          <w:lang w:val="en-US"/>
        </w:rPr>
        <w:t>Democratic Republic of Congo : ''breaking the Cycle of Impunity”.</w:t>
      </w:r>
      <w:r w:rsidRPr="00294294">
        <w:rPr>
          <w:rFonts w:ascii="Times New Roman" w:hAnsi="Times New Roman"/>
          <w:noProof/>
          <w:szCs w:val="24"/>
          <w:lang w:val="en-US"/>
        </w:rPr>
        <w:t xml:space="preserve"> Retrieved from &lt;http://www.fidh.org/img/pdf/DRCsexualcrimeseng2008.pdf&gt;</w:t>
      </w:r>
    </w:p>
    <w:p w14:paraId="19882075" w14:textId="77777777" w:rsidR="00B07E3B" w:rsidRPr="00294294" w:rsidRDefault="00B07E3B" w:rsidP="00B07E3B">
      <w:pPr>
        <w:jc w:val="both"/>
        <w:rPr>
          <w:rFonts w:ascii="Times New Roman" w:hAnsi="Times New Roman"/>
          <w:noProof/>
          <w:szCs w:val="24"/>
          <w:lang w:val="en-US"/>
        </w:rPr>
      </w:pPr>
      <w:r w:rsidRPr="00294294">
        <w:rPr>
          <w:rFonts w:ascii="Times New Roman" w:hAnsi="Times New Roman"/>
          <w:noProof/>
          <w:szCs w:val="24"/>
          <w:lang w:val="en-US"/>
        </w:rPr>
        <w:t xml:space="preserve">International Law Commission. (1994). </w:t>
      </w:r>
      <w:r w:rsidRPr="00294294">
        <w:rPr>
          <w:rFonts w:ascii="Times New Roman" w:hAnsi="Times New Roman"/>
          <w:i/>
          <w:iCs/>
          <w:noProof/>
          <w:szCs w:val="24"/>
          <w:lang w:val="en-US"/>
        </w:rPr>
        <w:t>Report of the International Law Commission on the work of its forty-six session.</w:t>
      </w:r>
    </w:p>
    <w:p w14:paraId="1651F622"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Jacobs, D. (2014, March 10). </w:t>
      </w:r>
      <w:r>
        <w:rPr>
          <w:rFonts w:ascii="Times New Roman" w:hAnsi="Times New Roman"/>
          <w:i/>
          <w:iCs/>
          <w:noProof/>
          <w:szCs w:val="24"/>
          <w:lang w:val="en-US"/>
        </w:rPr>
        <w:t>The ICC Katanga Judgement:</w:t>
      </w:r>
      <w:r w:rsidR="000F3F38">
        <w:rPr>
          <w:rFonts w:ascii="Times New Roman" w:hAnsi="Times New Roman"/>
          <w:i/>
          <w:iCs/>
          <w:noProof/>
          <w:szCs w:val="24"/>
          <w:lang w:val="en-US"/>
        </w:rPr>
        <w:t xml:space="preserve"> </w:t>
      </w:r>
      <w:r>
        <w:rPr>
          <w:rFonts w:ascii="Times New Roman" w:hAnsi="Times New Roman"/>
          <w:i/>
          <w:iCs/>
          <w:noProof/>
          <w:szCs w:val="24"/>
          <w:lang w:val="en-US"/>
        </w:rPr>
        <w:t>A Commentary: Investigation, Interpretation and the Crimes .</w:t>
      </w:r>
      <w:r>
        <w:rPr>
          <w:rFonts w:ascii="Times New Roman" w:hAnsi="Times New Roman"/>
          <w:noProof/>
          <w:szCs w:val="24"/>
          <w:lang w:val="en-US"/>
        </w:rPr>
        <w:t xml:space="preserve"> Retrieved from &lt;https://dovjacobs.com/2014/03/10/the-icc-katanga-judgment-a-commentary-part-1-investigation-interpretation-and-the-crimes/&gt;</w:t>
      </w:r>
    </w:p>
    <w:p w14:paraId="615C30B8" w14:textId="01531F09" w:rsidR="00294294" w:rsidRDefault="00294294" w:rsidP="000F3F38">
      <w:pPr>
        <w:jc w:val="both"/>
        <w:rPr>
          <w:rFonts w:ascii="Times New Roman" w:hAnsi="Times New Roman"/>
          <w:i/>
          <w:iCs/>
          <w:szCs w:val="24"/>
          <w:lang w:val="en-US"/>
        </w:rPr>
      </w:pPr>
      <w:r>
        <w:rPr>
          <w:rFonts w:ascii="Times New Roman" w:hAnsi="Times New Roman"/>
          <w:szCs w:val="24"/>
          <w:lang w:val="en-US"/>
        </w:rPr>
        <w:t xml:space="preserve">Jaishankar, K. (2009). </w:t>
      </w:r>
      <w:r>
        <w:rPr>
          <w:rFonts w:ascii="Times New Roman" w:hAnsi="Times New Roman"/>
          <w:i/>
          <w:iCs/>
          <w:szCs w:val="24"/>
          <w:lang w:val="en-US"/>
        </w:rPr>
        <w:t>International perspectives on crime and justice. http://books.google.co.uk/books?hl=en&amp;lr=&amp;id=qfoO4NlP00C&amp;oi=fnd&amp;pg=PR13&amp;dq=K.Jaishankar,+international+perspectives+on+crime+and+justice&amp;ots=MJ oWd1xsF&amp;sig=PHmbfLKqMG16llyW6RGPc3Ril#v=onepage&amp;q=K.Jaishankar%2C%20international%20perspectives%20on%20crime%20and%20justice&amp;f=false</w:t>
      </w:r>
    </w:p>
    <w:p w14:paraId="0DD62834" w14:textId="77777777" w:rsidR="00AE6C38" w:rsidRPr="00294294" w:rsidRDefault="00AE6C38" w:rsidP="00AE6C38">
      <w:pPr>
        <w:jc w:val="both"/>
        <w:rPr>
          <w:rFonts w:ascii="Times New Roman" w:hAnsi="Times New Roman"/>
          <w:noProof/>
          <w:szCs w:val="24"/>
          <w:lang w:val="en-US"/>
        </w:rPr>
      </w:pPr>
      <w:r w:rsidRPr="00294294">
        <w:rPr>
          <w:rFonts w:ascii="Times New Roman" w:hAnsi="Times New Roman"/>
          <w:noProof/>
          <w:szCs w:val="24"/>
          <w:lang w:val="en-US"/>
        </w:rPr>
        <w:t xml:space="preserve">Human Rights Watch. (2012, August 20). </w:t>
      </w:r>
      <w:r w:rsidRPr="00294294">
        <w:rPr>
          <w:rFonts w:ascii="Times New Roman" w:hAnsi="Times New Roman"/>
          <w:i/>
          <w:iCs/>
          <w:noProof/>
          <w:szCs w:val="24"/>
          <w:lang w:val="en-US"/>
        </w:rPr>
        <w:t>Women Initiatives for Gender Justice , Lubanga Judgment , The Prosecution</w:t>
      </w:r>
      <w:r>
        <w:rPr>
          <w:rFonts w:ascii="Times New Roman" w:hAnsi="Times New Roman"/>
          <w:i/>
          <w:iCs/>
          <w:noProof/>
          <w:szCs w:val="24"/>
          <w:lang w:val="en-US"/>
        </w:rPr>
        <w:t>’</w:t>
      </w:r>
      <w:r w:rsidRPr="00294294">
        <w:rPr>
          <w:rFonts w:ascii="Times New Roman" w:hAnsi="Times New Roman"/>
          <w:i/>
          <w:iCs/>
          <w:noProof/>
          <w:szCs w:val="24"/>
          <w:lang w:val="en-US"/>
        </w:rPr>
        <w:t>s Investigation and Use of Intermediaries .</w:t>
      </w:r>
      <w:r w:rsidRPr="00294294">
        <w:rPr>
          <w:rFonts w:ascii="Times New Roman" w:hAnsi="Times New Roman"/>
          <w:noProof/>
          <w:szCs w:val="24"/>
          <w:lang w:val="en-US"/>
        </w:rPr>
        <w:t xml:space="preserve"> Retrieved from Lubanga Trial.Org : &lt;http://www.lubangatrial.org/2012/08/20/lubanga-judgment-the prosecutions-investigation-and-use-of-intermediaries/.&gt;</w:t>
      </w:r>
    </w:p>
    <w:p w14:paraId="6CDA4D58" w14:textId="4B5BA7ED" w:rsidR="00AE6C38" w:rsidRPr="00AE6C38" w:rsidRDefault="00AE6C38" w:rsidP="000F3F38">
      <w:pPr>
        <w:jc w:val="both"/>
        <w:rPr>
          <w:rFonts w:ascii="Times New Roman" w:hAnsi="Times New Roman"/>
          <w:noProof/>
          <w:szCs w:val="24"/>
          <w:lang w:val="en-US"/>
        </w:rPr>
      </w:pPr>
      <w:r w:rsidRPr="00294294">
        <w:rPr>
          <w:rFonts w:ascii="Times New Roman" w:hAnsi="Times New Roman"/>
          <w:noProof/>
          <w:szCs w:val="24"/>
          <w:lang w:val="en-US"/>
        </w:rPr>
        <w:t xml:space="preserve">Human Rights Watch. (2017, August 29). </w:t>
      </w:r>
      <w:r w:rsidRPr="00294294">
        <w:rPr>
          <w:rFonts w:ascii="Times New Roman" w:hAnsi="Times New Roman"/>
          <w:i/>
          <w:iCs/>
          <w:noProof/>
          <w:szCs w:val="24"/>
          <w:lang w:val="en-US"/>
        </w:rPr>
        <w:t>‘Who will Stand for Us? Victims Legal Representation at the ICC in the Ongwen Case and Beyond'.</w:t>
      </w:r>
      <w:r w:rsidRPr="00294294">
        <w:rPr>
          <w:rFonts w:ascii="Times New Roman" w:hAnsi="Times New Roman"/>
          <w:noProof/>
          <w:szCs w:val="24"/>
          <w:lang w:val="en-US"/>
        </w:rPr>
        <w:t xml:space="preserve"> Retrieved from &lt;https://www.hrw.org/report/2017/08/29/who-will-stand-us/victims-legal-representation-icc-ongwen-case-and-beyond&gt;</w:t>
      </w:r>
    </w:p>
    <w:p w14:paraId="28C5EFCB"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Kambale, P. (2012, March 16). </w:t>
      </w:r>
      <w:r>
        <w:rPr>
          <w:rFonts w:ascii="Times New Roman" w:hAnsi="Times New Roman"/>
          <w:i/>
          <w:iCs/>
          <w:noProof/>
          <w:szCs w:val="24"/>
          <w:lang w:val="en-US"/>
        </w:rPr>
        <w:t>‘The ICC and Lubanga: Missed Opportunities ‘ SSRC Forums: African Futures</w:t>
      </w:r>
      <w:r>
        <w:rPr>
          <w:rFonts w:ascii="Times New Roman" w:hAnsi="Times New Roman"/>
          <w:noProof/>
          <w:szCs w:val="24"/>
          <w:lang w:val="en-US"/>
        </w:rPr>
        <w:t>. Retrieved from http://forums.ssrc.org/african-futures/2012/03/16/african-futures-icc-missed-opportunities/</w:t>
      </w:r>
    </w:p>
    <w:p w14:paraId="4C8CF644"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Keller, K. J. (2012, March 18). </w:t>
      </w:r>
      <w:r>
        <w:rPr>
          <w:rFonts w:ascii="Times New Roman" w:hAnsi="Times New Roman"/>
          <w:i/>
          <w:iCs/>
          <w:noProof/>
          <w:szCs w:val="24"/>
          <w:lang w:val="en-US"/>
        </w:rPr>
        <w:t>Opinio Juris, Lubanga Decision Roundtable: Lubanga, Sexual Violence and the Legal Re-Characterisation of Facts”.</w:t>
      </w:r>
      <w:r>
        <w:rPr>
          <w:rFonts w:ascii="Times New Roman" w:hAnsi="Times New Roman"/>
          <w:noProof/>
          <w:szCs w:val="24"/>
          <w:lang w:val="en-US"/>
        </w:rPr>
        <w:t xml:space="preserve"> Retrieved from </w:t>
      </w:r>
      <w:r>
        <w:rPr>
          <w:rFonts w:ascii="Times New Roman" w:hAnsi="Times New Roman"/>
          <w:noProof/>
          <w:szCs w:val="24"/>
          <w:lang w:val="en-US"/>
        </w:rPr>
        <w:lastRenderedPageBreak/>
        <w:t>&lt;http://opiniojuris.</w:t>
      </w:r>
      <w:r w:rsidR="000F3F38">
        <w:rPr>
          <w:rFonts w:ascii="Times New Roman" w:hAnsi="Times New Roman"/>
          <w:noProof/>
          <w:szCs w:val="24"/>
          <w:lang w:val="en-US"/>
        </w:rPr>
        <w:t>org/2012/03/18/lubanga-decision</w:t>
      </w:r>
      <w:r>
        <w:rPr>
          <w:rFonts w:ascii="Times New Roman" w:hAnsi="Times New Roman"/>
          <w:noProof/>
          <w:szCs w:val="24"/>
          <w:lang w:val="en-US"/>
        </w:rPr>
        <w:t>-roundtable-lubanga-sexual-violence-and-the</w:t>
      </w:r>
      <w:r w:rsidR="000F3F38">
        <w:rPr>
          <w:rFonts w:ascii="Times New Roman" w:hAnsi="Times New Roman"/>
          <w:noProof/>
          <w:szCs w:val="24"/>
          <w:lang w:val="en-US"/>
        </w:rPr>
        <w:t>-</w:t>
      </w:r>
      <w:r>
        <w:rPr>
          <w:rFonts w:ascii="Times New Roman" w:hAnsi="Times New Roman"/>
          <w:noProof/>
          <w:szCs w:val="24"/>
          <w:lang w:val="en-US"/>
        </w:rPr>
        <w:t>legal-recharact</w:t>
      </w:r>
      <w:r w:rsidR="000F3F38">
        <w:rPr>
          <w:rFonts w:ascii="Times New Roman" w:hAnsi="Times New Roman"/>
          <w:noProof/>
          <w:szCs w:val="24"/>
          <w:lang w:val="en-US"/>
        </w:rPr>
        <w:t>erization-of-facts/&gt;</w:t>
      </w:r>
    </w:p>
    <w:p w14:paraId="56D07F65" w14:textId="77777777" w:rsidR="00294294" w:rsidRDefault="00294294" w:rsidP="000F3F38">
      <w:pPr>
        <w:jc w:val="both"/>
        <w:rPr>
          <w:rFonts w:ascii="Times New Roman" w:hAnsi="Times New Roman"/>
          <w:noProof/>
          <w:szCs w:val="24"/>
          <w:lang w:val="en-US"/>
        </w:rPr>
      </w:pPr>
      <w:r>
        <w:rPr>
          <w:rFonts w:ascii="Times New Roman" w:hAnsi="Times New Roman"/>
          <w:noProof/>
          <w:szCs w:val="24"/>
          <w:lang w:val="en-US"/>
        </w:rPr>
        <w:t xml:space="preserve">Kersten, M. (2019, January 18). </w:t>
      </w:r>
      <w:r>
        <w:rPr>
          <w:rFonts w:ascii="Times New Roman" w:hAnsi="Times New Roman"/>
          <w:i/>
          <w:iCs/>
          <w:noProof/>
          <w:szCs w:val="24"/>
          <w:lang w:val="en-US"/>
        </w:rPr>
        <w:t>“Some Quick Reflections on the Gbag</w:t>
      </w:r>
      <w:r w:rsidR="000F3F38">
        <w:rPr>
          <w:rFonts w:ascii="Times New Roman" w:hAnsi="Times New Roman"/>
          <w:i/>
          <w:iCs/>
          <w:noProof/>
          <w:szCs w:val="24"/>
          <w:lang w:val="en-US"/>
        </w:rPr>
        <w:t>b</w:t>
      </w:r>
      <w:r>
        <w:rPr>
          <w:rFonts w:ascii="Times New Roman" w:hAnsi="Times New Roman"/>
          <w:i/>
          <w:iCs/>
          <w:noProof/>
          <w:szCs w:val="24"/>
          <w:lang w:val="en-US"/>
        </w:rPr>
        <w:t>o Acquittal at the ICC''.</w:t>
      </w:r>
      <w:r>
        <w:rPr>
          <w:rFonts w:ascii="Times New Roman" w:hAnsi="Times New Roman"/>
          <w:noProof/>
          <w:szCs w:val="24"/>
          <w:lang w:val="en-US"/>
        </w:rPr>
        <w:t xml:space="preserve"> Retrieved from </w:t>
      </w:r>
      <w:hyperlink r:id="rId18" w:history="1">
        <w:r w:rsidR="00B07E3B" w:rsidRPr="00345797">
          <w:rPr>
            <w:rStyle w:val="Hyperlink"/>
            <w:rFonts w:ascii="Times New Roman" w:hAnsi="Times New Roman"/>
            <w:noProof/>
            <w:szCs w:val="24"/>
            <w:lang w:val="en-US"/>
          </w:rPr>
          <w:t>https://justiceinconflict.org/2019/01/18some-quick-reflections-on-the-gbagbo-acquittal-at-the-icc/</w:t>
        </w:r>
      </w:hyperlink>
    </w:p>
    <w:p w14:paraId="17B426BA" w14:textId="77777777" w:rsidR="00B07E3B" w:rsidRPr="00294294" w:rsidRDefault="00B07E3B" w:rsidP="00B07E3B">
      <w:pPr>
        <w:jc w:val="both"/>
        <w:rPr>
          <w:rFonts w:ascii="Times New Roman" w:hAnsi="Times New Roman"/>
          <w:i/>
          <w:iCs/>
          <w:szCs w:val="24"/>
        </w:rPr>
      </w:pPr>
      <w:proofErr w:type="spellStart"/>
      <w:r w:rsidRPr="00294294">
        <w:rPr>
          <w:rFonts w:ascii="Times New Roman" w:hAnsi="Times New Roman"/>
          <w:szCs w:val="24"/>
        </w:rPr>
        <w:t>Klamming</w:t>
      </w:r>
      <w:proofErr w:type="spellEnd"/>
      <w:r w:rsidRPr="00294294">
        <w:rPr>
          <w:rFonts w:ascii="Times New Roman" w:hAnsi="Times New Roman"/>
          <w:szCs w:val="24"/>
        </w:rPr>
        <w:t xml:space="preserve">, L and </w:t>
      </w:r>
      <w:proofErr w:type="spellStart"/>
      <w:r w:rsidRPr="00294294">
        <w:rPr>
          <w:rFonts w:ascii="Times New Roman" w:hAnsi="Times New Roman"/>
          <w:szCs w:val="24"/>
        </w:rPr>
        <w:t>Giesen</w:t>
      </w:r>
      <w:proofErr w:type="spellEnd"/>
      <w:r w:rsidRPr="00294294">
        <w:rPr>
          <w:rFonts w:ascii="Times New Roman" w:hAnsi="Times New Roman"/>
          <w:szCs w:val="24"/>
        </w:rPr>
        <w:t xml:space="preserve">, I. (2008). </w:t>
      </w:r>
      <w:r w:rsidRPr="00294294">
        <w:rPr>
          <w:rFonts w:ascii="Times New Roman" w:hAnsi="Times New Roman"/>
          <w:i/>
          <w:iCs/>
          <w:szCs w:val="24"/>
        </w:rPr>
        <w:t>Access to Justice: Quality of the Procedure, Working Paper No.002/2008.</w:t>
      </w:r>
    </w:p>
    <w:p w14:paraId="753E69A9" w14:textId="77777777" w:rsidR="00294294" w:rsidRDefault="00294294" w:rsidP="000F3F38">
      <w:pPr>
        <w:jc w:val="both"/>
        <w:rPr>
          <w:rFonts w:ascii="Times New Roman" w:hAnsi="Times New Roman"/>
          <w:szCs w:val="24"/>
        </w:rPr>
      </w:pPr>
      <w:r>
        <w:rPr>
          <w:rFonts w:ascii="Times New Roman" w:hAnsi="Times New Roman"/>
          <w:noProof/>
          <w:szCs w:val="24"/>
          <w:lang w:val="en-US"/>
        </w:rPr>
        <w:t xml:space="preserve">Kokemuller, N. (n.d.). </w:t>
      </w:r>
      <w:r>
        <w:rPr>
          <w:rFonts w:ascii="Times New Roman" w:hAnsi="Times New Roman"/>
          <w:i/>
          <w:iCs/>
          <w:noProof/>
          <w:szCs w:val="24"/>
          <w:lang w:val="en-US"/>
        </w:rPr>
        <w:t>‘Importance of stakeholder analysis in management plans.</w:t>
      </w:r>
      <w:r>
        <w:rPr>
          <w:rFonts w:ascii="Times New Roman" w:hAnsi="Times New Roman"/>
          <w:noProof/>
          <w:szCs w:val="24"/>
          <w:lang w:val="en-US"/>
        </w:rPr>
        <w:t xml:space="preserve"> Retrieved from &lt;http://smallbusiness.chron.com/importance-stakeholder-analysis-management-plans-61850.html&gt;</w:t>
      </w:r>
    </w:p>
    <w:p w14:paraId="76686C28" w14:textId="77777777" w:rsidR="00294294" w:rsidRDefault="00294294" w:rsidP="00294294">
      <w:pPr>
        <w:jc w:val="both"/>
        <w:rPr>
          <w:rFonts w:ascii="Times New Roman" w:hAnsi="Times New Roman"/>
          <w:szCs w:val="24"/>
        </w:rPr>
      </w:pPr>
      <w:r>
        <w:rPr>
          <w:rFonts w:ascii="Times New Roman" w:hAnsi="Times New Roman"/>
          <w:szCs w:val="24"/>
        </w:rPr>
        <w:t>Laborde-</w:t>
      </w:r>
      <w:proofErr w:type="spellStart"/>
      <w:r>
        <w:rPr>
          <w:rFonts w:ascii="Times New Roman" w:hAnsi="Times New Roman"/>
          <w:szCs w:val="24"/>
        </w:rPr>
        <w:t>Barnagere</w:t>
      </w:r>
      <w:proofErr w:type="spellEnd"/>
      <w:r>
        <w:rPr>
          <w:rFonts w:ascii="Times New Roman" w:hAnsi="Times New Roman"/>
          <w:szCs w:val="24"/>
        </w:rPr>
        <w:t xml:space="preserve">, M, Guy </w:t>
      </w:r>
      <w:proofErr w:type="spellStart"/>
      <w:r>
        <w:rPr>
          <w:rFonts w:ascii="Times New Roman" w:hAnsi="Times New Roman"/>
          <w:szCs w:val="24"/>
        </w:rPr>
        <w:t>Mushiate</w:t>
      </w:r>
      <w:proofErr w:type="spellEnd"/>
      <w:r>
        <w:rPr>
          <w:rFonts w:ascii="Times New Roman" w:hAnsi="Times New Roman"/>
          <w:szCs w:val="24"/>
        </w:rPr>
        <w:t xml:space="preserve">, G and </w:t>
      </w:r>
      <w:proofErr w:type="spellStart"/>
      <w:r>
        <w:rPr>
          <w:rFonts w:ascii="Times New Roman" w:hAnsi="Times New Roman"/>
          <w:szCs w:val="24"/>
        </w:rPr>
        <w:t>Meritxell</w:t>
      </w:r>
      <w:proofErr w:type="spellEnd"/>
      <w:r>
        <w:rPr>
          <w:rFonts w:ascii="Times New Roman" w:hAnsi="Times New Roman"/>
          <w:szCs w:val="24"/>
        </w:rPr>
        <w:t xml:space="preserve"> </w:t>
      </w:r>
      <w:proofErr w:type="spellStart"/>
      <w:r>
        <w:rPr>
          <w:rFonts w:ascii="Times New Roman" w:hAnsi="Times New Roman"/>
          <w:szCs w:val="24"/>
        </w:rPr>
        <w:t>Regue</w:t>
      </w:r>
      <w:proofErr w:type="spellEnd"/>
      <w:r>
        <w:rPr>
          <w:rFonts w:ascii="Times New Roman" w:hAnsi="Times New Roman"/>
          <w:szCs w:val="24"/>
        </w:rPr>
        <w:t xml:space="preserve">. </w:t>
      </w:r>
      <w:r>
        <w:rPr>
          <w:rFonts w:ascii="Times New Roman" w:hAnsi="Times New Roman"/>
          <w:i/>
          <w:iCs/>
          <w:szCs w:val="24"/>
        </w:rPr>
        <w:t xml:space="preserve">ICTJ briefing, Case against Germain Katanga and Mathieu </w:t>
      </w:r>
      <w:proofErr w:type="spellStart"/>
      <w:r>
        <w:rPr>
          <w:rFonts w:ascii="Times New Roman" w:hAnsi="Times New Roman"/>
          <w:i/>
          <w:iCs/>
          <w:szCs w:val="24"/>
        </w:rPr>
        <w:t>Ngudjolo</w:t>
      </w:r>
      <w:proofErr w:type="spellEnd"/>
      <w:r>
        <w:rPr>
          <w:rFonts w:ascii="Times New Roman" w:hAnsi="Times New Roman"/>
          <w:i/>
          <w:iCs/>
          <w:szCs w:val="24"/>
        </w:rPr>
        <w:t xml:space="preserve">. </w:t>
      </w:r>
      <w:r>
        <w:rPr>
          <w:rFonts w:ascii="Times New Roman" w:hAnsi="Times New Roman"/>
          <w:szCs w:val="24"/>
        </w:rPr>
        <w:t>&lt;https://www.ictj.org/sites/default/files/ICTJ-Briefing-DRC-Katanag-2014.PDF</w:t>
      </w:r>
      <w:r w:rsidR="008501B1">
        <w:rPr>
          <w:rFonts w:ascii="Times New Roman" w:hAnsi="Times New Roman"/>
          <w:szCs w:val="24"/>
        </w:rPr>
        <w:t>&gt;</w:t>
      </w:r>
      <w:r>
        <w:rPr>
          <w:rFonts w:ascii="Times New Roman" w:hAnsi="Times New Roman"/>
          <w:szCs w:val="24"/>
        </w:rPr>
        <w:t>.</w:t>
      </w:r>
    </w:p>
    <w:p w14:paraId="1F0A2CCD" w14:textId="77777777" w:rsidR="00294294" w:rsidRPr="00294294" w:rsidRDefault="00294294" w:rsidP="00294294">
      <w:pPr>
        <w:jc w:val="both"/>
        <w:rPr>
          <w:rFonts w:ascii="Times New Roman" w:eastAsiaTheme="minorHAnsi" w:hAnsi="Times New Roman"/>
          <w:noProof/>
          <w:szCs w:val="24"/>
          <w:lang w:val="en-US" w:eastAsia="en-US"/>
        </w:rPr>
      </w:pPr>
      <w:r w:rsidRPr="00294294">
        <w:rPr>
          <w:rFonts w:ascii="Times New Roman" w:hAnsi="Times New Roman"/>
          <w:noProof/>
          <w:szCs w:val="24"/>
          <w:lang w:val="en-US"/>
        </w:rPr>
        <w:t xml:space="preserve">Cheffer, D. (1998). </w:t>
      </w:r>
      <w:r w:rsidRPr="00294294">
        <w:rPr>
          <w:rFonts w:ascii="Times New Roman" w:hAnsi="Times New Roman"/>
          <w:i/>
          <w:iCs/>
          <w:noProof/>
          <w:szCs w:val="24"/>
          <w:lang w:val="en-US"/>
        </w:rPr>
        <w:t>Ambassador at Large for War Crimes Issues and Head of the U.S Delegation to the U.N Diplomatic Conference on the Establishment of a Permanent International Criminal court Before the Committee on Foreign Relations of the U.S Senate.</w:t>
      </w:r>
    </w:p>
    <w:p w14:paraId="64656819"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 xml:space="preserve">Scheffer, D. (2009). </w:t>
      </w:r>
      <w:r w:rsidRPr="00294294">
        <w:rPr>
          <w:rFonts w:ascii="Times New Roman" w:hAnsi="Times New Roman"/>
          <w:i/>
          <w:iCs/>
          <w:noProof/>
          <w:szCs w:val="24"/>
          <w:lang w:val="en-US"/>
        </w:rPr>
        <w:t>Ambassador, at Large for War Crimes Issues, Address at American University Washington, D.C</w:t>
      </w:r>
      <w:r w:rsidRPr="00294294">
        <w:rPr>
          <w:rFonts w:ascii="Times New Roman" w:hAnsi="Times New Roman"/>
          <w:noProof/>
          <w:szCs w:val="24"/>
          <w:lang w:val="en-US"/>
        </w:rPr>
        <w:t>. Retrieved from http://www.state.gov/ww/policy_remarks/2000/000914_scheffer_au.html.</w:t>
      </w:r>
    </w:p>
    <w:p w14:paraId="215766B1" w14:textId="77777777" w:rsidR="00294294" w:rsidRPr="00294294" w:rsidRDefault="00294294" w:rsidP="00294294">
      <w:pPr>
        <w:jc w:val="both"/>
        <w:rPr>
          <w:rFonts w:ascii="Times New Roman" w:hAnsi="Times New Roman"/>
          <w:szCs w:val="24"/>
          <w:lang w:val="en-US"/>
        </w:rPr>
      </w:pPr>
      <w:r w:rsidRPr="00294294">
        <w:rPr>
          <w:rFonts w:ascii="Times New Roman" w:hAnsi="Times New Roman"/>
          <w:noProof/>
          <w:szCs w:val="24"/>
          <w:lang w:val="en-US"/>
        </w:rPr>
        <w:t xml:space="preserve">Sehmi, A. (2013). “New Victim Participation Regime in Kenya". </w:t>
      </w:r>
      <w:r w:rsidRPr="00294294">
        <w:rPr>
          <w:rFonts w:ascii="Times New Roman" w:hAnsi="Times New Roman"/>
          <w:i/>
          <w:iCs/>
          <w:noProof/>
          <w:szCs w:val="24"/>
          <w:lang w:val="en-US"/>
        </w:rPr>
        <w:t>Victims Rights Working Group Bulletin</w:t>
      </w:r>
      <w:r w:rsidRPr="00294294">
        <w:rPr>
          <w:rFonts w:ascii="Times New Roman" w:hAnsi="Times New Roman"/>
          <w:noProof/>
          <w:szCs w:val="24"/>
          <w:lang w:val="en-US"/>
        </w:rPr>
        <w:t>.</w:t>
      </w:r>
    </w:p>
    <w:p w14:paraId="310B6573" w14:textId="77777777" w:rsidR="00294294" w:rsidRPr="00294294" w:rsidRDefault="00294294" w:rsidP="00294294">
      <w:pPr>
        <w:jc w:val="both"/>
        <w:rPr>
          <w:rFonts w:ascii="Times New Roman" w:hAnsi="Times New Roman"/>
          <w:szCs w:val="24"/>
          <w:lang w:val="en-US"/>
        </w:rPr>
      </w:pPr>
      <w:r w:rsidRPr="00C310AB">
        <w:rPr>
          <w:rFonts w:ascii="Times New Roman" w:hAnsi="Times New Roman"/>
          <w:szCs w:val="24"/>
          <w:lang w:val="nl-NL"/>
        </w:rPr>
        <w:t>Sliedregt, E. V, and</w:t>
      </w:r>
      <w:r w:rsidRPr="00C310AB">
        <w:rPr>
          <w:rFonts w:ascii="Times New Roman" w:hAnsi="Times New Roman"/>
          <w:noProof/>
          <w:szCs w:val="24"/>
          <w:lang w:val="nl-NL"/>
        </w:rPr>
        <w:t xml:space="preserve"> Vasiev, S. (2014). </w:t>
      </w:r>
      <w:r w:rsidRPr="00294294">
        <w:rPr>
          <w:rFonts w:ascii="Times New Roman" w:hAnsi="Times New Roman"/>
          <w:i/>
          <w:iCs/>
          <w:noProof/>
          <w:szCs w:val="24"/>
          <w:lang w:val="en-US"/>
        </w:rPr>
        <w:t>“Pluralism: A New Framework” in Elies Van Sliedregt &amp; Serhey Vasiliev (eds.), Pluralism in International Criminal Law .</w:t>
      </w:r>
    </w:p>
    <w:p w14:paraId="1D3FBBC1"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 xml:space="preserve">Smith, K and Darley, J. (2008). </w:t>
      </w:r>
      <w:r w:rsidRPr="00294294">
        <w:rPr>
          <w:rFonts w:ascii="Times New Roman" w:hAnsi="Times New Roman"/>
          <w:i/>
          <w:iCs/>
          <w:noProof/>
          <w:szCs w:val="24"/>
          <w:lang w:val="en-US"/>
        </w:rPr>
        <w:t>’Psychological Aspect of Retributive Justice’, Advances in Experimental Social Psychology.</w:t>
      </w:r>
    </w:p>
    <w:p w14:paraId="31129FD3"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lastRenderedPageBreak/>
        <w:t xml:space="preserve">Spees, P. (1999). </w:t>
      </w:r>
      <w:r w:rsidRPr="00294294">
        <w:rPr>
          <w:rFonts w:ascii="Times New Roman" w:hAnsi="Times New Roman"/>
          <w:i/>
          <w:iCs/>
          <w:noProof/>
          <w:szCs w:val="24"/>
          <w:lang w:val="en-US"/>
        </w:rPr>
        <w:t>Women’s Caucus for Gender Justice, Report of Panel Discussions on Appropriate Measures for Victim Participation and Protection in the ICC.</w:t>
      </w:r>
    </w:p>
    <w:p w14:paraId="328A2AC9"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 xml:space="preserve">Strang, H, Mayo-Wilson, S, Woods, E and Ariel, B. (2013). </w:t>
      </w:r>
      <w:r w:rsidRPr="00294294">
        <w:rPr>
          <w:rFonts w:ascii="Times New Roman" w:hAnsi="Times New Roman"/>
          <w:i/>
          <w:iCs/>
          <w:noProof/>
          <w:szCs w:val="24"/>
          <w:lang w:val="en-US"/>
        </w:rPr>
        <w:t>‘Restorative Justice Conferencing (RJC) using face-to-face meetings of offenders and victims: effects on offender rec</w:t>
      </w:r>
      <w:r w:rsidR="00B07E3B">
        <w:rPr>
          <w:rFonts w:ascii="Times New Roman" w:hAnsi="Times New Roman"/>
          <w:i/>
          <w:iCs/>
          <w:noProof/>
          <w:szCs w:val="24"/>
          <w:lang w:val="en-US"/>
        </w:rPr>
        <w:t>id</w:t>
      </w:r>
      <w:r w:rsidRPr="00294294">
        <w:rPr>
          <w:rFonts w:ascii="Times New Roman" w:hAnsi="Times New Roman"/>
          <w:i/>
          <w:iCs/>
          <w:noProof/>
          <w:szCs w:val="24"/>
          <w:lang w:val="en-US"/>
        </w:rPr>
        <w:t>ivism and victim satisfaction. A systematic review.</w:t>
      </w:r>
      <w:r w:rsidRPr="00294294">
        <w:rPr>
          <w:rFonts w:ascii="Times New Roman" w:hAnsi="Times New Roman"/>
          <w:noProof/>
          <w:szCs w:val="24"/>
          <w:lang w:val="en-US"/>
        </w:rPr>
        <w:t xml:space="preserve"> Retrieved from &lt; https://www.publicsafety.gc.ca/lbrr/archives/cnmcs-plcng/cn33169-eng.pdf</w:t>
      </w:r>
    </w:p>
    <w:p w14:paraId="79981F48" w14:textId="77777777" w:rsid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Taylor, D. (2014). 'Victim Part</w:t>
      </w:r>
      <w:r w:rsidR="00B07E3B">
        <w:rPr>
          <w:rFonts w:ascii="Times New Roman" w:hAnsi="Times New Roman"/>
          <w:noProof/>
          <w:szCs w:val="24"/>
          <w:lang w:val="en-US"/>
        </w:rPr>
        <w:t>i</w:t>
      </w:r>
      <w:r w:rsidRPr="00294294">
        <w:rPr>
          <w:rFonts w:ascii="Times New Roman" w:hAnsi="Times New Roman"/>
          <w:noProof/>
          <w:szCs w:val="24"/>
          <w:lang w:val="en-US"/>
        </w:rPr>
        <w:t>cipation in Transitional Justice Mechanism:</w:t>
      </w:r>
      <w:r w:rsidR="00B07E3B">
        <w:rPr>
          <w:rFonts w:ascii="Times New Roman" w:hAnsi="Times New Roman"/>
          <w:noProof/>
          <w:szCs w:val="24"/>
          <w:lang w:val="en-US"/>
        </w:rPr>
        <w:t xml:space="preserve"> </w:t>
      </w:r>
      <w:r w:rsidRPr="00294294">
        <w:rPr>
          <w:rFonts w:ascii="Times New Roman" w:hAnsi="Times New Roman"/>
          <w:noProof/>
          <w:szCs w:val="24"/>
          <w:lang w:val="en-US"/>
        </w:rPr>
        <w:t>Real Power or Empty Ritual?'. Impunity Watch.</w:t>
      </w:r>
    </w:p>
    <w:p w14:paraId="5BF50B2F" w14:textId="77777777" w:rsidR="00B07E3B" w:rsidRPr="00294294" w:rsidRDefault="00B07E3B" w:rsidP="00B07E3B">
      <w:pPr>
        <w:jc w:val="both"/>
        <w:rPr>
          <w:rFonts w:ascii="Times New Roman" w:hAnsi="Times New Roman"/>
          <w:szCs w:val="24"/>
        </w:rPr>
      </w:pPr>
      <w:r w:rsidRPr="00294294">
        <w:rPr>
          <w:rFonts w:ascii="Times New Roman" w:hAnsi="Times New Roman"/>
          <w:szCs w:val="24"/>
        </w:rPr>
        <w:t xml:space="preserve">The Women Initiatives for Gender Justice, Reflection: Gender Issues and Child Soldiers. (25 August 2011). </w:t>
      </w:r>
      <w:r w:rsidRPr="00294294">
        <w:rPr>
          <w:rFonts w:ascii="Times New Roman" w:hAnsi="Times New Roman"/>
          <w:i/>
          <w:iCs/>
          <w:szCs w:val="24"/>
        </w:rPr>
        <w:t xml:space="preserve">The Case of Prosecutor v Thomas </w:t>
      </w:r>
      <w:proofErr w:type="spellStart"/>
      <w:r w:rsidRPr="00294294">
        <w:rPr>
          <w:rFonts w:ascii="Times New Roman" w:hAnsi="Times New Roman"/>
          <w:i/>
          <w:iCs/>
          <w:szCs w:val="24"/>
        </w:rPr>
        <w:t>Dyilo</w:t>
      </w:r>
      <w:proofErr w:type="spellEnd"/>
      <w:r w:rsidRPr="00294294">
        <w:rPr>
          <w:rFonts w:ascii="Times New Roman" w:hAnsi="Times New Roman"/>
          <w:i/>
          <w:iCs/>
          <w:szCs w:val="24"/>
        </w:rPr>
        <w:t xml:space="preserve"> Lubanga, The Women Initiatives for Gender Justice</w:t>
      </w:r>
      <w:r w:rsidRPr="00294294">
        <w:rPr>
          <w:rFonts w:ascii="Times New Roman" w:hAnsi="Times New Roman"/>
          <w:szCs w:val="24"/>
        </w:rPr>
        <w:t>&lt;http://www.iccwomen.org/documents/Prosecutor_Letter_August_2006_Redacted.pdf&gt;.</w:t>
      </w:r>
    </w:p>
    <w:p w14:paraId="62BAF7FE" w14:textId="77777777" w:rsidR="00B07E3B" w:rsidRPr="00294294" w:rsidRDefault="00B07E3B" w:rsidP="00B07E3B">
      <w:pPr>
        <w:jc w:val="both"/>
        <w:rPr>
          <w:rFonts w:ascii="Times New Roman" w:hAnsi="Times New Roman"/>
          <w:szCs w:val="24"/>
        </w:rPr>
      </w:pPr>
      <w:r w:rsidRPr="00294294">
        <w:rPr>
          <w:rFonts w:ascii="Times New Roman" w:hAnsi="Times New Roman"/>
          <w:szCs w:val="24"/>
        </w:rPr>
        <w:t>The Women Initiatives for Gender Justice, Partial Conviction of Katanga by ICC, Acquittals for Sexual Violence and the Use of Child Soldiers, The Prosecutor v Germain Katanga.</w:t>
      </w:r>
      <w:r>
        <w:rPr>
          <w:rFonts w:ascii="Times New Roman" w:hAnsi="Times New Roman"/>
          <w:szCs w:val="24"/>
        </w:rPr>
        <w:t xml:space="preserve"> Accessible at &lt;</w:t>
      </w:r>
      <w:r w:rsidRPr="00B07E3B">
        <w:rPr>
          <w:rFonts w:ascii="Times New Roman" w:hAnsi="Times New Roman"/>
          <w:szCs w:val="24"/>
        </w:rPr>
        <w:t>http://iccwomen.org/images/Katanga-Judgement-Statement-corr.pdf</w:t>
      </w:r>
      <w:r>
        <w:rPr>
          <w:rFonts w:ascii="Times New Roman" w:hAnsi="Times New Roman"/>
          <w:szCs w:val="24"/>
        </w:rPr>
        <w:t>&gt;</w:t>
      </w:r>
    </w:p>
    <w:p w14:paraId="64221C4C"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 xml:space="preserve">Whiting, A. (2014, March 20). </w:t>
      </w:r>
      <w:r w:rsidRPr="00294294">
        <w:rPr>
          <w:rFonts w:ascii="Times New Roman" w:hAnsi="Times New Roman"/>
          <w:i/>
          <w:iCs/>
          <w:noProof/>
          <w:szCs w:val="24"/>
          <w:lang w:val="en-US"/>
        </w:rPr>
        <w:t xml:space="preserve">‘The ICC’s Ends Days?Not </w:t>
      </w:r>
      <w:r w:rsidR="00B07E3B">
        <w:rPr>
          <w:rFonts w:ascii="Times New Roman" w:hAnsi="Times New Roman"/>
          <w:i/>
          <w:iCs/>
          <w:noProof/>
          <w:szCs w:val="24"/>
          <w:lang w:val="en-US"/>
        </w:rPr>
        <w:t>S</w:t>
      </w:r>
      <w:r w:rsidRPr="00294294">
        <w:rPr>
          <w:rFonts w:ascii="Times New Roman" w:hAnsi="Times New Roman"/>
          <w:i/>
          <w:iCs/>
          <w:noProof/>
          <w:szCs w:val="24"/>
          <w:lang w:val="en-US"/>
        </w:rPr>
        <w:t>o Fast'.</w:t>
      </w:r>
      <w:r w:rsidRPr="00294294">
        <w:rPr>
          <w:rFonts w:ascii="Times New Roman" w:hAnsi="Times New Roman"/>
          <w:noProof/>
          <w:szCs w:val="24"/>
          <w:lang w:val="en-US"/>
        </w:rPr>
        <w:t xml:space="preserve"> Retrieved from &lt; https://dovjacobs.com/category/katanga/&gt;</w:t>
      </w:r>
    </w:p>
    <w:p w14:paraId="0BA47584" w14:textId="2C3050D6"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 xml:space="preserve">Zimring, F, Hawkins, G and Vorenberg, J. (1973). </w:t>
      </w:r>
      <w:r w:rsidRPr="00294294">
        <w:rPr>
          <w:rFonts w:ascii="Times New Roman" w:hAnsi="Times New Roman"/>
          <w:i/>
          <w:iCs/>
          <w:noProof/>
          <w:szCs w:val="24"/>
          <w:lang w:val="en-US"/>
        </w:rPr>
        <w:t xml:space="preserve">“Deterrence: The Legal </w:t>
      </w:r>
      <w:r w:rsidR="00F72A5B">
        <w:rPr>
          <w:rFonts w:ascii="Times New Roman" w:hAnsi="Times New Roman"/>
          <w:i/>
          <w:iCs/>
          <w:noProof/>
          <w:szCs w:val="24"/>
          <w:lang w:val="en-US"/>
        </w:rPr>
        <w:t>T</w:t>
      </w:r>
      <w:r w:rsidRPr="00294294">
        <w:rPr>
          <w:rFonts w:ascii="Times New Roman" w:hAnsi="Times New Roman"/>
          <w:i/>
          <w:iCs/>
          <w:noProof/>
          <w:szCs w:val="24"/>
          <w:lang w:val="en-US"/>
        </w:rPr>
        <w:t>hreat in Crime Control”.</w:t>
      </w:r>
      <w:r w:rsidRPr="00294294">
        <w:rPr>
          <w:rFonts w:ascii="Times New Roman" w:hAnsi="Times New Roman"/>
          <w:noProof/>
          <w:szCs w:val="24"/>
          <w:lang w:val="en-US"/>
        </w:rPr>
        <w:t xml:space="preserve"> Retrieved from &lt; https://www.ncjrs.gov/App/Publications/abstract.aspx?ID=10857</w:t>
      </w:r>
    </w:p>
    <w:p w14:paraId="3F3CFDA1" w14:textId="77777777" w:rsidR="00294294" w:rsidRPr="00294294" w:rsidRDefault="00294294" w:rsidP="00294294">
      <w:pPr>
        <w:jc w:val="both"/>
        <w:rPr>
          <w:rFonts w:ascii="Times New Roman" w:hAnsi="Times New Roman"/>
          <w:szCs w:val="24"/>
          <w:lang w:val="en-US"/>
        </w:rPr>
      </w:pPr>
    </w:p>
    <w:p w14:paraId="21DAD791" w14:textId="77777777" w:rsidR="00294294" w:rsidRPr="00294294" w:rsidRDefault="00294294" w:rsidP="00294294">
      <w:pPr>
        <w:jc w:val="both"/>
        <w:rPr>
          <w:rFonts w:ascii="Times New Roman" w:hAnsi="Times New Roman"/>
          <w:szCs w:val="24"/>
          <w:lang w:val="en-US"/>
        </w:rPr>
      </w:pPr>
    </w:p>
    <w:p w14:paraId="638C937D" w14:textId="77777777" w:rsidR="00294294" w:rsidRPr="00294294" w:rsidRDefault="00294294" w:rsidP="00294294">
      <w:pPr>
        <w:jc w:val="both"/>
        <w:rPr>
          <w:rFonts w:ascii="Times New Roman" w:hAnsi="Times New Roman"/>
          <w:szCs w:val="24"/>
        </w:rPr>
      </w:pPr>
    </w:p>
    <w:p w14:paraId="23031CFF" w14:textId="77777777" w:rsidR="00294294" w:rsidRPr="00294294" w:rsidRDefault="00294294" w:rsidP="00294294">
      <w:pPr>
        <w:jc w:val="both"/>
        <w:rPr>
          <w:rFonts w:ascii="Times New Roman" w:hAnsi="Times New Roman"/>
          <w:b/>
          <w:bCs/>
          <w:szCs w:val="24"/>
        </w:rPr>
      </w:pPr>
      <w:r w:rsidRPr="00294294">
        <w:rPr>
          <w:rFonts w:ascii="Times New Roman" w:hAnsi="Times New Roman"/>
          <w:b/>
          <w:bCs/>
          <w:szCs w:val="24"/>
        </w:rPr>
        <w:lastRenderedPageBreak/>
        <w:t>Cases</w:t>
      </w:r>
    </w:p>
    <w:p w14:paraId="497C1C68"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Council of Civil Service Unions v Minister for the Civil Service (United Kingdom House of Lords 1984).</w:t>
      </w:r>
    </w:p>
    <w:p w14:paraId="395A9D58" w14:textId="5499E7B9" w:rsidR="00294294" w:rsidRPr="00294294" w:rsidRDefault="00294294" w:rsidP="00294294">
      <w:pPr>
        <w:jc w:val="both"/>
        <w:rPr>
          <w:rFonts w:ascii="Times New Roman" w:hAnsi="Times New Roman"/>
          <w:szCs w:val="24"/>
        </w:rPr>
      </w:pPr>
      <w:r w:rsidRPr="00294294">
        <w:rPr>
          <w:rFonts w:ascii="Times New Roman" w:hAnsi="Times New Roman"/>
          <w:szCs w:val="24"/>
        </w:rPr>
        <w:t xml:space="preserve">Le Procureur </w:t>
      </w:r>
      <w:proofErr w:type="spellStart"/>
      <w:r w:rsidRPr="00294294">
        <w:rPr>
          <w:rFonts w:ascii="Times New Roman" w:hAnsi="Times New Roman"/>
          <w:szCs w:val="24"/>
        </w:rPr>
        <w:t>v.Thomas</w:t>
      </w:r>
      <w:proofErr w:type="spellEnd"/>
      <w:r w:rsidRPr="00294294">
        <w:rPr>
          <w:rFonts w:ascii="Times New Roman" w:hAnsi="Times New Roman"/>
          <w:szCs w:val="24"/>
        </w:rPr>
        <w:t xml:space="preserve"> </w:t>
      </w:r>
      <w:proofErr w:type="spellStart"/>
      <w:r w:rsidRPr="00294294">
        <w:rPr>
          <w:rFonts w:ascii="Times New Roman" w:hAnsi="Times New Roman"/>
          <w:szCs w:val="24"/>
        </w:rPr>
        <w:t>Dyilo</w:t>
      </w:r>
      <w:proofErr w:type="spellEnd"/>
      <w:r w:rsidRPr="00294294">
        <w:rPr>
          <w:rFonts w:ascii="Times New Roman" w:hAnsi="Times New Roman"/>
          <w:szCs w:val="24"/>
        </w:rPr>
        <w:t xml:space="preserve"> </w:t>
      </w:r>
    </w:p>
    <w:p w14:paraId="64531175" w14:textId="77777777" w:rsidR="00294294" w:rsidRPr="00294294" w:rsidRDefault="00294294" w:rsidP="00294294">
      <w:pPr>
        <w:jc w:val="both"/>
        <w:rPr>
          <w:rFonts w:ascii="Times New Roman" w:hAnsi="Times New Roman"/>
          <w:szCs w:val="24"/>
        </w:rPr>
      </w:pPr>
      <w:r w:rsidRPr="00294294">
        <w:rPr>
          <w:rFonts w:ascii="Times New Roman" w:hAnsi="Times New Roman"/>
          <w:noProof/>
          <w:szCs w:val="24"/>
          <w:lang w:val="en-US"/>
        </w:rPr>
        <w:t>Matalulu v Director of Public Prosecution, 4 (LRC 2003).</w:t>
      </w:r>
    </w:p>
    <w:p w14:paraId="61D1A332"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People of the State of California v. Brock Allen Turner (2015).</w:t>
      </w:r>
    </w:p>
    <w:p w14:paraId="426EB25F" w14:textId="2F5B9713" w:rsidR="00294294" w:rsidRDefault="00294294" w:rsidP="00294294">
      <w:pPr>
        <w:jc w:val="both"/>
        <w:rPr>
          <w:rFonts w:ascii="Times New Roman" w:hAnsi="Times New Roman"/>
          <w:szCs w:val="24"/>
        </w:rPr>
      </w:pPr>
      <w:r w:rsidRPr="00294294">
        <w:rPr>
          <w:rFonts w:ascii="Times New Roman" w:hAnsi="Times New Roman"/>
          <w:szCs w:val="24"/>
        </w:rPr>
        <w:t xml:space="preserve">Prosecutor </w:t>
      </w:r>
      <w:proofErr w:type="spellStart"/>
      <w:r w:rsidRPr="00294294">
        <w:rPr>
          <w:rFonts w:ascii="Times New Roman" w:hAnsi="Times New Roman"/>
          <w:szCs w:val="24"/>
        </w:rPr>
        <w:t>v.Germain</w:t>
      </w:r>
      <w:proofErr w:type="spellEnd"/>
      <w:r w:rsidRPr="00294294">
        <w:rPr>
          <w:rFonts w:ascii="Times New Roman" w:hAnsi="Times New Roman"/>
          <w:szCs w:val="24"/>
        </w:rPr>
        <w:t xml:space="preserve"> Katanga (</w:t>
      </w:r>
    </w:p>
    <w:p w14:paraId="419F5C72" w14:textId="39392A3E" w:rsidR="00AE6C38" w:rsidRPr="00AE6C38" w:rsidRDefault="00AE6C38" w:rsidP="00294294">
      <w:pPr>
        <w:jc w:val="both"/>
        <w:rPr>
          <w:rFonts w:ascii="Times New Roman" w:hAnsi="Times New Roman"/>
          <w:szCs w:val="24"/>
        </w:rPr>
      </w:pPr>
      <w:r w:rsidRPr="00294294">
        <w:rPr>
          <w:rFonts w:ascii="Times New Roman" w:hAnsi="Times New Roman"/>
          <w:szCs w:val="24"/>
        </w:rPr>
        <w:t>Prosecut</w:t>
      </w:r>
      <w:r>
        <w:rPr>
          <w:rFonts w:ascii="Times New Roman" w:hAnsi="Times New Roman"/>
          <w:szCs w:val="24"/>
        </w:rPr>
        <w:t>or</w:t>
      </w:r>
      <w:r w:rsidRPr="00294294">
        <w:rPr>
          <w:rFonts w:ascii="Times New Roman" w:hAnsi="Times New Roman"/>
          <w:szCs w:val="24"/>
        </w:rPr>
        <w:t xml:space="preserve"> V, </w:t>
      </w:r>
      <w:proofErr w:type="spellStart"/>
      <w:r w:rsidRPr="00294294">
        <w:rPr>
          <w:rFonts w:ascii="Times New Roman" w:hAnsi="Times New Roman"/>
          <w:szCs w:val="24"/>
        </w:rPr>
        <w:t>Kony</w:t>
      </w:r>
      <w:proofErr w:type="spellEnd"/>
      <w:r w:rsidRPr="00294294">
        <w:rPr>
          <w:rFonts w:ascii="Times New Roman" w:hAnsi="Times New Roman"/>
          <w:szCs w:val="24"/>
        </w:rPr>
        <w:t>. (Decision on Legal Repres</w:t>
      </w:r>
      <w:r>
        <w:rPr>
          <w:rFonts w:ascii="Times New Roman" w:hAnsi="Times New Roman"/>
          <w:szCs w:val="24"/>
        </w:rPr>
        <w:t>e</w:t>
      </w:r>
      <w:r w:rsidRPr="00294294">
        <w:rPr>
          <w:rFonts w:ascii="Times New Roman" w:hAnsi="Times New Roman"/>
          <w:szCs w:val="24"/>
        </w:rPr>
        <w:t xml:space="preserve">ntation, Appointment of Counsel for the Defence, Protective Measures and Time-Limit for Submission of Observations on Application for Participation). </w:t>
      </w:r>
      <w:r>
        <w:rPr>
          <w:rFonts w:ascii="Times New Roman" w:hAnsi="Times New Roman"/>
          <w:szCs w:val="24"/>
        </w:rPr>
        <w:t>The s</w:t>
      </w:r>
      <w:r w:rsidRPr="00294294">
        <w:rPr>
          <w:rFonts w:ascii="Times New Roman" w:hAnsi="Times New Roman"/>
          <w:szCs w:val="24"/>
        </w:rPr>
        <w:t>ituation in Uganda.</w:t>
      </w:r>
    </w:p>
    <w:p w14:paraId="26C8CE0E" w14:textId="378B87C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Prosecutor v Thomas Lubanga Dyilo (Prosecutor v. Kumarac, IT -96-23-T &amp; IT-96-23/1-T (February 22, 2001).</w:t>
      </w:r>
    </w:p>
    <w:p w14:paraId="7B434773" w14:textId="7EE4B58E" w:rsidR="00294294" w:rsidRPr="00294294" w:rsidRDefault="00294294" w:rsidP="00294294">
      <w:pPr>
        <w:jc w:val="both"/>
        <w:rPr>
          <w:rFonts w:ascii="Times New Roman" w:hAnsi="Times New Roman"/>
          <w:szCs w:val="24"/>
          <w:lang w:val="en-US"/>
        </w:rPr>
      </w:pPr>
      <w:r w:rsidRPr="00294294">
        <w:rPr>
          <w:rFonts w:ascii="Times New Roman" w:hAnsi="Times New Roman"/>
          <w:noProof/>
          <w:szCs w:val="24"/>
          <w:lang w:val="en-US"/>
        </w:rPr>
        <w:t>R (Pretty) v. Director of Public Prosecutions(Secretary of State for the Home Department intervening) , 1 (Appeal Court 2002).</w:t>
      </w:r>
    </w:p>
    <w:p w14:paraId="5F190AA7"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The Prosecutor v Germain Katanga and Mathieu Ngudjolo Chui (Decision on the Modalities of victim participation at Trial), 01/04-01/07-1788 (International Criminal Court January 22, 2010).</w:t>
      </w:r>
    </w:p>
    <w:p w14:paraId="5EBA8D98" w14:textId="77777777" w:rsidR="00294294" w:rsidRPr="00294294" w:rsidRDefault="00294294" w:rsidP="00294294">
      <w:pPr>
        <w:jc w:val="both"/>
        <w:rPr>
          <w:rFonts w:ascii="Times New Roman" w:hAnsi="Times New Roman"/>
          <w:szCs w:val="24"/>
        </w:rPr>
      </w:pPr>
      <w:r w:rsidRPr="00294294">
        <w:rPr>
          <w:rFonts w:ascii="Times New Roman" w:hAnsi="Times New Roman"/>
          <w:noProof/>
          <w:szCs w:val="24"/>
          <w:lang w:val="en-US"/>
        </w:rPr>
        <w:t>United Kingdom of Great Britain and Northern Ireland v Albania (International Court of Justice 1949).</w:t>
      </w:r>
    </w:p>
    <w:p w14:paraId="35D6F3C2" w14:textId="77777777" w:rsidR="00294294" w:rsidRPr="00294294" w:rsidRDefault="00294294" w:rsidP="00294294">
      <w:pPr>
        <w:jc w:val="both"/>
        <w:rPr>
          <w:rFonts w:ascii="Times New Roman" w:hAnsi="Times New Roman"/>
          <w:b/>
          <w:bCs/>
          <w:szCs w:val="24"/>
        </w:rPr>
      </w:pPr>
      <w:r w:rsidRPr="00294294">
        <w:rPr>
          <w:rFonts w:ascii="Times New Roman" w:hAnsi="Times New Roman"/>
          <w:b/>
          <w:bCs/>
          <w:szCs w:val="24"/>
        </w:rPr>
        <w:t>Statutes</w:t>
      </w:r>
    </w:p>
    <w:p w14:paraId="125236C4" w14:textId="77777777" w:rsidR="00294294" w:rsidRPr="00294294" w:rsidRDefault="00294294" w:rsidP="00294294">
      <w:pPr>
        <w:jc w:val="both"/>
        <w:rPr>
          <w:rFonts w:ascii="Times New Roman" w:hAnsi="Times New Roman"/>
          <w:szCs w:val="24"/>
          <w:lang w:val="en-US"/>
        </w:rPr>
      </w:pPr>
      <w:r w:rsidRPr="00294294">
        <w:rPr>
          <w:rFonts w:ascii="Times New Roman" w:hAnsi="Times New Roman"/>
          <w:szCs w:val="24"/>
          <w:lang w:val="en-US"/>
        </w:rPr>
        <w:t>California Constitution. (1879).</w:t>
      </w:r>
    </w:p>
    <w:p w14:paraId="770BB625"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Code of Practice for Victims of Crime, (Victims' Code) in pursuant of section 33 of the Domestic Violence, Crime and Victims Act. (2002).</w:t>
      </w:r>
    </w:p>
    <w:p w14:paraId="1757AB72"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szCs w:val="24"/>
        </w:rPr>
        <w:lastRenderedPageBreak/>
        <w:t>Criminal Code of Sentencing, 1985.</w:t>
      </w:r>
    </w:p>
    <w:p w14:paraId="1958ED96" w14:textId="77777777" w:rsidR="00294294" w:rsidRPr="00294294" w:rsidRDefault="00294294" w:rsidP="00294294">
      <w:pPr>
        <w:jc w:val="both"/>
        <w:rPr>
          <w:rFonts w:ascii="Times New Roman" w:hAnsi="Times New Roman"/>
          <w:szCs w:val="24"/>
        </w:rPr>
      </w:pPr>
      <w:r w:rsidRPr="00294294">
        <w:rPr>
          <w:rFonts w:ascii="Times New Roman" w:hAnsi="Times New Roman"/>
          <w:szCs w:val="24"/>
        </w:rPr>
        <w:t>Rome Statute. (1998).</w:t>
      </w:r>
    </w:p>
    <w:p w14:paraId="039F5DAD" w14:textId="77777777" w:rsidR="00294294" w:rsidRPr="00294294" w:rsidRDefault="00294294" w:rsidP="00294294">
      <w:pPr>
        <w:jc w:val="both"/>
        <w:rPr>
          <w:rFonts w:ascii="Times New Roman" w:hAnsi="Times New Roman"/>
          <w:szCs w:val="24"/>
        </w:rPr>
      </w:pPr>
      <w:r w:rsidRPr="00294294">
        <w:rPr>
          <w:rFonts w:ascii="Times New Roman" w:hAnsi="Times New Roman"/>
          <w:szCs w:val="24"/>
        </w:rPr>
        <w:t>The Canadian Victims Bill of Rights. (2015).</w:t>
      </w:r>
    </w:p>
    <w:p w14:paraId="13D96295" w14:textId="77777777" w:rsidR="00294294" w:rsidRPr="00294294" w:rsidRDefault="00294294" w:rsidP="00294294">
      <w:pPr>
        <w:jc w:val="both"/>
        <w:rPr>
          <w:rFonts w:ascii="Times New Roman" w:hAnsi="Times New Roman"/>
          <w:szCs w:val="24"/>
        </w:rPr>
      </w:pPr>
      <w:r w:rsidRPr="00294294">
        <w:rPr>
          <w:rFonts w:ascii="Times New Roman" w:hAnsi="Times New Roman"/>
          <w:szCs w:val="24"/>
        </w:rPr>
        <w:t>International Covenant on Civil and Political Rights. (1966).</w:t>
      </w:r>
    </w:p>
    <w:p w14:paraId="15A7B277" w14:textId="77777777" w:rsidR="00294294" w:rsidRPr="00294294" w:rsidRDefault="00294294" w:rsidP="00294294">
      <w:pPr>
        <w:jc w:val="both"/>
        <w:rPr>
          <w:rFonts w:ascii="Times New Roman" w:hAnsi="Times New Roman"/>
          <w:szCs w:val="24"/>
          <w:lang w:val="en-US"/>
        </w:rPr>
      </w:pPr>
      <w:r w:rsidRPr="00294294">
        <w:rPr>
          <w:rFonts w:ascii="Times New Roman" w:hAnsi="Times New Roman"/>
          <w:szCs w:val="24"/>
          <w:lang w:val="en-US"/>
        </w:rPr>
        <w:t>Universal Declaration of Human Rights. (1948).</w:t>
      </w:r>
    </w:p>
    <w:p w14:paraId="5D764BE1" w14:textId="77777777" w:rsidR="00294294" w:rsidRPr="00294294" w:rsidRDefault="00294294" w:rsidP="00294294">
      <w:pPr>
        <w:jc w:val="both"/>
        <w:rPr>
          <w:rFonts w:ascii="Times New Roman" w:eastAsiaTheme="minorHAnsi" w:hAnsi="Times New Roman"/>
          <w:szCs w:val="24"/>
          <w:lang w:eastAsia="en-US"/>
        </w:rPr>
      </w:pPr>
      <w:r w:rsidRPr="00294294">
        <w:rPr>
          <w:rFonts w:ascii="Times New Roman" w:hAnsi="Times New Roman"/>
          <w:szCs w:val="24"/>
          <w:lang w:val="en-US"/>
        </w:rPr>
        <w:t>United Nations Declaration of Basic Principles for Victims of Crime and Abuse. (1985).</w:t>
      </w:r>
    </w:p>
    <w:p w14:paraId="1E49EFFA" w14:textId="77777777" w:rsidR="00294294" w:rsidRPr="00294294" w:rsidRDefault="00294294" w:rsidP="00294294">
      <w:pPr>
        <w:jc w:val="both"/>
        <w:rPr>
          <w:rFonts w:ascii="Times New Roman" w:hAnsi="Times New Roman"/>
          <w:szCs w:val="24"/>
          <w:lang w:val="en-US"/>
        </w:rPr>
      </w:pPr>
    </w:p>
    <w:p w14:paraId="1C71E544" w14:textId="19309164" w:rsidR="00294294" w:rsidRDefault="00294294" w:rsidP="00294294">
      <w:pPr>
        <w:jc w:val="both"/>
        <w:rPr>
          <w:rFonts w:ascii="Times New Roman" w:hAnsi="Times New Roman"/>
          <w:b/>
          <w:bCs/>
          <w:szCs w:val="24"/>
        </w:rPr>
      </w:pPr>
      <w:r w:rsidRPr="00294294">
        <w:rPr>
          <w:rFonts w:ascii="Times New Roman" w:hAnsi="Times New Roman"/>
          <w:b/>
          <w:bCs/>
          <w:szCs w:val="24"/>
        </w:rPr>
        <w:t>Rules</w:t>
      </w:r>
    </w:p>
    <w:p w14:paraId="62E176CF" w14:textId="77777777" w:rsidR="00AE6C38" w:rsidRPr="00294294" w:rsidRDefault="00AE6C38" w:rsidP="00AE6C38">
      <w:pPr>
        <w:jc w:val="both"/>
        <w:rPr>
          <w:rFonts w:ascii="Times New Roman" w:eastAsiaTheme="minorHAnsi" w:hAnsi="Times New Roman"/>
          <w:noProof/>
          <w:szCs w:val="24"/>
          <w:lang w:val="en-US" w:eastAsia="en-US"/>
        </w:rPr>
      </w:pPr>
      <w:r w:rsidRPr="00294294">
        <w:rPr>
          <w:rFonts w:ascii="Times New Roman" w:hAnsi="Times New Roman"/>
          <w:noProof/>
          <w:szCs w:val="24"/>
          <w:lang w:val="en-US"/>
        </w:rPr>
        <w:t>Draft Statute for the International Criminal Court. (1994). Retrieved from United Nations: http://untreaty .un.org/ilc/texts/instruments/English/draft%20articles/7_4_1994.pdf.</w:t>
      </w:r>
    </w:p>
    <w:p w14:paraId="64F40AEE" w14:textId="2F935B4D" w:rsidR="00AE6C38" w:rsidRDefault="00AE6C38" w:rsidP="00AE6C38">
      <w:pPr>
        <w:jc w:val="both"/>
        <w:rPr>
          <w:rFonts w:ascii="Times New Roman" w:hAnsi="Times New Roman"/>
          <w:szCs w:val="24"/>
        </w:rPr>
      </w:pPr>
      <w:r w:rsidRPr="00294294">
        <w:rPr>
          <w:rFonts w:ascii="Times New Roman" w:hAnsi="Times New Roman"/>
          <w:szCs w:val="24"/>
        </w:rPr>
        <w:t>International Criminal Court, Rules of Procedure and Evidence.</w:t>
      </w:r>
    </w:p>
    <w:p w14:paraId="182EAEAE" w14:textId="4AF73B38" w:rsidR="00AE6C38" w:rsidRDefault="00AE6C38" w:rsidP="00AE6C38">
      <w:pPr>
        <w:jc w:val="both"/>
        <w:rPr>
          <w:rFonts w:ascii="Times New Roman" w:hAnsi="Times New Roman"/>
          <w:noProof/>
          <w:szCs w:val="24"/>
          <w:lang w:val="en-US"/>
        </w:rPr>
      </w:pPr>
      <w:r w:rsidRPr="00294294">
        <w:rPr>
          <w:rFonts w:ascii="Times New Roman" w:hAnsi="Times New Roman"/>
          <w:noProof/>
          <w:szCs w:val="24"/>
          <w:lang w:val="en-US"/>
        </w:rPr>
        <w:t>Regulation of the Court, May 2004. (November 2018, as amended).</w:t>
      </w:r>
    </w:p>
    <w:p w14:paraId="09A7AD7C" w14:textId="77777777" w:rsidR="00AE6C38" w:rsidRPr="00294294" w:rsidRDefault="00AE6C38" w:rsidP="00AE6C38">
      <w:pPr>
        <w:jc w:val="both"/>
        <w:rPr>
          <w:rFonts w:ascii="Times New Roman" w:hAnsi="Times New Roman"/>
          <w:noProof/>
          <w:szCs w:val="24"/>
          <w:lang w:val="en-US"/>
        </w:rPr>
      </w:pPr>
    </w:p>
    <w:p w14:paraId="4F1BEB88" w14:textId="03106BD3" w:rsidR="00AE6C38" w:rsidRDefault="00AE6C38" w:rsidP="00294294">
      <w:pPr>
        <w:jc w:val="both"/>
        <w:rPr>
          <w:rFonts w:ascii="Times New Roman" w:hAnsi="Times New Roman"/>
          <w:b/>
          <w:bCs/>
          <w:szCs w:val="24"/>
        </w:rPr>
      </w:pPr>
      <w:r w:rsidRPr="00AE6C38">
        <w:rPr>
          <w:rFonts w:ascii="Times New Roman" w:hAnsi="Times New Roman"/>
          <w:b/>
          <w:bCs/>
          <w:szCs w:val="24"/>
        </w:rPr>
        <w:t>Working paper and reports</w:t>
      </w:r>
    </w:p>
    <w:p w14:paraId="280522F8" w14:textId="79D06673" w:rsidR="00AE6C38" w:rsidRPr="00AE6C38" w:rsidRDefault="00AE6C38" w:rsidP="00294294">
      <w:pPr>
        <w:jc w:val="both"/>
        <w:rPr>
          <w:rFonts w:ascii="Times New Roman" w:hAnsi="Times New Roman"/>
          <w:szCs w:val="24"/>
        </w:rPr>
      </w:pPr>
      <w:r w:rsidRPr="00294294">
        <w:rPr>
          <w:rFonts w:ascii="Times New Roman" w:hAnsi="Times New Roman"/>
          <w:szCs w:val="24"/>
        </w:rPr>
        <w:t>Communications Received by the Office of the Prosecutor of the ICC, 16 July 2003.</w:t>
      </w:r>
    </w:p>
    <w:p w14:paraId="040BB813" w14:textId="645EA126" w:rsidR="00294294" w:rsidRPr="00294294" w:rsidRDefault="00294294" w:rsidP="00294294">
      <w:pPr>
        <w:jc w:val="both"/>
        <w:rPr>
          <w:rFonts w:ascii="Times New Roman" w:hAnsi="Times New Roman"/>
          <w:szCs w:val="24"/>
        </w:rPr>
      </w:pPr>
      <w:r w:rsidRPr="00294294">
        <w:rPr>
          <w:rFonts w:ascii="Times New Roman" w:hAnsi="Times New Roman"/>
          <w:noProof/>
          <w:szCs w:val="24"/>
          <w:lang w:val="en-US"/>
        </w:rPr>
        <w:t xml:space="preserve">Justice Victims in Criminal Justice. (1998). </w:t>
      </w:r>
      <w:r w:rsidRPr="00294294">
        <w:rPr>
          <w:rFonts w:ascii="Times New Roman" w:hAnsi="Times New Roman"/>
          <w:i/>
          <w:iCs/>
          <w:noProof/>
          <w:szCs w:val="24"/>
          <w:lang w:val="en-US"/>
        </w:rPr>
        <w:t>Report of the Justice Committee on the Role of Victims in Criminal justic</w:t>
      </w:r>
      <w:r w:rsidR="00AE6C38">
        <w:rPr>
          <w:rFonts w:ascii="Times New Roman" w:hAnsi="Times New Roman"/>
          <w:i/>
          <w:iCs/>
          <w:noProof/>
          <w:szCs w:val="24"/>
          <w:lang w:val="en-US"/>
        </w:rPr>
        <w:t>e</w:t>
      </w:r>
      <w:r w:rsidRPr="00294294">
        <w:rPr>
          <w:rFonts w:ascii="Times New Roman" w:hAnsi="Times New Roman"/>
          <w:i/>
          <w:iCs/>
          <w:noProof/>
          <w:szCs w:val="24"/>
          <w:lang w:val="en-US"/>
        </w:rPr>
        <w:t>.</w:t>
      </w:r>
      <w:r w:rsidRPr="00294294">
        <w:rPr>
          <w:rFonts w:ascii="Times New Roman" w:hAnsi="Times New Roman"/>
          <w:noProof/>
          <w:szCs w:val="24"/>
          <w:lang w:val="en-US"/>
        </w:rPr>
        <w:t xml:space="preserve"> London: Justice.</w:t>
      </w:r>
    </w:p>
    <w:p w14:paraId="50A166C6" w14:textId="77777777" w:rsidR="00294294" w:rsidRPr="00294294" w:rsidRDefault="00294294" w:rsidP="00294294">
      <w:pPr>
        <w:jc w:val="both"/>
        <w:rPr>
          <w:rFonts w:ascii="Times New Roman" w:hAnsi="Times New Roman"/>
          <w:i/>
          <w:iCs/>
          <w:szCs w:val="24"/>
        </w:rPr>
      </w:pPr>
      <w:proofErr w:type="spellStart"/>
      <w:r w:rsidRPr="00294294">
        <w:rPr>
          <w:rFonts w:ascii="Times New Roman" w:hAnsi="Times New Roman"/>
          <w:szCs w:val="24"/>
        </w:rPr>
        <w:t>Klamming</w:t>
      </w:r>
      <w:proofErr w:type="spellEnd"/>
      <w:r w:rsidRPr="00294294">
        <w:rPr>
          <w:rFonts w:ascii="Times New Roman" w:hAnsi="Times New Roman"/>
          <w:szCs w:val="24"/>
        </w:rPr>
        <w:t xml:space="preserve">, L and </w:t>
      </w:r>
      <w:proofErr w:type="spellStart"/>
      <w:r w:rsidRPr="00294294">
        <w:rPr>
          <w:rFonts w:ascii="Times New Roman" w:hAnsi="Times New Roman"/>
          <w:szCs w:val="24"/>
        </w:rPr>
        <w:t>Giesen</w:t>
      </w:r>
      <w:proofErr w:type="spellEnd"/>
      <w:r w:rsidRPr="00294294">
        <w:rPr>
          <w:rFonts w:ascii="Times New Roman" w:hAnsi="Times New Roman"/>
          <w:szCs w:val="24"/>
        </w:rPr>
        <w:t xml:space="preserve">, I. (2008). </w:t>
      </w:r>
      <w:r w:rsidRPr="00294294">
        <w:rPr>
          <w:rFonts w:ascii="Times New Roman" w:hAnsi="Times New Roman"/>
          <w:i/>
          <w:iCs/>
          <w:szCs w:val="24"/>
        </w:rPr>
        <w:t>Access to Justice: Quality of the Procedure, Working Paper No.002/2008.</w:t>
      </w:r>
    </w:p>
    <w:p w14:paraId="5AF0AAC5" w14:textId="77777777" w:rsidR="00294294" w:rsidRPr="00294294" w:rsidRDefault="00294294" w:rsidP="00294294">
      <w:pPr>
        <w:jc w:val="both"/>
        <w:rPr>
          <w:rFonts w:ascii="Times New Roman" w:hAnsi="Times New Roman"/>
          <w:szCs w:val="24"/>
        </w:rPr>
      </w:pPr>
      <w:r w:rsidRPr="00294294">
        <w:rPr>
          <w:rFonts w:ascii="Times New Roman" w:hAnsi="Times New Roman"/>
          <w:szCs w:val="24"/>
        </w:rPr>
        <w:lastRenderedPageBreak/>
        <w:t xml:space="preserve">Lawyers Committee for Human Rights. (1998). </w:t>
      </w:r>
      <w:r w:rsidRPr="00294294">
        <w:rPr>
          <w:rFonts w:ascii="Times New Roman" w:hAnsi="Times New Roman"/>
          <w:i/>
          <w:iCs/>
          <w:szCs w:val="24"/>
        </w:rPr>
        <w:t>The accountability of an Ex-Officio Prosecutor.</w:t>
      </w:r>
    </w:p>
    <w:p w14:paraId="5DD43689" w14:textId="77777777" w:rsidR="00294294" w:rsidRPr="00294294" w:rsidRDefault="00294294" w:rsidP="00294294">
      <w:pPr>
        <w:jc w:val="both"/>
        <w:rPr>
          <w:rFonts w:ascii="Times New Roman" w:hAnsi="Times New Roman"/>
          <w:szCs w:val="24"/>
          <w:lang w:val="en-US"/>
        </w:rPr>
      </w:pPr>
      <w:r w:rsidRPr="00294294">
        <w:rPr>
          <w:rFonts w:ascii="Times New Roman" w:hAnsi="Times New Roman"/>
          <w:szCs w:val="24"/>
        </w:rPr>
        <w:t>Legal Filings submitted by the Women’s Initiatives for Gender Justice to the International Criminal Court. &lt;http://www.iccwomen.org/publications/articles/docs/LegalFilings-web-2-10.pdf&gt;.</w:t>
      </w:r>
    </w:p>
    <w:p w14:paraId="313CFFFC" w14:textId="77777777" w:rsidR="00294294" w:rsidRPr="00294294" w:rsidRDefault="00294294" w:rsidP="00294294">
      <w:pPr>
        <w:jc w:val="both"/>
        <w:rPr>
          <w:rFonts w:ascii="Times New Roman" w:hAnsi="Times New Roman"/>
          <w:i/>
          <w:iCs/>
          <w:szCs w:val="24"/>
          <w:lang w:val="en-US"/>
        </w:rPr>
      </w:pPr>
      <w:r w:rsidRPr="00294294">
        <w:rPr>
          <w:rFonts w:ascii="Times New Roman" w:hAnsi="Times New Roman"/>
          <w:szCs w:val="24"/>
          <w:lang w:val="en-US"/>
        </w:rPr>
        <w:t xml:space="preserve">Letter from </w:t>
      </w:r>
      <w:proofErr w:type="spellStart"/>
      <w:r w:rsidRPr="00294294">
        <w:rPr>
          <w:rFonts w:ascii="Times New Roman" w:hAnsi="Times New Roman"/>
          <w:szCs w:val="24"/>
          <w:lang w:val="en-US"/>
        </w:rPr>
        <w:t>MR.Sidiki</w:t>
      </w:r>
      <w:proofErr w:type="spellEnd"/>
      <w:r w:rsidRPr="00294294">
        <w:rPr>
          <w:rFonts w:ascii="Times New Roman" w:hAnsi="Times New Roman"/>
          <w:szCs w:val="24"/>
          <w:lang w:val="en-US"/>
        </w:rPr>
        <w:t xml:space="preserve"> </w:t>
      </w:r>
      <w:proofErr w:type="spellStart"/>
      <w:r w:rsidRPr="00294294">
        <w:rPr>
          <w:rFonts w:ascii="Times New Roman" w:hAnsi="Times New Roman"/>
          <w:szCs w:val="24"/>
          <w:lang w:val="en-US"/>
        </w:rPr>
        <w:t>Kaba</w:t>
      </w:r>
      <w:proofErr w:type="spellEnd"/>
      <w:r w:rsidRPr="00294294">
        <w:rPr>
          <w:rFonts w:ascii="Times New Roman" w:hAnsi="Times New Roman"/>
          <w:szCs w:val="24"/>
          <w:lang w:val="en-US"/>
        </w:rPr>
        <w:t xml:space="preserve">. (14 June 2005). </w:t>
      </w:r>
      <w:r w:rsidRPr="00294294">
        <w:rPr>
          <w:rFonts w:ascii="Times New Roman" w:hAnsi="Times New Roman"/>
          <w:i/>
          <w:iCs/>
          <w:szCs w:val="24"/>
          <w:lang w:val="en-US"/>
        </w:rPr>
        <w:t>President of the International Federation for Human Rights (FIDH).</w:t>
      </w:r>
    </w:p>
    <w:p w14:paraId="70337BCF" w14:textId="77777777" w:rsidR="00294294" w:rsidRPr="00294294" w:rsidRDefault="00294294" w:rsidP="00294294">
      <w:pPr>
        <w:jc w:val="both"/>
        <w:rPr>
          <w:rStyle w:val="Hyperlink"/>
          <w:rFonts w:ascii="Times New Roman" w:hAnsi="Times New Roman"/>
        </w:rPr>
      </w:pPr>
      <w:r w:rsidRPr="00294294">
        <w:rPr>
          <w:rFonts w:ascii="Times New Roman" w:hAnsi="Times New Roman"/>
          <w:szCs w:val="24"/>
        </w:rPr>
        <w:t xml:space="preserve">Prosecutor Moreno Ocampo, L. (August 2006). </w:t>
      </w:r>
      <w:r w:rsidRPr="00294294">
        <w:rPr>
          <w:rFonts w:ascii="Times New Roman" w:hAnsi="Times New Roman"/>
          <w:i/>
          <w:iCs/>
          <w:szCs w:val="24"/>
        </w:rPr>
        <w:t>Third Session of the Assembly of State Parties to the Rome Statute of the International Criminal Court, The Hague.</w:t>
      </w:r>
      <w:r w:rsidRPr="00294294">
        <w:rPr>
          <w:rFonts w:ascii="Times New Roman" w:hAnsi="Times New Roman"/>
          <w:szCs w:val="24"/>
        </w:rPr>
        <w:t xml:space="preserve"> http://www.icc-cpi.int/library/asp/LMO_20040906_eN.PDF.</w:t>
      </w:r>
    </w:p>
    <w:p w14:paraId="0221AAAA" w14:textId="7B9B4AA5" w:rsidR="00294294" w:rsidRPr="00294294" w:rsidRDefault="00294294" w:rsidP="00294294">
      <w:pPr>
        <w:jc w:val="both"/>
        <w:rPr>
          <w:rFonts w:ascii="Times New Roman" w:hAnsi="Times New Roman"/>
          <w:noProof/>
          <w:lang w:val="en-US"/>
        </w:rPr>
      </w:pPr>
      <w:r w:rsidRPr="00294294">
        <w:rPr>
          <w:rFonts w:ascii="Times New Roman" w:hAnsi="Times New Roman"/>
          <w:noProof/>
          <w:szCs w:val="24"/>
          <w:lang w:val="en-US"/>
        </w:rPr>
        <w:t xml:space="preserve">Moreno-Ocampo, L. (2005). </w:t>
      </w:r>
      <w:r w:rsidRPr="00294294">
        <w:rPr>
          <w:rFonts w:ascii="Times New Roman" w:hAnsi="Times New Roman"/>
          <w:i/>
          <w:iCs/>
          <w:noProof/>
          <w:szCs w:val="24"/>
          <w:lang w:val="en-US"/>
        </w:rPr>
        <w:t>Prosecutor of the International Criminal Court:</w:t>
      </w:r>
      <w:r w:rsidR="00F72A5B">
        <w:rPr>
          <w:rFonts w:ascii="Times New Roman" w:hAnsi="Times New Roman"/>
          <w:i/>
          <w:iCs/>
          <w:noProof/>
          <w:szCs w:val="24"/>
          <w:lang w:val="en-US"/>
        </w:rPr>
        <w:t xml:space="preserve"> </w:t>
      </w:r>
      <w:r w:rsidRPr="00294294">
        <w:rPr>
          <w:rFonts w:ascii="Times New Roman" w:hAnsi="Times New Roman"/>
          <w:i/>
          <w:iCs/>
          <w:noProof/>
          <w:szCs w:val="24"/>
          <w:lang w:val="en-US"/>
        </w:rPr>
        <w:t>Informal meeting of Legal Advisors of Ministries of Foreign Affairs.</w:t>
      </w:r>
      <w:r w:rsidRPr="00294294">
        <w:rPr>
          <w:rFonts w:ascii="Times New Roman" w:hAnsi="Times New Roman"/>
          <w:noProof/>
          <w:szCs w:val="24"/>
          <w:lang w:val="en-US"/>
        </w:rPr>
        <w:t xml:space="preserve"> International Criminal Court, Office of the Prosecutor.</w:t>
      </w:r>
    </w:p>
    <w:p w14:paraId="609CF5FA" w14:textId="77777777" w:rsidR="00294294" w:rsidRPr="00294294" w:rsidRDefault="00294294" w:rsidP="00294294">
      <w:pPr>
        <w:jc w:val="both"/>
        <w:rPr>
          <w:rFonts w:ascii="Times New Roman" w:hAnsi="Times New Roman"/>
          <w:szCs w:val="24"/>
        </w:rPr>
      </w:pPr>
      <w:r w:rsidRPr="00294294">
        <w:rPr>
          <w:rFonts w:ascii="Times New Roman" w:hAnsi="Times New Roman"/>
          <w:noProof/>
          <w:szCs w:val="24"/>
          <w:lang w:val="en-US"/>
        </w:rPr>
        <w:t xml:space="preserve">Moreno-Ocampo, L. (2006). </w:t>
      </w:r>
      <w:r w:rsidRPr="00294294">
        <w:rPr>
          <w:rFonts w:ascii="Times New Roman" w:hAnsi="Times New Roman"/>
          <w:i/>
          <w:iCs/>
          <w:noProof/>
          <w:szCs w:val="24"/>
          <w:lang w:val="en-US"/>
        </w:rPr>
        <w:t>Press Conference in relation with the surrender to the Court of Mr Thomas Lubanga Dyilo,</w:t>
      </w:r>
      <w:r w:rsidR="00BE586D">
        <w:rPr>
          <w:rFonts w:ascii="Times New Roman" w:hAnsi="Times New Roman"/>
          <w:i/>
          <w:iCs/>
          <w:noProof/>
          <w:szCs w:val="24"/>
          <w:lang w:val="en-US"/>
        </w:rPr>
        <w:t xml:space="preserve"> </w:t>
      </w:r>
      <w:r w:rsidRPr="00294294">
        <w:rPr>
          <w:rFonts w:ascii="Times New Roman" w:hAnsi="Times New Roman"/>
          <w:i/>
          <w:iCs/>
          <w:noProof/>
          <w:szCs w:val="24"/>
          <w:lang w:val="en-US"/>
        </w:rPr>
        <w:t>The Hague.</w:t>
      </w:r>
      <w:r w:rsidRPr="00294294">
        <w:rPr>
          <w:rFonts w:ascii="Times New Roman" w:hAnsi="Times New Roman"/>
          <w:noProof/>
          <w:szCs w:val="24"/>
          <w:lang w:val="en-US"/>
        </w:rPr>
        <w:t xml:space="preserve"> International Criminal Court.</w:t>
      </w:r>
    </w:p>
    <w:p w14:paraId="009556D6" w14:textId="0F8B9EB2" w:rsidR="00294294" w:rsidRPr="00294294" w:rsidRDefault="00294294" w:rsidP="00294294">
      <w:pPr>
        <w:jc w:val="both"/>
        <w:rPr>
          <w:rFonts w:ascii="Times New Roman" w:hAnsi="Times New Roman"/>
          <w:szCs w:val="24"/>
        </w:rPr>
      </w:pPr>
      <w:r w:rsidRPr="00294294">
        <w:rPr>
          <w:rFonts w:ascii="Times New Roman" w:hAnsi="Times New Roman"/>
          <w:color w:val="222222"/>
          <w:szCs w:val="24"/>
          <w:shd w:val="clear" w:color="auto" w:fill="FFFFFF"/>
        </w:rPr>
        <w:t>Obtaining further charges in the opening case against Thomas Lubanga. (16 September 2006). </w:t>
      </w:r>
      <w:r w:rsidRPr="00294294">
        <w:rPr>
          <w:rFonts w:ascii="Times New Roman" w:hAnsi="Times New Roman"/>
          <w:i/>
          <w:iCs/>
          <w:color w:val="222222"/>
          <w:szCs w:val="24"/>
        </w:rPr>
        <w:t>Statement by women’s rights and human rights NGOs of the DRC on the prosecutions by the ICC</w:t>
      </w:r>
      <w:r w:rsidRPr="00294294">
        <w:rPr>
          <w:rFonts w:ascii="Times New Roman" w:hAnsi="Times New Roman"/>
          <w:i/>
          <w:iCs/>
          <w:color w:val="222222"/>
          <w:szCs w:val="24"/>
          <w:shd w:val="clear" w:color="auto" w:fill="FFFFFF"/>
        </w:rPr>
        <w:t>,.</w:t>
      </w:r>
    </w:p>
    <w:p w14:paraId="7C310024"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szCs w:val="24"/>
        </w:rPr>
        <w:t xml:space="preserve">Office of the Prosecutor. (1 February 2010). </w:t>
      </w:r>
      <w:r w:rsidRPr="00294294">
        <w:rPr>
          <w:rFonts w:ascii="Times New Roman" w:hAnsi="Times New Roman"/>
          <w:i/>
          <w:szCs w:val="24"/>
        </w:rPr>
        <w:t>Prosecutorial Strategy</w:t>
      </w:r>
      <w:r w:rsidRPr="00294294">
        <w:rPr>
          <w:rFonts w:ascii="Times New Roman" w:hAnsi="Times New Roman"/>
          <w:szCs w:val="24"/>
        </w:rPr>
        <w:t>, 2009-2012.</w:t>
      </w:r>
    </w:p>
    <w:p w14:paraId="5D3181F0" w14:textId="77777777" w:rsidR="00294294" w:rsidRPr="00294294" w:rsidRDefault="00294294" w:rsidP="00294294">
      <w:pPr>
        <w:jc w:val="both"/>
        <w:rPr>
          <w:rFonts w:ascii="Times New Roman" w:hAnsi="Times New Roman"/>
          <w:szCs w:val="24"/>
        </w:rPr>
      </w:pPr>
      <w:r w:rsidRPr="00294294">
        <w:rPr>
          <w:rFonts w:ascii="Times New Roman" w:hAnsi="Times New Roman"/>
          <w:szCs w:val="24"/>
        </w:rPr>
        <w:t xml:space="preserve">Prosecutor V, Katanga and </w:t>
      </w:r>
      <w:proofErr w:type="spellStart"/>
      <w:r w:rsidRPr="00294294">
        <w:rPr>
          <w:rFonts w:ascii="Times New Roman" w:hAnsi="Times New Roman"/>
          <w:szCs w:val="24"/>
        </w:rPr>
        <w:t>Ngudjolo</w:t>
      </w:r>
      <w:proofErr w:type="spellEnd"/>
      <w:r w:rsidRPr="00294294">
        <w:rPr>
          <w:rFonts w:ascii="Times New Roman" w:hAnsi="Times New Roman"/>
          <w:szCs w:val="24"/>
        </w:rPr>
        <w:t xml:space="preserve"> Chui. (22 July 2009). </w:t>
      </w:r>
      <w:r w:rsidRPr="00294294">
        <w:rPr>
          <w:rFonts w:ascii="Times New Roman" w:hAnsi="Times New Roman"/>
          <w:i/>
          <w:iCs/>
          <w:szCs w:val="24"/>
        </w:rPr>
        <w:t>Order on the Organisation of Common legal representatives.</w:t>
      </w:r>
      <w:r w:rsidRPr="00294294">
        <w:rPr>
          <w:rFonts w:ascii="Times New Roman" w:hAnsi="Times New Roman"/>
          <w:szCs w:val="24"/>
        </w:rPr>
        <w:t xml:space="preserve"> (International Criminal Court).</w:t>
      </w:r>
    </w:p>
    <w:p w14:paraId="3485F636" w14:textId="77777777"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Regulation of the Court, May 2004. (November 2018, as amended).</w:t>
      </w:r>
    </w:p>
    <w:p w14:paraId="12435202" w14:textId="47113E99" w:rsidR="00294294" w:rsidRPr="00294294" w:rsidRDefault="00294294" w:rsidP="00294294">
      <w:pPr>
        <w:jc w:val="both"/>
        <w:rPr>
          <w:rFonts w:ascii="Times New Roman" w:hAnsi="Times New Roman"/>
          <w:noProof/>
          <w:szCs w:val="24"/>
          <w:lang w:val="en-US"/>
        </w:rPr>
      </w:pPr>
      <w:r w:rsidRPr="00294294">
        <w:rPr>
          <w:rFonts w:ascii="Times New Roman" w:hAnsi="Times New Roman"/>
          <w:i/>
          <w:iCs/>
          <w:noProof/>
          <w:szCs w:val="24"/>
          <w:lang w:val="en-US"/>
        </w:rPr>
        <w:t>Retributive Justice,</w:t>
      </w:r>
      <w:r w:rsidR="00BE586D">
        <w:rPr>
          <w:rFonts w:ascii="Times New Roman" w:hAnsi="Times New Roman"/>
          <w:i/>
          <w:iCs/>
          <w:noProof/>
          <w:szCs w:val="24"/>
          <w:lang w:val="en-US"/>
        </w:rPr>
        <w:t xml:space="preserve"> </w:t>
      </w:r>
      <w:r w:rsidRPr="00294294">
        <w:rPr>
          <w:rFonts w:ascii="Times New Roman" w:hAnsi="Times New Roman"/>
          <w:i/>
          <w:iCs/>
          <w:noProof/>
          <w:szCs w:val="24"/>
          <w:lang w:val="en-US"/>
        </w:rPr>
        <w:t>Stanford Encyclopedia of Philos</w:t>
      </w:r>
      <w:r w:rsidR="00F72A5B">
        <w:rPr>
          <w:rFonts w:ascii="Times New Roman" w:hAnsi="Times New Roman"/>
          <w:i/>
          <w:iCs/>
          <w:noProof/>
          <w:szCs w:val="24"/>
          <w:lang w:val="en-US"/>
        </w:rPr>
        <w:t>o</w:t>
      </w:r>
      <w:r w:rsidRPr="00294294">
        <w:rPr>
          <w:rFonts w:ascii="Times New Roman" w:hAnsi="Times New Roman"/>
          <w:i/>
          <w:iCs/>
          <w:noProof/>
          <w:szCs w:val="24"/>
          <w:lang w:val="en-US"/>
        </w:rPr>
        <w:t>phy.</w:t>
      </w:r>
      <w:r w:rsidRPr="00294294">
        <w:rPr>
          <w:rFonts w:ascii="Times New Roman" w:hAnsi="Times New Roman"/>
          <w:noProof/>
          <w:szCs w:val="24"/>
          <w:lang w:val="en-US"/>
        </w:rPr>
        <w:t xml:space="preserve"> (2014). Retrieved from http://plato.stanford.edu/entries/justice-retributive/&gt;</w:t>
      </w:r>
    </w:p>
    <w:p w14:paraId="20BCDAC4" w14:textId="77777777" w:rsidR="00294294" w:rsidRPr="00294294" w:rsidRDefault="00294294" w:rsidP="00294294">
      <w:pPr>
        <w:jc w:val="both"/>
        <w:rPr>
          <w:rFonts w:ascii="Times New Roman" w:eastAsiaTheme="minorHAnsi" w:hAnsi="Times New Roman"/>
          <w:noProof/>
          <w:szCs w:val="24"/>
          <w:lang w:val="en-US" w:eastAsia="en-US"/>
        </w:rPr>
      </w:pPr>
      <w:r w:rsidRPr="00294294">
        <w:rPr>
          <w:rFonts w:ascii="Times New Roman" w:hAnsi="Times New Roman"/>
          <w:szCs w:val="24"/>
        </w:rPr>
        <w:lastRenderedPageBreak/>
        <w:t>The Office of the Prosecutor of the International Criminal Court</w:t>
      </w:r>
      <w:r w:rsidRPr="00294294">
        <w:rPr>
          <w:rFonts w:ascii="Times New Roman" w:hAnsi="Times New Roman"/>
          <w:noProof/>
          <w:szCs w:val="24"/>
          <w:lang w:val="en-US"/>
        </w:rPr>
        <w:t xml:space="preserve">. (2004). </w:t>
      </w:r>
      <w:r w:rsidRPr="00294294">
        <w:rPr>
          <w:rFonts w:ascii="Times New Roman" w:hAnsi="Times New Roman"/>
          <w:i/>
          <w:iCs/>
          <w:noProof/>
          <w:szCs w:val="24"/>
          <w:lang w:val="en-US"/>
        </w:rPr>
        <w:t>Press release issued by the Court.</w:t>
      </w:r>
      <w:r w:rsidRPr="00294294">
        <w:rPr>
          <w:rFonts w:ascii="Times New Roman" w:hAnsi="Times New Roman"/>
          <w:noProof/>
          <w:szCs w:val="24"/>
          <w:lang w:val="en-US"/>
        </w:rPr>
        <w:t xml:space="preserve"> International Criminal Court.</w:t>
      </w:r>
    </w:p>
    <w:p w14:paraId="08215325" w14:textId="7A53C4CA" w:rsidR="00294294" w:rsidRPr="00294294" w:rsidRDefault="00294294" w:rsidP="00294294">
      <w:pPr>
        <w:jc w:val="both"/>
        <w:rPr>
          <w:rFonts w:ascii="Times New Roman" w:hAnsi="Times New Roman"/>
          <w:noProof/>
          <w:szCs w:val="24"/>
          <w:lang w:val="en-US"/>
        </w:rPr>
      </w:pPr>
      <w:r w:rsidRPr="00294294">
        <w:rPr>
          <w:rFonts w:ascii="Times New Roman" w:hAnsi="Times New Roman"/>
          <w:noProof/>
          <w:szCs w:val="24"/>
          <w:lang w:val="en-US"/>
        </w:rPr>
        <w:t xml:space="preserve">UN General Assembly. </w:t>
      </w:r>
      <w:r w:rsidRPr="00294294">
        <w:rPr>
          <w:rFonts w:ascii="Times New Roman" w:hAnsi="Times New Roman"/>
          <w:i/>
          <w:iCs/>
          <w:noProof/>
          <w:szCs w:val="24"/>
          <w:lang w:val="en-US"/>
        </w:rPr>
        <w:t>Official Records of the General Assembly, Forty-ninth session, supplement No.10.</w:t>
      </w:r>
    </w:p>
    <w:p w14:paraId="017F5FED" w14:textId="72A9729C" w:rsidR="00294294" w:rsidRDefault="00294294" w:rsidP="00294294">
      <w:pPr>
        <w:jc w:val="both"/>
        <w:rPr>
          <w:rFonts w:ascii="Times New Roman" w:hAnsi="Times New Roman"/>
          <w:szCs w:val="24"/>
        </w:rPr>
      </w:pPr>
      <w:r w:rsidRPr="00294294">
        <w:rPr>
          <w:rFonts w:ascii="Times New Roman" w:hAnsi="Times New Roman"/>
          <w:szCs w:val="24"/>
        </w:rPr>
        <w:t>United Nations Security Council. (January 2002-December 2003,16 July 2004).</w:t>
      </w:r>
      <w:r w:rsidRPr="00294294">
        <w:rPr>
          <w:rFonts w:ascii="Times New Roman" w:hAnsi="Times New Roman"/>
          <w:noProof/>
          <w:szCs w:val="24"/>
          <w:lang w:val="en-US"/>
        </w:rPr>
        <w:t xml:space="preserve"> </w:t>
      </w:r>
      <w:r w:rsidRPr="00294294">
        <w:rPr>
          <w:rFonts w:ascii="Times New Roman" w:hAnsi="Times New Roman"/>
          <w:szCs w:val="24"/>
        </w:rPr>
        <w:t xml:space="preserve">Letter dated 16 July 2004 from the Secretary-General addressed to the President of the Security Council, Special report on the events in </w:t>
      </w:r>
      <w:proofErr w:type="spellStart"/>
      <w:r w:rsidRPr="00294294">
        <w:rPr>
          <w:rFonts w:ascii="Times New Roman" w:hAnsi="Times New Roman"/>
          <w:szCs w:val="24"/>
        </w:rPr>
        <w:t>Ituri</w:t>
      </w:r>
      <w:proofErr w:type="spellEnd"/>
      <w:r w:rsidRPr="00294294">
        <w:rPr>
          <w:rFonts w:ascii="Times New Roman" w:hAnsi="Times New Roman"/>
          <w:szCs w:val="24"/>
        </w:rPr>
        <w:t xml:space="preserve">. </w:t>
      </w:r>
      <w:hyperlink r:id="rId19" w:history="1">
        <w:r w:rsidR="00D514D6" w:rsidRPr="00207C4D">
          <w:rPr>
            <w:rStyle w:val="Hyperlink"/>
            <w:rFonts w:ascii="Times New Roman" w:hAnsi="Times New Roman"/>
            <w:szCs w:val="24"/>
          </w:rPr>
          <w:t>https://www.un.org/en/ga/search/view_doc.asp?symbol=S/2004/573</w:t>
        </w:r>
      </w:hyperlink>
    </w:p>
    <w:p w14:paraId="1811DB8E" w14:textId="699EB67E" w:rsidR="00D514D6" w:rsidRDefault="00D514D6" w:rsidP="00294294">
      <w:pPr>
        <w:jc w:val="both"/>
        <w:rPr>
          <w:rFonts w:ascii="Times New Roman" w:hAnsi="Times New Roman"/>
          <w:szCs w:val="24"/>
        </w:rPr>
      </w:pPr>
    </w:p>
    <w:p w14:paraId="08CBE84D" w14:textId="1C296D1A" w:rsidR="00D514D6" w:rsidRDefault="00D514D6" w:rsidP="00294294">
      <w:pPr>
        <w:jc w:val="both"/>
        <w:rPr>
          <w:rFonts w:ascii="Times New Roman" w:hAnsi="Times New Roman"/>
          <w:szCs w:val="24"/>
        </w:rPr>
      </w:pPr>
    </w:p>
    <w:p w14:paraId="7C4B3C5F" w14:textId="6D57FA5D" w:rsidR="00711B0B" w:rsidRDefault="00711B0B" w:rsidP="00294294">
      <w:pPr>
        <w:jc w:val="both"/>
        <w:rPr>
          <w:rFonts w:ascii="Times New Roman" w:hAnsi="Times New Roman"/>
          <w:szCs w:val="24"/>
        </w:rPr>
      </w:pPr>
    </w:p>
    <w:p w14:paraId="632CAEF4" w14:textId="4440B981" w:rsidR="00711B0B" w:rsidRDefault="00711B0B" w:rsidP="00294294">
      <w:pPr>
        <w:jc w:val="both"/>
        <w:rPr>
          <w:rFonts w:ascii="Times New Roman" w:hAnsi="Times New Roman"/>
          <w:szCs w:val="24"/>
        </w:rPr>
      </w:pPr>
    </w:p>
    <w:p w14:paraId="0219752A" w14:textId="25B083EE" w:rsidR="00711B0B" w:rsidRDefault="00711B0B" w:rsidP="00294294">
      <w:pPr>
        <w:jc w:val="both"/>
        <w:rPr>
          <w:rFonts w:ascii="Times New Roman" w:hAnsi="Times New Roman"/>
          <w:szCs w:val="24"/>
        </w:rPr>
      </w:pPr>
    </w:p>
    <w:p w14:paraId="7FC219BA" w14:textId="5461E45D" w:rsidR="00711B0B" w:rsidRDefault="00711B0B" w:rsidP="00294294">
      <w:pPr>
        <w:jc w:val="both"/>
        <w:rPr>
          <w:rFonts w:ascii="Times New Roman" w:hAnsi="Times New Roman"/>
          <w:szCs w:val="24"/>
        </w:rPr>
      </w:pPr>
    </w:p>
    <w:p w14:paraId="4A829DEC" w14:textId="0FF15448" w:rsidR="00711B0B" w:rsidRDefault="00711B0B" w:rsidP="00294294">
      <w:pPr>
        <w:jc w:val="both"/>
        <w:rPr>
          <w:rFonts w:ascii="Times New Roman" w:hAnsi="Times New Roman"/>
          <w:szCs w:val="24"/>
        </w:rPr>
      </w:pPr>
    </w:p>
    <w:p w14:paraId="383B1710" w14:textId="4DF09089" w:rsidR="00711B0B" w:rsidRDefault="00711B0B" w:rsidP="00294294">
      <w:pPr>
        <w:jc w:val="both"/>
        <w:rPr>
          <w:rFonts w:ascii="Times New Roman" w:hAnsi="Times New Roman"/>
          <w:szCs w:val="24"/>
        </w:rPr>
      </w:pPr>
    </w:p>
    <w:p w14:paraId="20E5BBCD" w14:textId="28626DC2" w:rsidR="00711B0B" w:rsidRDefault="00711B0B" w:rsidP="00294294">
      <w:pPr>
        <w:jc w:val="both"/>
        <w:rPr>
          <w:rFonts w:ascii="Times New Roman" w:hAnsi="Times New Roman"/>
          <w:szCs w:val="24"/>
        </w:rPr>
      </w:pPr>
    </w:p>
    <w:p w14:paraId="63196D7D" w14:textId="618A2F39" w:rsidR="00711B0B" w:rsidRDefault="00711B0B" w:rsidP="00294294">
      <w:pPr>
        <w:jc w:val="both"/>
        <w:rPr>
          <w:rFonts w:ascii="Times New Roman" w:hAnsi="Times New Roman"/>
          <w:szCs w:val="24"/>
        </w:rPr>
      </w:pPr>
    </w:p>
    <w:p w14:paraId="0D427D3E" w14:textId="77777777" w:rsidR="00711B0B" w:rsidRDefault="00711B0B" w:rsidP="00294294">
      <w:pPr>
        <w:jc w:val="both"/>
        <w:rPr>
          <w:rFonts w:ascii="Times New Roman" w:hAnsi="Times New Roman"/>
          <w:szCs w:val="24"/>
        </w:rPr>
      </w:pPr>
    </w:p>
    <w:p w14:paraId="0A345FA8" w14:textId="6850F1F7" w:rsidR="00D514D6" w:rsidRPr="00D514D6" w:rsidRDefault="00D514D6" w:rsidP="005E10AF">
      <w:pPr>
        <w:pStyle w:val="Heading1"/>
      </w:pPr>
      <w:r w:rsidRPr="00D514D6">
        <w:lastRenderedPageBreak/>
        <w:t xml:space="preserve">  </w:t>
      </w:r>
      <w:bookmarkStart w:id="101" w:name="_Toc60235865"/>
      <w:r w:rsidRPr="00D514D6">
        <w:t>Appendix</w:t>
      </w:r>
      <w:bookmarkEnd w:id="101"/>
    </w:p>
    <w:p w14:paraId="7F44C72A" w14:textId="04213452" w:rsidR="00D514D6" w:rsidRPr="005B796F" w:rsidRDefault="00D514D6" w:rsidP="005725E4">
      <w:pPr>
        <w:pStyle w:val="Heading2"/>
      </w:pPr>
      <w:bookmarkStart w:id="102" w:name="_Toc60235866"/>
      <w:r w:rsidRPr="005B796F">
        <w:t>Victims’ needs</w:t>
      </w:r>
      <w:bookmarkEnd w:id="102"/>
      <w:r>
        <w:t xml:space="preserve"> </w:t>
      </w:r>
    </w:p>
    <w:p w14:paraId="0C9999AF" w14:textId="2510154F" w:rsidR="00D514D6" w:rsidRPr="005B796F" w:rsidRDefault="00D514D6" w:rsidP="00D514D6">
      <w:pPr>
        <w:spacing w:line="480" w:lineRule="auto"/>
        <w:jc w:val="both"/>
        <w:rPr>
          <w:rFonts w:ascii="Times New Roman" w:hAnsi="Times New Roman"/>
          <w:szCs w:val="24"/>
        </w:rPr>
      </w:pPr>
      <w:r w:rsidRPr="005B796F">
        <w:rPr>
          <w:rFonts w:ascii="Times New Roman" w:hAnsi="Times New Roman"/>
          <w:szCs w:val="24"/>
        </w:rPr>
        <w:t>A key aspect of victims’ life in criminal justice is their needs. Questions have been raised about the specificity of these needs.</w:t>
      </w:r>
      <w:r>
        <w:rPr>
          <w:rFonts w:ascii="Times New Roman" w:hAnsi="Times New Roman"/>
          <w:szCs w:val="24"/>
        </w:rPr>
        <w:t xml:space="preserve"> </w:t>
      </w:r>
      <w:r w:rsidRPr="005B796F">
        <w:rPr>
          <w:rFonts w:ascii="Times New Roman" w:hAnsi="Times New Roman"/>
          <w:szCs w:val="24"/>
        </w:rPr>
        <w:t>In some commentators opinion, Victims crave for information, participation and respect.</w:t>
      </w:r>
      <w:r w:rsidRPr="005B796F">
        <w:rPr>
          <w:rStyle w:val="FootnoteReference"/>
          <w:rFonts w:ascii="Times New Roman" w:hAnsi="Times New Roman"/>
          <w:szCs w:val="24"/>
        </w:rPr>
        <w:footnoteReference w:id="1269"/>
      </w:r>
      <w:r w:rsidRPr="005B796F">
        <w:rPr>
          <w:rFonts w:ascii="Times New Roman" w:hAnsi="Times New Roman"/>
          <w:szCs w:val="24"/>
        </w:rPr>
        <w:t xml:space="preserve"> </w:t>
      </w:r>
      <w:r>
        <w:rPr>
          <w:rFonts w:ascii="Times New Roman" w:hAnsi="Times New Roman"/>
          <w:szCs w:val="24"/>
        </w:rPr>
        <w:t xml:space="preserve">The significance of victims’ needs is stated in the 1985 Declaration of principles; specifically, </w:t>
      </w:r>
      <w:r w:rsidRPr="005B796F">
        <w:rPr>
          <w:rFonts w:ascii="Times New Roman" w:hAnsi="Times New Roman"/>
          <w:szCs w:val="24"/>
        </w:rPr>
        <w:t xml:space="preserve">Principle 6(b) stipulates that </w:t>
      </w:r>
      <w:r w:rsidR="00A15D0F">
        <w:rPr>
          <w:rFonts w:ascii="Times New Roman" w:hAnsi="Times New Roman"/>
          <w:szCs w:val="24"/>
        </w:rPr>
        <w:t>victims' information</w:t>
      </w:r>
      <w:r w:rsidRPr="005B796F">
        <w:rPr>
          <w:rFonts w:ascii="Times New Roman" w:hAnsi="Times New Roman"/>
          <w:szCs w:val="24"/>
        </w:rPr>
        <w:t xml:space="preserve"> upon their request and the consideration of their interests should facilitate the responsiveness of judicial and administrative mechanisms to the needs of victims.</w:t>
      </w:r>
      <w:r w:rsidRPr="005B796F">
        <w:rPr>
          <w:rStyle w:val="FootnoteReference"/>
          <w:rFonts w:ascii="Times New Roman" w:hAnsi="Times New Roman"/>
          <w:szCs w:val="24"/>
        </w:rPr>
        <w:footnoteReference w:id="1270"/>
      </w:r>
      <w:r>
        <w:rPr>
          <w:rFonts w:ascii="Times New Roman" w:hAnsi="Times New Roman"/>
          <w:szCs w:val="24"/>
        </w:rPr>
        <w:t>It describes the requirements for the judicial mechanism or criminal tr</w:t>
      </w:r>
      <w:r w:rsidR="00AE6C38">
        <w:rPr>
          <w:rFonts w:ascii="Times New Roman" w:hAnsi="Times New Roman"/>
          <w:szCs w:val="24"/>
        </w:rPr>
        <w:t>ia</w:t>
      </w:r>
      <w:r>
        <w:rPr>
          <w:rFonts w:ascii="Times New Roman" w:hAnsi="Times New Roman"/>
          <w:szCs w:val="24"/>
        </w:rPr>
        <w:t xml:space="preserve">ls to be responsive to </w:t>
      </w:r>
      <w:r w:rsidR="00AE6C38">
        <w:rPr>
          <w:rFonts w:ascii="Times New Roman" w:hAnsi="Times New Roman"/>
          <w:szCs w:val="24"/>
        </w:rPr>
        <w:t>victims' need</w:t>
      </w:r>
      <w:r>
        <w:rPr>
          <w:rFonts w:ascii="Times New Roman" w:hAnsi="Times New Roman"/>
          <w:szCs w:val="24"/>
        </w:rPr>
        <w:t>s. The study of Strang</w:t>
      </w:r>
      <w:r w:rsidRPr="005B796F">
        <w:rPr>
          <w:rFonts w:ascii="Times New Roman" w:hAnsi="Times New Roman"/>
          <w:szCs w:val="24"/>
        </w:rPr>
        <w:t xml:space="preserve"> suggest</w:t>
      </w:r>
      <w:r>
        <w:rPr>
          <w:rFonts w:ascii="Times New Roman" w:hAnsi="Times New Roman"/>
          <w:szCs w:val="24"/>
        </w:rPr>
        <w:t>s</w:t>
      </w:r>
      <w:r w:rsidRPr="005B796F">
        <w:rPr>
          <w:rFonts w:ascii="Times New Roman" w:hAnsi="Times New Roman"/>
          <w:szCs w:val="24"/>
        </w:rPr>
        <w:t xml:space="preserve"> </w:t>
      </w:r>
      <w:r>
        <w:rPr>
          <w:rFonts w:ascii="Times New Roman" w:hAnsi="Times New Roman"/>
          <w:szCs w:val="24"/>
        </w:rPr>
        <w:t xml:space="preserve">the </w:t>
      </w:r>
      <w:r w:rsidRPr="005B796F">
        <w:rPr>
          <w:rFonts w:ascii="Times New Roman" w:hAnsi="Times New Roman"/>
          <w:szCs w:val="24"/>
        </w:rPr>
        <w:t>needs of victims in international criminal proceedings include:</w:t>
      </w:r>
    </w:p>
    <w:p w14:paraId="7BA99920" w14:textId="77777777" w:rsidR="00D514D6" w:rsidRDefault="00D514D6" w:rsidP="00D514D6">
      <w:pPr>
        <w:spacing w:line="480" w:lineRule="auto"/>
        <w:jc w:val="center"/>
        <w:rPr>
          <w:szCs w:val="24"/>
        </w:rPr>
      </w:pPr>
      <w:r w:rsidRPr="005B796F">
        <w:rPr>
          <w:rFonts w:ascii="Times New Roman" w:hAnsi="Times New Roman"/>
          <w:i/>
          <w:szCs w:val="24"/>
        </w:rPr>
        <w:t>“</w:t>
      </w:r>
      <w:r w:rsidRPr="00A549E5">
        <w:rPr>
          <w:rFonts w:ascii="Times New Roman" w:hAnsi="Times New Roman"/>
          <w:szCs w:val="24"/>
        </w:rPr>
        <w:t>obtaining information on the progress and outcome of the case concerning them; being treated with respect and fairness; participating in the handling of the case that</w:t>
      </w:r>
      <w:r w:rsidRPr="00EF42C7">
        <w:rPr>
          <w:rFonts w:ascii="Times New Roman" w:hAnsi="Times New Roman"/>
          <w:i/>
          <w:szCs w:val="24"/>
        </w:rPr>
        <w:t xml:space="preserve"> </w:t>
      </w:r>
      <w:r w:rsidRPr="00A549E5">
        <w:rPr>
          <w:rFonts w:ascii="Times New Roman" w:hAnsi="Times New Roman"/>
          <w:szCs w:val="24"/>
        </w:rPr>
        <w:t>concerns them; making their voice heard, and obtaining economic and emotional redress</w:t>
      </w:r>
      <w:r w:rsidRPr="00CA090B">
        <w:rPr>
          <w:i/>
          <w:szCs w:val="24"/>
        </w:rPr>
        <w:t>.</w:t>
      </w:r>
      <w:r w:rsidRPr="00620888">
        <w:rPr>
          <w:szCs w:val="24"/>
        </w:rPr>
        <w:t>”</w:t>
      </w:r>
      <w:r w:rsidRPr="00620888">
        <w:rPr>
          <w:rStyle w:val="FootnoteReference"/>
          <w:szCs w:val="24"/>
        </w:rPr>
        <w:footnoteReference w:id="1271"/>
      </w:r>
    </w:p>
    <w:p w14:paraId="34645690" w14:textId="1195BBCF" w:rsidR="00D514D6" w:rsidRPr="00351B6C" w:rsidRDefault="00D514D6" w:rsidP="00D514D6">
      <w:pPr>
        <w:spacing w:line="480" w:lineRule="auto"/>
        <w:jc w:val="both"/>
        <w:rPr>
          <w:rFonts w:ascii="Times New Roman" w:hAnsi="Times New Roman"/>
          <w:szCs w:val="24"/>
        </w:rPr>
      </w:pPr>
      <w:r w:rsidRPr="00EF42C7">
        <w:rPr>
          <w:rFonts w:ascii="Times New Roman" w:hAnsi="Times New Roman"/>
          <w:szCs w:val="24"/>
        </w:rPr>
        <w:t xml:space="preserve">In another study, </w:t>
      </w:r>
      <w:proofErr w:type="spellStart"/>
      <w:r>
        <w:rPr>
          <w:rFonts w:ascii="Times New Roman" w:hAnsi="Times New Roman"/>
          <w:szCs w:val="24"/>
        </w:rPr>
        <w:t>Zehr</w:t>
      </w:r>
      <w:proofErr w:type="spellEnd"/>
      <w:r>
        <w:rPr>
          <w:rFonts w:ascii="Times New Roman" w:hAnsi="Times New Roman"/>
          <w:szCs w:val="24"/>
        </w:rPr>
        <w:t>, a pioneer of the</w:t>
      </w:r>
      <w:r w:rsidRPr="00EF42C7">
        <w:rPr>
          <w:rFonts w:ascii="Times New Roman" w:hAnsi="Times New Roman"/>
          <w:szCs w:val="24"/>
        </w:rPr>
        <w:t xml:space="preserve"> modern concept of </w:t>
      </w:r>
      <w:r>
        <w:rPr>
          <w:rFonts w:ascii="Times New Roman" w:hAnsi="Times New Roman"/>
          <w:szCs w:val="24"/>
        </w:rPr>
        <w:t>restorative justice, submits</w:t>
      </w:r>
      <w:r w:rsidRPr="00EF42C7">
        <w:rPr>
          <w:rFonts w:ascii="Times New Roman" w:hAnsi="Times New Roman"/>
          <w:szCs w:val="24"/>
        </w:rPr>
        <w:t xml:space="preserve"> the four types of victims’ needs</w:t>
      </w:r>
      <w:r>
        <w:rPr>
          <w:rFonts w:ascii="Times New Roman" w:hAnsi="Times New Roman"/>
          <w:szCs w:val="24"/>
        </w:rPr>
        <w:t>. The need</w:t>
      </w:r>
      <w:r w:rsidRPr="00EF42C7">
        <w:rPr>
          <w:rFonts w:ascii="Times New Roman" w:hAnsi="Times New Roman"/>
          <w:szCs w:val="24"/>
        </w:rPr>
        <w:t xml:space="preserve"> </w:t>
      </w:r>
      <w:r>
        <w:rPr>
          <w:rFonts w:ascii="Times New Roman" w:hAnsi="Times New Roman"/>
          <w:szCs w:val="24"/>
        </w:rPr>
        <w:t xml:space="preserve">is </w:t>
      </w:r>
      <w:r w:rsidRPr="00EF42C7">
        <w:rPr>
          <w:rFonts w:ascii="Times New Roman" w:hAnsi="Times New Roman"/>
          <w:szCs w:val="24"/>
        </w:rPr>
        <w:t>information, truth-telling,</w:t>
      </w:r>
      <w:r>
        <w:rPr>
          <w:rFonts w:ascii="Times New Roman" w:hAnsi="Times New Roman"/>
          <w:szCs w:val="24"/>
        </w:rPr>
        <w:t xml:space="preserve"> </w:t>
      </w:r>
      <w:r w:rsidRPr="00EF42C7">
        <w:rPr>
          <w:rFonts w:ascii="Times New Roman" w:hAnsi="Times New Roman"/>
          <w:szCs w:val="24"/>
        </w:rPr>
        <w:t xml:space="preserve">empowerment </w:t>
      </w:r>
      <w:r w:rsidRPr="00EF42C7">
        <w:rPr>
          <w:rFonts w:ascii="Times New Roman" w:hAnsi="Times New Roman"/>
          <w:szCs w:val="24"/>
        </w:rPr>
        <w:lastRenderedPageBreak/>
        <w:t>and restitution or vindication.</w:t>
      </w:r>
      <w:r w:rsidRPr="00EF42C7">
        <w:rPr>
          <w:rStyle w:val="FootnoteReference"/>
          <w:rFonts w:ascii="Times New Roman" w:hAnsi="Times New Roman"/>
          <w:szCs w:val="24"/>
        </w:rPr>
        <w:footnoteReference w:id="1272"/>
      </w:r>
      <w:r w:rsidRPr="00EF42C7">
        <w:rPr>
          <w:rFonts w:ascii="Times New Roman" w:hAnsi="Times New Roman"/>
          <w:szCs w:val="24"/>
        </w:rPr>
        <w:t xml:space="preserve"> He observed that in most criminal justice processes, these needs appear to have been neglected.</w:t>
      </w:r>
      <w:r>
        <w:rPr>
          <w:rFonts w:ascii="Times New Roman" w:hAnsi="Times New Roman"/>
          <w:szCs w:val="24"/>
        </w:rPr>
        <w:t xml:space="preserve"> Victims require protection from </w:t>
      </w:r>
      <w:r w:rsidRPr="00351B6C">
        <w:rPr>
          <w:rFonts w:ascii="Times New Roman" w:hAnsi="Times New Roman"/>
          <w:szCs w:val="24"/>
        </w:rPr>
        <w:t>risks associated with being vulnerable.</w:t>
      </w:r>
      <w:r>
        <w:rPr>
          <w:rFonts w:ascii="Times New Roman" w:hAnsi="Times New Roman"/>
          <w:szCs w:val="24"/>
        </w:rPr>
        <w:t xml:space="preserve"> </w:t>
      </w:r>
      <w:r w:rsidRPr="00351B6C">
        <w:rPr>
          <w:rFonts w:ascii="Times New Roman" w:hAnsi="Times New Roman"/>
          <w:szCs w:val="24"/>
        </w:rPr>
        <w:t>In criminal prosecutions, when the perpetrator has been detained, this ensures victims’ safety.</w:t>
      </w:r>
      <w:r w:rsidRPr="00351B6C">
        <w:rPr>
          <w:rStyle w:val="FootnoteReference"/>
          <w:rFonts w:ascii="Times New Roman" w:hAnsi="Times New Roman"/>
          <w:szCs w:val="24"/>
        </w:rPr>
        <w:footnoteReference w:id="1273"/>
      </w:r>
      <w:r w:rsidRPr="00351B6C">
        <w:rPr>
          <w:rFonts w:ascii="Times New Roman" w:hAnsi="Times New Roman"/>
          <w:szCs w:val="24"/>
        </w:rPr>
        <w:t xml:space="preserve">  Article 68(1)</w:t>
      </w:r>
      <w:r>
        <w:rPr>
          <w:rFonts w:ascii="Times New Roman" w:hAnsi="Times New Roman"/>
          <w:szCs w:val="24"/>
        </w:rPr>
        <w:t xml:space="preserve"> of the Rome Statute confirms the assertion, which</w:t>
      </w:r>
      <w:r w:rsidRPr="00351B6C">
        <w:rPr>
          <w:rFonts w:ascii="Times New Roman" w:hAnsi="Times New Roman"/>
          <w:szCs w:val="24"/>
        </w:rPr>
        <w:t xml:space="preserve"> makes it a duty of the court to ensure that protecti</w:t>
      </w:r>
      <w:r>
        <w:rPr>
          <w:rFonts w:ascii="Times New Roman" w:hAnsi="Times New Roman"/>
          <w:szCs w:val="24"/>
        </w:rPr>
        <w:t>on</w:t>
      </w:r>
      <w:r w:rsidRPr="00351B6C">
        <w:rPr>
          <w:rFonts w:ascii="Times New Roman" w:hAnsi="Times New Roman"/>
          <w:szCs w:val="24"/>
        </w:rPr>
        <w:t xml:space="preserve"> and safety measures are put in place for the victims by the court.</w:t>
      </w:r>
      <w:r w:rsidRPr="00351B6C">
        <w:rPr>
          <w:rStyle w:val="FootnoteReference"/>
          <w:rFonts w:ascii="Times New Roman" w:hAnsi="Times New Roman"/>
          <w:szCs w:val="24"/>
        </w:rPr>
        <w:footnoteReference w:id="1274"/>
      </w:r>
      <w:r>
        <w:rPr>
          <w:rFonts w:ascii="Times New Roman" w:hAnsi="Times New Roman"/>
          <w:szCs w:val="24"/>
        </w:rPr>
        <w:t xml:space="preserve"> Inevitably, some of these needs are incorporated into victims’ interests. In particular, </w:t>
      </w:r>
      <w:r w:rsidR="00AE6C38">
        <w:rPr>
          <w:rFonts w:ascii="Times New Roman" w:hAnsi="Times New Roman"/>
          <w:szCs w:val="24"/>
        </w:rPr>
        <w:t>victims' safety and security are considered protective measures that</w:t>
      </w:r>
      <w:r>
        <w:rPr>
          <w:rFonts w:ascii="Times New Roman" w:hAnsi="Times New Roman"/>
          <w:szCs w:val="24"/>
        </w:rPr>
        <w:t xml:space="preserve"> qualify as interests of victims. </w:t>
      </w:r>
    </w:p>
    <w:p w14:paraId="0E8FC464" w14:textId="77777777" w:rsidR="00294294" w:rsidRPr="00294294" w:rsidRDefault="00294294" w:rsidP="00294294">
      <w:pPr>
        <w:jc w:val="both"/>
        <w:rPr>
          <w:rFonts w:ascii="Times New Roman" w:eastAsiaTheme="minorHAnsi" w:hAnsi="Times New Roman"/>
          <w:szCs w:val="24"/>
          <w:lang w:eastAsia="en-US"/>
        </w:rPr>
      </w:pPr>
    </w:p>
    <w:p w14:paraId="3C6DFA22" w14:textId="77777777" w:rsidR="00294294" w:rsidRDefault="00294294" w:rsidP="00294294">
      <w:pPr>
        <w:rPr>
          <w:rFonts w:ascii="Times New Roman" w:hAnsi="Times New Roman"/>
          <w:szCs w:val="24"/>
        </w:rPr>
      </w:pPr>
    </w:p>
    <w:p w14:paraId="6221CC78" w14:textId="77777777" w:rsidR="00294294" w:rsidRPr="006F1830" w:rsidRDefault="00294294" w:rsidP="006E622A">
      <w:pPr>
        <w:spacing w:after="0" w:line="240" w:lineRule="auto"/>
        <w:rPr>
          <w:rFonts w:ascii="Times New Roman" w:eastAsia="Cambria" w:hAnsi="Times New Roman"/>
          <w:b/>
          <w:sz w:val="22"/>
          <w:lang w:eastAsia="ja-JP"/>
        </w:rPr>
      </w:pPr>
    </w:p>
    <w:p w14:paraId="45ADFF25" w14:textId="77777777" w:rsidR="006E622A" w:rsidRPr="006E622A" w:rsidRDefault="006E622A" w:rsidP="006E622A">
      <w:pPr>
        <w:spacing w:after="0" w:line="240" w:lineRule="auto"/>
        <w:rPr>
          <w:rFonts w:ascii="Times New Roman" w:eastAsia="Cambria" w:hAnsi="Times New Roman"/>
          <w:sz w:val="22"/>
          <w:lang w:eastAsia="ja-JP"/>
        </w:rPr>
      </w:pPr>
    </w:p>
    <w:p w14:paraId="3F220954" w14:textId="77777777" w:rsidR="006E622A" w:rsidRPr="006E622A" w:rsidRDefault="006E622A" w:rsidP="006E622A">
      <w:pPr>
        <w:spacing w:after="0" w:line="240" w:lineRule="auto"/>
        <w:rPr>
          <w:rFonts w:ascii="Times New Roman" w:eastAsia="Cambria" w:hAnsi="Times New Roman"/>
          <w:sz w:val="22"/>
          <w:lang w:eastAsia="ja-JP"/>
        </w:rPr>
      </w:pPr>
    </w:p>
    <w:p w14:paraId="17CCC205" w14:textId="77777777" w:rsidR="006E622A" w:rsidRPr="006E622A" w:rsidRDefault="006E622A" w:rsidP="006E622A">
      <w:pPr>
        <w:spacing w:after="0" w:line="240" w:lineRule="auto"/>
        <w:rPr>
          <w:rFonts w:ascii="Times New Roman" w:eastAsia="Cambria" w:hAnsi="Times New Roman"/>
          <w:sz w:val="22"/>
          <w:lang w:eastAsia="ja-JP"/>
        </w:rPr>
      </w:pPr>
    </w:p>
    <w:p w14:paraId="253BFFE0" w14:textId="77777777" w:rsidR="006E622A" w:rsidRPr="006E622A" w:rsidRDefault="006E622A" w:rsidP="006E622A">
      <w:pPr>
        <w:spacing w:after="0" w:line="240" w:lineRule="auto"/>
        <w:rPr>
          <w:rFonts w:ascii="Times New Roman" w:eastAsia="Cambria" w:hAnsi="Times New Roman"/>
          <w:sz w:val="22"/>
          <w:lang w:eastAsia="ja-JP"/>
        </w:rPr>
      </w:pPr>
    </w:p>
    <w:p w14:paraId="09D407D9" w14:textId="77777777" w:rsidR="006E622A" w:rsidRPr="006E622A" w:rsidRDefault="006E622A" w:rsidP="006E622A">
      <w:pPr>
        <w:spacing w:after="0" w:line="240" w:lineRule="auto"/>
        <w:rPr>
          <w:rFonts w:ascii="Times New Roman" w:eastAsia="Cambria" w:hAnsi="Times New Roman"/>
          <w:sz w:val="22"/>
          <w:lang w:eastAsia="ja-JP"/>
        </w:rPr>
      </w:pPr>
    </w:p>
    <w:p w14:paraId="263DD0A6" w14:textId="77777777" w:rsidR="006E622A" w:rsidRPr="006E622A" w:rsidRDefault="006E622A" w:rsidP="006E622A">
      <w:pPr>
        <w:spacing w:after="0" w:line="240" w:lineRule="auto"/>
        <w:rPr>
          <w:rFonts w:ascii="Times New Roman" w:eastAsia="Cambria" w:hAnsi="Times New Roman"/>
          <w:sz w:val="22"/>
          <w:lang w:eastAsia="ja-JP"/>
        </w:rPr>
      </w:pPr>
    </w:p>
    <w:p w14:paraId="2C7A285A" w14:textId="77777777" w:rsidR="006E622A" w:rsidRPr="006E622A" w:rsidRDefault="006E622A" w:rsidP="006E622A">
      <w:pPr>
        <w:spacing w:after="0" w:line="240" w:lineRule="auto"/>
        <w:rPr>
          <w:rFonts w:ascii="Times New Roman" w:eastAsia="Cambria" w:hAnsi="Times New Roman"/>
          <w:sz w:val="22"/>
          <w:lang w:eastAsia="ja-JP"/>
        </w:rPr>
      </w:pPr>
    </w:p>
    <w:p w14:paraId="656AD970" w14:textId="77777777" w:rsidR="006E622A" w:rsidRPr="006E622A" w:rsidRDefault="006E622A" w:rsidP="006E622A">
      <w:pPr>
        <w:spacing w:after="0" w:line="240" w:lineRule="auto"/>
        <w:rPr>
          <w:rFonts w:ascii="Times New Roman" w:eastAsia="Cambria" w:hAnsi="Times New Roman"/>
          <w:sz w:val="22"/>
          <w:lang w:eastAsia="ja-JP"/>
        </w:rPr>
      </w:pPr>
    </w:p>
    <w:p w14:paraId="4F24883C" w14:textId="77777777" w:rsidR="006E622A" w:rsidRPr="006E622A" w:rsidRDefault="006E622A" w:rsidP="006E622A">
      <w:pPr>
        <w:spacing w:after="0" w:line="240" w:lineRule="auto"/>
        <w:rPr>
          <w:rFonts w:ascii="Times New Roman" w:eastAsia="Cambria" w:hAnsi="Times New Roman"/>
          <w:sz w:val="22"/>
          <w:lang w:eastAsia="ja-JP"/>
        </w:rPr>
      </w:pPr>
    </w:p>
    <w:p w14:paraId="478B4AE0" w14:textId="77777777" w:rsidR="006E622A" w:rsidRPr="006E622A" w:rsidRDefault="006E622A" w:rsidP="006E622A">
      <w:pPr>
        <w:spacing w:after="0" w:line="240" w:lineRule="auto"/>
        <w:rPr>
          <w:rFonts w:ascii="Times New Roman" w:eastAsia="Cambria" w:hAnsi="Times New Roman"/>
          <w:sz w:val="22"/>
          <w:lang w:eastAsia="ja-JP"/>
        </w:rPr>
      </w:pPr>
    </w:p>
    <w:p w14:paraId="45C44E7D" w14:textId="77777777" w:rsidR="006E622A" w:rsidRPr="006E622A" w:rsidRDefault="006E622A" w:rsidP="006E622A">
      <w:pPr>
        <w:spacing w:after="0" w:line="240" w:lineRule="auto"/>
        <w:rPr>
          <w:rFonts w:ascii="Times New Roman" w:eastAsia="Cambria" w:hAnsi="Times New Roman"/>
          <w:sz w:val="22"/>
          <w:lang w:eastAsia="ja-JP"/>
        </w:rPr>
      </w:pPr>
    </w:p>
    <w:p w14:paraId="1703E675" w14:textId="77777777" w:rsidR="006E622A" w:rsidRPr="006E622A" w:rsidRDefault="006E622A" w:rsidP="006E622A">
      <w:pPr>
        <w:spacing w:after="0" w:line="240" w:lineRule="auto"/>
        <w:rPr>
          <w:rFonts w:ascii="Times New Roman" w:eastAsia="Cambria" w:hAnsi="Times New Roman"/>
          <w:sz w:val="22"/>
          <w:lang w:eastAsia="ja-JP"/>
        </w:rPr>
      </w:pPr>
    </w:p>
    <w:p w14:paraId="0BACD034" w14:textId="77777777" w:rsidR="006E622A" w:rsidRPr="006E622A" w:rsidRDefault="006E622A" w:rsidP="006E622A">
      <w:pPr>
        <w:spacing w:after="0" w:line="240" w:lineRule="auto"/>
        <w:rPr>
          <w:rFonts w:ascii="Times New Roman" w:eastAsia="Cambria" w:hAnsi="Times New Roman"/>
          <w:sz w:val="22"/>
          <w:lang w:eastAsia="ja-JP"/>
        </w:rPr>
      </w:pPr>
    </w:p>
    <w:p w14:paraId="7FBC091E" w14:textId="77777777" w:rsidR="006E622A" w:rsidRPr="006E622A" w:rsidRDefault="006E622A" w:rsidP="006E622A">
      <w:pPr>
        <w:spacing w:after="0" w:line="240" w:lineRule="auto"/>
        <w:rPr>
          <w:rFonts w:ascii="Times New Roman" w:eastAsia="Cambria" w:hAnsi="Times New Roman"/>
          <w:sz w:val="22"/>
          <w:lang w:eastAsia="ja-JP"/>
        </w:rPr>
      </w:pPr>
    </w:p>
    <w:p w14:paraId="6BB6C6DF" w14:textId="77777777" w:rsidR="006E622A" w:rsidRPr="006E622A" w:rsidRDefault="006E622A" w:rsidP="006E622A">
      <w:pPr>
        <w:spacing w:after="0" w:line="240" w:lineRule="auto"/>
        <w:rPr>
          <w:rFonts w:ascii="Times New Roman" w:eastAsia="Cambria" w:hAnsi="Times New Roman"/>
          <w:sz w:val="22"/>
          <w:lang w:eastAsia="ja-JP"/>
        </w:rPr>
      </w:pPr>
    </w:p>
    <w:p w14:paraId="5DF84655" w14:textId="6F13C97B" w:rsidR="006E622A" w:rsidRPr="006E622A" w:rsidRDefault="006E622A" w:rsidP="006E622A">
      <w:pPr>
        <w:spacing w:after="0" w:line="240" w:lineRule="auto"/>
        <w:rPr>
          <w:rFonts w:ascii="Times New Roman" w:eastAsia="Cambria" w:hAnsi="Times New Roman"/>
          <w:sz w:val="22"/>
          <w:lang w:eastAsia="ja-JP"/>
        </w:rPr>
      </w:pPr>
    </w:p>
    <w:sectPr w:rsidR="006E622A" w:rsidRPr="006E622A" w:rsidSect="00260E21">
      <w:footnotePr>
        <w:pos w:val="beneathText"/>
        <w:numRestart w:val="eachSect"/>
      </w:footnotePr>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F94DE" w14:textId="77777777" w:rsidR="00BD7B40" w:rsidRDefault="00BD7B40" w:rsidP="00286FC5">
      <w:r>
        <w:separator/>
      </w:r>
    </w:p>
  </w:endnote>
  <w:endnote w:type="continuationSeparator" w:id="0">
    <w:p w14:paraId="0CD2D4A3" w14:textId="77777777" w:rsidR="00BD7B40" w:rsidRDefault="00BD7B40" w:rsidP="00286FC5">
      <w:r>
        <w:continuationSeparator/>
      </w:r>
    </w:p>
  </w:endnote>
  <w:endnote w:type="continuationNotice" w:id="1">
    <w:p w14:paraId="5EA149C6" w14:textId="77777777" w:rsidR="00BD7B40" w:rsidRDefault="00BD7B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402970"/>
      <w:docPartObj>
        <w:docPartGallery w:val="Page Numbers (Bottom of Page)"/>
        <w:docPartUnique/>
      </w:docPartObj>
    </w:sdtPr>
    <w:sdtEndPr>
      <w:rPr>
        <w:noProof/>
      </w:rPr>
    </w:sdtEndPr>
    <w:sdtContent>
      <w:p w14:paraId="44ACF01D" w14:textId="77777777" w:rsidR="00C310AB" w:rsidRDefault="00C310AB">
        <w:pPr>
          <w:pStyle w:val="Footer"/>
          <w:jc w:val="center"/>
        </w:pPr>
        <w:r>
          <w:fldChar w:fldCharType="begin"/>
        </w:r>
        <w:r>
          <w:instrText xml:space="preserve"> PAGE   \* MERGEFORMAT </w:instrText>
        </w:r>
        <w:r>
          <w:fldChar w:fldCharType="separate"/>
        </w:r>
        <w:r>
          <w:rPr>
            <w:noProof/>
          </w:rPr>
          <w:t>7</w:t>
        </w:r>
        <w:r>
          <w:rPr>
            <w:noProof/>
          </w:rPr>
          <w:fldChar w:fldCharType="end"/>
        </w:r>
      </w:p>
    </w:sdtContent>
  </w:sdt>
  <w:p w14:paraId="3984672C" w14:textId="77777777" w:rsidR="00C310AB" w:rsidRDefault="00C310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3E655" w14:textId="77777777" w:rsidR="00BD7B40" w:rsidRDefault="00BD7B40" w:rsidP="00286FC5">
      <w:r>
        <w:separator/>
      </w:r>
    </w:p>
  </w:footnote>
  <w:footnote w:type="continuationSeparator" w:id="0">
    <w:p w14:paraId="24B9427E" w14:textId="77777777" w:rsidR="00BD7B40" w:rsidRDefault="00BD7B40" w:rsidP="00286FC5">
      <w:r>
        <w:continuationSeparator/>
      </w:r>
    </w:p>
  </w:footnote>
  <w:footnote w:type="continuationNotice" w:id="1">
    <w:p w14:paraId="015A7F37" w14:textId="77777777" w:rsidR="00BD7B40" w:rsidRDefault="00BD7B40">
      <w:pPr>
        <w:spacing w:after="0" w:line="240" w:lineRule="auto"/>
      </w:pPr>
    </w:p>
  </w:footnote>
  <w:footnote w:id="2">
    <w:p w14:paraId="4AD23474" w14:textId="7883569B" w:rsidR="00C310AB" w:rsidRPr="00E76EA2" w:rsidRDefault="00C310AB" w:rsidP="006F694B">
      <w:pPr>
        <w:pStyle w:val="NoSpacing1"/>
        <w:rPr>
          <w:sz w:val="20"/>
          <w:szCs w:val="20"/>
          <w:lang w:val="en-US"/>
        </w:rPr>
      </w:pPr>
      <w:r w:rsidRPr="00E76EA2">
        <w:rPr>
          <w:rStyle w:val="FootnoteReference"/>
          <w:sz w:val="20"/>
          <w:szCs w:val="20"/>
        </w:rPr>
        <w:footnoteRef/>
      </w:r>
      <w:r w:rsidRPr="00E76EA2">
        <w:rPr>
          <w:sz w:val="20"/>
          <w:szCs w:val="20"/>
          <w:lang w:val="en-US"/>
        </w:rPr>
        <w:t xml:space="preserve">Jonathan </w:t>
      </w:r>
      <w:proofErr w:type="spellStart"/>
      <w:r w:rsidRPr="00E76EA2">
        <w:rPr>
          <w:sz w:val="20"/>
          <w:szCs w:val="20"/>
          <w:lang w:val="en-US"/>
        </w:rPr>
        <w:t>Doak</w:t>
      </w:r>
      <w:proofErr w:type="spellEnd"/>
      <w:r w:rsidRPr="00E76EA2">
        <w:rPr>
          <w:sz w:val="20"/>
          <w:szCs w:val="20"/>
          <w:lang w:val="en-US"/>
        </w:rPr>
        <w:t>,</w:t>
      </w:r>
      <w:r w:rsidR="006F694B">
        <w:rPr>
          <w:sz w:val="20"/>
          <w:szCs w:val="20"/>
          <w:lang w:val="en-US"/>
        </w:rPr>
        <w:t>‘</w:t>
      </w:r>
      <w:r w:rsidRPr="00E76EA2">
        <w:rPr>
          <w:sz w:val="20"/>
          <w:szCs w:val="20"/>
          <w:lang w:val="en-US"/>
        </w:rPr>
        <w:t xml:space="preserve">Victims’ Rights in Criminal </w:t>
      </w:r>
      <w:proofErr w:type="spellStart"/>
      <w:r w:rsidRPr="00E76EA2">
        <w:rPr>
          <w:sz w:val="20"/>
          <w:szCs w:val="20"/>
          <w:lang w:val="en-US"/>
        </w:rPr>
        <w:t>Trials:Prospects</w:t>
      </w:r>
      <w:proofErr w:type="spellEnd"/>
      <w:r w:rsidRPr="00E76EA2">
        <w:rPr>
          <w:sz w:val="20"/>
          <w:szCs w:val="20"/>
          <w:lang w:val="en-US"/>
        </w:rPr>
        <w:t xml:space="preserve"> for Particpation’,32(2) </w:t>
      </w:r>
      <w:r w:rsidRPr="00E76EA2">
        <w:rPr>
          <w:i/>
          <w:sz w:val="20"/>
          <w:szCs w:val="20"/>
          <w:lang w:val="en-US"/>
        </w:rPr>
        <w:t xml:space="preserve">Journal of Law and Society </w:t>
      </w:r>
      <w:r w:rsidRPr="00E76EA2">
        <w:rPr>
          <w:sz w:val="20"/>
          <w:szCs w:val="20"/>
          <w:lang w:val="en-US"/>
        </w:rPr>
        <w:t>(2005)294.</w:t>
      </w:r>
    </w:p>
  </w:footnote>
  <w:footnote w:id="3">
    <w:p w14:paraId="7D3316AF" w14:textId="77777777" w:rsidR="00C310AB" w:rsidRPr="00E76EA2" w:rsidRDefault="00C310AB" w:rsidP="006F694B">
      <w:pPr>
        <w:pStyle w:val="NoSpacing1"/>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Nils Christie, ‘Conflict as Property’17(1)</w:t>
      </w:r>
      <w:r w:rsidRPr="00E76EA2">
        <w:rPr>
          <w:i/>
          <w:sz w:val="20"/>
          <w:szCs w:val="20"/>
          <w:lang w:val="en-US"/>
        </w:rPr>
        <w:t>British Journal of Criminology</w:t>
      </w:r>
      <w:r w:rsidRPr="00E76EA2">
        <w:rPr>
          <w:sz w:val="20"/>
          <w:szCs w:val="20"/>
          <w:lang w:val="en-US"/>
        </w:rPr>
        <w:t>(1977)1-15.</w:t>
      </w:r>
    </w:p>
  </w:footnote>
  <w:footnote w:id="4">
    <w:p w14:paraId="2BFA41E5" w14:textId="5185B7BE" w:rsidR="00C310AB" w:rsidRPr="00E76EA2" w:rsidRDefault="00C310AB" w:rsidP="006F694B">
      <w:pPr>
        <w:pStyle w:val="NoSpacing1"/>
        <w:spacing w:line="276" w:lineRule="auto"/>
        <w:jc w:val="both"/>
        <w:rPr>
          <w:sz w:val="20"/>
          <w:szCs w:val="20"/>
        </w:rPr>
      </w:pPr>
      <w:r w:rsidRPr="00E76EA2">
        <w:rPr>
          <w:rStyle w:val="FootnoteReference"/>
          <w:sz w:val="20"/>
          <w:szCs w:val="20"/>
        </w:rPr>
        <w:footnoteRef/>
      </w:r>
      <w:r w:rsidR="006F694B">
        <w:rPr>
          <w:sz w:val="20"/>
          <w:szCs w:val="20"/>
        </w:rPr>
        <w:t xml:space="preserve"> </w:t>
      </w:r>
      <w:r w:rsidRPr="00E76EA2">
        <w:rPr>
          <w:sz w:val="20"/>
          <w:szCs w:val="20"/>
        </w:rPr>
        <w:t xml:space="preserve">Frederic </w:t>
      </w:r>
      <w:proofErr w:type="spellStart"/>
      <w:r w:rsidRPr="00E76EA2">
        <w:rPr>
          <w:sz w:val="20"/>
          <w:szCs w:val="20"/>
        </w:rPr>
        <w:t>Megret</w:t>
      </w:r>
      <w:proofErr w:type="spellEnd"/>
      <w:r w:rsidRPr="00E76EA2">
        <w:rPr>
          <w:sz w:val="20"/>
          <w:szCs w:val="20"/>
        </w:rPr>
        <w:t xml:space="preserve">, ‘The Politics of International Criminal Justice’ (2002) </w:t>
      </w:r>
      <w:r w:rsidRPr="00E76EA2">
        <w:rPr>
          <w:i/>
          <w:sz w:val="20"/>
          <w:szCs w:val="20"/>
        </w:rPr>
        <w:t>European Journal of International Criminal Justice</w:t>
      </w:r>
      <w:r w:rsidRPr="00E76EA2">
        <w:rPr>
          <w:sz w:val="20"/>
          <w:szCs w:val="20"/>
        </w:rPr>
        <w:t>,1261-1284.</w:t>
      </w:r>
    </w:p>
  </w:footnote>
  <w:footnote w:id="5">
    <w:p w14:paraId="3ABEADA8" w14:textId="77777777" w:rsidR="00C310AB" w:rsidRPr="00E76EA2" w:rsidRDefault="00C310AB" w:rsidP="006F694B">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Michael Scharf, </w:t>
      </w:r>
      <w:r w:rsidRPr="00E76EA2">
        <w:rPr>
          <w:i/>
          <w:sz w:val="20"/>
          <w:szCs w:val="20"/>
        </w:rPr>
        <w:t>Balkan Justice: The Story Behind the First International War Crimes Trial Since Nuremberg(Caroline Academic Press 1997)340.</w:t>
      </w:r>
    </w:p>
  </w:footnote>
  <w:footnote w:id="6">
    <w:p w14:paraId="4018DA1A" w14:textId="77777777" w:rsidR="00C310AB" w:rsidRPr="00E76EA2" w:rsidRDefault="00C310AB" w:rsidP="006F694B">
      <w:pPr>
        <w:pStyle w:val="NoSpacing1"/>
        <w:spacing w:line="276" w:lineRule="auto"/>
        <w:rPr>
          <w:sz w:val="20"/>
          <w:szCs w:val="20"/>
        </w:rPr>
      </w:pPr>
      <w:r w:rsidRPr="00E76EA2">
        <w:rPr>
          <w:rStyle w:val="FootnoteReference"/>
          <w:sz w:val="20"/>
          <w:szCs w:val="20"/>
        </w:rPr>
        <w:footnoteRef/>
      </w:r>
      <w:r w:rsidRPr="00E76EA2">
        <w:rPr>
          <w:sz w:val="20"/>
          <w:szCs w:val="20"/>
        </w:rPr>
        <w:t xml:space="preserve"> Luke Moffett, ‘Elaborating justice for victims at the International Criminal Court: Beyond rhetoric and the Hague(2015) 13(2)</w:t>
      </w:r>
      <w:r w:rsidRPr="00E76EA2">
        <w:rPr>
          <w:i/>
          <w:sz w:val="20"/>
          <w:szCs w:val="20"/>
        </w:rPr>
        <w:t>Journal of International Criminal Justice</w:t>
      </w:r>
      <w:r w:rsidRPr="00E76EA2">
        <w:rPr>
          <w:sz w:val="20"/>
          <w:szCs w:val="20"/>
        </w:rPr>
        <w:t>,281-311.</w:t>
      </w:r>
    </w:p>
  </w:footnote>
  <w:footnote w:id="7">
    <w:p w14:paraId="1473E9A5" w14:textId="77777777" w:rsidR="00C310AB" w:rsidRPr="00E76EA2" w:rsidRDefault="00C310AB" w:rsidP="006F694B">
      <w:pPr>
        <w:pStyle w:val="NoSpacing1"/>
        <w:spacing w:line="276" w:lineRule="auto"/>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xml:space="preserve">,  </w:t>
      </w:r>
      <w:r w:rsidRPr="00E76EA2">
        <w:rPr>
          <w:i/>
          <w:sz w:val="20"/>
          <w:szCs w:val="20"/>
        </w:rPr>
        <w:t>Victims’ rights, human rights and criminal justice :Reconceiving the Role of third parties</w:t>
      </w:r>
      <w:r w:rsidRPr="00E76EA2">
        <w:rPr>
          <w:sz w:val="20"/>
          <w:szCs w:val="20"/>
        </w:rPr>
        <w:t>(Hart publishing 2008)11.</w:t>
      </w:r>
    </w:p>
  </w:footnote>
  <w:footnote w:id="8">
    <w:p w14:paraId="3DD71C62" w14:textId="77777777" w:rsidR="00C310AB" w:rsidRPr="00E76EA2" w:rsidRDefault="00C310AB" w:rsidP="006F694B">
      <w:pPr>
        <w:pStyle w:val="NoSpacing1"/>
        <w:spacing w:line="276" w:lineRule="auto"/>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xml:space="preserve">, </w:t>
      </w:r>
      <w:r w:rsidRPr="00E76EA2">
        <w:rPr>
          <w:i/>
          <w:sz w:val="20"/>
          <w:szCs w:val="20"/>
        </w:rPr>
        <w:t xml:space="preserve">Victims’ Rights , Human Rights and Criminal Justice: </w:t>
      </w:r>
      <w:r w:rsidRPr="00E76EA2">
        <w:rPr>
          <w:sz w:val="20"/>
          <w:szCs w:val="20"/>
        </w:rPr>
        <w:t>Reconceiving</w:t>
      </w:r>
      <w:r w:rsidRPr="00E76EA2">
        <w:rPr>
          <w:i/>
          <w:sz w:val="20"/>
          <w:szCs w:val="20"/>
        </w:rPr>
        <w:t xml:space="preserve"> the Role of Third </w:t>
      </w:r>
      <w:r w:rsidRPr="00E76EA2">
        <w:rPr>
          <w:sz w:val="20"/>
          <w:szCs w:val="20"/>
        </w:rPr>
        <w:t>(Hart Publishing  2008)</w:t>
      </w:r>
    </w:p>
  </w:footnote>
  <w:footnote w:id="9">
    <w:p w14:paraId="0068B359" w14:textId="77777777" w:rsidR="00C310AB" w:rsidRPr="00E76EA2" w:rsidRDefault="00C310AB" w:rsidP="009906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Jan Van Dijk, “Benchmarking Legislation on Crime </w:t>
      </w:r>
      <w:proofErr w:type="spellStart"/>
      <w:r w:rsidRPr="00E76EA2">
        <w:rPr>
          <w:sz w:val="20"/>
          <w:szCs w:val="20"/>
        </w:rPr>
        <w:t>Victims:The</w:t>
      </w:r>
      <w:proofErr w:type="spellEnd"/>
      <w:r w:rsidRPr="00E76EA2">
        <w:rPr>
          <w:sz w:val="20"/>
          <w:szCs w:val="20"/>
        </w:rPr>
        <w:t xml:space="preserve"> United Nations Victims Declaration of 1985” in  </w:t>
      </w:r>
      <w:proofErr w:type="spellStart"/>
      <w:r w:rsidRPr="00E76EA2">
        <w:rPr>
          <w:sz w:val="20"/>
          <w:szCs w:val="20"/>
        </w:rPr>
        <w:t>Vetere</w:t>
      </w:r>
      <w:proofErr w:type="spellEnd"/>
      <w:r w:rsidRPr="00E76EA2">
        <w:rPr>
          <w:sz w:val="20"/>
          <w:szCs w:val="20"/>
        </w:rPr>
        <w:t xml:space="preserve"> and David Pedro  (Eds) , </w:t>
      </w:r>
      <w:r w:rsidRPr="00E76EA2">
        <w:rPr>
          <w:i/>
          <w:sz w:val="20"/>
          <w:szCs w:val="20"/>
        </w:rPr>
        <w:t>Victims of Crime and Abuse.</w:t>
      </w:r>
    </w:p>
  </w:footnote>
  <w:footnote w:id="10">
    <w:p w14:paraId="4BB50558" w14:textId="0583BF78" w:rsidR="00C310AB" w:rsidRPr="00E76EA2" w:rsidRDefault="00C310AB" w:rsidP="009906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Judith Herman, “Justice from the Victims’ Perspective”(2005) 11(5)</w:t>
      </w:r>
      <w:r w:rsidRPr="00E76EA2">
        <w:rPr>
          <w:i/>
          <w:sz w:val="20"/>
          <w:szCs w:val="20"/>
        </w:rPr>
        <w:t>Violence against Women,</w:t>
      </w:r>
      <w:r w:rsidRPr="00E76EA2">
        <w:rPr>
          <w:sz w:val="20"/>
          <w:szCs w:val="20"/>
        </w:rPr>
        <w:t xml:space="preserve">571-602; Joanne </w:t>
      </w:r>
      <w:proofErr w:type="spellStart"/>
      <w:r w:rsidRPr="00E76EA2">
        <w:rPr>
          <w:sz w:val="20"/>
          <w:szCs w:val="20"/>
        </w:rPr>
        <w:t>Wemmers</w:t>
      </w:r>
      <w:proofErr w:type="spellEnd"/>
      <w:r w:rsidRPr="00E76EA2">
        <w:rPr>
          <w:sz w:val="20"/>
          <w:szCs w:val="20"/>
        </w:rPr>
        <w:t xml:space="preserve">, Van </w:t>
      </w:r>
      <w:proofErr w:type="spellStart"/>
      <w:r w:rsidRPr="00E76EA2">
        <w:rPr>
          <w:sz w:val="20"/>
          <w:szCs w:val="20"/>
        </w:rPr>
        <w:t>Deen</w:t>
      </w:r>
      <w:proofErr w:type="spellEnd"/>
      <w:r w:rsidRPr="00E76EA2">
        <w:rPr>
          <w:sz w:val="20"/>
          <w:szCs w:val="20"/>
        </w:rPr>
        <w:t xml:space="preserve"> </w:t>
      </w:r>
      <w:proofErr w:type="spellStart"/>
      <w:r w:rsidRPr="00E76EA2">
        <w:rPr>
          <w:sz w:val="20"/>
          <w:szCs w:val="20"/>
        </w:rPr>
        <w:t>Leenden</w:t>
      </w:r>
      <w:proofErr w:type="spellEnd"/>
      <w:r w:rsidRPr="00E76EA2">
        <w:rPr>
          <w:sz w:val="20"/>
          <w:szCs w:val="20"/>
        </w:rPr>
        <w:t xml:space="preserve"> and </w:t>
      </w:r>
      <w:proofErr w:type="spellStart"/>
      <w:r w:rsidRPr="00E76EA2">
        <w:rPr>
          <w:sz w:val="20"/>
          <w:szCs w:val="20"/>
        </w:rPr>
        <w:t>Steensman</w:t>
      </w:r>
      <w:proofErr w:type="spellEnd"/>
      <w:r w:rsidRPr="00E76EA2">
        <w:rPr>
          <w:sz w:val="20"/>
          <w:szCs w:val="20"/>
        </w:rPr>
        <w:t xml:space="preserve"> “What is Procedural Justice? Criteria Used by Dutch Victims to Assess the Fairness of Criminal Justice Procedure(1995) 8(4) </w:t>
      </w:r>
      <w:r w:rsidRPr="00E76EA2">
        <w:rPr>
          <w:i/>
          <w:sz w:val="20"/>
          <w:szCs w:val="20"/>
        </w:rPr>
        <w:t>Social justice Research.</w:t>
      </w:r>
      <w:r w:rsidRPr="00E76EA2">
        <w:rPr>
          <w:sz w:val="20"/>
          <w:szCs w:val="20"/>
        </w:rPr>
        <w:t>325-500</w:t>
      </w:r>
    </w:p>
  </w:footnote>
  <w:footnote w:id="11">
    <w:p w14:paraId="39BEB086" w14:textId="260A8825" w:rsidR="00C310AB" w:rsidRPr="00E76EA2" w:rsidRDefault="00C310AB" w:rsidP="009906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‘What is Procedural Justice?:Criteria used by Citizens to assess the fairness of Legal Procedures (1998)  22 (1)</w:t>
      </w:r>
      <w:r w:rsidRPr="00E76EA2">
        <w:rPr>
          <w:i/>
          <w:sz w:val="20"/>
          <w:szCs w:val="20"/>
        </w:rPr>
        <w:t xml:space="preserve">Law &amp; Society Review </w:t>
      </w:r>
      <w:r w:rsidRPr="00E76EA2">
        <w:rPr>
          <w:sz w:val="20"/>
          <w:szCs w:val="20"/>
        </w:rPr>
        <w:t>p103-136.</w:t>
      </w:r>
    </w:p>
  </w:footnote>
  <w:footnote w:id="12">
    <w:p w14:paraId="7A9ADAA8" w14:textId="77777777" w:rsidR="00C310AB" w:rsidRPr="00E76EA2" w:rsidRDefault="00C310AB" w:rsidP="009906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Mattew</w:t>
      </w:r>
      <w:proofErr w:type="spellEnd"/>
      <w:r w:rsidRPr="00E76EA2">
        <w:rPr>
          <w:sz w:val="20"/>
          <w:szCs w:val="20"/>
        </w:rPr>
        <w:t xml:space="preserve"> Hall, </w:t>
      </w:r>
      <w:r w:rsidRPr="00E76EA2">
        <w:rPr>
          <w:i/>
          <w:sz w:val="20"/>
          <w:szCs w:val="20"/>
        </w:rPr>
        <w:t xml:space="preserve">Victims </w:t>
      </w:r>
      <w:proofErr w:type="spellStart"/>
      <w:r w:rsidRPr="00E76EA2">
        <w:rPr>
          <w:i/>
          <w:sz w:val="20"/>
          <w:szCs w:val="20"/>
        </w:rPr>
        <w:t>snd</w:t>
      </w:r>
      <w:proofErr w:type="spellEnd"/>
      <w:r w:rsidRPr="00E76EA2">
        <w:rPr>
          <w:i/>
          <w:sz w:val="20"/>
          <w:szCs w:val="20"/>
        </w:rPr>
        <w:t xml:space="preserve"> </w:t>
      </w:r>
      <w:proofErr w:type="spellStart"/>
      <w:r w:rsidRPr="00E76EA2">
        <w:rPr>
          <w:i/>
          <w:sz w:val="20"/>
          <w:szCs w:val="20"/>
        </w:rPr>
        <w:t>Policy-Making;A</w:t>
      </w:r>
      <w:proofErr w:type="spellEnd"/>
      <w:r w:rsidRPr="00E76EA2">
        <w:rPr>
          <w:i/>
          <w:sz w:val="20"/>
          <w:szCs w:val="20"/>
        </w:rPr>
        <w:t xml:space="preserve"> Comparative Perspective (</w:t>
      </w:r>
      <w:r w:rsidRPr="00E76EA2">
        <w:rPr>
          <w:sz w:val="20"/>
          <w:szCs w:val="20"/>
        </w:rPr>
        <w:t xml:space="preserve"> First published 2010, Routledge 2010)10.</w:t>
      </w:r>
    </w:p>
  </w:footnote>
  <w:footnote w:id="13">
    <w:p w14:paraId="5E013FCA" w14:textId="637D2C67" w:rsidR="00C310AB" w:rsidRPr="00E76EA2" w:rsidRDefault="00C310AB" w:rsidP="009906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xml:space="preserve">, ‘Victims’ Rights and the Criminal Process: an analysis of recent trends in regional and international tribunals’(2003) 23 </w:t>
      </w:r>
      <w:r w:rsidRPr="00E76EA2">
        <w:rPr>
          <w:i/>
          <w:sz w:val="20"/>
          <w:szCs w:val="20"/>
        </w:rPr>
        <w:t xml:space="preserve">Legal Studies </w:t>
      </w:r>
      <w:r w:rsidR="009906D0">
        <w:rPr>
          <w:iCs/>
          <w:sz w:val="20"/>
          <w:szCs w:val="20"/>
        </w:rPr>
        <w:t>1</w:t>
      </w:r>
      <w:r w:rsidRPr="00E76EA2">
        <w:rPr>
          <w:i/>
          <w:sz w:val="20"/>
          <w:szCs w:val="20"/>
        </w:rPr>
        <w:t>;</w:t>
      </w:r>
      <w:r w:rsidRPr="00E76EA2">
        <w:rPr>
          <w:iCs/>
          <w:sz w:val="20"/>
          <w:szCs w:val="20"/>
        </w:rPr>
        <w:t xml:space="preserve">Francesca </w:t>
      </w:r>
      <w:r w:rsidRPr="00E76EA2">
        <w:rPr>
          <w:sz w:val="20"/>
          <w:szCs w:val="20"/>
        </w:rPr>
        <w:t>Klug, ‘Human Rights and Victims in  Ed Cape’s  (ed)</w:t>
      </w:r>
      <w:r w:rsidRPr="00E76EA2">
        <w:rPr>
          <w:i/>
          <w:sz w:val="20"/>
          <w:szCs w:val="20"/>
        </w:rPr>
        <w:t>Reconcilable Rights? Analysing  the tension between victims and defendants</w:t>
      </w:r>
      <w:r w:rsidRPr="00E76EA2">
        <w:rPr>
          <w:sz w:val="20"/>
          <w:szCs w:val="20"/>
        </w:rPr>
        <w:t>(Legal Action Group 2004)111-124.</w:t>
      </w:r>
    </w:p>
  </w:footnote>
  <w:footnote w:id="14">
    <w:p w14:paraId="70F9043E" w14:textId="67FB90E1" w:rsidR="00C310AB" w:rsidRPr="00E76EA2" w:rsidRDefault="00C310AB" w:rsidP="009906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Joanne </w:t>
      </w:r>
      <w:proofErr w:type="spellStart"/>
      <w:r w:rsidRPr="00E76EA2">
        <w:rPr>
          <w:sz w:val="20"/>
          <w:szCs w:val="20"/>
        </w:rPr>
        <w:t>Wemmers</w:t>
      </w:r>
      <w:proofErr w:type="spellEnd"/>
      <w:r w:rsidRPr="00E76EA2">
        <w:rPr>
          <w:sz w:val="20"/>
          <w:szCs w:val="20"/>
        </w:rPr>
        <w:t xml:space="preserve">, Van </w:t>
      </w:r>
      <w:proofErr w:type="spellStart"/>
      <w:r w:rsidRPr="00E76EA2">
        <w:rPr>
          <w:sz w:val="20"/>
          <w:szCs w:val="20"/>
        </w:rPr>
        <w:t>Deen</w:t>
      </w:r>
      <w:proofErr w:type="spellEnd"/>
      <w:r w:rsidRPr="00E76EA2">
        <w:rPr>
          <w:sz w:val="20"/>
          <w:szCs w:val="20"/>
        </w:rPr>
        <w:t xml:space="preserve"> </w:t>
      </w:r>
      <w:proofErr w:type="spellStart"/>
      <w:r w:rsidRPr="00E76EA2">
        <w:rPr>
          <w:sz w:val="20"/>
          <w:szCs w:val="20"/>
        </w:rPr>
        <w:t>Leenden</w:t>
      </w:r>
      <w:proofErr w:type="spellEnd"/>
      <w:r w:rsidRPr="00E76EA2">
        <w:rPr>
          <w:sz w:val="20"/>
          <w:szCs w:val="20"/>
        </w:rPr>
        <w:t xml:space="preserve"> and </w:t>
      </w:r>
      <w:proofErr w:type="spellStart"/>
      <w:r w:rsidRPr="00E76EA2">
        <w:rPr>
          <w:sz w:val="20"/>
          <w:szCs w:val="20"/>
        </w:rPr>
        <w:t>Steensman</w:t>
      </w:r>
      <w:proofErr w:type="spellEnd"/>
      <w:r w:rsidRPr="00E76EA2">
        <w:rPr>
          <w:sz w:val="20"/>
          <w:szCs w:val="20"/>
        </w:rPr>
        <w:t xml:space="preserve"> “What is Procedural Justice? Criteria Used by Dutch Victims to Assess the Fairness of Criminal Justice Procedure” (1995) 8(4) </w:t>
      </w:r>
      <w:r w:rsidRPr="00E76EA2">
        <w:rPr>
          <w:i/>
          <w:sz w:val="20"/>
          <w:szCs w:val="20"/>
        </w:rPr>
        <w:t>Social Justice Research</w:t>
      </w:r>
      <w:r w:rsidRPr="00E76EA2">
        <w:rPr>
          <w:sz w:val="20"/>
          <w:szCs w:val="20"/>
        </w:rPr>
        <w:t>, pp329-350</w:t>
      </w:r>
    </w:p>
  </w:footnote>
  <w:footnote w:id="15">
    <w:p w14:paraId="1C24B2E4"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Tom Tyler, ‘What is Procedural Justice?:Criteria used by Citizens to assess the fairness of Legal Procedures (1998)  22 (1)</w:t>
      </w:r>
      <w:r w:rsidRPr="00E76EA2">
        <w:rPr>
          <w:i/>
          <w:sz w:val="20"/>
          <w:szCs w:val="20"/>
        </w:rPr>
        <w:t xml:space="preserve">Law &amp; Society Review </w:t>
      </w:r>
      <w:r w:rsidRPr="00E76EA2">
        <w:rPr>
          <w:sz w:val="20"/>
          <w:szCs w:val="20"/>
        </w:rPr>
        <w:t>p103-136.</w:t>
      </w:r>
    </w:p>
  </w:footnote>
  <w:footnote w:id="16">
    <w:p w14:paraId="68612F16" w14:textId="0225A2CF"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Tom Tyler, ‘Procedural Justice and the Courts ( 2007)</w:t>
      </w:r>
      <w:r w:rsidRPr="00E76EA2">
        <w:rPr>
          <w:i/>
          <w:sz w:val="20"/>
          <w:szCs w:val="20"/>
        </w:rPr>
        <w:t xml:space="preserve">Court Review </w:t>
      </w:r>
      <w:r w:rsidRPr="00E76EA2">
        <w:rPr>
          <w:sz w:val="20"/>
          <w:szCs w:val="20"/>
        </w:rPr>
        <w:t>Vol 44 p.24.</w:t>
      </w:r>
    </w:p>
  </w:footnote>
  <w:footnote w:id="17">
    <w:p w14:paraId="73583E86"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John Thibaut and Laurens Walker, “A Theory of Procedure’ (1978) 66 </w:t>
      </w:r>
      <w:r w:rsidRPr="00E76EA2">
        <w:rPr>
          <w:i/>
          <w:sz w:val="20"/>
          <w:szCs w:val="20"/>
        </w:rPr>
        <w:t>California Law Review</w:t>
      </w:r>
      <w:r w:rsidRPr="00E76EA2">
        <w:rPr>
          <w:sz w:val="20"/>
          <w:szCs w:val="20"/>
        </w:rPr>
        <w:t xml:space="preserve"> 541-566; Tom Tyler, ‘Procedural Justice and the Courts ( 2007  )</w:t>
      </w:r>
      <w:r w:rsidRPr="00E76EA2">
        <w:rPr>
          <w:i/>
          <w:sz w:val="20"/>
          <w:szCs w:val="20"/>
        </w:rPr>
        <w:t xml:space="preserve">Court Review </w:t>
      </w:r>
      <w:r w:rsidRPr="00E76EA2">
        <w:rPr>
          <w:sz w:val="20"/>
          <w:szCs w:val="20"/>
        </w:rPr>
        <w:t>Vol 44 p.24.</w:t>
      </w:r>
    </w:p>
  </w:footnote>
  <w:footnote w:id="18">
    <w:p w14:paraId="1B638B39"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 </w:t>
      </w:r>
    </w:p>
  </w:footnote>
  <w:footnote w:id="19">
    <w:p w14:paraId="51894EE9" w14:textId="38A75B85" w:rsidR="00C310AB" w:rsidRPr="00E76EA2" w:rsidRDefault="00C310AB" w:rsidP="001247B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‘Procedural Justice and the Courts ( 2007 )</w:t>
      </w:r>
      <w:r w:rsidRPr="00E76EA2">
        <w:rPr>
          <w:i/>
          <w:sz w:val="20"/>
          <w:szCs w:val="20"/>
        </w:rPr>
        <w:t xml:space="preserve">Court Review </w:t>
      </w:r>
      <w:r w:rsidRPr="00E76EA2">
        <w:rPr>
          <w:sz w:val="20"/>
          <w:szCs w:val="20"/>
        </w:rPr>
        <w:t>Vol 44 p.28.</w:t>
      </w:r>
    </w:p>
  </w:footnote>
  <w:footnote w:id="20">
    <w:p w14:paraId="1BA52B6B" w14:textId="77777777" w:rsidR="00C310AB" w:rsidRPr="00E76EA2" w:rsidRDefault="00C310AB" w:rsidP="001247B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Jo-Anne </w:t>
      </w:r>
      <w:proofErr w:type="spellStart"/>
      <w:r w:rsidRPr="00E76EA2">
        <w:rPr>
          <w:sz w:val="20"/>
          <w:szCs w:val="20"/>
        </w:rPr>
        <w:t>Wemmers</w:t>
      </w:r>
      <w:proofErr w:type="spellEnd"/>
      <w:r w:rsidRPr="00E76EA2">
        <w:rPr>
          <w:sz w:val="20"/>
          <w:szCs w:val="20"/>
        </w:rPr>
        <w:t xml:space="preserve">, Victims in the Criminal Justice </w:t>
      </w:r>
      <w:proofErr w:type="spellStart"/>
      <w:r w:rsidRPr="00E76EA2">
        <w:rPr>
          <w:sz w:val="20"/>
          <w:szCs w:val="20"/>
        </w:rPr>
        <w:t>System:A</w:t>
      </w:r>
      <w:proofErr w:type="spellEnd"/>
      <w:r w:rsidRPr="00E76EA2">
        <w:rPr>
          <w:sz w:val="20"/>
          <w:szCs w:val="20"/>
        </w:rPr>
        <w:t xml:space="preserve"> study into the treatment of victims and its effects on their attitudes and behaviour.(</w:t>
      </w:r>
      <w:proofErr w:type="spellStart"/>
      <w:r w:rsidRPr="00E76EA2">
        <w:rPr>
          <w:sz w:val="20"/>
          <w:szCs w:val="20"/>
        </w:rPr>
        <w:t>Klugwer</w:t>
      </w:r>
      <w:proofErr w:type="spellEnd"/>
      <w:r w:rsidRPr="00E76EA2">
        <w:rPr>
          <w:sz w:val="20"/>
          <w:szCs w:val="20"/>
        </w:rPr>
        <w:t xml:space="preserve"> Publications)</w:t>
      </w:r>
    </w:p>
  </w:footnote>
  <w:footnote w:id="21">
    <w:p w14:paraId="2A7F7B7E" w14:textId="076ECE3E" w:rsidR="00C310AB" w:rsidRPr="00E76EA2" w:rsidRDefault="00C310AB" w:rsidP="001247B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John </w:t>
      </w:r>
      <w:proofErr w:type="spellStart"/>
      <w:r w:rsidRPr="00E76EA2">
        <w:rPr>
          <w:sz w:val="20"/>
          <w:szCs w:val="20"/>
        </w:rPr>
        <w:t>Langbein</w:t>
      </w:r>
      <w:proofErr w:type="spellEnd"/>
      <w:r w:rsidRPr="00E76EA2">
        <w:rPr>
          <w:sz w:val="20"/>
          <w:szCs w:val="20"/>
        </w:rPr>
        <w:t xml:space="preserve"> &amp; Lloyd </w:t>
      </w:r>
      <w:proofErr w:type="spellStart"/>
      <w:r w:rsidRPr="00E76EA2">
        <w:rPr>
          <w:sz w:val="20"/>
          <w:szCs w:val="20"/>
        </w:rPr>
        <w:t>Weinreb</w:t>
      </w:r>
      <w:proofErr w:type="spellEnd"/>
      <w:r w:rsidRPr="00E76EA2">
        <w:rPr>
          <w:sz w:val="20"/>
          <w:szCs w:val="20"/>
        </w:rPr>
        <w:t xml:space="preserve">, </w:t>
      </w:r>
      <w:r w:rsidRPr="00E76EA2">
        <w:rPr>
          <w:i/>
          <w:sz w:val="20"/>
          <w:szCs w:val="20"/>
        </w:rPr>
        <w:t>Comparative Criminal Procedure : “Myth”  and Reality</w:t>
      </w:r>
      <w:r w:rsidRPr="00E76EA2">
        <w:rPr>
          <w:sz w:val="20"/>
          <w:szCs w:val="20"/>
        </w:rPr>
        <w:t>(1977) &lt;</w:t>
      </w:r>
      <w:hyperlink r:id="rId1" w:history="1">
        <w:r w:rsidRPr="00E76EA2">
          <w:rPr>
            <w:rStyle w:val="Hyperlink"/>
            <w:sz w:val="20"/>
            <w:szCs w:val="20"/>
          </w:rPr>
          <w:t>https://digitalcommons.law.yale.edu/fss_papers/532/</w:t>
        </w:r>
      </w:hyperlink>
      <w:r w:rsidRPr="00E76EA2">
        <w:rPr>
          <w:rStyle w:val="Hyperlink"/>
          <w:sz w:val="20"/>
          <w:szCs w:val="20"/>
        </w:rPr>
        <w:t>&gt;</w:t>
      </w:r>
      <w:r w:rsidRPr="00E76EA2">
        <w:rPr>
          <w:sz w:val="20"/>
          <w:szCs w:val="20"/>
        </w:rPr>
        <w:t xml:space="preserve">;Jacqueline Ross &amp; Stephen </w:t>
      </w:r>
      <w:proofErr w:type="spellStart"/>
      <w:r w:rsidRPr="00E76EA2">
        <w:rPr>
          <w:sz w:val="20"/>
          <w:szCs w:val="20"/>
        </w:rPr>
        <w:t>Thaman</w:t>
      </w:r>
      <w:proofErr w:type="spellEnd"/>
      <w:r w:rsidRPr="00E76EA2">
        <w:rPr>
          <w:sz w:val="20"/>
          <w:szCs w:val="20"/>
        </w:rPr>
        <w:t xml:space="preserve">, ‘Introduction:  Mapping Dialogue and Change in Comparative Criminal Procedure’ in </w:t>
      </w:r>
      <w:proofErr w:type="spellStart"/>
      <w:r w:rsidRPr="00E76EA2">
        <w:rPr>
          <w:sz w:val="20"/>
          <w:szCs w:val="20"/>
        </w:rPr>
        <w:t>Jacquiline</w:t>
      </w:r>
      <w:proofErr w:type="spellEnd"/>
      <w:r w:rsidRPr="00E76EA2">
        <w:rPr>
          <w:sz w:val="20"/>
          <w:szCs w:val="20"/>
        </w:rPr>
        <w:t xml:space="preserve"> Ross and Stephen </w:t>
      </w:r>
      <w:proofErr w:type="spellStart"/>
      <w:r w:rsidRPr="00E76EA2">
        <w:rPr>
          <w:sz w:val="20"/>
          <w:szCs w:val="20"/>
        </w:rPr>
        <w:t>Thaman</w:t>
      </w:r>
      <w:proofErr w:type="spellEnd"/>
      <w:r w:rsidRPr="00E76EA2">
        <w:rPr>
          <w:sz w:val="20"/>
          <w:szCs w:val="20"/>
        </w:rPr>
        <w:t xml:space="preserve">’ s (eds)  </w:t>
      </w:r>
      <w:r w:rsidRPr="00E76EA2">
        <w:rPr>
          <w:i/>
          <w:sz w:val="20"/>
          <w:szCs w:val="20"/>
        </w:rPr>
        <w:t xml:space="preserve">Comparative Criminal Procedure </w:t>
      </w:r>
      <w:r w:rsidRPr="00E76EA2">
        <w:rPr>
          <w:sz w:val="20"/>
          <w:szCs w:val="20"/>
        </w:rPr>
        <w:t>(Edward Elgar Publishing 2016)</w:t>
      </w:r>
    </w:p>
  </w:footnote>
  <w:footnote w:id="22">
    <w:p w14:paraId="03C6DCB0" w14:textId="3382B5C2" w:rsidR="00C310AB" w:rsidRPr="00E76EA2" w:rsidRDefault="00C310AB" w:rsidP="0026234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Philippe Kirsch and John Holmes, ‘The Rome Conference on an International Criminal Court’(1999)93(1)</w:t>
      </w:r>
      <w:r w:rsidRPr="00E76EA2">
        <w:rPr>
          <w:i/>
          <w:iCs/>
          <w:sz w:val="20"/>
          <w:szCs w:val="20"/>
        </w:rPr>
        <w:t>The American Journal of International Law</w:t>
      </w:r>
      <w:r w:rsidRPr="00E76EA2">
        <w:rPr>
          <w:sz w:val="20"/>
          <w:szCs w:val="20"/>
        </w:rPr>
        <w:t>2-12.</w:t>
      </w:r>
    </w:p>
  </w:footnote>
  <w:footnote w:id="23">
    <w:p w14:paraId="77B15F85" w14:textId="77777777" w:rsidR="00C310AB" w:rsidRPr="00E76EA2" w:rsidRDefault="00C310AB" w:rsidP="0026234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Kai Ambos, ‘International criminal procedure: ‘adversarial’, ‘inquisitorial’ or mixed?’ 3(1) </w:t>
      </w:r>
      <w:r w:rsidRPr="00E76EA2">
        <w:rPr>
          <w:i/>
          <w:sz w:val="20"/>
          <w:szCs w:val="20"/>
        </w:rPr>
        <w:t>International Criminal Law Review,</w:t>
      </w:r>
      <w:r w:rsidRPr="00E76EA2">
        <w:rPr>
          <w:sz w:val="20"/>
          <w:szCs w:val="20"/>
        </w:rPr>
        <w:t>p.1-37.</w:t>
      </w:r>
      <w:r w:rsidRPr="00E76EA2">
        <w:rPr>
          <w:i/>
          <w:sz w:val="20"/>
          <w:szCs w:val="20"/>
        </w:rPr>
        <w:t xml:space="preserve">  </w:t>
      </w:r>
    </w:p>
  </w:footnote>
  <w:footnote w:id="24">
    <w:p w14:paraId="6AAA6DD8" w14:textId="77777777" w:rsidR="00C310AB" w:rsidRPr="00E76EA2" w:rsidRDefault="00C310AB" w:rsidP="00262346">
      <w:pPr>
        <w:pStyle w:val="NoSpacing1"/>
        <w:spacing w:line="276" w:lineRule="auto"/>
        <w:jc w:val="both"/>
        <w:rPr>
          <w:i/>
          <w:sz w:val="20"/>
          <w:szCs w:val="20"/>
        </w:rPr>
      </w:pPr>
      <w:r w:rsidRPr="00E76EA2">
        <w:rPr>
          <w:rStyle w:val="FootnoteReference"/>
          <w:rFonts w:eastAsiaTheme="minorEastAsia"/>
          <w:sz w:val="20"/>
          <w:szCs w:val="20"/>
        </w:rPr>
        <w:footnoteRef/>
      </w:r>
      <w:r w:rsidRPr="00E76EA2">
        <w:rPr>
          <w:sz w:val="20"/>
          <w:szCs w:val="20"/>
        </w:rPr>
        <w:t xml:space="preserve"> Kai Ambos, ‘International criminal procedure: ‘adversarial’, ‘inquisitorial’ or mixed?’ 3(1) </w:t>
      </w:r>
      <w:r w:rsidRPr="00E76EA2">
        <w:rPr>
          <w:i/>
          <w:sz w:val="20"/>
          <w:szCs w:val="20"/>
        </w:rPr>
        <w:t>International Criminal Law Review,</w:t>
      </w:r>
      <w:r w:rsidRPr="00E76EA2">
        <w:rPr>
          <w:sz w:val="20"/>
          <w:szCs w:val="20"/>
        </w:rPr>
        <w:t>p.1-37.</w:t>
      </w:r>
      <w:r w:rsidRPr="00E76EA2">
        <w:rPr>
          <w:i/>
          <w:sz w:val="20"/>
          <w:szCs w:val="20"/>
        </w:rPr>
        <w:t xml:space="preserve">  </w:t>
      </w:r>
    </w:p>
  </w:footnote>
  <w:footnote w:id="25">
    <w:p w14:paraId="2744F37A" w14:textId="77777777" w:rsidR="00C310AB" w:rsidRPr="00E76EA2" w:rsidRDefault="00C310AB" w:rsidP="00262346">
      <w:pPr>
        <w:pStyle w:val="NoSpacing1"/>
        <w:spacing w:line="276" w:lineRule="auto"/>
        <w:jc w:val="both"/>
        <w:rPr>
          <w:i/>
          <w:sz w:val="20"/>
          <w:szCs w:val="20"/>
        </w:rPr>
      </w:pPr>
      <w:r w:rsidRPr="00E76EA2">
        <w:rPr>
          <w:rStyle w:val="FootnoteReference"/>
          <w:rFonts w:eastAsiaTheme="minorEastAsia"/>
          <w:sz w:val="20"/>
          <w:szCs w:val="20"/>
        </w:rPr>
        <w:footnoteRef/>
      </w:r>
      <w:r w:rsidRPr="00E76EA2">
        <w:rPr>
          <w:sz w:val="20"/>
          <w:szCs w:val="20"/>
        </w:rPr>
        <w:t xml:space="preserve"> Claus Stress, ‘The procedural law of the International Criminal Law in Outline: Anatomy of a unique compromise, 1(3) </w:t>
      </w:r>
      <w:r w:rsidRPr="00E76EA2">
        <w:rPr>
          <w:i/>
          <w:sz w:val="20"/>
          <w:szCs w:val="20"/>
        </w:rPr>
        <w:t>Journal of International Criminal Justice</w:t>
      </w:r>
    </w:p>
  </w:footnote>
  <w:footnote w:id="26">
    <w:p w14:paraId="1B3D5A67" w14:textId="77777777" w:rsidR="00C310AB" w:rsidRPr="00E76EA2" w:rsidRDefault="00C310AB" w:rsidP="00262346">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Ibid.</w:t>
      </w:r>
    </w:p>
  </w:footnote>
  <w:footnote w:id="27">
    <w:p w14:paraId="1BC1D50C" w14:textId="77777777" w:rsidR="00C310AB" w:rsidRPr="00E76EA2" w:rsidRDefault="00C310AB" w:rsidP="0026234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ICTJ , ‘Criminal Justice’ </w:t>
      </w:r>
      <w:hyperlink r:id="rId2" w:history="1">
        <w:r w:rsidRPr="00E76EA2">
          <w:rPr>
            <w:rStyle w:val="Hyperlink"/>
            <w:sz w:val="20"/>
            <w:szCs w:val="20"/>
          </w:rPr>
          <w:t>https://www.ictj.org/our-work/transitional-justice-issues/criminal-justice</w:t>
        </w:r>
      </w:hyperlink>
      <w:r w:rsidRPr="00E76EA2">
        <w:rPr>
          <w:sz w:val="20"/>
          <w:szCs w:val="20"/>
        </w:rPr>
        <w:t xml:space="preserve"> accessed 22 May 2016.</w:t>
      </w:r>
    </w:p>
  </w:footnote>
  <w:footnote w:id="28">
    <w:p w14:paraId="7616E69A" w14:textId="77777777" w:rsidR="00C310AB" w:rsidRPr="00E76EA2" w:rsidRDefault="00C310AB" w:rsidP="0026234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29">
    <w:p w14:paraId="67999974" w14:textId="77777777" w:rsidR="00C310AB" w:rsidRPr="00E76EA2" w:rsidRDefault="00C310AB" w:rsidP="0026234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Luke Moffett, ‘Meaningful and </w:t>
      </w:r>
      <w:proofErr w:type="spellStart"/>
      <w:r w:rsidRPr="00E76EA2">
        <w:rPr>
          <w:sz w:val="20"/>
          <w:szCs w:val="20"/>
        </w:rPr>
        <w:t>Effective?Considering</w:t>
      </w:r>
      <w:proofErr w:type="spellEnd"/>
      <w:r w:rsidRPr="00E76EA2">
        <w:rPr>
          <w:sz w:val="20"/>
          <w:szCs w:val="20"/>
        </w:rPr>
        <w:t xml:space="preserve"> victims’ interests through participation at the International Criminal Court’(2015)  26</w:t>
      </w:r>
      <w:r w:rsidRPr="00E76EA2">
        <w:rPr>
          <w:i/>
          <w:sz w:val="20"/>
          <w:szCs w:val="20"/>
        </w:rPr>
        <w:t>Criminal Law Forum</w:t>
      </w:r>
      <w:r w:rsidRPr="00E76EA2">
        <w:rPr>
          <w:sz w:val="20"/>
          <w:szCs w:val="20"/>
        </w:rPr>
        <w:t>, 255-289.</w:t>
      </w:r>
      <w:r w:rsidRPr="00E76EA2">
        <w:rPr>
          <w:i/>
          <w:sz w:val="20"/>
          <w:szCs w:val="20"/>
        </w:rPr>
        <w:t xml:space="preserve"> </w:t>
      </w:r>
    </w:p>
  </w:footnote>
  <w:footnote w:id="30">
    <w:p w14:paraId="183658EB" w14:textId="018BD96A" w:rsidR="00C310AB" w:rsidRPr="00E76EA2" w:rsidRDefault="00C310AB" w:rsidP="0026234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‘Procedural Justice and the Courts ( 200</w:t>
      </w:r>
      <w:r w:rsidR="008C6E94">
        <w:rPr>
          <w:sz w:val="20"/>
          <w:szCs w:val="20"/>
        </w:rPr>
        <w:t>7</w:t>
      </w:r>
      <w:r w:rsidRPr="00E76EA2">
        <w:rPr>
          <w:sz w:val="20"/>
          <w:szCs w:val="20"/>
        </w:rPr>
        <w:t xml:space="preserve"> )</w:t>
      </w:r>
      <w:r w:rsidRPr="00E76EA2">
        <w:rPr>
          <w:i/>
          <w:sz w:val="20"/>
          <w:szCs w:val="20"/>
        </w:rPr>
        <w:t xml:space="preserve">Court Review </w:t>
      </w:r>
      <w:r w:rsidRPr="00E76EA2">
        <w:rPr>
          <w:sz w:val="20"/>
          <w:szCs w:val="20"/>
        </w:rPr>
        <w:t>Vol 44 p.28.</w:t>
      </w:r>
    </w:p>
    <w:p w14:paraId="76C29420" w14:textId="77FDEA30" w:rsidR="00C310AB" w:rsidRPr="00E76EA2" w:rsidRDefault="00C310AB" w:rsidP="00E76EA2">
      <w:pPr>
        <w:pStyle w:val="NoSpacing1"/>
        <w:rPr>
          <w:sz w:val="20"/>
          <w:szCs w:val="20"/>
        </w:rPr>
      </w:pPr>
    </w:p>
  </w:footnote>
  <w:footnote w:id="31">
    <w:p w14:paraId="0AA0EC8F" w14:textId="77777777" w:rsidR="00C310AB" w:rsidRPr="00E76EA2" w:rsidRDefault="00C310AB" w:rsidP="0044682B">
      <w:pPr>
        <w:pStyle w:val="NoSpacing1"/>
        <w:spacing w:line="276" w:lineRule="auto"/>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 xml:space="preserve">Christine Van den </w:t>
      </w:r>
      <w:proofErr w:type="spellStart"/>
      <w:r w:rsidRPr="00E76EA2">
        <w:rPr>
          <w:sz w:val="20"/>
          <w:szCs w:val="20"/>
          <w:lang w:val="en-US"/>
        </w:rPr>
        <w:t>Wyngaert</w:t>
      </w:r>
      <w:proofErr w:type="spellEnd"/>
      <w:r w:rsidRPr="00E76EA2">
        <w:rPr>
          <w:sz w:val="20"/>
          <w:szCs w:val="20"/>
          <w:lang w:val="en-US"/>
        </w:rPr>
        <w:t xml:space="preserve">, ‘Victims before the International Criminal </w:t>
      </w:r>
      <w:proofErr w:type="spellStart"/>
      <w:r w:rsidRPr="00E76EA2">
        <w:rPr>
          <w:sz w:val="20"/>
          <w:szCs w:val="20"/>
          <w:lang w:val="en-US"/>
        </w:rPr>
        <w:t>Court:Some</w:t>
      </w:r>
      <w:proofErr w:type="spellEnd"/>
      <w:r w:rsidRPr="00E76EA2">
        <w:rPr>
          <w:sz w:val="20"/>
          <w:szCs w:val="20"/>
          <w:lang w:val="en-US"/>
        </w:rPr>
        <w:t xml:space="preserve"> concerns and views of an ICC Trial Judge’,44</w:t>
      </w:r>
      <w:r w:rsidRPr="00E76EA2">
        <w:rPr>
          <w:i/>
          <w:sz w:val="20"/>
          <w:szCs w:val="20"/>
          <w:lang w:val="en-US"/>
        </w:rPr>
        <w:t>Case Western Reserve Journal of International Law</w:t>
      </w:r>
      <w:r w:rsidRPr="00E76EA2">
        <w:rPr>
          <w:sz w:val="20"/>
          <w:szCs w:val="20"/>
          <w:lang w:val="en-US"/>
        </w:rPr>
        <w:t>( 2011)p.475,476.</w:t>
      </w:r>
    </w:p>
  </w:footnote>
  <w:footnote w:id="32">
    <w:p w14:paraId="5A9FCF43" w14:textId="329C270C" w:rsidR="00C310AB" w:rsidRPr="00E76EA2" w:rsidRDefault="00C310AB" w:rsidP="0044682B">
      <w:pPr>
        <w:pStyle w:val="NoSpacing1"/>
        <w:spacing w:line="276" w:lineRule="auto"/>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Ibid.</w:t>
      </w:r>
    </w:p>
  </w:footnote>
  <w:footnote w:id="33">
    <w:p w14:paraId="3FDF28B6" w14:textId="4BD6B80D" w:rsidR="00C310AB" w:rsidRPr="00E76EA2" w:rsidRDefault="00C310AB" w:rsidP="0044682B">
      <w:pPr>
        <w:pStyle w:val="NoSpacing1"/>
        <w:spacing w:line="276" w:lineRule="auto"/>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proofErr w:type="spellStart"/>
      <w:r w:rsidRPr="00E76EA2">
        <w:rPr>
          <w:sz w:val="20"/>
          <w:szCs w:val="20"/>
          <w:lang w:val="en-US"/>
        </w:rPr>
        <w:t>Vesselin</w:t>
      </w:r>
      <w:proofErr w:type="spellEnd"/>
      <w:r w:rsidRPr="00E76EA2">
        <w:rPr>
          <w:sz w:val="20"/>
          <w:szCs w:val="20"/>
          <w:lang w:val="en-US"/>
        </w:rPr>
        <w:t xml:space="preserve"> </w:t>
      </w:r>
      <w:proofErr w:type="spellStart"/>
      <w:r w:rsidRPr="00E76EA2">
        <w:rPr>
          <w:sz w:val="20"/>
          <w:szCs w:val="20"/>
          <w:lang w:val="en-US"/>
        </w:rPr>
        <w:t>Popovski</w:t>
      </w:r>
      <w:proofErr w:type="spellEnd"/>
      <w:r w:rsidRPr="00E76EA2">
        <w:rPr>
          <w:sz w:val="20"/>
          <w:szCs w:val="20"/>
          <w:lang w:val="en-US"/>
        </w:rPr>
        <w:t>, ‘The International Criminal Court: A synthesis of retributive and restorative justice’, (2000)15(1)</w:t>
      </w:r>
      <w:r w:rsidRPr="00E76EA2">
        <w:rPr>
          <w:i/>
          <w:sz w:val="20"/>
          <w:szCs w:val="20"/>
          <w:lang w:val="en-US"/>
        </w:rPr>
        <w:t>International Relations</w:t>
      </w:r>
      <w:r w:rsidRPr="00E76EA2">
        <w:rPr>
          <w:iCs/>
          <w:sz w:val="20"/>
          <w:szCs w:val="20"/>
          <w:lang w:val="en-US"/>
        </w:rPr>
        <w:t>,1-10.</w:t>
      </w:r>
      <w:r w:rsidRPr="00E76EA2">
        <w:rPr>
          <w:i/>
          <w:sz w:val="20"/>
          <w:szCs w:val="20"/>
          <w:lang w:val="en-US"/>
        </w:rPr>
        <w:t xml:space="preserve"> </w:t>
      </w:r>
    </w:p>
  </w:footnote>
  <w:footnote w:id="34">
    <w:p w14:paraId="79B1E461" w14:textId="346C1CDD" w:rsidR="00C310AB" w:rsidRPr="00E76EA2" w:rsidRDefault="00C310AB" w:rsidP="0044682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and Mark Findlay, </w:t>
      </w:r>
      <w:r w:rsidRPr="00E76EA2">
        <w:rPr>
          <w:i/>
          <w:iCs/>
          <w:sz w:val="20"/>
          <w:szCs w:val="20"/>
        </w:rPr>
        <w:t xml:space="preserve">Transforming International Criminal </w:t>
      </w:r>
      <w:proofErr w:type="spellStart"/>
      <w:r w:rsidRPr="00E76EA2">
        <w:rPr>
          <w:i/>
          <w:iCs/>
          <w:sz w:val="20"/>
          <w:szCs w:val="20"/>
        </w:rPr>
        <w:t>Justice:Retributive</w:t>
      </w:r>
      <w:proofErr w:type="spellEnd"/>
      <w:r w:rsidRPr="00E76EA2">
        <w:rPr>
          <w:i/>
          <w:iCs/>
          <w:sz w:val="20"/>
          <w:szCs w:val="20"/>
        </w:rPr>
        <w:t xml:space="preserve"> and Restorative Justice in the Trial Process(</w:t>
      </w:r>
      <w:r w:rsidRPr="00E76EA2">
        <w:rPr>
          <w:sz w:val="20"/>
          <w:szCs w:val="20"/>
        </w:rPr>
        <w:t>Willan Publishing 2005)</w:t>
      </w:r>
    </w:p>
  </w:footnote>
  <w:footnote w:id="35">
    <w:p w14:paraId="6F29B31E" w14:textId="02B135F6" w:rsidR="00C310AB" w:rsidRPr="00E76EA2" w:rsidRDefault="00C310AB" w:rsidP="007E3E1E">
      <w:pPr>
        <w:pStyle w:val="NoSpacing1"/>
        <w:spacing w:line="276" w:lineRule="auto"/>
        <w:rPr>
          <w:iCs/>
          <w:sz w:val="20"/>
          <w:szCs w:val="20"/>
          <w:lang w:val="en-US"/>
        </w:rPr>
      </w:pPr>
      <w:r w:rsidRPr="00E76EA2">
        <w:rPr>
          <w:rStyle w:val="FootnoteReference"/>
          <w:rFonts w:eastAsiaTheme="minorEastAsia"/>
          <w:sz w:val="20"/>
          <w:szCs w:val="20"/>
        </w:rPr>
        <w:footnoteRef/>
      </w:r>
      <w:r w:rsidR="007E3E1E">
        <w:rPr>
          <w:sz w:val="20"/>
          <w:szCs w:val="20"/>
        </w:rPr>
        <w:t xml:space="preserve"> </w:t>
      </w:r>
      <w:r w:rsidRPr="00E76EA2">
        <w:rPr>
          <w:sz w:val="20"/>
          <w:szCs w:val="20"/>
        </w:rPr>
        <w:t xml:space="preserve">Luke Moffett, ‘Elaborating justice for victims at the International Criminal </w:t>
      </w:r>
      <w:proofErr w:type="spellStart"/>
      <w:r w:rsidRPr="00E76EA2">
        <w:rPr>
          <w:sz w:val="20"/>
          <w:szCs w:val="20"/>
        </w:rPr>
        <w:t>Court:Beyond</w:t>
      </w:r>
      <w:proofErr w:type="spellEnd"/>
      <w:r w:rsidRPr="00E76EA2">
        <w:rPr>
          <w:sz w:val="20"/>
          <w:szCs w:val="20"/>
        </w:rPr>
        <w:t xml:space="preserve"> rhetoric’(2014) </w:t>
      </w:r>
      <w:r w:rsidRPr="00E76EA2">
        <w:rPr>
          <w:i/>
          <w:sz w:val="20"/>
          <w:szCs w:val="20"/>
        </w:rPr>
        <w:t>Journal of International Criminal Justice</w:t>
      </w:r>
      <w:r w:rsidRPr="00E76EA2">
        <w:rPr>
          <w:iCs/>
          <w:sz w:val="20"/>
          <w:szCs w:val="20"/>
        </w:rPr>
        <w:t>,681-703</w:t>
      </w:r>
    </w:p>
  </w:footnote>
  <w:footnote w:id="36">
    <w:p w14:paraId="2DC98068" w14:textId="77777777" w:rsidR="00C310AB" w:rsidRPr="00E76EA2" w:rsidRDefault="00C310AB" w:rsidP="007E3E1E">
      <w:pPr>
        <w:pStyle w:val="NoSpacing1"/>
        <w:spacing w:line="276" w:lineRule="auto"/>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Ibid .</w:t>
      </w:r>
    </w:p>
  </w:footnote>
  <w:footnote w:id="37">
    <w:p w14:paraId="264FEF06" w14:textId="77777777" w:rsidR="00C310AB" w:rsidRPr="00E76EA2" w:rsidRDefault="00C310AB" w:rsidP="007E3E1E">
      <w:pPr>
        <w:pStyle w:val="NoSpacing1"/>
        <w:spacing w:line="276" w:lineRule="auto"/>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Ibid .</w:t>
      </w:r>
    </w:p>
  </w:footnote>
  <w:footnote w:id="38">
    <w:p w14:paraId="63917977" w14:textId="77777777" w:rsidR="00C310AB" w:rsidRPr="00E76EA2" w:rsidRDefault="00C310AB" w:rsidP="00F4547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Victims’ rights, Human Rights and Criminal Justice :Reconceiving the Role of Third Parties(Hart Publishing ,2008)</w:t>
      </w:r>
    </w:p>
  </w:footnote>
  <w:footnote w:id="39">
    <w:p w14:paraId="5EEDC496" w14:textId="77777777" w:rsidR="00C310AB" w:rsidRPr="00E76EA2" w:rsidRDefault="00C310AB" w:rsidP="00F4547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James Dignan,  </w:t>
      </w:r>
      <w:r w:rsidRPr="00E76EA2">
        <w:rPr>
          <w:i/>
          <w:sz w:val="20"/>
          <w:szCs w:val="20"/>
        </w:rPr>
        <w:t xml:space="preserve">Understanding  Victims and Restorative </w:t>
      </w:r>
      <w:r w:rsidRPr="00E76EA2">
        <w:rPr>
          <w:sz w:val="20"/>
          <w:szCs w:val="20"/>
        </w:rPr>
        <w:t xml:space="preserve">Justice (Maiden head  Open University 2005); Jana </w:t>
      </w:r>
      <w:proofErr w:type="spellStart"/>
      <w:r w:rsidRPr="00E76EA2">
        <w:rPr>
          <w:sz w:val="20"/>
          <w:szCs w:val="20"/>
        </w:rPr>
        <w:t>Bednarova</w:t>
      </w:r>
      <w:proofErr w:type="spellEnd"/>
      <w:r w:rsidRPr="00E76EA2">
        <w:rPr>
          <w:sz w:val="20"/>
          <w:szCs w:val="20"/>
        </w:rPr>
        <w:t xml:space="preserve">  ‘The heart of the criminal justice :a critical analysis of the position of the victim’ (2011) </w:t>
      </w:r>
      <w:r w:rsidRPr="00E76EA2">
        <w:rPr>
          <w:i/>
          <w:sz w:val="20"/>
          <w:szCs w:val="20"/>
        </w:rPr>
        <w:t>International Journal of criminology;</w:t>
      </w:r>
      <w:r w:rsidRPr="00E76EA2">
        <w:rPr>
          <w:sz w:val="20"/>
          <w:szCs w:val="20"/>
        </w:rPr>
        <w:t xml:space="preserve"> </w:t>
      </w:r>
      <w:proofErr w:type="spellStart"/>
      <w:r w:rsidRPr="00E76EA2">
        <w:rPr>
          <w:sz w:val="20"/>
          <w:szCs w:val="20"/>
        </w:rPr>
        <w:t>L.Zedner</w:t>
      </w:r>
      <w:proofErr w:type="spellEnd"/>
      <w:r w:rsidRPr="00E76EA2">
        <w:rPr>
          <w:sz w:val="20"/>
          <w:szCs w:val="20"/>
        </w:rPr>
        <w:t xml:space="preserve"> , </w:t>
      </w:r>
      <w:r w:rsidRPr="00E76EA2">
        <w:rPr>
          <w:i/>
          <w:sz w:val="20"/>
          <w:szCs w:val="20"/>
        </w:rPr>
        <w:t>Criminal justice</w:t>
      </w:r>
      <w:r w:rsidRPr="00E76EA2">
        <w:rPr>
          <w:sz w:val="20"/>
          <w:szCs w:val="20"/>
        </w:rPr>
        <w:t xml:space="preserve"> (Oxford University Press 2004); </w:t>
      </w:r>
      <w:proofErr w:type="spellStart"/>
      <w:r w:rsidRPr="00E76EA2">
        <w:rPr>
          <w:sz w:val="20"/>
          <w:szCs w:val="20"/>
        </w:rPr>
        <w:t>L.Zedner</w:t>
      </w:r>
      <w:proofErr w:type="spellEnd"/>
      <w:r w:rsidRPr="00E76EA2">
        <w:rPr>
          <w:sz w:val="20"/>
          <w:szCs w:val="20"/>
        </w:rPr>
        <w:t>, “Securing Liberty in the face of terror: reflections from criminal justice’ (2005) 32(4), 507-533</w:t>
      </w:r>
    </w:p>
  </w:footnote>
  <w:footnote w:id="40">
    <w:p w14:paraId="629BA015" w14:textId="78876BF6" w:rsidR="00C310AB" w:rsidRPr="00E76EA2" w:rsidRDefault="00C310AB" w:rsidP="00F4547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James Dignan,  </w:t>
      </w:r>
      <w:r w:rsidRPr="00E76EA2">
        <w:rPr>
          <w:i/>
          <w:sz w:val="20"/>
          <w:szCs w:val="20"/>
        </w:rPr>
        <w:t xml:space="preserve">Understanding  Victims and Restorative </w:t>
      </w:r>
      <w:r w:rsidRPr="00E76EA2">
        <w:rPr>
          <w:sz w:val="20"/>
          <w:szCs w:val="20"/>
        </w:rPr>
        <w:t xml:space="preserve">Justice (Maiden head  Open University 2005); Jana </w:t>
      </w:r>
      <w:proofErr w:type="spellStart"/>
      <w:r w:rsidRPr="00E76EA2">
        <w:rPr>
          <w:sz w:val="20"/>
          <w:szCs w:val="20"/>
        </w:rPr>
        <w:t>Bednarova</w:t>
      </w:r>
      <w:proofErr w:type="spellEnd"/>
      <w:r w:rsidRPr="00E76EA2">
        <w:rPr>
          <w:sz w:val="20"/>
          <w:szCs w:val="20"/>
        </w:rPr>
        <w:t xml:space="preserve">  ‘The heart of the criminal justice :a critical analysis of the position of the victim’ (2011) </w:t>
      </w:r>
      <w:r w:rsidRPr="00E76EA2">
        <w:rPr>
          <w:i/>
          <w:sz w:val="20"/>
          <w:szCs w:val="20"/>
        </w:rPr>
        <w:t>International Journal of criminology;</w:t>
      </w:r>
      <w:r w:rsidRPr="00E76EA2">
        <w:rPr>
          <w:sz w:val="20"/>
          <w:szCs w:val="20"/>
        </w:rPr>
        <w:t xml:space="preserve"> Lucia </w:t>
      </w:r>
      <w:proofErr w:type="spellStart"/>
      <w:r w:rsidRPr="00E76EA2">
        <w:rPr>
          <w:sz w:val="20"/>
          <w:szCs w:val="20"/>
        </w:rPr>
        <w:t>Zedner</w:t>
      </w:r>
      <w:proofErr w:type="spellEnd"/>
      <w:r w:rsidRPr="00E76EA2">
        <w:rPr>
          <w:sz w:val="20"/>
          <w:szCs w:val="20"/>
        </w:rPr>
        <w:t xml:space="preserve"> , </w:t>
      </w:r>
      <w:r w:rsidRPr="00E76EA2">
        <w:rPr>
          <w:i/>
          <w:sz w:val="20"/>
          <w:szCs w:val="20"/>
        </w:rPr>
        <w:t>Criminal justice</w:t>
      </w:r>
      <w:r w:rsidRPr="00E76EA2">
        <w:rPr>
          <w:sz w:val="20"/>
          <w:szCs w:val="20"/>
        </w:rPr>
        <w:t xml:space="preserve"> (Oxford University Press 2004); Lucia </w:t>
      </w:r>
      <w:proofErr w:type="spellStart"/>
      <w:r w:rsidRPr="00E76EA2">
        <w:rPr>
          <w:sz w:val="20"/>
          <w:szCs w:val="20"/>
        </w:rPr>
        <w:t>Zedner</w:t>
      </w:r>
      <w:proofErr w:type="spellEnd"/>
      <w:r w:rsidRPr="00E76EA2">
        <w:rPr>
          <w:sz w:val="20"/>
          <w:szCs w:val="20"/>
        </w:rPr>
        <w:t>, ‘Securing Liberty in the face of terror: reflections from criminal justice’ (2005) 32(4)</w:t>
      </w:r>
      <w:proofErr w:type="spellStart"/>
      <w:r w:rsidRPr="00E76EA2">
        <w:rPr>
          <w:i/>
          <w:iCs/>
          <w:sz w:val="20"/>
          <w:szCs w:val="20"/>
        </w:rPr>
        <w:t>Jouranl</w:t>
      </w:r>
      <w:proofErr w:type="spellEnd"/>
      <w:r w:rsidRPr="00E76EA2">
        <w:rPr>
          <w:i/>
          <w:iCs/>
          <w:sz w:val="20"/>
          <w:szCs w:val="20"/>
        </w:rPr>
        <w:t xml:space="preserve"> of Law and Society.</w:t>
      </w:r>
      <w:r w:rsidRPr="00E76EA2">
        <w:rPr>
          <w:sz w:val="20"/>
          <w:szCs w:val="20"/>
        </w:rPr>
        <w:t xml:space="preserve"> 507-533</w:t>
      </w:r>
    </w:p>
    <w:p w14:paraId="07592D8F" w14:textId="77777777" w:rsidR="00C310AB" w:rsidRPr="00E76EA2" w:rsidRDefault="00C310AB" w:rsidP="00F4547D">
      <w:pPr>
        <w:pStyle w:val="NoSpacing1"/>
        <w:spacing w:line="276" w:lineRule="auto"/>
        <w:jc w:val="both"/>
        <w:rPr>
          <w:sz w:val="20"/>
          <w:szCs w:val="20"/>
        </w:rPr>
      </w:pPr>
    </w:p>
  </w:footnote>
  <w:footnote w:id="41">
    <w:p w14:paraId="033577F5" w14:textId="77777777" w:rsidR="00C310AB" w:rsidRPr="00E76EA2" w:rsidRDefault="00C310AB" w:rsidP="00F4547D">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42">
    <w:p w14:paraId="35479D8A" w14:textId="0E16D7E3" w:rsidR="00C310AB" w:rsidRPr="00E76EA2" w:rsidRDefault="00C310AB" w:rsidP="00F4547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Christine Chung, Victims’ Participation at the International Criminal </w:t>
      </w:r>
      <w:proofErr w:type="spellStart"/>
      <w:r w:rsidRPr="00E76EA2">
        <w:rPr>
          <w:sz w:val="20"/>
          <w:szCs w:val="20"/>
        </w:rPr>
        <w:t>Court:Are</w:t>
      </w:r>
      <w:proofErr w:type="spellEnd"/>
      <w:r w:rsidRPr="00E76EA2">
        <w:rPr>
          <w:sz w:val="20"/>
          <w:szCs w:val="20"/>
        </w:rPr>
        <w:t xml:space="preserve"> Concessions of the Court Clouding the Promise ? (2008) 6(3) pp.459-545; Anushka </w:t>
      </w:r>
      <w:proofErr w:type="spellStart"/>
      <w:r w:rsidRPr="00E76EA2">
        <w:rPr>
          <w:sz w:val="20"/>
          <w:szCs w:val="20"/>
        </w:rPr>
        <w:t>Sehmi</w:t>
      </w:r>
      <w:proofErr w:type="spellEnd"/>
      <w:r w:rsidRPr="00E76EA2">
        <w:rPr>
          <w:sz w:val="20"/>
          <w:szCs w:val="20"/>
        </w:rPr>
        <w:t>, ‘New Victim Participation Regime</w:t>
      </w:r>
      <w:r w:rsidR="0010124B">
        <w:rPr>
          <w:sz w:val="20"/>
          <w:szCs w:val="20"/>
        </w:rPr>
        <w:t xml:space="preserve"> </w:t>
      </w:r>
      <w:r w:rsidRPr="00E76EA2">
        <w:rPr>
          <w:sz w:val="20"/>
          <w:szCs w:val="20"/>
        </w:rPr>
        <w:t>in Kenya,(2013)22 REDRESS, VRWG Bulletin, accessible at &lt;</w:t>
      </w:r>
      <w:hyperlink r:id="rId3" w:history="1">
        <w:r w:rsidRPr="00E76EA2">
          <w:rPr>
            <w:rStyle w:val="Hyperlink"/>
            <w:rFonts w:eastAsiaTheme="majorEastAsia"/>
            <w:sz w:val="20"/>
            <w:szCs w:val="20"/>
          </w:rPr>
          <w:t>http://www.vrwg.org/ACCESS/ENG-22Sehmi.pdf</w:t>
        </w:r>
      </w:hyperlink>
      <w:r w:rsidRPr="00E76EA2">
        <w:rPr>
          <w:sz w:val="20"/>
          <w:szCs w:val="20"/>
        </w:rPr>
        <w:t xml:space="preserve">&gt;Last accessed 22 January 2020; </w:t>
      </w:r>
      <w:proofErr w:type="spellStart"/>
      <w:r w:rsidRPr="00E76EA2">
        <w:rPr>
          <w:sz w:val="20"/>
          <w:szCs w:val="20"/>
        </w:rPr>
        <w:t>Mouthaan</w:t>
      </w:r>
      <w:proofErr w:type="spellEnd"/>
      <w:r w:rsidRPr="00E76EA2">
        <w:rPr>
          <w:sz w:val="20"/>
          <w:szCs w:val="20"/>
        </w:rPr>
        <w:t xml:space="preserve"> Solange, ‘Victim Participation at the ICC for Victims of Gender-Based </w:t>
      </w:r>
      <w:proofErr w:type="spellStart"/>
      <w:r w:rsidRPr="00E76EA2">
        <w:rPr>
          <w:sz w:val="20"/>
          <w:szCs w:val="20"/>
        </w:rPr>
        <w:t>Crimes:A</w:t>
      </w:r>
      <w:proofErr w:type="spellEnd"/>
      <w:r w:rsidRPr="00E76EA2">
        <w:rPr>
          <w:sz w:val="20"/>
          <w:szCs w:val="20"/>
        </w:rPr>
        <w:t xml:space="preserve"> Conflict of Interests?(2013) 21</w:t>
      </w:r>
      <w:r w:rsidRPr="00E76EA2">
        <w:rPr>
          <w:i/>
          <w:sz w:val="20"/>
          <w:szCs w:val="20"/>
        </w:rPr>
        <w:t>Cardozo Journal of International Law</w:t>
      </w:r>
      <w:r w:rsidRPr="00E76EA2">
        <w:rPr>
          <w:sz w:val="20"/>
          <w:szCs w:val="20"/>
        </w:rPr>
        <w:t xml:space="preserve">, 619-651;Chris </w:t>
      </w:r>
      <w:proofErr w:type="spellStart"/>
      <w:r w:rsidRPr="00E76EA2">
        <w:rPr>
          <w:sz w:val="20"/>
          <w:szCs w:val="20"/>
        </w:rPr>
        <w:t>Tenove</w:t>
      </w:r>
      <w:proofErr w:type="spellEnd"/>
      <w:r w:rsidRPr="00E76EA2">
        <w:rPr>
          <w:sz w:val="20"/>
          <w:szCs w:val="20"/>
        </w:rPr>
        <w:t>, ‘Victim Participation at the ICC-What’s the Deal (2013) accessible at &lt;</w:t>
      </w:r>
      <w:hyperlink r:id="rId4" w:history="1">
        <w:r w:rsidRPr="00E76EA2">
          <w:rPr>
            <w:rStyle w:val="Hyperlink"/>
            <w:rFonts w:eastAsiaTheme="majorEastAsia"/>
            <w:sz w:val="20"/>
            <w:szCs w:val="20"/>
          </w:rPr>
          <w:t>https://justiceinconflict.org/2013/11/22/victim-participation-at-the-icc-whats-the-deal/</w:t>
        </w:r>
      </w:hyperlink>
      <w:r w:rsidRPr="00E76EA2">
        <w:rPr>
          <w:sz w:val="20"/>
          <w:szCs w:val="20"/>
        </w:rPr>
        <w:t>&gt;Last accessed 12 January 2020.</w:t>
      </w:r>
    </w:p>
    <w:p w14:paraId="17737F12" w14:textId="77777777" w:rsidR="00C310AB" w:rsidRPr="00E76EA2" w:rsidRDefault="00C310AB" w:rsidP="00E76EA2">
      <w:pPr>
        <w:pStyle w:val="NoSpacing1"/>
        <w:rPr>
          <w:sz w:val="20"/>
          <w:szCs w:val="20"/>
        </w:rPr>
      </w:pPr>
    </w:p>
  </w:footnote>
  <w:footnote w:id="43">
    <w:p w14:paraId="44DE880A" w14:textId="1DFDFCEE" w:rsidR="00C310AB" w:rsidRPr="00E76EA2" w:rsidRDefault="00C310AB" w:rsidP="00080F10">
      <w:pPr>
        <w:pStyle w:val="NoSpacing1"/>
        <w:spacing w:line="276" w:lineRule="auto"/>
        <w:rPr>
          <w:sz w:val="20"/>
          <w:szCs w:val="20"/>
        </w:rPr>
      </w:pPr>
      <w:r w:rsidRPr="00E76EA2">
        <w:rPr>
          <w:rStyle w:val="FootnoteReference"/>
          <w:sz w:val="20"/>
          <w:szCs w:val="20"/>
        </w:rPr>
        <w:footnoteRef/>
      </w:r>
      <w:r w:rsidRPr="00E76EA2">
        <w:rPr>
          <w:sz w:val="20"/>
          <w:szCs w:val="20"/>
        </w:rPr>
        <w:t xml:space="preserve"> Elizabeth Baumgartner, ‘Aspects of victim participation in the proceedings of the International Criminal Court’ (2008) 90(870) </w:t>
      </w:r>
      <w:r w:rsidRPr="00E76EA2">
        <w:rPr>
          <w:i/>
          <w:iCs/>
          <w:sz w:val="20"/>
          <w:szCs w:val="20"/>
        </w:rPr>
        <w:t>International Review of the Red Cross</w:t>
      </w:r>
      <w:r w:rsidRPr="00E76EA2">
        <w:rPr>
          <w:sz w:val="20"/>
          <w:szCs w:val="20"/>
        </w:rPr>
        <w:t>,409-440</w:t>
      </w:r>
      <w:r w:rsidR="00080F10">
        <w:rPr>
          <w:sz w:val="20"/>
          <w:szCs w:val="20"/>
        </w:rPr>
        <w:t>.</w:t>
      </w:r>
      <w:r w:rsidRPr="00E76EA2">
        <w:rPr>
          <w:sz w:val="20"/>
          <w:szCs w:val="20"/>
        </w:rPr>
        <w:t xml:space="preserve"> </w:t>
      </w:r>
    </w:p>
  </w:footnote>
  <w:footnote w:id="44">
    <w:p w14:paraId="2815D1CF" w14:textId="77777777" w:rsidR="00C310AB" w:rsidRPr="00E76EA2" w:rsidRDefault="00C310AB" w:rsidP="002E57B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45">
    <w:p w14:paraId="681EB46F" w14:textId="2C5C485A" w:rsidR="00C310AB" w:rsidRPr="00E76EA2" w:rsidRDefault="00C310AB" w:rsidP="002E57B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‘What is Procedural Justice?:Criteria Used by Citizens to Assess the Fairness of Legal Procedures’ (1988)22(1) </w:t>
      </w:r>
      <w:r w:rsidRPr="00E76EA2">
        <w:rPr>
          <w:i/>
          <w:sz w:val="20"/>
          <w:szCs w:val="20"/>
        </w:rPr>
        <w:t>Law and Society Review ,</w:t>
      </w:r>
      <w:r w:rsidRPr="00E76EA2">
        <w:rPr>
          <w:sz w:val="20"/>
          <w:szCs w:val="20"/>
        </w:rPr>
        <w:t>103, 125-</w:t>
      </w:r>
      <w:r w:rsidR="00544798">
        <w:rPr>
          <w:sz w:val="20"/>
          <w:szCs w:val="20"/>
        </w:rPr>
        <w:t>1</w:t>
      </w:r>
      <w:r w:rsidRPr="00E76EA2">
        <w:rPr>
          <w:sz w:val="20"/>
          <w:szCs w:val="20"/>
        </w:rPr>
        <w:t>27</w:t>
      </w:r>
      <w:r w:rsidR="00544798">
        <w:rPr>
          <w:sz w:val="20"/>
          <w:szCs w:val="20"/>
        </w:rPr>
        <w:t>.</w:t>
      </w:r>
    </w:p>
  </w:footnote>
  <w:footnote w:id="46">
    <w:p w14:paraId="7CFCF60A" w14:textId="76E0C145" w:rsidR="00C310AB" w:rsidRPr="00E76EA2" w:rsidRDefault="00C310AB" w:rsidP="00174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‘Procedural Justice and the Courts’ (2007)44 </w:t>
      </w:r>
      <w:r w:rsidRPr="00E76EA2">
        <w:rPr>
          <w:i/>
          <w:sz w:val="20"/>
          <w:szCs w:val="20"/>
        </w:rPr>
        <w:t>Courts Review</w:t>
      </w:r>
      <w:r w:rsidRPr="00E76EA2">
        <w:rPr>
          <w:sz w:val="20"/>
          <w:szCs w:val="20"/>
        </w:rPr>
        <w:t xml:space="preserve"> 22; Tom Tyler, ‘Procedural Justice, legitimacy and effective rule of law’(2003) 30(1) In Tory (ed) </w:t>
      </w:r>
      <w:r w:rsidRPr="00E76EA2">
        <w:rPr>
          <w:i/>
          <w:sz w:val="20"/>
          <w:szCs w:val="20"/>
        </w:rPr>
        <w:t>Crime and Justice :A review of Research</w:t>
      </w:r>
      <w:r w:rsidRPr="00E76EA2">
        <w:rPr>
          <w:sz w:val="20"/>
          <w:szCs w:val="20"/>
        </w:rPr>
        <w:t>( First Edition, University of Chicago Press 2003) 253-257.</w:t>
      </w:r>
    </w:p>
  </w:footnote>
  <w:footnote w:id="47">
    <w:p w14:paraId="0F77D72B" w14:textId="7067A92E" w:rsidR="00C310AB" w:rsidRPr="00E76EA2" w:rsidRDefault="00C310AB" w:rsidP="00174D58">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Luke Moffett, ‘Elaborating Justice for Victims at the International Criminal Court : Beyond Rhetoric and the Hague’  (2015) 13(2) </w:t>
      </w:r>
      <w:r w:rsidRPr="00E76EA2">
        <w:rPr>
          <w:i/>
          <w:sz w:val="20"/>
          <w:szCs w:val="20"/>
        </w:rPr>
        <w:t>Journal of International Criminal Justice,</w:t>
      </w:r>
      <w:r w:rsidRPr="00E76EA2">
        <w:rPr>
          <w:iCs/>
          <w:sz w:val="20"/>
          <w:szCs w:val="20"/>
        </w:rPr>
        <w:t xml:space="preserve"> 281-311.</w:t>
      </w:r>
    </w:p>
  </w:footnote>
  <w:footnote w:id="48">
    <w:p w14:paraId="03865814" w14:textId="73122C2F" w:rsidR="00C310AB" w:rsidRPr="00E76EA2" w:rsidRDefault="00C310AB" w:rsidP="00174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Heather Strang and Lawrence Sherman,’ Repairing the Harm :Victims and Restorative Justice’ (2003) 15</w:t>
      </w:r>
      <w:r w:rsidRPr="00E76EA2">
        <w:rPr>
          <w:i/>
          <w:sz w:val="20"/>
          <w:szCs w:val="20"/>
        </w:rPr>
        <w:t xml:space="preserve">Utah Law Review </w:t>
      </w:r>
      <w:r w:rsidRPr="00E76EA2">
        <w:rPr>
          <w:sz w:val="20"/>
          <w:szCs w:val="20"/>
        </w:rPr>
        <w:t>15-42,</w:t>
      </w:r>
      <w:r w:rsidRPr="00E76EA2">
        <w:rPr>
          <w:i/>
          <w:sz w:val="20"/>
          <w:szCs w:val="20"/>
        </w:rPr>
        <w:t xml:space="preserve"> </w:t>
      </w:r>
      <w:r w:rsidRPr="00E76EA2">
        <w:rPr>
          <w:sz w:val="20"/>
          <w:szCs w:val="20"/>
        </w:rPr>
        <w:t>15</w:t>
      </w:r>
      <w:r w:rsidR="00174D58">
        <w:rPr>
          <w:sz w:val="20"/>
          <w:szCs w:val="20"/>
        </w:rPr>
        <w:t>.</w:t>
      </w:r>
    </w:p>
  </w:footnote>
  <w:footnote w:id="49">
    <w:p w14:paraId="53EDA75E" w14:textId="77777777" w:rsidR="00C310AB" w:rsidRPr="00E76EA2" w:rsidRDefault="00C310AB" w:rsidP="00174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Oxford Mini Dictionary &amp;Thesaurus( Oxford University Press)707. Available at www. Oxforddictionaries.com&gt; last accessed 24 April 2017.</w:t>
      </w:r>
    </w:p>
  </w:footnote>
  <w:footnote w:id="50">
    <w:p w14:paraId="5F3AB283" w14:textId="5F8B5768" w:rsidR="00C310AB" w:rsidRPr="00E76EA2" w:rsidRDefault="00C310AB" w:rsidP="00174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Jo-Anne </w:t>
      </w:r>
      <w:proofErr w:type="spellStart"/>
      <w:r w:rsidRPr="00E76EA2">
        <w:rPr>
          <w:sz w:val="20"/>
          <w:szCs w:val="20"/>
        </w:rPr>
        <w:t>Wemmers</w:t>
      </w:r>
      <w:proofErr w:type="spellEnd"/>
      <w:r w:rsidRPr="00E76EA2">
        <w:rPr>
          <w:sz w:val="20"/>
          <w:szCs w:val="20"/>
        </w:rPr>
        <w:t xml:space="preserve">, </w:t>
      </w:r>
      <w:r w:rsidRPr="00E76EA2">
        <w:rPr>
          <w:i/>
          <w:sz w:val="20"/>
          <w:szCs w:val="20"/>
        </w:rPr>
        <w:t xml:space="preserve">Victim in the Criminal Justice </w:t>
      </w:r>
      <w:r w:rsidRPr="00E76EA2">
        <w:rPr>
          <w:sz w:val="20"/>
          <w:szCs w:val="20"/>
        </w:rPr>
        <w:t>Systems (1</w:t>
      </w:r>
      <w:r w:rsidRPr="00E76EA2">
        <w:rPr>
          <w:sz w:val="20"/>
          <w:szCs w:val="20"/>
          <w:vertAlign w:val="superscript"/>
        </w:rPr>
        <w:t>st</w:t>
      </w:r>
      <w:r w:rsidRPr="00E76EA2">
        <w:rPr>
          <w:sz w:val="20"/>
          <w:szCs w:val="20"/>
        </w:rPr>
        <w:t xml:space="preserve"> Edition, Kluger Publications 1996) 39.</w:t>
      </w:r>
    </w:p>
  </w:footnote>
  <w:footnote w:id="51">
    <w:p w14:paraId="69DF44F9" w14:textId="77777777" w:rsidR="00C310AB" w:rsidRPr="00E76EA2" w:rsidRDefault="00C310AB" w:rsidP="00174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52">
    <w:p w14:paraId="2AF0CC1D" w14:textId="6C102C1A" w:rsidR="00C310AB" w:rsidRPr="00E76EA2" w:rsidRDefault="00C310AB" w:rsidP="00174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Dawn Watkins and Mandy Burton, ‘Introduction to Research Methods in Law’ in </w:t>
      </w:r>
      <w:r w:rsidRPr="00E76EA2">
        <w:rPr>
          <w:i/>
          <w:sz w:val="20"/>
          <w:szCs w:val="20"/>
        </w:rPr>
        <w:t>Research Methods in Law,</w:t>
      </w:r>
      <w:r w:rsidRPr="00E76EA2">
        <w:rPr>
          <w:sz w:val="20"/>
          <w:szCs w:val="20"/>
        </w:rPr>
        <w:t xml:space="preserve"> in Dawn Watkins and Mandy Burton (eds) (First published 2013, 1</w:t>
      </w:r>
      <w:r w:rsidRPr="00E76EA2">
        <w:rPr>
          <w:sz w:val="20"/>
          <w:szCs w:val="20"/>
          <w:vertAlign w:val="superscript"/>
        </w:rPr>
        <w:t>st</w:t>
      </w:r>
      <w:r w:rsidRPr="00E76EA2">
        <w:rPr>
          <w:sz w:val="20"/>
          <w:szCs w:val="20"/>
        </w:rPr>
        <w:t xml:space="preserve"> Edition, Routledge 2013)2.</w:t>
      </w:r>
    </w:p>
  </w:footnote>
  <w:footnote w:id="53">
    <w:p w14:paraId="72D34DD9" w14:textId="7E1B6527" w:rsidR="00C310AB" w:rsidRPr="00E76EA2" w:rsidRDefault="00C310AB" w:rsidP="008662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(n 51).</w:t>
      </w:r>
    </w:p>
  </w:footnote>
  <w:footnote w:id="54">
    <w:p w14:paraId="2CB9BD82" w14:textId="4EDA38B9" w:rsidR="00C310AB" w:rsidRPr="00E76EA2" w:rsidRDefault="00C310AB" w:rsidP="008662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Situation in the Republic of Mali, The Prosecutor v Ahmad AI </w:t>
      </w:r>
      <w:proofErr w:type="spellStart"/>
      <w:r w:rsidRPr="00E76EA2">
        <w:rPr>
          <w:sz w:val="20"/>
          <w:szCs w:val="20"/>
        </w:rPr>
        <w:t>Faqi</w:t>
      </w:r>
      <w:proofErr w:type="spellEnd"/>
      <w:r w:rsidRPr="00E76EA2">
        <w:rPr>
          <w:sz w:val="20"/>
          <w:szCs w:val="20"/>
        </w:rPr>
        <w:t xml:space="preserve"> Al- Mahdi, ICC-01/12-01/15-1-Red, 28 September 2015, Pre-Trial Chamber 1</w:t>
      </w:r>
      <w:r w:rsidR="008662D8">
        <w:rPr>
          <w:sz w:val="20"/>
          <w:szCs w:val="20"/>
        </w:rPr>
        <w:t xml:space="preserve"> </w:t>
      </w:r>
      <w:r w:rsidRPr="00E76EA2">
        <w:rPr>
          <w:sz w:val="20"/>
          <w:szCs w:val="20"/>
        </w:rPr>
        <w:t xml:space="preserve">Decision; Prosecutor v Ahmad </w:t>
      </w:r>
      <w:proofErr w:type="spellStart"/>
      <w:r w:rsidRPr="00E76EA2">
        <w:rPr>
          <w:sz w:val="20"/>
          <w:szCs w:val="20"/>
        </w:rPr>
        <w:t>Faqi</w:t>
      </w:r>
      <w:proofErr w:type="spellEnd"/>
      <w:r w:rsidRPr="00E76EA2">
        <w:rPr>
          <w:sz w:val="20"/>
          <w:szCs w:val="20"/>
        </w:rPr>
        <w:t xml:space="preserve"> Al- </w:t>
      </w:r>
      <w:proofErr w:type="spellStart"/>
      <w:r w:rsidRPr="00E76EA2">
        <w:rPr>
          <w:sz w:val="20"/>
          <w:szCs w:val="20"/>
        </w:rPr>
        <w:t>Mahdi,Case</w:t>
      </w:r>
      <w:proofErr w:type="spellEnd"/>
      <w:r w:rsidRPr="00E76EA2">
        <w:rPr>
          <w:sz w:val="20"/>
          <w:szCs w:val="20"/>
        </w:rPr>
        <w:t xml:space="preserve"> No.ICC-01/12-01/15, Judgment and Sentence , September 27 ,2016,  available at&lt; </w:t>
      </w:r>
      <w:hyperlink r:id="rId5" w:history="1">
        <w:r w:rsidRPr="00E76EA2">
          <w:rPr>
            <w:rStyle w:val="Hyperlink"/>
            <w:sz w:val="20"/>
            <w:szCs w:val="20"/>
          </w:rPr>
          <w:t>https://www.icc-cpi.int/CourtRecord/CR2016_07244.PDF</w:t>
        </w:r>
      </w:hyperlink>
      <w:r w:rsidRPr="00E76EA2">
        <w:rPr>
          <w:sz w:val="20"/>
          <w:szCs w:val="20"/>
        </w:rPr>
        <w:t>&gt;</w:t>
      </w:r>
    </w:p>
  </w:footnote>
  <w:footnote w:id="55">
    <w:p w14:paraId="5F3FAE37" w14:textId="26849037" w:rsidR="00C310AB" w:rsidRPr="00E76EA2" w:rsidRDefault="00C310AB" w:rsidP="008662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Central African Republic,  The Prosecutor v Jean-Pierre Bemba Gombo,ICC-01/05-01/08</w:t>
      </w:r>
    </w:p>
  </w:footnote>
  <w:footnote w:id="56">
    <w:p w14:paraId="72F88765" w14:textId="1DF6011E" w:rsidR="00C310AB" w:rsidRPr="00E76EA2" w:rsidRDefault="00C310AB" w:rsidP="007E3AE6">
      <w:pPr>
        <w:pStyle w:val="NoSpacing1"/>
        <w:spacing w:line="276" w:lineRule="auto"/>
        <w:rPr>
          <w:sz w:val="20"/>
          <w:szCs w:val="20"/>
        </w:rPr>
      </w:pPr>
      <w:r w:rsidRPr="00E76EA2">
        <w:rPr>
          <w:rStyle w:val="FootnoteReference"/>
          <w:sz w:val="20"/>
          <w:szCs w:val="20"/>
        </w:rPr>
        <w:footnoteRef/>
      </w:r>
      <w:r w:rsidRPr="00E76EA2">
        <w:rPr>
          <w:sz w:val="20"/>
          <w:szCs w:val="20"/>
        </w:rPr>
        <w:t xml:space="preserve"> Prosecutor v Ahmad  </w:t>
      </w:r>
      <w:proofErr w:type="spellStart"/>
      <w:r w:rsidRPr="00E76EA2">
        <w:rPr>
          <w:sz w:val="20"/>
          <w:szCs w:val="20"/>
        </w:rPr>
        <w:t>Faqi</w:t>
      </w:r>
      <w:proofErr w:type="spellEnd"/>
      <w:r w:rsidRPr="00E76EA2">
        <w:rPr>
          <w:sz w:val="20"/>
          <w:szCs w:val="20"/>
        </w:rPr>
        <w:t xml:space="preserve"> Al-Mahdi</w:t>
      </w:r>
    </w:p>
  </w:footnote>
  <w:footnote w:id="57">
    <w:p w14:paraId="71B17E17" w14:textId="18AF7149" w:rsidR="00C310AB" w:rsidRPr="00E76EA2" w:rsidRDefault="00C310AB" w:rsidP="007E3AE6">
      <w:pPr>
        <w:pStyle w:val="NoSpacing1"/>
        <w:spacing w:line="276" w:lineRule="auto"/>
        <w:rPr>
          <w:sz w:val="20"/>
          <w:szCs w:val="20"/>
        </w:rPr>
      </w:pPr>
      <w:r w:rsidRPr="00E76EA2">
        <w:rPr>
          <w:rStyle w:val="FootnoteReference"/>
          <w:sz w:val="20"/>
          <w:szCs w:val="20"/>
        </w:rPr>
        <w:footnoteRef/>
      </w:r>
      <w:r w:rsidRPr="00E76EA2">
        <w:rPr>
          <w:sz w:val="20"/>
          <w:szCs w:val="20"/>
        </w:rPr>
        <w:t xml:space="preserve"> Prosecutor v Ahmad  </w:t>
      </w:r>
      <w:proofErr w:type="spellStart"/>
      <w:r w:rsidRPr="00E76EA2">
        <w:rPr>
          <w:sz w:val="20"/>
          <w:szCs w:val="20"/>
        </w:rPr>
        <w:t>Faqi</w:t>
      </w:r>
      <w:proofErr w:type="spellEnd"/>
      <w:r w:rsidRPr="00E76EA2">
        <w:rPr>
          <w:sz w:val="20"/>
          <w:szCs w:val="20"/>
        </w:rPr>
        <w:t xml:space="preserve"> Al-Mahdi.</w:t>
      </w:r>
    </w:p>
  </w:footnote>
  <w:footnote w:id="58">
    <w:p w14:paraId="4931262D" w14:textId="7050E0B9" w:rsidR="00C310AB" w:rsidRPr="00E76EA2" w:rsidRDefault="00C310AB" w:rsidP="007E3AE6">
      <w:pPr>
        <w:pStyle w:val="NoSpacing1"/>
        <w:jc w:val="both"/>
        <w:rPr>
          <w:sz w:val="20"/>
          <w:szCs w:val="20"/>
        </w:rPr>
      </w:pPr>
      <w:r w:rsidRPr="00E76EA2">
        <w:rPr>
          <w:rStyle w:val="FootnoteReference"/>
          <w:sz w:val="20"/>
          <w:szCs w:val="20"/>
        </w:rPr>
        <w:footnoteRef/>
      </w:r>
      <w:r w:rsidRPr="00E76EA2">
        <w:rPr>
          <w:sz w:val="20"/>
          <w:szCs w:val="20"/>
        </w:rPr>
        <w:t xml:space="preserve"> Judith Green, Maria </w:t>
      </w:r>
      <w:proofErr w:type="spellStart"/>
      <w:r w:rsidRPr="00E76EA2">
        <w:rPr>
          <w:sz w:val="20"/>
          <w:szCs w:val="20"/>
        </w:rPr>
        <w:t>Franquiz</w:t>
      </w:r>
      <w:proofErr w:type="spellEnd"/>
      <w:r w:rsidRPr="00E76EA2">
        <w:rPr>
          <w:sz w:val="20"/>
          <w:szCs w:val="20"/>
        </w:rPr>
        <w:t xml:space="preserve"> and Carol Dixon, </w:t>
      </w:r>
      <w:r w:rsidR="007E3AE6">
        <w:rPr>
          <w:sz w:val="20"/>
          <w:szCs w:val="20"/>
        </w:rPr>
        <w:t>“</w:t>
      </w:r>
      <w:r w:rsidRPr="00E76EA2">
        <w:rPr>
          <w:sz w:val="20"/>
          <w:szCs w:val="20"/>
        </w:rPr>
        <w:t xml:space="preserve">The Myth of the Objective Transcript :Transcribing as a Situated Act” (1997) 31(1) </w:t>
      </w:r>
      <w:proofErr w:type="spellStart"/>
      <w:r w:rsidRPr="00E76EA2">
        <w:rPr>
          <w:i/>
          <w:iCs/>
          <w:sz w:val="20"/>
          <w:szCs w:val="20"/>
        </w:rPr>
        <w:t>Tesol</w:t>
      </w:r>
      <w:proofErr w:type="spellEnd"/>
      <w:r w:rsidRPr="00E76EA2">
        <w:rPr>
          <w:i/>
          <w:iCs/>
          <w:sz w:val="20"/>
          <w:szCs w:val="20"/>
        </w:rPr>
        <w:t xml:space="preserve"> Quarterly</w:t>
      </w:r>
      <w:r w:rsidRPr="00E76EA2">
        <w:rPr>
          <w:sz w:val="20"/>
          <w:szCs w:val="20"/>
        </w:rPr>
        <w:t xml:space="preserve"> ,172-176</w:t>
      </w:r>
      <w:r w:rsidR="007E3AE6">
        <w:rPr>
          <w:sz w:val="20"/>
          <w:szCs w:val="20"/>
        </w:rPr>
        <w:t>.</w:t>
      </w:r>
    </w:p>
  </w:footnote>
  <w:footnote w:id="59">
    <w:p w14:paraId="44BC0BB4" w14:textId="5C431976" w:rsidR="00C310AB" w:rsidRPr="00E76EA2" w:rsidRDefault="00C310AB" w:rsidP="007E3AE6">
      <w:pPr>
        <w:pStyle w:val="NoSpacing1"/>
        <w:jc w:val="both"/>
        <w:rPr>
          <w:sz w:val="20"/>
          <w:szCs w:val="20"/>
        </w:rPr>
      </w:pPr>
      <w:r w:rsidRPr="00E76EA2">
        <w:rPr>
          <w:rStyle w:val="FootnoteReference"/>
          <w:sz w:val="20"/>
          <w:szCs w:val="20"/>
        </w:rPr>
        <w:footnoteRef/>
      </w:r>
      <w:r w:rsidRPr="00E76EA2">
        <w:rPr>
          <w:sz w:val="20"/>
          <w:szCs w:val="20"/>
        </w:rPr>
        <w:t xml:space="preserve"> Judith Green, Maria </w:t>
      </w:r>
      <w:proofErr w:type="spellStart"/>
      <w:r w:rsidRPr="00E76EA2">
        <w:rPr>
          <w:sz w:val="20"/>
          <w:szCs w:val="20"/>
        </w:rPr>
        <w:t>Franquiz</w:t>
      </w:r>
      <w:proofErr w:type="spellEnd"/>
      <w:r w:rsidRPr="00E76EA2">
        <w:rPr>
          <w:sz w:val="20"/>
          <w:szCs w:val="20"/>
        </w:rPr>
        <w:t xml:space="preserve"> and Carol </w:t>
      </w:r>
      <w:proofErr w:type="spellStart"/>
      <w:r w:rsidRPr="00E76EA2">
        <w:rPr>
          <w:sz w:val="20"/>
          <w:szCs w:val="20"/>
        </w:rPr>
        <w:t>Dixon,”The</w:t>
      </w:r>
      <w:proofErr w:type="spellEnd"/>
      <w:r w:rsidRPr="00E76EA2">
        <w:rPr>
          <w:sz w:val="20"/>
          <w:szCs w:val="20"/>
        </w:rPr>
        <w:t xml:space="preserve"> Myth of the Objective Transcript :Transcribing as a Situated Act” (1997) 31(1) </w:t>
      </w:r>
      <w:proofErr w:type="spellStart"/>
      <w:r w:rsidRPr="00E76EA2">
        <w:rPr>
          <w:i/>
          <w:iCs/>
          <w:sz w:val="20"/>
          <w:szCs w:val="20"/>
        </w:rPr>
        <w:t>Tesol</w:t>
      </w:r>
      <w:proofErr w:type="spellEnd"/>
      <w:r w:rsidRPr="00E76EA2">
        <w:rPr>
          <w:i/>
          <w:iCs/>
          <w:sz w:val="20"/>
          <w:szCs w:val="20"/>
        </w:rPr>
        <w:t xml:space="preserve"> Quarterly</w:t>
      </w:r>
      <w:r w:rsidRPr="00E76EA2">
        <w:rPr>
          <w:sz w:val="20"/>
          <w:szCs w:val="20"/>
        </w:rPr>
        <w:t xml:space="preserve"> ,172-176</w:t>
      </w:r>
      <w:r w:rsidR="007E3AE6">
        <w:rPr>
          <w:sz w:val="20"/>
          <w:szCs w:val="20"/>
        </w:rPr>
        <w:t>.</w:t>
      </w:r>
    </w:p>
  </w:footnote>
  <w:footnote w:id="60">
    <w:p w14:paraId="3D363864" w14:textId="7F58F7CE" w:rsidR="00C310AB" w:rsidRPr="00E76EA2" w:rsidRDefault="00C310AB" w:rsidP="007E3AE6">
      <w:pPr>
        <w:pStyle w:val="NoSpacing1"/>
        <w:jc w:val="both"/>
        <w:rPr>
          <w:i/>
          <w:iCs/>
          <w:sz w:val="20"/>
          <w:szCs w:val="20"/>
        </w:rPr>
      </w:pPr>
      <w:r w:rsidRPr="00E76EA2">
        <w:rPr>
          <w:rStyle w:val="FootnoteReference"/>
          <w:sz w:val="20"/>
          <w:szCs w:val="20"/>
        </w:rPr>
        <w:footnoteRef/>
      </w:r>
      <w:r w:rsidRPr="00E76EA2">
        <w:rPr>
          <w:sz w:val="20"/>
          <w:szCs w:val="20"/>
        </w:rPr>
        <w:t xml:space="preserve"> Elinor Ochs, Transcription as Theory</w:t>
      </w:r>
      <w:r w:rsidRPr="00E76EA2">
        <w:rPr>
          <w:i/>
          <w:iCs/>
          <w:sz w:val="20"/>
          <w:szCs w:val="20"/>
        </w:rPr>
        <w:t xml:space="preserve"> </w:t>
      </w:r>
      <w:r w:rsidRPr="00E76EA2">
        <w:rPr>
          <w:sz w:val="20"/>
          <w:szCs w:val="20"/>
        </w:rPr>
        <w:t xml:space="preserve">in  Elinor Ochs and Bambi </w:t>
      </w:r>
      <w:proofErr w:type="spellStart"/>
      <w:r w:rsidRPr="00E76EA2">
        <w:rPr>
          <w:sz w:val="20"/>
          <w:szCs w:val="20"/>
        </w:rPr>
        <w:t>Schiefflin</w:t>
      </w:r>
      <w:proofErr w:type="spellEnd"/>
      <w:r w:rsidRPr="00E76EA2">
        <w:rPr>
          <w:sz w:val="20"/>
          <w:szCs w:val="20"/>
        </w:rPr>
        <w:t xml:space="preserve">  (eds),</w:t>
      </w:r>
      <w:r w:rsidRPr="00E76EA2">
        <w:rPr>
          <w:i/>
          <w:iCs/>
          <w:sz w:val="20"/>
          <w:szCs w:val="20"/>
        </w:rPr>
        <w:t xml:space="preserve"> Developmental Pragmatics </w:t>
      </w:r>
      <w:r w:rsidRPr="00E76EA2">
        <w:rPr>
          <w:sz w:val="20"/>
          <w:szCs w:val="20"/>
        </w:rPr>
        <w:t xml:space="preserve"> (New York 1979)43-72.</w:t>
      </w:r>
      <w:r w:rsidRPr="00E76EA2">
        <w:rPr>
          <w:i/>
          <w:iCs/>
          <w:sz w:val="20"/>
          <w:szCs w:val="20"/>
        </w:rPr>
        <w:t xml:space="preserve"> </w:t>
      </w:r>
    </w:p>
  </w:footnote>
  <w:footnote w:id="61">
    <w:p w14:paraId="60BC2C2A" w14:textId="74F34B1B" w:rsidR="00C310AB" w:rsidRPr="00E76EA2" w:rsidRDefault="00C310AB" w:rsidP="007E3AE6">
      <w:pPr>
        <w:pStyle w:val="NoSpacing1"/>
        <w:jc w:val="both"/>
        <w:rPr>
          <w:i/>
          <w:iCs/>
          <w:sz w:val="20"/>
          <w:szCs w:val="20"/>
        </w:rPr>
      </w:pPr>
      <w:r w:rsidRPr="00E76EA2">
        <w:rPr>
          <w:rStyle w:val="FootnoteReference"/>
          <w:sz w:val="20"/>
          <w:szCs w:val="20"/>
        </w:rPr>
        <w:footnoteRef/>
      </w:r>
      <w:r w:rsidRPr="00E76EA2">
        <w:rPr>
          <w:sz w:val="20"/>
          <w:szCs w:val="20"/>
        </w:rPr>
        <w:t xml:space="preserve"> Douglas </w:t>
      </w:r>
      <w:proofErr w:type="spellStart"/>
      <w:r w:rsidRPr="00E76EA2">
        <w:rPr>
          <w:sz w:val="20"/>
          <w:szCs w:val="20"/>
        </w:rPr>
        <w:t>Ezzy,</w:t>
      </w:r>
      <w:r w:rsidRPr="00E76EA2">
        <w:rPr>
          <w:i/>
          <w:iCs/>
          <w:sz w:val="20"/>
          <w:szCs w:val="20"/>
        </w:rPr>
        <w:t>Qualitative</w:t>
      </w:r>
      <w:proofErr w:type="spellEnd"/>
      <w:r w:rsidRPr="00E76EA2">
        <w:rPr>
          <w:i/>
          <w:iCs/>
          <w:sz w:val="20"/>
          <w:szCs w:val="20"/>
        </w:rPr>
        <w:t xml:space="preserve"> Analysis </w:t>
      </w:r>
      <w:r w:rsidRPr="00E76EA2">
        <w:rPr>
          <w:sz w:val="20"/>
          <w:szCs w:val="20"/>
        </w:rPr>
        <w:t xml:space="preserve">:Practice and Innovation (Routledge 2002);Theophilus </w:t>
      </w:r>
      <w:proofErr w:type="spellStart"/>
      <w:r w:rsidRPr="00E76EA2">
        <w:rPr>
          <w:sz w:val="20"/>
          <w:szCs w:val="20"/>
        </w:rPr>
        <w:t>Azungah</w:t>
      </w:r>
      <w:proofErr w:type="spellEnd"/>
      <w:r w:rsidRPr="00E76EA2">
        <w:rPr>
          <w:sz w:val="20"/>
          <w:szCs w:val="20"/>
        </w:rPr>
        <w:t xml:space="preserve">, ‘Qualitative Research :deductive and inductive approaches to data analysis’(2018) 18(4) </w:t>
      </w:r>
      <w:r w:rsidRPr="00E76EA2">
        <w:rPr>
          <w:i/>
          <w:iCs/>
          <w:sz w:val="20"/>
          <w:szCs w:val="20"/>
        </w:rPr>
        <w:t>Qualitative Research Journal ,</w:t>
      </w:r>
      <w:r w:rsidRPr="007E3AE6">
        <w:rPr>
          <w:sz w:val="20"/>
          <w:szCs w:val="20"/>
        </w:rPr>
        <w:t>383-400</w:t>
      </w:r>
      <w:r w:rsidR="007E3AE6">
        <w:rPr>
          <w:i/>
          <w:iCs/>
          <w:sz w:val="20"/>
          <w:szCs w:val="20"/>
        </w:rPr>
        <w:t>.</w:t>
      </w:r>
    </w:p>
  </w:footnote>
  <w:footnote w:id="62">
    <w:p w14:paraId="63828611" w14:textId="349534D5" w:rsidR="00C310AB" w:rsidRPr="00E76EA2" w:rsidRDefault="00C310AB" w:rsidP="007E3AE6">
      <w:pPr>
        <w:pStyle w:val="NoSpacing1"/>
        <w:jc w:val="both"/>
        <w:rPr>
          <w:sz w:val="20"/>
          <w:szCs w:val="20"/>
        </w:rPr>
      </w:pPr>
      <w:r w:rsidRPr="00E76EA2">
        <w:rPr>
          <w:rStyle w:val="FootnoteReference"/>
          <w:sz w:val="20"/>
          <w:szCs w:val="20"/>
        </w:rPr>
        <w:footnoteRef/>
      </w:r>
      <w:r w:rsidRPr="00E76EA2">
        <w:rPr>
          <w:sz w:val="20"/>
          <w:szCs w:val="20"/>
        </w:rPr>
        <w:t xml:space="preserve"> Christian Herzog, Christian </w:t>
      </w:r>
      <w:proofErr w:type="spellStart"/>
      <w:r w:rsidRPr="00E76EA2">
        <w:rPr>
          <w:sz w:val="20"/>
          <w:szCs w:val="20"/>
        </w:rPr>
        <w:t>Handke</w:t>
      </w:r>
      <w:proofErr w:type="spellEnd"/>
      <w:r w:rsidRPr="00E76EA2">
        <w:rPr>
          <w:sz w:val="20"/>
          <w:szCs w:val="20"/>
        </w:rPr>
        <w:t xml:space="preserve"> and Erik Hitters, “Analysing Talk and Text </w:t>
      </w:r>
      <w:proofErr w:type="spellStart"/>
      <w:r w:rsidRPr="00E76EA2">
        <w:rPr>
          <w:sz w:val="20"/>
          <w:szCs w:val="20"/>
        </w:rPr>
        <w:t>II:Thematic</w:t>
      </w:r>
      <w:proofErr w:type="spellEnd"/>
      <w:r w:rsidRPr="00E76EA2">
        <w:rPr>
          <w:sz w:val="20"/>
          <w:szCs w:val="20"/>
        </w:rPr>
        <w:t xml:space="preserve"> Analysis In Puppis Manuel , Karen Donders , </w:t>
      </w:r>
      <w:proofErr w:type="spellStart"/>
      <w:r w:rsidRPr="00E76EA2">
        <w:rPr>
          <w:sz w:val="20"/>
          <w:szCs w:val="20"/>
        </w:rPr>
        <w:t>Micova</w:t>
      </w:r>
      <w:proofErr w:type="spellEnd"/>
      <w:r w:rsidRPr="00E76EA2">
        <w:rPr>
          <w:sz w:val="20"/>
          <w:szCs w:val="20"/>
        </w:rPr>
        <w:t xml:space="preserve"> Broughton and Frank </w:t>
      </w:r>
      <w:proofErr w:type="spellStart"/>
      <w:r w:rsidRPr="00E76EA2">
        <w:rPr>
          <w:sz w:val="20"/>
          <w:szCs w:val="20"/>
        </w:rPr>
        <w:t>Esser</w:t>
      </w:r>
      <w:proofErr w:type="spellEnd"/>
      <w:r w:rsidRPr="00E76EA2">
        <w:rPr>
          <w:sz w:val="20"/>
          <w:szCs w:val="20"/>
        </w:rPr>
        <w:t xml:space="preserve"> (Eds) In </w:t>
      </w:r>
      <w:r w:rsidRPr="00E76EA2">
        <w:rPr>
          <w:i/>
          <w:iCs/>
          <w:sz w:val="20"/>
          <w:szCs w:val="20"/>
        </w:rPr>
        <w:t xml:space="preserve">The Palgrave Handbook of Methods for Media Policy Research </w:t>
      </w:r>
      <w:r w:rsidRPr="00E76EA2">
        <w:rPr>
          <w:sz w:val="20"/>
          <w:szCs w:val="20"/>
        </w:rPr>
        <w:t xml:space="preserve">(Palgrave Macmillan 2019)161-177; Virginia Braun and Victoria Clarke, </w:t>
      </w:r>
      <w:r w:rsidRPr="00E76EA2">
        <w:rPr>
          <w:i/>
          <w:iCs/>
          <w:sz w:val="20"/>
          <w:szCs w:val="20"/>
        </w:rPr>
        <w:t>Successful Qualitative Research :A Practical Guide for Beginners</w:t>
      </w:r>
      <w:r w:rsidRPr="00E76EA2">
        <w:rPr>
          <w:sz w:val="20"/>
          <w:szCs w:val="20"/>
        </w:rPr>
        <w:t>(Sage 2013)45-50</w:t>
      </w:r>
      <w:r w:rsidR="007E3AE6">
        <w:rPr>
          <w:sz w:val="20"/>
          <w:szCs w:val="20"/>
        </w:rPr>
        <w:t>.</w:t>
      </w:r>
    </w:p>
  </w:footnote>
  <w:footnote w:id="63">
    <w:p w14:paraId="0CEFA7BF" w14:textId="3654F978" w:rsidR="00C310AB" w:rsidRPr="00E76EA2" w:rsidRDefault="00C310AB" w:rsidP="007E3AE6">
      <w:pPr>
        <w:pStyle w:val="NoSpacing1"/>
        <w:jc w:val="both"/>
        <w:rPr>
          <w:sz w:val="20"/>
          <w:szCs w:val="20"/>
        </w:rPr>
      </w:pPr>
      <w:r w:rsidRPr="00E76EA2">
        <w:rPr>
          <w:rStyle w:val="FootnoteReference"/>
          <w:sz w:val="20"/>
          <w:szCs w:val="20"/>
        </w:rPr>
        <w:footnoteRef/>
      </w:r>
      <w:r w:rsidRPr="00E76EA2">
        <w:rPr>
          <w:sz w:val="20"/>
          <w:szCs w:val="20"/>
        </w:rPr>
        <w:t xml:space="preserve">  Virginia Braun and Victoria Clarke, “Using thematic analysis in psychology” (2008) 3(2) </w:t>
      </w:r>
      <w:r w:rsidRPr="00E76EA2">
        <w:rPr>
          <w:i/>
          <w:iCs/>
          <w:sz w:val="20"/>
          <w:szCs w:val="20"/>
        </w:rPr>
        <w:t xml:space="preserve">Qualitative Research in </w:t>
      </w:r>
      <w:proofErr w:type="spellStart"/>
      <w:r w:rsidRPr="00E76EA2">
        <w:rPr>
          <w:i/>
          <w:iCs/>
          <w:sz w:val="20"/>
          <w:szCs w:val="20"/>
        </w:rPr>
        <w:t>Pyschology</w:t>
      </w:r>
      <w:proofErr w:type="spellEnd"/>
      <w:r w:rsidRPr="00E76EA2">
        <w:rPr>
          <w:sz w:val="20"/>
          <w:szCs w:val="20"/>
        </w:rPr>
        <w:t>, 77-101;Alan Bryman and Robert Burgess, Analysing qualitative data(London Routledge 1994)</w:t>
      </w:r>
      <w:r w:rsidR="007E3AE6">
        <w:rPr>
          <w:sz w:val="20"/>
          <w:szCs w:val="20"/>
        </w:rPr>
        <w:t>.</w:t>
      </w:r>
    </w:p>
  </w:footnote>
  <w:footnote w:id="64">
    <w:p w14:paraId="6D4F2D11" w14:textId="50019EA2" w:rsidR="00C310AB" w:rsidRPr="00E76EA2" w:rsidRDefault="00C310AB" w:rsidP="00B902D4">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William </w:t>
      </w:r>
      <w:proofErr w:type="spellStart"/>
      <w:r w:rsidRPr="00E76EA2">
        <w:rPr>
          <w:sz w:val="20"/>
          <w:szCs w:val="20"/>
        </w:rPr>
        <w:t>Labov</w:t>
      </w:r>
      <w:proofErr w:type="spellEnd"/>
      <w:r w:rsidRPr="00E76EA2">
        <w:rPr>
          <w:sz w:val="20"/>
          <w:szCs w:val="20"/>
        </w:rPr>
        <w:t xml:space="preserve"> and Joshua </w:t>
      </w:r>
      <w:proofErr w:type="spellStart"/>
      <w:r w:rsidRPr="00E76EA2">
        <w:rPr>
          <w:sz w:val="20"/>
          <w:szCs w:val="20"/>
        </w:rPr>
        <w:t>Waletzky</w:t>
      </w:r>
      <w:proofErr w:type="spellEnd"/>
      <w:r w:rsidRPr="00E76EA2">
        <w:rPr>
          <w:sz w:val="20"/>
          <w:szCs w:val="20"/>
        </w:rPr>
        <w:t xml:space="preserve">, ‘Narrative </w:t>
      </w:r>
      <w:proofErr w:type="spellStart"/>
      <w:r w:rsidRPr="00E76EA2">
        <w:rPr>
          <w:sz w:val="20"/>
          <w:szCs w:val="20"/>
        </w:rPr>
        <w:t>Analysis:Oral</w:t>
      </w:r>
      <w:proofErr w:type="spellEnd"/>
      <w:r w:rsidRPr="00E76EA2">
        <w:rPr>
          <w:sz w:val="20"/>
          <w:szCs w:val="20"/>
        </w:rPr>
        <w:t xml:space="preserve"> Versions of Personal Experience’(1997) 7(1) </w:t>
      </w:r>
      <w:r w:rsidRPr="00E76EA2">
        <w:rPr>
          <w:i/>
          <w:iCs/>
          <w:sz w:val="20"/>
          <w:szCs w:val="20"/>
        </w:rPr>
        <w:t>Journal of Narrative and Life History,3-38.</w:t>
      </w:r>
    </w:p>
  </w:footnote>
  <w:footnote w:id="65">
    <w:p w14:paraId="758D3C94" w14:textId="0D28A089" w:rsidR="00C310AB" w:rsidRPr="00E76EA2" w:rsidRDefault="00C310AB" w:rsidP="00B902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6">
    <w:p w14:paraId="25D96226" w14:textId="124B3B3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Elfriede </w:t>
      </w:r>
      <w:proofErr w:type="spellStart"/>
      <w:r w:rsidRPr="00E76EA2">
        <w:rPr>
          <w:sz w:val="20"/>
          <w:szCs w:val="20"/>
        </w:rPr>
        <w:t>Fursich</w:t>
      </w:r>
      <w:proofErr w:type="spellEnd"/>
      <w:r w:rsidRPr="00E76EA2">
        <w:rPr>
          <w:sz w:val="20"/>
          <w:szCs w:val="20"/>
        </w:rPr>
        <w:t>, Textual Analysis and Communication ;Roland Barthes</w:t>
      </w:r>
      <w:r w:rsidRPr="00E76EA2">
        <w:rPr>
          <w:i/>
          <w:iCs/>
          <w:sz w:val="20"/>
          <w:szCs w:val="20"/>
        </w:rPr>
        <w:t>, Mythologies</w:t>
      </w:r>
      <w:r w:rsidRPr="00E76EA2">
        <w:rPr>
          <w:sz w:val="20"/>
          <w:szCs w:val="20"/>
        </w:rPr>
        <w:t xml:space="preserve">(New </w:t>
      </w:r>
      <w:proofErr w:type="spellStart"/>
      <w:r w:rsidRPr="00E76EA2">
        <w:rPr>
          <w:sz w:val="20"/>
          <w:szCs w:val="20"/>
        </w:rPr>
        <w:t>York:Hill</w:t>
      </w:r>
      <w:proofErr w:type="spellEnd"/>
      <w:r w:rsidRPr="00E76EA2">
        <w:rPr>
          <w:sz w:val="20"/>
          <w:szCs w:val="20"/>
        </w:rPr>
        <w:t xml:space="preserve"> and Wang 2013)</w:t>
      </w:r>
    </w:p>
  </w:footnote>
  <w:footnote w:id="67">
    <w:p w14:paraId="4B11F9A8" w14:textId="133F7D98"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of Evidence and Procedure, Rule 85</w:t>
      </w:r>
    </w:p>
  </w:footnote>
  <w:footnote w:id="68">
    <w:p w14:paraId="387538A2" w14:textId="0E3D3C07"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Democratic Republic of Congo, Pre-Trial Chamber 1 Decision , 17 August 2007, ICC-01/04-374</w:t>
      </w:r>
    </w:p>
  </w:footnote>
  <w:footnote w:id="69">
    <w:p w14:paraId="0D0BB022" w14:textId="2F798C62"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0">
    <w:p w14:paraId="1DB15369" w14:textId="0BBDF9C9" w:rsidR="00C310AB" w:rsidRPr="00E76EA2" w:rsidRDefault="00C310AB" w:rsidP="007F580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w:t>
      </w:r>
      <w:r w:rsidRPr="00E76EA2">
        <w:rPr>
          <w:sz w:val="20"/>
          <w:szCs w:val="20"/>
        </w:rPr>
        <w:t xml:space="preserve">Sarah </w:t>
      </w:r>
      <w:proofErr w:type="spellStart"/>
      <w:r w:rsidRPr="00E76EA2">
        <w:rPr>
          <w:sz w:val="20"/>
          <w:szCs w:val="20"/>
          <w:lang w:val="en-US"/>
        </w:rPr>
        <w:t>Pritchet</w:t>
      </w:r>
      <w:proofErr w:type="spellEnd"/>
      <w:r w:rsidRPr="00E76EA2">
        <w:rPr>
          <w:sz w:val="20"/>
          <w:szCs w:val="20"/>
          <w:lang w:val="en-US"/>
        </w:rPr>
        <w:t xml:space="preserve">,  ‘Entrenched hegemony, efficient procedure , or selective justice ? </w:t>
      </w:r>
      <w:proofErr w:type="spellStart"/>
      <w:r w:rsidRPr="00E76EA2">
        <w:rPr>
          <w:sz w:val="20"/>
          <w:szCs w:val="20"/>
          <w:lang w:val="en-US"/>
        </w:rPr>
        <w:t>A</w:t>
      </w:r>
      <w:proofErr w:type="spellEnd"/>
      <w:r w:rsidRPr="00E76EA2">
        <w:rPr>
          <w:sz w:val="20"/>
          <w:szCs w:val="20"/>
          <w:lang w:val="en-US"/>
        </w:rPr>
        <w:t xml:space="preserve"> Inquiry into charges for gender-based violence at the International Criminal Court(2008) 17(1</w:t>
      </w:r>
      <w:r w:rsidRPr="00E76EA2">
        <w:rPr>
          <w:i/>
          <w:iCs/>
          <w:sz w:val="20"/>
          <w:szCs w:val="20"/>
          <w:lang w:val="en-US"/>
        </w:rPr>
        <w:t>) Transnational Law and Contemporary Problems</w:t>
      </w:r>
      <w:r w:rsidRPr="00E76EA2">
        <w:rPr>
          <w:sz w:val="20"/>
          <w:szCs w:val="20"/>
          <w:lang w:val="en-US"/>
        </w:rPr>
        <w:t xml:space="preserve"> ,265-305. Luc Cote, Reflections on the exercise  of prosecutorial discretion in international law(2005) 3(10)</w:t>
      </w:r>
      <w:r w:rsidRPr="00E76EA2">
        <w:rPr>
          <w:i/>
          <w:iCs/>
          <w:sz w:val="20"/>
          <w:szCs w:val="20"/>
          <w:lang w:val="en-US"/>
        </w:rPr>
        <w:t>International Criminal Justice</w:t>
      </w:r>
      <w:r w:rsidRPr="00E76EA2">
        <w:rPr>
          <w:sz w:val="20"/>
          <w:szCs w:val="20"/>
          <w:lang w:val="en-US"/>
        </w:rPr>
        <w:t>,162-186</w:t>
      </w:r>
    </w:p>
  </w:footnote>
  <w:footnote w:id="71">
    <w:p w14:paraId="36D9A6CE" w14:textId="77777777"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72">
    <w:p w14:paraId="3949E449" w14:textId="50ABCFB1" w:rsidR="00C310AB" w:rsidRPr="00E76EA2" w:rsidRDefault="00C310AB" w:rsidP="007F5804">
      <w:pPr>
        <w:pStyle w:val="NoSpacing1"/>
        <w:spacing w:line="276" w:lineRule="auto"/>
        <w:jc w:val="both"/>
        <w:rPr>
          <w:iCs/>
          <w:sz w:val="20"/>
          <w:szCs w:val="20"/>
          <w:lang w:val="en-US"/>
        </w:rPr>
      </w:pPr>
      <w:r w:rsidRPr="00E76EA2">
        <w:rPr>
          <w:rStyle w:val="FootnoteReference"/>
          <w:sz w:val="20"/>
          <w:szCs w:val="20"/>
        </w:rPr>
        <w:footnoteRef/>
      </w:r>
      <w:r w:rsidRPr="00E76EA2">
        <w:rPr>
          <w:sz w:val="20"/>
          <w:szCs w:val="20"/>
        </w:rPr>
        <w:t xml:space="preserve"> Salvatore </w:t>
      </w:r>
      <w:proofErr w:type="spellStart"/>
      <w:r w:rsidRPr="00E76EA2">
        <w:rPr>
          <w:sz w:val="20"/>
          <w:szCs w:val="20"/>
        </w:rPr>
        <w:t>Zappala,’The</w:t>
      </w:r>
      <w:proofErr w:type="spellEnd"/>
      <w:r w:rsidRPr="00E76EA2">
        <w:rPr>
          <w:sz w:val="20"/>
          <w:szCs w:val="20"/>
        </w:rPr>
        <w:t xml:space="preserve"> Rights of Victims </w:t>
      </w:r>
      <w:proofErr w:type="spellStart"/>
      <w:r w:rsidRPr="00E76EA2">
        <w:rPr>
          <w:sz w:val="20"/>
          <w:szCs w:val="20"/>
        </w:rPr>
        <w:t>v.the</w:t>
      </w:r>
      <w:proofErr w:type="spellEnd"/>
      <w:r w:rsidRPr="00E76EA2">
        <w:rPr>
          <w:sz w:val="20"/>
          <w:szCs w:val="20"/>
        </w:rPr>
        <w:t xml:space="preserve"> rights of the accused (2010) 8(137) </w:t>
      </w:r>
      <w:r w:rsidRPr="00E76EA2">
        <w:rPr>
          <w:i/>
          <w:sz w:val="20"/>
          <w:szCs w:val="20"/>
        </w:rPr>
        <w:t>Journal of International Criminal Justice,</w:t>
      </w:r>
      <w:r w:rsidRPr="00E76EA2">
        <w:rPr>
          <w:iCs/>
          <w:sz w:val="20"/>
          <w:szCs w:val="20"/>
        </w:rPr>
        <w:t>137-164.</w:t>
      </w:r>
    </w:p>
  </w:footnote>
  <w:footnote w:id="73">
    <w:p w14:paraId="62C7A4F3" w14:textId="77777777"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4">
    <w:p w14:paraId="2F5E6B74" w14:textId="75892CFA" w:rsidR="00C310AB" w:rsidRPr="00E76EA2" w:rsidRDefault="00C310AB" w:rsidP="007F5804">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Nils Christie,  “The Ideal Victim” in </w:t>
      </w:r>
      <w:proofErr w:type="spellStart"/>
      <w:r w:rsidRPr="00E76EA2">
        <w:rPr>
          <w:sz w:val="20"/>
          <w:szCs w:val="20"/>
        </w:rPr>
        <w:t>Ezzah</w:t>
      </w:r>
      <w:proofErr w:type="spellEnd"/>
      <w:r w:rsidRPr="00E76EA2">
        <w:rPr>
          <w:sz w:val="20"/>
          <w:szCs w:val="20"/>
        </w:rPr>
        <w:t xml:space="preserve"> Fattah ed.  </w:t>
      </w:r>
      <w:r w:rsidRPr="00E76EA2">
        <w:rPr>
          <w:i/>
          <w:sz w:val="20"/>
          <w:szCs w:val="20"/>
        </w:rPr>
        <w:t>Crime Policy to Victim policy, (</w:t>
      </w:r>
      <w:r w:rsidRPr="00E76EA2">
        <w:rPr>
          <w:iCs/>
          <w:sz w:val="20"/>
          <w:szCs w:val="20"/>
        </w:rPr>
        <w:t>Macmillan, 1986)18.</w:t>
      </w:r>
    </w:p>
  </w:footnote>
  <w:footnote w:id="75">
    <w:p w14:paraId="544D1117" w14:textId="30E0FD7E" w:rsidR="00C310AB" w:rsidRPr="00E76EA2" w:rsidRDefault="00C310AB" w:rsidP="007F5804">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Ibid</w:t>
      </w:r>
    </w:p>
  </w:footnote>
  <w:footnote w:id="76">
    <w:p w14:paraId="2B9571EE" w14:textId="77777777"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77">
    <w:p w14:paraId="1F407162" w14:textId="77777777"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8">
    <w:p w14:paraId="064A7FBE" w14:textId="77777777" w:rsidR="00C310AB" w:rsidRPr="00E76EA2" w:rsidRDefault="00C310AB" w:rsidP="007F580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85</w:t>
      </w:r>
    </w:p>
    <w:p w14:paraId="731345E8" w14:textId="77777777" w:rsidR="00C310AB" w:rsidRPr="00E76EA2" w:rsidRDefault="00C310AB" w:rsidP="007F5804">
      <w:pPr>
        <w:pStyle w:val="NoSpacing1"/>
        <w:spacing w:line="276" w:lineRule="auto"/>
        <w:jc w:val="both"/>
        <w:rPr>
          <w:sz w:val="20"/>
          <w:szCs w:val="20"/>
        </w:rPr>
      </w:pPr>
    </w:p>
  </w:footnote>
  <w:footnote w:id="79">
    <w:p w14:paraId="0C076EE4" w14:textId="1289996C" w:rsidR="00C310AB" w:rsidRPr="00E76EA2" w:rsidRDefault="00C310AB" w:rsidP="006A3F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Mattew</w:t>
      </w:r>
      <w:proofErr w:type="spellEnd"/>
      <w:r w:rsidRPr="00E76EA2">
        <w:rPr>
          <w:sz w:val="20"/>
          <w:szCs w:val="20"/>
        </w:rPr>
        <w:t xml:space="preserve"> Hall, </w:t>
      </w:r>
      <w:r w:rsidRPr="00E76EA2">
        <w:rPr>
          <w:i/>
          <w:iCs/>
          <w:sz w:val="20"/>
          <w:szCs w:val="20"/>
        </w:rPr>
        <w:t>Victims and Policy-Making :A Comparative Perspective</w:t>
      </w:r>
      <w:r w:rsidRPr="00E76EA2">
        <w:rPr>
          <w:sz w:val="20"/>
          <w:szCs w:val="20"/>
        </w:rPr>
        <w:t xml:space="preserve"> (1</w:t>
      </w:r>
      <w:r w:rsidRPr="00E76EA2">
        <w:rPr>
          <w:sz w:val="20"/>
          <w:szCs w:val="20"/>
          <w:vertAlign w:val="superscript"/>
        </w:rPr>
        <w:t>ST</w:t>
      </w:r>
      <w:r w:rsidRPr="00E76EA2">
        <w:rPr>
          <w:sz w:val="20"/>
          <w:szCs w:val="20"/>
        </w:rPr>
        <w:t xml:space="preserve"> Edition ,Routledge 2010)</w:t>
      </w:r>
    </w:p>
  </w:footnote>
  <w:footnote w:id="80">
    <w:p w14:paraId="1435DAC0" w14:textId="118857E0" w:rsidR="00C310AB" w:rsidRPr="00E76EA2" w:rsidRDefault="00C310AB" w:rsidP="006A3F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Robert Elias, </w:t>
      </w:r>
      <w:r w:rsidRPr="00E76EA2">
        <w:rPr>
          <w:i/>
          <w:sz w:val="20"/>
          <w:szCs w:val="20"/>
        </w:rPr>
        <w:t xml:space="preserve">The Politics of </w:t>
      </w:r>
      <w:proofErr w:type="spellStart"/>
      <w:r w:rsidRPr="00E76EA2">
        <w:rPr>
          <w:i/>
          <w:sz w:val="20"/>
          <w:szCs w:val="20"/>
        </w:rPr>
        <w:t>Victimisation:Victims</w:t>
      </w:r>
      <w:proofErr w:type="spellEnd"/>
      <w:r w:rsidRPr="00E76EA2">
        <w:rPr>
          <w:i/>
          <w:sz w:val="20"/>
          <w:szCs w:val="20"/>
        </w:rPr>
        <w:t>, Victimology and Human Rights</w:t>
      </w:r>
      <w:r w:rsidRPr="00E76EA2">
        <w:rPr>
          <w:sz w:val="20"/>
          <w:szCs w:val="20"/>
        </w:rPr>
        <w:t xml:space="preserve">(Oxford University Press  1986)21;Paul Rock, </w:t>
      </w:r>
      <w:r w:rsidRPr="00E76EA2">
        <w:rPr>
          <w:i/>
          <w:iCs/>
          <w:sz w:val="20"/>
          <w:szCs w:val="20"/>
        </w:rPr>
        <w:t>Helping Victims of Crime</w:t>
      </w:r>
      <w:r w:rsidRPr="00E76EA2">
        <w:rPr>
          <w:sz w:val="20"/>
          <w:szCs w:val="20"/>
        </w:rPr>
        <w:t xml:space="preserve"> (</w:t>
      </w:r>
      <w:proofErr w:type="spellStart"/>
      <w:r w:rsidRPr="00E76EA2">
        <w:rPr>
          <w:sz w:val="20"/>
          <w:szCs w:val="20"/>
        </w:rPr>
        <w:t>Claren</w:t>
      </w:r>
      <w:proofErr w:type="spellEnd"/>
      <w:r w:rsidRPr="00E76EA2">
        <w:rPr>
          <w:sz w:val="20"/>
          <w:szCs w:val="20"/>
        </w:rPr>
        <w:t xml:space="preserve"> Press 1990)262-265</w:t>
      </w:r>
    </w:p>
  </w:footnote>
  <w:footnote w:id="81">
    <w:p w14:paraId="7115BAE2" w14:textId="36B57DF4" w:rsidR="00C310AB" w:rsidRPr="00E76EA2" w:rsidRDefault="00C310AB" w:rsidP="006A3F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79.</w:t>
      </w:r>
    </w:p>
  </w:footnote>
  <w:footnote w:id="82">
    <w:p w14:paraId="69AF66B6" w14:textId="2DFC774A" w:rsidR="00C310AB" w:rsidRPr="00E76EA2" w:rsidRDefault="00C310AB" w:rsidP="006A3F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.Dominic </w:t>
      </w:r>
      <w:proofErr w:type="spellStart"/>
      <w:r w:rsidRPr="00E76EA2">
        <w:rPr>
          <w:sz w:val="20"/>
          <w:szCs w:val="20"/>
        </w:rPr>
        <w:t>Ongwen</w:t>
      </w:r>
      <w:proofErr w:type="spellEnd"/>
      <w:r w:rsidRPr="00E76EA2">
        <w:rPr>
          <w:sz w:val="20"/>
          <w:szCs w:val="20"/>
        </w:rPr>
        <w:t xml:space="preserve">, ‘Alleged crimes(non-exhaustive list)’ accessible at &lt; https://www.icc-cpi.int/uganda/ongwen/pages/alleged-crimes.aspx &gt; last accessed 03 December 2019; Open Society Justice Initiative, The Trial of Dominic </w:t>
      </w:r>
      <w:proofErr w:type="spellStart"/>
      <w:r w:rsidRPr="00E76EA2">
        <w:rPr>
          <w:sz w:val="20"/>
          <w:szCs w:val="20"/>
        </w:rPr>
        <w:t>Ongwen</w:t>
      </w:r>
      <w:proofErr w:type="spellEnd"/>
      <w:r w:rsidRPr="00E76EA2">
        <w:rPr>
          <w:sz w:val="20"/>
          <w:szCs w:val="20"/>
        </w:rPr>
        <w:t xml:space="preserve"> at the International Criminal Court, accessible at </w:t>
      </w:r>
      <w:hyperlink r:id="rId6" w:history="1">
        <w:r w:rsidRPr="00E76EA2">
          <w:rPr>
            <w:rStyle w:val="Hyperlink"/>
            <w:rFonts w:eastAsiaTheme="majorEastAsia"/>
            <w:sz w:val="20"/>
            <w:szCs w:val="20"/>
          </w:rPr>
          <w:t xml:space="preserve">The Trial of Dominic </w:t>
        </w:r>
        <w:proofErr w:type="spellStart"/>
        <w:r w:rsidRPr="00E76EA2">
          <w:rPr>
            <w:rStyle w:val="Hyperlink"/>
            <w:rFonts w:eastAsiaTheme="majorEastAsia"/>
            <w:sz w:val="20"/>
            <w:szCs w:val="20"/>
          </w:rPr>
          <w:t>Ongwen</w:t>
        </w:r>
        <w:proofErr w:type="spellEnd"/>
        <w:r w:rsidRPr="00E76EA2">
          <w:rPr>
            <w:rStyle w:val="Hyperlink"/>
            <w:rFonts w:eastAsiaTheme="majorEastAsia"/>
            <w:sz w:val="20"/>
            <w:szCs w:val="20"/>
          </w:rPr>
          <w:t xml:space="preserve"> at the International Criminal Court - Open Society Justice Initiative</w:t>
        </w:r>
      </w:hyperlink>
      <w:r w:rsidRPr="00E76EA2">
        <w:rPr>
          <w:sz w:val="20"/>
          <w:szCs w:val="20"/>
        </w:rPr>
        <w:t>&gt; Last accessed 03 December 2019, p.2</w:t>
      </w:r>
    </w:p>
  </w:footnote>
  <w:footnote w:id="83">
    <w:p w14:paraId="090442A4" w14:textId="77777777" w:rsidR="00C310AB" w:rsidRPr="00E76EA2" w:rsidRDefault="00C310AB" w:rsidP="006A3F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of Evidence and Procedure , Rule 85(a) and (b).</w:t>
      </w:r>
    </w:p>
  </w:footnote>
  <w:footnote w:id="84">
    <w:p w14:paraId="6EF00C13" w14:textId="3A250DBE" w:rsidR="00C310AB" w:rsidRPr="00E76EA2" w:rsidRDefault="00C310AB" w:rsidP="006A3F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Declaration of Basic Principles of Justice for Victims of Crime and Abuse of Power, Adopted by General Assembly resolution 40/34 ,29 </w:t>
      </w:r>
      <w:proofErr w:type="spellStart"/>
      <w:r w:rsidRPr="00E76EA2">
        <w:rPr>
          <w:sz w:val="20"/>
          <w:szCs w:val="20"/>
        </w:rPr>
        <w:t>Novemebr</w:t>
      </w:r>
      <w:proofErr w:type="spellEnd"/>
      <w:r w:rsidRPr="00E76EA2">
        <w:rPr>
          <w:sz w:val="20"/>
          <w:szCs w:val="20"/>
        </w:rPr>
        <w:t xml:space="preserve"> 1985.</w:t>
      </w:r>
    </w:p>
  </w:footnote>
  <w:footnote w:id="85">
    <w:p w14:paraId="037D3DFC" w14:textId="77777777" w:rsidR="00C310AB" w:rsidRPr="00E76EA2" w:rsidRDefault="00C310AB" w:rsidP="00C84C2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International Covenant on Civil and Political Rights 1966;,Article 14;United Nations Declaration of Human Rights 1948 </w:t>
      </w:r>
      <w:proofErr w:type="spellStart"/>
      <w:r w:rsidRPr="00E76EA2">
        <w:rPr>
          <w:sz w:val="20"/>
          <w:szCs w:val="20"/>
        </w:rPr>
        <w:t>Aricles</w:t>
      </w:r>
      <w:proofErr w:type="spellEnd"/>
      <w:r w:rsidRPr="00E76EA2">
        <w:rPr>
          <w:sz w:val="20"/>
          <w:szCs w:val="20"/>
        </w:rPr>
        <w:t xml:space="preserve"> 10 and 11;Roem Statute 1998, Article 66.</w:t>
      </w:r>
    </w:p>
  </w:footnote>
  <w:footnote w:id="86">
    <w:p w14:paraId="76BFAD0F" w14:textId="77777777" w:rsidR="00C310AB" w:rsidRPr="00E76EA2" w:rsidRDefault="00C310AB" w:rsidP="00C84C2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Peter </w:t>
      </w:r>
      <w:proofErr w:type="spellStart"/>
      <w:r w:rsidRPr="00E76EA2">
        <w:rPr>
          <w:sz w:val="20"/>
          <w:szCs w:val="20"/>
        </w:rPr>
        <w:t>Malanczuk</w:t>
      </w:r>
      <w:proofErr w:type="spellEnd"/>
      <w:r w:rsidRPr="00E76EA2">
        <w:rPr>
          <w:sz w:val="20"/>
          <w:szCs w:val="20"/>
        </w:rPr>
        <w:t xml:space="preserve">, </w:t>
      </w:r>
      <w:proofErr w:type="spellStart"/>
      <w:r w:rsidRPr="00E76EA2">
        <w:rPr>
          <w:sz w:val="20"/>
          <w:szCs w:val="20"/>
        </w:rPr>
        <w:t>Akehurst’s</w:t>
      </w:r>
      <w:proofErr w:type="spellEnd"/>
      <w:r w:rsidRPr="00E76EA2">
        <w:rPr>
          <w:sz w:val="20"/>
          <w:szCs w:val="20"/>
        </w:rPr>
        <w:t xml:space="preserve"> Modern Introduction to International Law( 7</w:t>
      </w:r>
      <w:r w:rsidRPr="00E76EA2">
        <w:rPr>
          <w:sz w:val="20"/>
          <w:szCs w:val="20"/>
          <w:vertAlign w:val="superscript"/>
        </w:rPr>
        <w:t>th</w:t>
      </w:r>
      <w:r w:rsidRPr="00E76EA2">
        <w:rPr>
          <w:sz w:val="20"/>
          <w:szCs w:val="20"/>
        </w:rPr>
        <w:t xml:space="preserve"> </w:t>
      </w:r>
      <w:proofErr w:type="spellStart"/>
      <w:r w:rsidRPr="00E76EA2">
        <w:rPr>
          <w:sz w:val="20"/>
          <w:szCs w:val="20"/>
        </w:rPr>
        <w:t>Edition,Routledge</w:t>
      </w:r>
      <w:proofErr w:type="spellEnd"/>
      <w:r w:rsidRPr="00E76EA2">
        <w:rPr>
          <w:sz w:val="20"/>
          <w:szCs w:val="20"/>
        </w:rPr>
        <w:t xml:space="preserve"> 1997) 209</w:t>
      </w:r>
    </w:p>
  </w:footnote>
  <w:footnote w:id="87">
    <w:p w14:paraId="47C08F00" w14:textId="685783EE" w:rsidR="00C310AB" w:rsidRPr="00E76EA2" w:rsidRDefault="00C310AB" w:rsidP="00C84C2A">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Sara Kendall and Sarah Nouwen,’</w:t>
      </w:r>
      <w:r w:rsidRPr="00E76EA2">
        <w:rPr>
          <w:sz w:val="20"/>
          <w:szCs w:val="20"/>
          <w:lang w:val="en-US"/>
        </w:rPr>
        <w:t xml:space="preserve">Representational Practices at the International Criminal Court The Gap Between </w:t>
      </w:r>
      <w:proofErr w:type="spellStart"/>
      <w:r w:rsidRPr="00E76EA2">
        <w:rPr>
          <w:sz w:val="20"/>
          <w:szCs w:val="20"/>
          <w:lang w:val="en-US"/>
        </w:rPr>
        <w:t>Juridified</w:t>
      </w:r>
      <w:proofErr w:type="spellEnd"/>
      <w:r w:rsidRPr="00E76EA2">
        <w:rPr>
          <w:sz w:val="20"/>
          <w:szCs w:val="20"/>
          <w:lang w:val="en-US"/>
        </w:rPr>
        <w:t xml:space="preserve"> and Abstract Victimhood’ (2013) 76</w:t>
      </w:r>
      <w:r w:rsidRPr="00E76EA2">
        <w:rPr>
          <w:i/>
          <w:iCs/>
          <w:sz w:val="20"/>
          <w:szCs w:val="20"/>
          <w:lang w:val="en-US"/>
        </w:rPr>
        <w:t>Law and Contemporary Problems</w:t>
      </w:r>
      <w:r w:rsidRPr="00E76EA2">
        <w:rPr>
          <w:sz w:val="20"/>
          <w:szCs w:val="20"/>
          <w:lang w:val="en-US"/>
        </w:rPr>
        <w:t xml:space="preserve">, </w:t>
      </w:r>
    </w:p>
  </w:footnote>
  <w:footnote w:id="88">
    <w:p w14:paraId="413ABFCE" w14:textId="75AE9FC7" w:rsidR="00C310AB" w:rsidRPr="00E76EA2" w:rsidRDefault="00C310AB" w:rsidP="00C84C2A">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86</w:t>
      </w:r>
    </w:p>
  </w:footnote>
  <w:footnote w:id="89">
    <w:p w14:paraId="05DD1349" w14:textId="7F58CA07" w:rsidR="00C310AB" w:rsidRPr="00E76EA2" w:rsidRDefault="00C310AB" w:rsidP="00C84C2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C84C2A">
        <w:rPr>
          <w:sz w:val="20"/>
          <w:szCs w:val="20"/>
        </w:rPr>
        <w:t>.</w:t>
      </w:r>
    </w:p>
  </w:footnote>
  <w:footnote w:id="90">
    <w:p w14:paraId="0D399C02" w14:textId="0C4B6708" w:rsidR="00C310AB" w:rsidRPr="00E76EA2" w:rsidRDefault="00C310AB" w:rsidP="00C84C2A">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r w:rsidR="00C84C2A">
        <w:rPr>
          <w:sz w:val="20"/>
          <w:szCs w:val="20"/>
          <w:lang w:val="en-US"/>
        </w:rPr>
        <w:t>.</w:t>
      </w:r>
    </w:p>
  </w:footnote>
  <w:footnote w:id="91">
    <w:p w14:paraId="7622ACF3" w14:textId="7323D63F" w:rsidR="00C310AB" w:rsidRPr="00E76EA2" w:rsidRDefault="00C310AB" w:rsidP="00C84C2A">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Situation in the Democratic Republic of Congo, Prosecutor </w:t>
      </w:r>
      <w:proofErr w:type="spellStart"/>
      <w:r w:rsidRPr="00E76EA2">
        <w:rPr>
          <w:sz w:val="20"/>
          <w:szCs w:val="20"/>
          <w:lang w:val="en-US"/>
        </w:rPr>
        <w:t>v.Lubanga</w:t>
      </w:r>
      <w:proofErr w:type="spellEnd"/>
      <w:r w:rsidRPr="00E76EA2">
        <w:rPr>
          <w:sz w:val="20"/>
          <w:szCs w:val="20"/>
          <w:lang w:val="en-US"/>
        </w:rPr>
        <w:t>. Decision on the applications for participation in the proceedings submitted by VPRS 1 to VPRS 6, Case No ICC-01/04-01/06,, Pre-Trail Chamber I, 29</w:t>
      </w:r>
      <w:r w:rsidRPr="00E76EA2">
        <w:rPr>
          <w:sz w:val="20"/>
          <w:szCs w:val="20"/>
          <w:vertAlign w:val="superscript"/>
          <w:lang w:val="en-US"/>
        </w:rPr>
        <w:t>th</w:t>
      </w:r>
      <w:r w:rsidRPr="00E76EA2">
        <w:rPr>
          <w:sz w:val="20"/>
          <w:szCs w:val="20"/>
          <w:lang w:val="en-US"/>
        </w:rPr>
        <w:t xml:space="preserve"> June 2006.</w:t>
      </w:r>
    </w:p>
  </w:footnote>
  <w:footnote w:id="92">
    <w:p w14:paraId="4547EDF3" w14:textId="77777777" w:rsidR="00C310AB" w:rsidRPr="00E76EA2" w:rsidRDefault="00C310AB" w:rsidP="00C84C2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Phillipa Webb, ‘The ICC Prosecutor ‘s Discretion not to Proceed in the ‘interest of Justice’ 92005) </w:t>
      </w:r>
      <w:r w:rsidRPr="00E76EA2">
        <w:rPr>
          <w:i/>
          <w:sz w:val="20"/>
          <w:szCs w:val="20"/>
        </w:rPr>
        <w:t>Criminal Law Quarterly</w:t>
      </w:r>
      <w:r w:rsidRPr="00E76EA2">
        <w:rPr>
          <w:sz w:val="20"/>
          <w:szCs w:val="20"/>
        </w:rPr>
        <w:t xml:space="preserve">,p305; Christian De Vos, ‘Investigating from A </w:t>
      </w:r>
      <w:proofErr w:type="spellStart"/>
      <w:r w:rsidRPr="00E76EA2">
        <w:rPr>
          <w:sz w:val="20"/>
          <w:szCs w:val="20"/>
        </w:rPr>
        <w:t>far:The</w:t>
      </w:r>
      <w:proofErr w:type="spellEnd"/>
      <w:r w:rsidRPr="00E76EA2">
        <w:rPr>
          <w:sz w:val="20"/>
          <w:szCs w:val="20"/>
        </w:rPr>
        <w:t xml:space="preserve"> ICC’s  Evidence Problem, (2013) </w:t>
      </w:r>
      <w:r w:rsidRPr="00E76EA2">
        <w:rPr>
          <w:i/>
          <w:sz w:val="20"/>
          <w:szCs w:val="20"/>
        </w:rPr>
        <w:t>Leiden Journal of International Law ;</w:t>
      </w:r>
      <w:r w:rsidRPr="00E76EA2">
        <w:rPr>
          <w:sz w:val="20"/>
          <w:szCs w:val="20"/>
        </w:rPr>
        <w:t xml:space="preserve">Kai Ambos, ‘The Status, Role and Accountability of the Prosecutor of the International Criminal Court :A Comparative Overview on the Basis of 33 National Reports ‘, (2000) 8 </w:t>
      </w:r>
      <w:r w:rsidRPr="00E76EA2">
        <w:rPr>
          <w:i/>
          <w:sz w:val="20"/>
          <w:szCs w:val="20"/>
        </w:rPr>
        <w:t xml:space="preserve">European Journal of Crime ,Criminal Law and Criminal Justice , </w:t>
      </w:r>
      <w:r w:rsidRPr="00E76EA2">
        <w:rPr>
          <w:sz w:val="20"/>
          <w:szCs w:val="20"/>
        </w:rPr>
        <w:t>115. ‘</w:t>
      </w:r>
    </w:p>
  </w:footnote>
  <w:footnote w:id="93">
    <w:p w14:paraId="73806EA6" w14:textId="77777777" w:rsidR="00C310AB" w:rsidRPr="00E76EA2" w:rsidRDefault="00C310AB" w:rsidP="007F4A3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Cecile </w:t>
      </w:r>
      <w:proofErr w:type="spellStart"/>
      <w:r w:rsidRPr="00E76EA2">
        <w:rPr>
          <w:sz w:val="20"/>
          <w:szCs w:val="20"/>
        </w:rPr>
        <w:t>Aptel</w:t>
      </w:r>
      <w:proofErr w:type="spellEnd"/>
      <w:r w:rsidRPr="00E76EA2">
        <w:rPr>
          <w:sz w:val="20"/>
          <w:szCs w:val="20"/>
        </w:rPr>
        <w:t xml:space="preserve">, ‘Prosecutorial  Discretion at the ICC and Victims’ Right to </w:t>
      </w:r>
      <w:proofErr w:type="spellStart"/>
      <w:r w:rsidRPr="00E76EA2">
        <w:rPr>
          <w:sz w:val="20"/>
          <w:szCs w:val="20"/>
        </w:rPr>
        <w:t>Remedy:Narrowing</w:t>
      </w:r>
      <w:proofErr w:type="spellEnd"/>
      <w:r w:rsidRPr="00E76EA2">
        <w:rPr>
          <w:sz w:val="20"/>
          <w:szCs w:val="20"/>
        </w:rPr>
        <w:t xml:space="preserve"> the Impunity </w:t>
      </w:r>
      <w:proofErr w:type="spellStart"/>
      <w:r w:rsidRPr="00E76EA2">
        <w:rPr>
          <w:sz w:val="20"/>
          <w:szCs w:val="20"/>
        </w:rPr>
        <w:t>Impunity</w:t>
      </w:r>
      <w:proofErr w:type="spellEnd"/>
      <w:r w:rsidRPr="00E76EA2">
        <w:rPr>
          <w:sz w:val="20"/>
          <w:szCs w:val="20"/>
        </w:rPr>
        <w:t xml:space="preserve"> Gap’ (2012)  10(5)</w:t>
      </w:r>
      <w:r w:rsidRPr="00E76EA2">
        <w:rPr>
          <w:i/>
          <w:sz w:val="20"/>
          <w:szCs w:val="20"/>
        </w:rPr>
        <w:t>Journal of International Criminal Justice</w:t>
      </w:r>
      <w:r w:rsidRPr="00E76EA2">
        <w:rPr>
          <w:sz w:val="20"/>
          <w:szCs w:val="20"/>
        </w:rPr>
        <w:t>, 1357-1375.</w:t>
      </w:r>
      <w:r w:rsidRPr="00E76EA2">
        <w:rPr>
          <w:i/>
          <w:sz w:val="20"/>
          <w:szCs w:val="20"/>
        </w:rPr>
        <w:t xml:space="preserve"> </w:t>
      </w:r>
    </w:p>
    <w:p w14:paraId="2121BB4F" w14:textId="77777777" w:rsidR="00C310AB" w:rsidRPr="00E76EA2" w:rsidRDefault="00C310AB" w:rsidP="007F4A34">
      <w:pPr>
        <w:pStyle w:val="NoSpacing1"/>
        <w:spacing w:line="276" w:lineRule="auto"/>
        <w:jc w:val="both"/>
        <w:rPr>
          <w:sz w:val="20"/>
          <w:szCs w:val="20"/>
        </w:rPr>
      </w:pPr>
    </w:p>
  </w:footnote>
  <w:footnote w:id="94">
    <w:p w14:paraId="261B99D8" w14:textId="77777777" w:rsidR="00C310AB" w:rsidRPr="00E76EA2" w:rsidRDefault="00C310AB" w:rsidP="00F85F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Phillipa Webb, ‘The ICC Prosecutor ‘s Discretion not to Proceed in the ‘interest of Justice’ 92005) </w:t>
      </w:r>
      <w:r w:rsidRPr="00E76EA2">
        <w:rPr>
          <w:i/>
          <w:sz w:val="20"/>
          <w:szCs w:val="20"/>
        </w:rPr>
        <w:t>Criminal Law Quarterly</w:t>
      </w:r>
      <w:r w:rsidRPr="00E76EA2">
        <w:rPr>
          <w:sz w:val="20"/>
          <w:szCs w:val="20"/>
        </w:rPr>
        <w:t xml:space="preserve">,p305; Christian De Vos, ‘Investigating from A </w:t>
      </w:r>
      <w:proofErr w:type="spellStart"/>
      <w:r w:rsidRPr="00E76EA2">
        <w:rPr>
          <w:sz w:val="20"/>
          <w:szCs w:val="20"/>
        </w:rPr>
        <w:t>far:The</w:t>
      </w:r>
      <w:proofErr w:type="spellEnd"/>
      <w:r w:rsidRPr="00E76EA2">
        <w:rPr>
          <w:sz w:val="20"/>
          <w:szCs w:val="20"/>
        </w:rPr>
        <w:t xml:space="preserve"> ICC’s  Evidence Problem, (2013) </w:t>
      </w:r>
      <w:r w:rsidRPr="00E76EA2">
        <w:rPr>
          <w:i/>
          <w:sz w:val="20"/>
          <w:szCs w:val="20"/>
        </w:rPr>
        <w:t>Leiden Journal of International Law ;</w:t>
      </w:r>
      <w:r w:rsidRPr="00E76EA2">
        <w:rPr>
          <w:sz w:val="20"/>
          <w:szCs w:val="20"/>
        </w:rPr>
        <w:t xml:space="preserve">Kai Ambos, ‘The Status, Role and Accountability of the Prosecutor of the International Criminal Court :A Comparative Overview on the Basis of 33 National Reports ‘, (2000) 8 </w:t>
      </w:r>
      <w:r w:rsidRPr="00E76EA2">
        <w:rPr>
          <w:i/>
          <w:sz w:val="20"/>
          <w:szCs w:val="20"/>
        </w:rPr>
        <w:t xml:space="preserve">European Journal of Crime ,Criminal Law and Criminal Justice , </w:t>
      </w:r>
      <w:r w:rsidRPr="00E76EA2">
        <w:rPr>
          <w:sz w:val="20"/>
          <w:szCs w:val="20"/>
        </w:rPr>
        <w:t xml:space="preserve">115.;Kenneth Rodman, ‘Is peace in the interests of justice? The case for broad prosecutorial discretion at the International Criminal Court, (2009) 22(1) </w:t>
      </w:r>
      <w:r w:rsidRPr="00E76EA2">
        <w:rPr>
          <w:i/>
          <w:sz w:val="20"/>
          <w:szCs w:val="20"/>
        </w:rPr>
        <w:t>Leiden Journal of International law , p.101;</w:t>
      </w:r>
      <w:r w:rsidRPr="00E76EA2">
        <w:rPr>
          <w:sz w:val="20"/>
          <w:szCs w:val="20"/>
        </w:rPr>
        <w:t xml:space="preserve">Aeyal Gross, ICC </w:t>
      </w:r>
      <w:proofErr w:type="spellStart"/>
      <w:r w:rsidRPr="00E76EA2">
        <w:rPr>
          <w:sz w:val="20"/>
          <w:szCs w:val="20"/>
        </w:rPr>
        <w:t>Prosecutor:Low-Ranking</w:t>
      </w:r>
      <w:proofErr w:type="spellEnd"/>
      <w:r w:rsidRPr="00E76EA2">
        <w:rPr>
          <w:sz w:val="20"/>
          <w:szCs w:val="20"/>
        </w:rPr>
        <w:t xml:space="preserve"> Israeli Soldiers , as well as </w:t>
      </w:r>
      <w:proofErr w:type="spellStart"/>
      <w:r w:rsidRPr="00E76EA2">
        <w:rPr>
          <w:sz w:val="20"/>
          <w:szCs w:val="20"/>
        </w:rPr>
        <w:t>Palestininas</w:t>
      </w:r>
      <w:proofErr w:type="spellEnd"/>
      <w:r w:rsidRPr="00E76EA2">
        <w:rPr>
          <w:sz w:val="20"/>
          <w:szCs w:val="20"/>
        </w:rPr>
        <w:t xml:space="preserve"> , could be Prosecuted for War Crimes , Haaretz (1</w:t>
      </w:r>
      <w:r w:rsidRPr="00E76EA2">
        <w:rPr>
          <w:sz w:val="20"/>
          <w:szCs w:val="20"/>
          <w:vertAlign w:val="superscript"/>
        </w:rPr>
        <w:t>st</w:t>
      </w:r>
      <w:r w:rsidRPr="00E76EA2">
        <w:rPr>
          <w:sz w:val="20"/>
          <w:szCs w:val="20"/>
        </w:rPr>
        <w:t xml:space="preserve"> Mat, 2015)accessible at </w:t>
      </w:r>
      <w:hyperlink r:id="rId7" w:history="1">
        <w:r w:rsidRPr="00E76EA2">
          <w:rPr>
            <w:rStyle w:val="Hyperlink"/>
            <w:sz w:val="20"/>
            <w:szCs w:val="20"/>
          </w:rPr>
          <w:t>http://www.haaretz.com/news/diplomacy-defense /.premium-1.654516</w:t>
        </w:r>
      </w:hyperlink>
      <w:r w:rsidRPr="00E76EA2">
        <w:rPr>
          <w:sz w:val="20"/>
          <w:szCs w:val="20"/>
        </w:rPr>
        <w:t xml:space="preserve"> last accessed at 19 November 2019.</w:t>
      </w:r>
    </w:p>
  </w:footnote>
  <w:footnote w:id="95">
    <w:p w14:paraId="0BE9CCA3" w14:textId="77777777" w:rsidR="00C310AB" w:rsidRPr="00E76EA2" w:rsidRDefault="00C310AB" w:rsidP="00F85F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Alexander Greenawalt, ‘Justice without Politics? Prosecutorial discretion and the International Criminal Court (2007) 39 </w:t>
      </w:r>
      <w:r w:rsidRPr="00E76EA2">
        <w:rPr>
          <w:i/>
          <w:sz w:val="20"/>
          <w:szCs w:val="20"/>
        </w:rPr>
        <w:t>New York University Journal of International Law and Politics,</w:t>
      </w:r>
      <w:r w:rsidRPr="00E76EA2">
        <w:rPr>
          <w:sz w:val="20"/>
          <w:szCs w:val="20"/>
        </w:rPr>
        <w:t xml:space="preserve"> 583-673;Cale Davis, ‘Political Considerations in Prosecutorial Discretion at the International Criminal Court (2015) </w:t>
      </w:r>
      <w:r w:rsidRPr="00E76EA2">
        <w:rPr>
          <w:i/>
          <w:sz w:val="20"/>
          <w:szCs w:val="20"/>
        </w:rPr>
        <w:t xml:space="preserve">International Criminal Law Review, </w:t>
      </w:r>
      <w:r w:rsidRPr="00E76EA2">
        <w:rPr>
          <w:sz w:val="20"/>
          <w:szCs w:val="20"/>
        </w:rPr>
        <w:t>170-189.</w:t>
      </w:r>
    </w:p>
  </w:footnote>
  <w:footnote w:id="96">
    <w:p w14:paraId="235C4289" w14:textId="77777777" w:rsidR="00C310AB" w:rsidRPr="00E76EA2" w:rsidRDefault="00C310AB" w:rsidP="00F85F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Cecile </w:t>
      </w:r>
      <w:proofErr w:type="spellStart"/>
      <w:r w:rsidRPr="00E76EA2">
        <w:rPr>
          <w:sz w:val="20"/>
          <w:szCs w:val="20"/>
        </w:rPr>
        <w:t>Aptel</w:t>
      </w:r>
      <w:proofErr w:type="spellEnd"/>
      <w:r w:rsidRPr="00E76EA2">
        <w:rPr>
          <w:sz w:val="20"/>
          <w:szCs w:val="20"/>
        </w:rPr>
        <w:t xml:space="preserve">, ‘Prosecutorial Discretion at the ICC and Victims’ Right to Remedy: Narrowing the Impunity Gap (2012) 10(5) </w:t>
      </w:r>
      <w:r w:rsidRPr="00E76EA2">
        <w:rPr>
          <w:i/>
          <w:sz w:val="20"/>
          <w:szCs w:val="20"/>
        </w:rPr>
        <w:t xml:space="preserve">Journal of International Criminal Justice </w:t>
      </w:r>
      <w:r w:rsidRPr="00E76EA2">
        <w:rPr>
          <w:sz w:val="20"/>
          <w:szCs w:val="20"/>
        </w:rPr>
        <w:t>,1357-1375.</w:t>
      </w:r>
    </w:p>
  </w:footnote>
  <w:footnote w:id="97">
    <w:p w14:paraId="257159E3" w14:textId="77777777" w:rsidR="00C310AB" w:rsidRPr="00E76EA2" w:rsidRDefault="00C310AB" w:rsidP="00F85F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8">
    <w:p w14:paraId="08922452" w14:textId="77777777" w:rsidR="00C310AB" w:rsidRPr="00E76EA2" w:rsidRDefault="00C310AB" w:rsidP="00F85F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Schabas, ‘Prosecutorial  Discretion v. Judicial Activism at the International Criminal Court’ (2008) </w:t>
      </w:r>
      <w:r w:rsidRPr="00E76EA2">
        <w:rPr>
          <w:i/>
          <w:sz w:val="20"/>
          <w:szCs w:val="20"/>
        </w:rPr>
        <w:t xml:space="preserve">6(4) Journal of International Criminal Justice </w:t>
      </w:r>
      <w:r w:rsidRPr="00E76EA2">
        <w:rPr>
          <w:sz w:val="20"/>
          <w:szCs w:val="20"/>
        </w:rPr>
        <w:t>,731-761</w:t>
      </w:r>
    </w:p>
  </w:footnote>
  <w:footnote w:id="99">
    <w:p w14:paraId="698822DF" w14:textId="77777777" w:rsidR="00C310AB" w:rsidRPr="00E76EA2" w:rsidRDefault="00C310AB" w:rsidP="00B9441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100">
    <w:p w14:paraId="16C88393" w14:textId="646B48B4" w:rsidR="00C310AB" w:rsidRPr="00E76EA2" w:rsidRDefault="00C310AB" w:rsidP="00B9441D">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Margaret de Guzman,  ‘An Expressive Rationale for the Thematic Prosecution of Sex Crimes’ in </w:t>
      </w:r>
      <w:proofErr w:type="spellStart"/>
      <w:r w:rsidRPr="00E76EA2">
        <w:rPr>
          <w:sz w:val="20"/>
          <w:szCs w:val="20"/>
        </w:rPr>
        <w:t>Bergsmo</w:t>
      </w:r>
      <w:proofErr w:type="spellEnd"/>
      <w:r w:rsidRPr="00E76EA2">
        <w:rPr>
          <w:sz w:val="20"/>
          <w:szCs w:val="20"/>
        </w:rPr>
        <w:t xml:space="preserve"> and Morten, </w:t>
      </w:r>
      <w:r w:rsidRPr="00E76EA2">
        <w:rPr>
          <w:i/>
          <w:sz w:val="20"/>
          <w:szCs w:val="20"/>
        </w:rPr>
        <w:t xml:space="preserve">Thematic Prosecution of International Sex Crime, </w:t>
      </w:r>
      <w:r w:rsidR="00075535">
        <w:rPr>
          <w:iCs/>
          <w:sz w:val="20"/>
          <w:szCs w:val="20"/>
        </w:rPr>
        <w:t xml:space="preserve">available at </w:t>
      </w:r>
      <w:r w:rsidRPr="00E76EA2">
        <w:rPr>
          <w:i/>
          <w:sz w:val="20"/>
          <w:szCs w:val="20"/>
        </w:rPr>
        <w:t>&lt;</w:t>
      </w:r>
      <w:hyperlink r:id="rId8" w:history="1">
        <w:r w:rsidRPr="00E76EA2">
          <w:rPr>
            <w:rStyle w:val="Hyperlink"/>
            <w:i/>
            <w:sz w:val="20"/>
            <w:szCs w:val="20"/>
          </w:rPr>
          <w:t>https://www.fichl.org/fileadmin/fichl/documents/FICHL_13_Web.pdf</w:t>
        </w:r>
      </w:hyperlink>
      <w:r w:rsidRPr="00E76EA2">
        <w:rPr>
          <w:i/>
          <w:sz w:val="20"/>
          <w:szCs w:val="20"/>
        </w:rPr>
        <w:t xml:space="preserve"> &gt; </w:t>
      </w:r>
      <w:r w:rsidRPr="00B9441D">
        <w:rPr>
          <w:iCs/>
          <w:sz w:val="20"/>
          <w:szCs w:val="20"/>
        </w:rPr>
        <w:t>11-44</w:t>
      </w:r>
      <w:r w:rsidR="00075535">
        <w:rPr>
          <w:iCs/>
          <w:sz w:val="20"/>
          <w:szCs w:val="20"/>
        </w:rPr>
        <w:t xml:space="preserve">.last accessed </w:t>
      </w:r>
      <w:r w:rsidR="00A82D4A">
        <w:rPr>
          <w:iCs/>
          <w:sz w:val="20"/>
          <w:szCs w:val="20"/>
        </w:rPr>
        <w:t>19 February 2019.</w:t>
      </w:r>
    </w:p>
  </w:footnote>
  <w:footnote w:id="101">
    <w:p w14:paraId="256C5195" w14:textId="3EC41B25" w:rsidR="00C310AB" w:rsidRPr="00E76EA2" w:rsidRDefault="00C310AB" w:rsidP="00B9441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B9441D">
        <w:rPr>
          <w:sz w:val="20"/>
          <w:szCs w:val="20"/>
        </w:rPr>
        <w:t>.</w:t>
      </w:r>
    </w:p>
  </w:footnote>
  <w:footnote w:id="102">
    <w:p w14:paraId="478276ED" w14:textId="794E6280" w:rsidR="00C310AB" w:rsidRPr="00E76EA2" w:rsidRDefault="00C310AB" w:rsidP="00B9441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Susan </w:t>
      </w:r>
      <w:proofErr w:type="spellStart"/>
      <w:r w:rsidRPr="00E76EA2">
        <w:rPr>
          <w:sz w:val="20"/>
          <w:szCs w:val="20"/>
        </w:rPr>
        <w:t>SaCouto</w:t>
      </w:r>
      <w:proofErr w:type="spellEnd"/>
      <w:r w:rsidRPr="00E76EA2">
        <w:rPr>
          <w:sz w:val="20"/>
          <w:szCs w:val="20"/>
        </w:rPr>
        <w:t xml:space="preserve"> and Katherine Clearly, ‘The Importance of Effective Investigation of Sexual Violence and Gender-based Crimes at the International Criminal Court’, (2009) 17(20 </w:t>
      </w:r>
      <w:r w:rsidRPr="00E76EA2">
        <w:rPr>
          <w:i/>
          <w:sz w:val="20"/>
          <w:szCs w:val="20"/>
        </w:rPr>
        <w:t>American University Journal of Gender, Social Policy &amp; the Law,337-362;</w:t>
      </w:r>
      <w:r w:rsidRPr="00E76EA2">
        <w:rPr>
          <w:sz w:val="20"/>
          <w:szCs w:val="20"/>
        </w:rPr>
        <w:t xml:space="preserve">Sizan </w:t>
      </w:r>
      <w:proofErr w:type="spellStart"/>
      <w:r w:rsidRPr="00E76EA2">
        <w:rPr>
          <w:sz w:val="20"/>
          <w:szCs w:val="20"/>
        </w:rPr>
        <w:t>Pritchet</w:t>
      </w:r>
      <w:proofErr w:type="spellEnd"/>
      <w:r w:rsidRPr="00E76EA2">
        <w:rPr>
          <w:sz w:val="20"/>
          <w:szCs w:val="20"/>
        </w:rPr>
        <w:t xml:space="preserve"> , Entrenched Hegemony, Efficient Procedure, or Selective </w:t>
      </w:r>
      <w:proofErr w:type="spellStart"/>
      <w:r w:rsidRPr="00E76EA2">
        <w:rPr>
          <w:sz w:val="20"/>
          <w:szCs w:val="20"/>
        </w:rPr>
        <w:t>Justice?An</w:t>
      </w:r>
      <w:proofErr w:type="spellEnd"/>
      <w:r w:rsidRPr="00E76EA2">
        <w:rPr>
          <w:sz w:val="20"/>
          <w:szCs w:val="20"/>
        </w:rPr>
        <w:t xml:space="preserve"> Inquiry into Charges </w:t>
      </w:r>
      <w:proofErr w:type="spellStart"/>
      <w:r w:rsidRPr="00E76EA2">
        <w:rPr>
          <w:sz w:val="20"/>
          <w:szCs w:val="20"/>
        </w:rPr>
        <w:t>fro</w:t>
      </w:r>
      <w:proofErr w:type="spellEnd"/>
      <w:r w:rsidRPr="00E76EA2">
        <w:rPr>
          <w:sz w:val="20"/>
          <w:szCs w:val="20"/>
        </w:rPr>
        <w:t xml:space="preserve"> Gender-Based Violence at the International Criminal Court(2008) 17 </w:t>
      </w:r>
      <w:r w:rsidRPr="00E76EA2">
        <w:rPr>
          <w:i/>
          <w:sz w:val="20"/>
          <w:szCs w:val="20"/>
        </w:rPr>
        <w:t xml:space="preserve">Transnational Law &amp; Contemporary Problems </w:t>
      </w:r>
      <w:r w:rsidRPr="00E76EA2">
        <w:rPr>
          <w:sz w:val="20"/>
          <w:szCs w:val="20"/>
        </w:rPr>
        <w:t xml:space="preserve">, 265-305;K’Shaani Smith,  ‘Prosecutor </w:t>
      </w:r>
      <w:proofErr w:type="spellStart"/>
      <w:r w:rsidRPr="00E76EA2">
        <w:rPr>
          <w:sz w:val="20"/>
          <w:szCs w:val="20"/>
        </w:rPr>
        <w:t>v.Lubanga:How</w:t>
      </w:r>
      <w:proofErr w:type="spellEnd"/>
      <w:r w:rsidRPr="00E76EA2">
        <w:rPr>
          <w:sz w:val="20"/>
          <w:szCs w:val="20"/>
        </w:rPr>
        <w:t xml:space="preserve"> the International Criminal Court Failed the Women and Girls of the Congo, (2011) 54 </w:t>
      </w:r>
      <w:r w:rsidRPr="00E76EA2">
        <w:rPr>
          <w:i/>
          <w:sz w:val="20"/>
          <w:szCs w:val="20"/>
        </w:rPr>
        <w:t>Howard Law Journal ,</w:t>
      </w:r>
      <w:r w:rsidRPr="00E76EA2">
        <w:rPr>
          <w:sz w:val="20"/>
          <w:szCs w:val="20"/>
        </w:rPr>
        <w:t>467-500.</w:t>
      </w:r>
    </w:p>
  </w:footnote>
  <w:footnote w:id="103">
    <w:p w14:paraId="73194BF8" w14:textId="4CC17A5B" w:rsidR="00C310AB" w:rsidRPr="00E76EA2" w:rsidRDefault="00C310AB" w:rsidP="00BD599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Women Initiatives for Gender justice, Letter to the Prosecutor, Moreno </w:t>
      </w:r>
      <w:proofErr w:type="spellStart"/>
      <w:r w:rsidRPr="00E76EA2">
        <w:rPr>
          <w:sz w:val="20"/>
          <w:szCs w:val="20"/>
        </w:rPr>
        <w:t>Ocampo;Situation</w:t>
      </w:r>
      <w:proofErr w:type="spellEnd"/>
      <w:r w:rsidRPr="00E76EA2">
        <w:rPr>
          <w:sz w:val="20"/>
          <w:szCs w:val="20"/>
        </w:rPr>
        <w:t xml:space="preserve"> in the Democratic Republic of Congo, Prosecutor v Thomas Lubanga </w:t>
      </w:r>
      <w:proofErr w:type="spellStart"/>
      <w:r w:rsidRPr="00E76EA2">
        <w:rPr>
          <w:sz w:val="20"/>
          <w:szCs w:val="20"/>
        </w:rPr>
        <w:t>Dyilo</w:t>
      </w:r>
      <w:proofErr w:type="spellEnd"/>
      <w:r w:rsidR="00D56BD7">
        <w:rPr>
          <w:sz w:val="20"/>
          <w:szCs w:val="20"/>
        </w:rPr>
        <w:t>.</w:t>
      </w:r>
    </w:p>
  </w:footnote>
  <w:footnote w:id="104">
    <w:p w14:paraId="2C845C2F" w14:textId="77777777" w:rsidR="00C310AB" w:rsidRPr="00E76EA2" w:rsidRDefault="00C310AB" w:rsidP="00BD599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Susana </w:t>
      </w:r>
      <w:proofErr w:type="spellStart"/>
      <w:r w:rsidRPr="00E76EA2">
        <w:rPr>
          <w:sz w:val="20"/>
          <w:szCs w:val="20"/>
        </w:rPr>
        <w:t>Sacouto</w:t>
      </w:r>
      <w:proofErr w:type="spellEnd"/>
      <w:r w:rsidRPr="00E76EA2">
        <w:rPr>
          <w:sz w:val="20"/>
          <w:szCs w:val="20"/>
        </w:rPr>
        <w:t xml:space="preserve"> &amp; Katherine Cleary, ‘Investigation of sexual violence and gender-based crimes at the International Criminal Court’, (2009) 17</w:t>
      </w:r>
      <w:r w:rsidRPr="00E76EA2">
        <w:rPr>
          <w:i/>
          <w:sz w:val="20"/>
          <w:szCs w:val="20"/>
        </w:rPr>
        <w:t>(2) American University Journal of Gender , Social Policy and the law,</w:t>
      </w:r>
      <w:r w:rsidRPr="006F610B">
        <w:rPr>
          <w:iCs/>
          <w:sz w:val="20"/>
          <w:szCs w:val="20"/>
        </w:rPr>
        <w:t>p.341</w:t>
      </w:r>
    </w:p>
  </w:footnote>
  <w:footnote w:id="105">
    <w:p w14:paraId="6CD150E9" w14:textId="67D3D32B" w:rsidR="00C310AB" w:rsidRPr="00E76EA2" w:rsidRDefault="00C310AB" w:rsidP="00BD599A">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Solange </w:t>
      </w:r>
      <w:proofErr w:type="spellStart"/>
      <w:r w:rsidRPr="00E76EA2">
        <w:rPr>
          <w:sz w:val="20"/>
          <w:szCs w:val="20"/>
        </w:rPr>
        <w:t>Mouthaan</w:t>
      </w:r>
      <w:proofErr w:type="spellEnd"/>
      <w:r w:rsidRPr="00E76EA2">
        <w:rPr>
          <w:sz w:val="20"/>
          <w:szCs w:val="20"/>
        </w:rPr>
        <w:t xml:space="preserve">,‘The Prosecution of Gender-based Crimes at the </w:t>
      </w:r>
      <w:proofErr w:type="spellStart"/>
      <w:r w:rsidRPr="00E76EA2">
        <w:rPr>
          <w:sz w:val="20"/>
          <w:szCs w:val="20"/>
        </w:rPr>
        <w:t>ICC:Challenges</w:t>
      </w:r>
      <w:proofErr w:type="spellEnd"/>
      <w:r w:rsidRPr="00E76EA2">
        <w:rPr>
          <w:sz w:val="20"/>
          <w:szCs w:val="20"/>
        </w:rPr>
        <w:t xml:space="preserve"> and Opportunities (2011) </w:t>
      </w:r>
      <w:r w:rsidRPr="00E76EA2">
        <w:rPr>
          <w:i/>
          <w:sz w:val="20"/>
          <w:szCs w:val="20"/>
        </w:rPr>
        <w:t>International Criminal Law Review, 775-802.</w:t>
      </w:r>
    </w:p>
  </w:footnote>
  <w:footnote w:id="106">
    <w:p w14:paraId="3519F2AE" w14:textId="257F71D7" w:rsidR="00C310AB" w:rsidRPr="00E76EA2" w:rsidRDefault="00C310AB" w:rsidP="00BD599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Markus Funk, </w:t>
      </w:r>
      <w:r w:rsidRPr="00E76EA2">
        <w:rPr>
          <w:i/>
          <w:sz w:val="20"/>
          <w:szCs w:val="20"/>
        </w:rPr>
        <w:t xml:space="preserve">Victims’ Rights and Advocacy at the International Criminal Court </w:t>
      </w:r>
      <w:r w:rsidRPr="00E76EA2">
        <w:rPr>
          <w:sz w:val="20"/>
          <w:szCs w:val="20"/>
        </w:rPr>
        <w:t>(Oxford University Press 2010)58.</w:t>
      </w:r>
    </w:p>
  </w:footnote>
  <w:footnote w:id="107">
    <w:p w14:paraId="3F7FD6C0" w14:textId="3BEB85E8" w:rsidR="00C310AB" w:rsidRPr="00E76EA2" w:rsidRDefault="00C310AB" w:rsidP="00BD599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Kofi Anan, Secretary-General,  Press Release ,UN Diplomatic Conference to Establish International Criminal Court Begins Five-Week Session in Rome, </w:t>
      </w:r>
      <w:r w:rsidRPr="00E76EA2">
        <w:rPr>
          <w:sz w:val="20"/>
          <w:szCs w:val="20"/>
        </w:rPr>
        <w:tab/>
        <w:t>L/2870 15 June 1998</w:t>
      </w:r>
      <w:r w:rsidR="00BD599A">
        <w:rPr>
          <w:sz w:val="20"/>
          <w:szCs w:val="20"/>
        </w:rPr>
        <w:t>.</w:t>
      </w:r>
    </w:p>
  </w:footnote>
  <w:footnote w:id="108">
    <w:p w14:paraId="265E5FEA" w14:textId="2F8ABA06" w:rsidR="00C310AB" w:rsidRPr="00E76EA2" w:rsidRDefault="00C310AB" w:rsidP="007B071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Victims’ Rights Working Group,  Promoting the rights and interests of Victims before the International Criminal Court, &lt;http://www.vrwg.org/victims-rights/interest-of-victims&gt;</w:t>
      </w:r>
    </w:p>
  </w:footnote>
  <w:footnote w:id="109">
    <w:p w14:paraId="0D925786" w14:textId="504AF9D4" w:rsidR="00C310AB" w:rsidRPr="00E76EA2" w:rsidRDefault="00C310AB" w:rsidP="007B0716">
      <w:pPr>
        <w:pStyle w:val="NoSpacing1"/>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Tom Tyler, What is Procedural Justice ?:Criteria used by Citizens to Assess the Fairness of Legal Procedures (1988) 22(1) Law and Society Reviewpp.103-136, p.; Tom Tyler, ‘Procedural Justice and the Courts (1988) 44 </w:t>
      </w:r>
      <w:r w:rsidRPr="00E76EA2">
        <w:rPr>
          <w:i/>
          <w:iCs/>
          <w:sz w:val="20"/>
          <w:szCs w:val="20"/>
          <w:lang w:val="en-US"/>
        </w:rPr>
        <w:t>Court Review</w:t>
      </w:r>
      <w:r w:rsidRPr="00E76EA2">
        <w:rPr>
          <w:sz w:val="20"/>
          <w:szCs w:val="20"/>
          <w:lang w:val="en-US"/>
        </w:rPr>
        <w:t>, p.24</w:t>
      </w:r>
    </w:p>
  </w:footnote>
  <w:footnote w:id="110">
    <w:p w14:paraId="0A6CE7F9" w14:textId="7FF737E8" w:rsidR="00C310AB" w:rsidRPr="00E76EA2" w:rsidRDefault="00C310AB" w:rsidP="007B0716">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111">
    <w:p w14:paraId="4234560B" w14:textId="4F25D2D1" w:rsidR="00C310AB" w:rsidRPr="00E76EA2" w:rsidRDefault="00C310AB" w:rsidP="007B0716">
      <w:pPr>
        <w:pStyle w:val="NoSpacing1"/>
        <w:jc w:val="both"/>
        <w:rPr>
          <w:sz w:val="20"/>
          <w:szCs w:val="20"/>
        </w:rPr>
      </w:pPr>
      <w:r w:rsidRPr="00E76EA2">
        <w:rPr>
          <w:rStyle w:val="FootnoteReference"/>
          <w:sz w:val="20"/>
          <w:szCs w:val="20"/>
        </w:rPr>
        <w:footnoteRef/>
      </w:r>
      <w:r w:rsidRPr="00E76EA2">
        <w:rPr>
          <w:sz w:val="20"/>
          <w:szCs w:val="20"/>
        </w:rPr>
        <w:t xml:space="preserve"> John Thibaut  and Lauren Walker,  </w:t>
      </w:r>
      <w:r w:rsidRPr="00E76EA2">
        <w:rPr>
          <w:i/>
          <w:sz w:val="20"/>
          <w:szCs w:val="20"/>
        </w:rPr>
        <w:t xml:space="preserve">Procedural Justice :a </w:t>
      </w:r>
      <w:proofErr w:type="spellStart"/>
      <w:r w:rsidRPr="00E76EA2">
        <w:rPr>
          <w:i/>
          <w:sz w:val="20"/>
          <w:szCs w:val="20"/>
        </w:rPr>
        <w:t>Pyschological</w:t>
      </w:r>
      <w:proofErr w:type="spellEnd"/>
      <w:r w:rsidRPr="00E76EA2">
        <w:rPr>
          <w:i/>
          <w:sz w:val="20"/>
          <w:szCs w:val="20"/>
        </w:rPr>
        <w:t xml:space="preserve"> Analysis </w:t>
      </w:r>
      <w:r w:rsidRPr="00E76EA2">
        <w:rPr>
          <w:sz w:val="20"/>
          <w:szCs w:val="20"/>
        </w:rPr>
        <w:t xml:space="preserve">(Hillsdale 1975)Tom Tyler, Procedural </w:t>
      </w:r>
      <w:proofErr w:type="spellStart"/>
      <w:r w:rsidRPr="00E76EA2">
        <w:rPr>
          <w:sz w:val="20"/>
          <w:szCs w:val="20"/>
        </w:rPr>
        <w:t>Justice,Legitimacy</w:t>
      </w:r>
      <w:proofErr w:type="spellEnd"/>
      <w:r w:rsidRPr="00E76EA2">
        <w:rPr>
          <w:sz w:val="20"/>
          <w:szCs w:val="20"/>
        </w:rPr>
        <w:t xml:space="preserve"> and effective Rule of Law</w:t>
      </w:r>
      <w:r w:rsidRPr="00E76EA2">
        <w:rPr>
          <w:i/>
          <w:sz w:val="20"/>
          <w:szCs w:val="20"/>
        </w:rPr>
        <w:t>, Crime and</w:t>
      </w:r>
      <w:r w:rsidRPr="00E76EA2">
        <w:rPr>
          <w:sz w:val="20"/>
          <w:szCs w:val="20"/>
        </w:rPr>
        <w:t xml:space="preserve"> </w:t>
      </w:r>
      <w:r w:rsidRPr="00E76EA2">
        <w:rPr>
          <w:i/>
          <w:sz w:val="20"/>
          <w:szCs w:val="20"/>
        </w:rPr>
        <w:t>Justic</w:t>
      </w:r>
      <w:r w:rsidRPr="00E76EA2">
        <w:rPr>
          <w:sz w:val="20"/>
          <w:szCs w:val="20"/>
        </w:rPr>
        <w:t xml:space="preserve">e (2003) 283-357;Allan Lind, Ruth </w:t>
      </w:r>
      <w:proofErr w:type="spellStart"/>
      <w:r w:rsidRPr="00E76EA2">
        <w:rPr>
          <w:sz w:val="20"/>
          <w:szCs w:val="20"/>
        </w:rPr>
        <w:t>Kanfer</w:t>
      </w:r>
      <w:proofErr w:type="spellEnd"/>
      <w:r w:rsidRPr="00E76EA2">
        <w:rPr>
          <w:sz w:val="20"/>
          <w:szCs w:val="20"/>
        </w:rPr>
        <w:t xml:space="preserve"> and Christopher Early, ‘Voice , Control and Procedural </w:t>
      </w:r>
      <w:proofErr w:type="spellStart"/>
      <w:r w:rsidRPr="00E76EA2">
        <w:rPr>
          <w:sz w:val="20"/>
          <w:szCs w:val="20"/>
        </w:rPr>
        <w:t>Justice:Instrumental</w:t>
      </w:r>
      <w:proofErr w:type="spellEnd"/>
      <w:r w:rsidRPr="00E76EA2">
        <w:rPr>
          <w:sz w:val="20"/>
          <w:szCs w:val="20"/>
        </w:rPr>
        <w:t xml:space="preserve"> and </w:t>
      </w:r>
      <w:proofErr w:type="spellStart"/>
      <w:r w:rsidRPr="00E76EA2">
        <w:rPr>
          <w:sz w:val="20"/>
          <w:szCs w:val="20"/>
        </w:rPr>
        <w:t>non instrumental</w:t>
      </w:r>
      <w:proofErr w:type="spellEnd"/>
      <w:r w:rsidRPr="00E76EA2">
        <w:rPr>
          <w:sz w:val="20"/>
          <w:szCs w:val="20"/>
        </w:rPr>
        <w:t xml:space="preserve">  Concerns in Fairness Judgements’ (1990) 59(5) </w:t>
      </w:r>
      <w:r w:rsidRPr="00E76EA2">
        <w:rPr>
          <w:i/>
          <w:sz w:val="20"/>
          <w:szCs w:val="20"/>
        </w:rPr>
        <w:t>Journal of Personality and Social Psychology</w:t>
      </w:r>
      <w:r w:rsidR="007B0716">
        <w:rPr>
          <w:i/>
          <w:sz w:val="20"/>
          <w:szCs w:val="20"/>
        </w:rPr>
        <w:t>,</w:t>
      </w:r>
      <w:r w:rsidRPr="00E76EA2">
        <w:rPr>
          <w:sz w:val="20"/>
          <w:szCs w:val="20"/>
        </w:rPr>
        <w:t>952-959.</w:t>
      </w:r>
    </w:p>
  </w:footnote>
  <w:footnote w:id="112">
    <w:p w14:paraId="6CD5BDD5" w14:textId="77777777" w:rsidR="00C310AB" w:rsidRPr="00E76EA2" w:rsidRDefault="00C310AB" w:rsidP="007B071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13">
    <w:p w14:paraId="5EE08C6A" w14:textId="77777777" w:rsidR="00C310AB" w:rsidRPr="00E76EA2" w:rsidRDefault="00C310AB" w:rsidP="007B0716">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Emily Haslam and Marie-</w:t>
      </w:r>
      <w:proofErr w:type="spellStart"/>
      <w:r w:rsidRPr="00E76EA2">
        <w:rPr>
          <w:sz w:val="20"/>
          <w:szCs w:val="20"/>
          <w:lang w:val="en-US"/>
        </w:rPr>
        <w:t>Benedicte</w:t>
      </w:r>
      <w:proofErr w:type="spellEnd"/>
      <w:r w:rsidRPr="00E76EA2">
        <w:rPr>
          <w:sz w:val="20"/>
          <w:szCs w:val="20"/>
          <w:lang w:val="en-US"/>
        </w:rPr>
        <w:t xml:space="preserve"> </w:t>
      </w:r>
      <w:proofErr w:type="spellStart"/>
      <w:r w:rsidRPr="00E76EA2">
        <w:rPr>
          <w:sz w:val="20"/>
          <w:szCs w:val="20"/>
          <w:lang w:val="en-US"/>
        </w:rPr>
        <w:t>Dembour</w:t>
      </w:r>
      <w:proofErr w:type="spellEnd"/>
      <w:r w:rsidRPr="00E76EA2">
        <w:rPr>
          <w:sz w:val="20"/>
          <w:szCs w:val="20"/>
          <w:lang w:val="en-US"/>
        </w:rPr>
        <w:t>, Silencing Hearings? Victim-</w:t>
      </w:r>
      <w:proofErr w:type="spellStart"/>
      <w:r w:rsidRPr="00E76EA2">
        <w:rPr>
          <w:sz w:val="20"/>
          <w:szCs w:val="20"/>
          <w:lang w:val="en-US"/>
        </w:rPr>
        <w:t>Witnessses</w:t>
      </w:r>
      <w:proofErr w:type="spellEnd"/>
      <w:r w:rsidRPr="00E76EA2">
        <w:rPr>
          <w:sz w:val="20"/>
          <w:szCs w:val="20"/>
          <w:lang w:val="en-US"/>
        </w:rPr>
        <w:t xml:space="preserve"> at war Crimes Trials (2004) 15(1) </w:t>
      </w:r>
      <w:r w:rsidRPr="009B433B">
        <w:rPr>
          <w:i/>
          <w:iCs/>
          <w:sz w:val="20"/>
          <w:szCs w:val="20"/>
          <w:lang w:val="en-US"/>
        </w:rPr>
        <w:t>European Journal of International Law</w:t>
      </w:r>
      <w:r w:rsidRPr="00E76EA2">
        <w:rPr>
          <w:sz w:val="20"/>
          <w:szCs w:val="20"/>
          <w:lang w:val="en-US"/>
        </w:rPr>
        <w:t>,P.151-177.</w:t>
      </w:r>
    </w:p>
  </w:footnote>
  <w:footnote w:id="114">
    <w:p w14:paraId="6777980C" w14:textId="77777777" w:rsidR="00C310AB" w:rsidRPr="00E76EA2" w:rsidRDefault="00C310AB" w:rsidP="007B0716">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w:t>
      </w:r>
    </w:p>
  </w:footnote>
  <w:footnote w:id="115">
    <w:p w14:paraId="7210E085" w14:textId="77777777" w:rsidR="00C310AB" w:rsidRPr="00E76EA2" w:rsidRDefault="00C310AB" w:rsidP="000F7FE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Human Rights </w:t>
      </w:r>
      <w:proofErr w:type="spellStart"/>
      <w:r w:rsidRPr="00E76EA2">
        <w:rPr>
          <w:sz w:val="20"/>
          <w:szCs w:val="20"/>
        </w:rPr>
        <w:t>Center</w:t>
      </w:r>
      <w:proofErr w:type="spellEnd"/>
      <w:r w:rsidRPr="00E76EA2">
        <w:rPr>
          <w:sz w:val="20"/>
          <w:szCs w:val="20"/>
        </w:rPr>
        <w:t xml:space="preserve">, </w:t>
      </w:r>
      <w:proofErr w:type="spellStart"/>
      <w:r w:rsidRPr="00E76EA2">
        <w:rPr>
          <w:sz w:val="20"/>
          <w:szCs w:val="20"/>
        </w:rPr>
        <w:t>UCBerkely</w:t>
      </w:r>
      <w:proofErr w:type="spellEnd"/>
      <w:r w:rsidRPr="00E76EA2">
        <w:rPr>
          <w:sz w:val="20"/>
          <w:szCs w:val="20"/>
        </w:rPr>
        <w:t xml:space="preserve"> School of </w:t>
      </w:r>
      <w:proofErr w:type="spellStart"/>
      <w:r w:rsidRPr="00E76EA2">
        <w:rPr>
          <w:sz w:val="20"/>
          <w:szCs w:val="20"/>
        </w:rPr>
        <w:t>LawThe</w:t>
      </w:r>
      <w:proofErr w:type="spellEnd"/>
      <w:r w:rsidRPr="00E76EA2">
        <w:rPr>
          <w:sz w:val="20"/>
          <w:szCs w:val="20"/>
        </w:rPr>
        <w:t xml:space="preserve"> Victims’ Court? A Study of 622 Victim Participants at the International Criminal Court 1-86, 32.</w:t>
      </w:r>
    </w:p>
  </w:footnote>
  <w:footnote w:id="116">
    <w:p w14:paraId="0C823832" w14:textId="6E1CA70A" w:rsidR="00C310AB" w:rsidRPr="00E76EA2" w:rsidRDefault="00C310AB" w:rsidP="000F7FE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Susana </w:t>
      </w:r>
      <w:proofErr w:type="spellStart"/>
      <w:r w:rsidRPr="00E76EA2">
        <w:rPr>
          <w:sz w:val="20"/>
          <w:szCs w:val="20"/>
        </w:rPr>
        <w:t>SaCouto</w:t>
      </w:r>
      <w:proofErr w:type="spellEnd"/>
      <w:r w:rsidRPr="00E76EA2">
        <w:rPr>
          <w:sz w:val="20"/>
          <w:szCs w:val="20"/>
        </w:rPr>
        <w:t xml:space="preserve"> and Katherine Clearly,</w:t>
      </w:r>
      <w:r w:rsidRPr="00E76EA2">
        <w:rPr>
          <w:color w:val="333333"/>
          <w:sz w:val="20"/>
          <w:szCs w:val="20"/>
        </w:rPr>
        <w:t xml:space="preserve"> ‘Victims’ Participation in the investigation of the International Criminal Court (2008)17</w:t>
      </w:r>
      <w:r w:rsidRPr="00E76EA2">
        <w:rPr>
          <w:i/>
          <w:color w:val="333333"/>
          <w:sz w:val="20"/>
          <w:szCs w:val="20"/>
        </w:rPr>
        <w:t xml:space="preserve"> Transnational Law &amp; Contemporary Problems, 73-105</w:t>
      </w:r>
    </w:p>
  </w:footnote>
  <w:footnote w:id="117">
    <w:p w14:paraId="7AB27C99" w14:textId="67AFA0E7" w:rsidR="00C310AB" w:rsidRPr="00E76EA2" w:rsidRDefault="00C310AB" w:rsidP="000F7FE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Judith Herman, “Justice from the Victims’ Perspective”(2005) 11(5)</w:t>
      </w:r>
      <w:r w:rsidRPr="00E76EA2">
        <w:rPr>
          <w:i/>
          <w:sz w:val="20"/>
          <w:szCs w:val="20"/>
        </w:rPr>
        <w:t>Violence against Women,</w:t>
      </w:r>
      <w:r w:rsidRPr="00E76EA2">
        <w:rPr>
          <w:sz w:val="20"/>
          <w:szCs w:val="20"/>
        </w:rPr>
        <w:t xml:space="preserve">571-602; Joanne </w:t>
      </w:r>
      <w:proofErr w:type="spellStart"/>
      <w:r w:rsidRPr="00E76EA2">
        <w:rPr>
          <w:sz w:val="20"/>
          <w:szCs w:val="20"/>
        </w:rPr>
        <w:t>Wemmers</w:t>
      </w:r>
      <w:proofErr w:type="spellEnd"/>
      <w:r w:rsidRPr="00E76EA2">
        <w:rPr>
          <w:sz w:val="20"/>
          <w:szCs w:val="20"/>
        </w:rPr>
        <w:t xml:space="preserve">, Van </w:t>
      </w:r>
      <w:proofErr w:type="spellStart"/>
      <w:r w:rsidRPr="00E76EA2">
        <w:rPr>
          <w:sz w:val="20"/>
          <w:szCs w:val="20"/>
        </w:rPr>
        <w:t>Deen</w:t>
      </w:r>
      <w:proofErr w:type="spellEnd"/>
      <w:r w:rsidRPr="00E76EA2">
        <w:rPr>
          <w:sz w:val="20"/>
          <w:szCs w:val="20"/>
        </w:rPr>
        <w:t xml:space="preserve"> </w:t>
      </w:r>
      <w:proofErr w:type="spellStart"/>
      <w:r w:rsidRPr="00E76EA2">
        <w:rPr>
          <w:sz w:val="20"/>
          <w:szCs w:val="20"/>
        </w:rPr>
        <w:t>Leenden</w:t>
      </w:r>
      <w:proofErr w:type="spellEnd"/>
      <w:r w:rsidRPr="00E76EA2">
        <w:rPr>
          <w:sz w:val="20"/>
          <w:szCs w:val="20"/>
        </w:rPr>
        <w:t xml:space="preserve"> and </w:t>
      </w:r>
      <w:proofErr w:type="spellStart"/>
      <w:r w:rsidRPr="00E76EA2">
        <w:rPr>
          <w:sz w:val="20"/>
          <w:szCs w:val="20"/>
        </w:rPr>
        <w:t>Steensman</w:t>
      </w:r>
      <w:proofErr w:type="spellEnd"/>
      <w:r w:rsidRPr="00E76EA2">
        <w:rPr>
          <w:sz w:val="20"/>
          <w:szCs w:val="20"/>
        </w:rPr>
        <w:t xml:space="preserve"> “What is Procedural Justice? Criteria Used by Dutch Victims to Assess the Fairness of Criminal Justice Procedure    (1995) 8(4) </w:t>
      </w:r>
      <w:r w:rsidRPr="00E76EA2">
        <w:rPr>
          <w:i/>
          <w:sz w:val="20"/>
          <w:szCs w:val="20"/>
        </w:rPr>
        <w:t>Social justice Research</w:t>
      </w:r>
      <w:r w:rsidR="009B433B">
        <w:rPr>
          <w:i/>
          <w:sz w:val="20"/>
          <w:szCs w:val="20"/>
        </w:rPr>
        <w:t>,</w:t>
      </w:r>
      <w:r w:rsidRPr="00E76EA2">
        <w:rPr>
          <w:sz w:val="20"/>
          <w:szCs w:val="20"/>
        </w:rPr>
        <w:t>325-500.</w:t>
      </w:r>
    </w:p>
  </w:footnote>
  <w:footnote w:id="118">
    <w:p w14:paraId="2C6300C1" w14:textId="77777777" w:rsidR="00C310AB" w:rsidRPr="00E76EA2" w:rsidRDefault="00C310AB" w:rsidP="000F7FE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Valerie </w:t>
      </w:r>
      <w:proofErr w:type="spellStart"/>
      <w:r w:rsidRPr="00E76EA2">
        <w:rPr>
          <w:sz w:val="20"/>
          <w:szCs w:val="20"/>
          <w:lang w:val="en-US"/>
        </w:rPr>
        <w:t>Meredith,’Victim</w:t>
      </w:r>
      <w:proofErr w:type="spellEnd"/>
      <w:r w:rsidRPr="00E76EA2">
        <w:rPr>
          <w:sz w:val="20"/>
          <w:szCs w:val="20"/>
          <w:lang w:val="en-US"/>
        </w:rPr>
        <w:t xml:space="preserve"> Identity and Respect for Human </w:t>
      </w:r>
      <w:proofErr w:type="spellStart"/>
      <w:r w:rsidRPr="00E76EA2">
        <w:rPr>
          <w:sz w:val="20"/>
          <w:szCs w:val="20"/>
          <w:lang w:val="en-US"/>
        </w:rPr>
        <w:t>Dignity:A</w:t>
      </w:r>
      <w:proofErr w:type="spellEnd"/>
      <w:r w:rsidRPr="00E76EA2">
        <w:rPr>
          <w:sz w:val="20"/>
          <w:szCs w:val="20"/>
          <w:lang w:val="en-US"/>
        </w:rPr>
        <w:t xml:space="preserve"> Terminological Analysis’(2009) 91(874) </w:t>
      </w:r>
      <w:r w:rsidRPr="00E76EA2">
        <w:rPr>
          <w:i/>
          <w:sz w:val="20"/>
          <w:szCs w:val="20"/>
          <w:lang w:val="en-US"/>
        </w:rPr>
        <w:t xml:space="preserve">International Review of the Red Cross </w:t>
      </w:r>
      <w:r w:rsidRPr="00E76EA2">
        <w:rPr>
          <w:sz w:val="20"/>
          <w:szCs w:val="20"/>
          <w:lang w:val="en-US"/>
        </w:rPr>
        <w:t>259-277,260.</w:t>
      </w:r>
    </w:p>
  </w:footnote>
  <w:footnote w:id="119">
    <w:p w14:paraId="6D20B9A9" w14:textId="77777777" w:rsidR="00C310AB" w:rsidRPr="00E76EA2" w:rsidRDefault="00C310AB" w:rsidP="000F7FE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120">
    <w:p w14:paraId="1B7F8886" w14:textId="4BFE7FA8" w:rsidR="00C310AB" w:rsidRPr="00E76EA2" w:rsidRDefault="00C310AB" w:rsidP="000F7FE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Tom Tyler, ‘What is Procedural </w:t>
      </w:r>
      <w:proofErr w:type="spellStart"/>
      <w:r w:rsidRPr="00E76EA2">
        <w:rPr>
          <w:sz w:val="20"/>
          <w:szCs w:val="20"/>
          <w:lang w:val="en-US"/>
        </w:rPr>
        <w:t>Justice?Criteria</w:t>
      </w:r>
      <w:proofErr w:type="spellEnd"/>
      <w:r w:rsidRPr="00E76EA2">
        <w:rPr>
          <w:sz w:val="20"/>
          <w:szCs w:val="20"/>
          <w:lang w:val="en-US"/>
        </w:rPr>
        <w:t xml:space="preserve"> used by Citizens to assess the fairness of Legal Procedures(1988) 22(1)</w:t>
      </w:r>
      <w:r w:rsidRPr="00E76EA2">
        <w:rPr>
          <w:i/>
          <w:sz w:val="20"/>
          <w:szCs w:val="20"/>
          <w:lang w:val="en-US"/>
        </w:rPr>
        <w:t>Journal of Law and Society Association</w:t>
      </w:r>
      <w:r w:rsidR="000F7FE7">
        <w:rPr>
          <w:i/>
          <w:sz w:val="20"/>
          <w:szCs w:val="20"/>
          <w:lang w:val="en-US"/>
        </w:rPr>
        <w:t>,</w:t>
      </w:r>
      <w:r w:rsidRPr="00E76EA2">
        <w:rPr>
          <w:sz w:val="20"/>
          <w:szCs w:val="20"/>
          <w:lang w:val="en-US"/>
        </w:rPr>
        <w:t>103-136.103,104;Thibaut and Laurens Walker, ‘Theory of Procedure’</w:t>
      </w:r>
    </w:p>
  </w:footnote>
  <w:footnote w:id="121">
    <w:p w14:paraId="06A54789" w14:textId="77777777" w:rsidR="00C310AB" w:rsidRPr="00E76EA2" w:rsidRDefault="00C310AB" w:rsidP="000F7FE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Sara Kendall and Sarah Nouwen, ‘Representational Practices at the International Criminal </w:t>
      </w:r>
      <w:proofErr w:type="spellStart"/>
      <w:r w:rsidRPr="00E76EA2">
        <w:rPr>
          <w:sz w:val="20"/>
          <w:szCs w:val="20"/>
        </w:rPr>
        <w:t>Court:The</w:t>
      </w:r>
      <w:proofErr w:type="spellEnd"/>
      <w:r w:rsidRPr="00E76EA2">
        <w:rPr>
          <w:sz w:val="20"/>
          <w:szCs w:val="20"/>
        </w:rPr>
        <w:t xml:space="preserve"> Gap between </w:t>
      </w:r>
      <w:proofErr w:type="spellStart"/>
      <w:r w:rsidRPr="00E76EA2">
        <w:rPr>
          <w:sz w:val="20"/>
          <w:szCs w:val="20"/>
        </w:rPr>
        <w:t>Juridified</w:t>
      </w:r>
      <w:proofErr w:type="spellEnd"/>
      <w:r w:rsidRPr="00E76EA2">
        <w:rPr>
          <w:sz w:val="20"/>
          <w:szCs w:val="20"/>
        </w:rPr>
        <w:t xml:space="preserve"> and Abstract Victimhood’ (2013) 96(325) </w:t>
      </w:r>
      <w:r w:rsidRPr="00E76EA2">
        <w:rPr>
          <w:i/>
          <w:sz w:val="20"/>
          <w:szCs w:val="20"/>
        </w:rPr>
        <w:t xml:space="preserve">Law and Contemporary Problems, </w:t>
      </w:r>
      <w:r w:rsidRPr="00E76EA2">
        <w:rPr>
          <w:sz w:val="20"/>
          <w:szCs w:val="20"/>
        </w:rPr>
        <w:t>242.</w:t>
      </w:r>
    </w:p>
  </w:footnote>
  <w:footnote w:id="122">
    <w:p w14:paraId="0DB617DB" w14:textId="77777777" w:rsidR="00C310AB" w:rsidRPr="00E76EA2" w:rsidRDefault="00C310AB" w:rsidP="000F7FE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123">
    <w:p w14:paraId="1DBDF22B" w14:textId="77777777" w:rsidR="00C310AB" w:rsidRPr="00E76EA2" w:rsidRDefault="00C310AB" w:rsidP="000425CF">
      <w:pPr>
        <w:pStyle w:val="NoSpacing1"/>
        <w:jc w:val="both"/>
        <w:rPr>
          <w:sz w:val="20"/>
          <w:szCs w:val="20"/>
        </w:rPr>
      </w:pPr>
      <w:r w:rsidRPr="00E76EA2">
        <w:rPr>
          <w:rStyle w:val="FootnoteReference"/>
          <w:sz w:val="20"/>
          <w:szCs w:val="20"/>
        </w:rPr>
        <w:footnoteRef/>
      </w:r>
      <w:r w:rsidRPr="00E76EA2">
        <w:rPr>
          <w:sz w:val="20"/>
          <w:szCs w:val="20"/>
        </w:rPr>
        <w:t xml:space="preserve"> Ibid .</w:t>
      </w:r>
    </w:p>
  </w:footnote>
  <w:footnote w:id="124">
    <w:p w14:paraId="1B002BA6" w14:textId="77777777" w:rsidR="00C310AB" w:rsidRPr="00E76EA2" w:rsidRDefault="00C310AB" w:rsidP="000425CF">
      <w:pPr>
        <w:pStyle w:val="NoSpacing1"/>
        <w:jc w:val="both"/>
        <w:rPr>
          <w:sz w:val="20"/>
          <w:szCs w:val="20"/>
        </w:rPr>
      </w:pPr>
      <w:r w:rsidRPr="00E76EA2">
        <w:rPr>
          <w:rStyle w:val="FootnoteReference"/>
          <w:sz w:val="20"/>
          <w:szCs w:val="20"/>
        </w:rPr>
        <w:footnoteRef/>
      </w:r>
      <w:r w:rsidRPr="00E76EA2">
        <w:rPr>
          <w:sz w:val="20"/>
          <w:szCs w:val="20"/>
        </w:rPr>
        <w:t xml:space="preserve"> Ibid,p.259</w:t>
      </w:r>
    </w:p>
  </w:footnote>
  <w:footnote w:id="125">
    <w:p w14:paraId="7097327A" w14:textId="77777777" w:rsidR="00C310AB" w:rsidRPr="00E76EA2" w:rsidRDefault="00C310AB" w:rsidP="000425CF">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126">
    <w:p w14:paraId="737874D8" w14:textId="77777777" w:rsidR="00C310AB" w:rsidRPr="00E76EA2" w:rsidRDefault="00C310AB" w:rsidP="000425CF">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127">
    <w:p w14:paraId="6F276C7D" w14:textId="77777777" w:rsidR="00C310AB" w:rsidRPr="00E76EA2" w:rsidRDefault="00C310AB" w:rsidP="000425CF">
      <w:pPr>
        <w:pStyle w:val="NoSpacing1"/>
        <w:jc w:val="both"/>
        <w:rPr>
          <w:sz w:val="20"/>
          <w:szCs w:val="20"/>
        </w:rPr>
      </w:pPr>
      <w:r w:rsidRPr="00E76EA2">
        <w:rPr>
          <w:rStyle w:val="FootnoteReference"/>
          <w:sz w:val="20"/>
          <w:szCs w:val="20"/>
        </w:rPr>
        <w:footnoteRef/>
      </w:r>
      <w:r w:rsidRPr="00E76EA2">
        <w:rPr>
          <w:sz w:val="20"/>
          <w:szCs w:val="20"/>
        </w:rPr>
        <w:t xml:space="preserve"> Rachel </w:t>
      </w:r>
      <w:proofErr w:type="spellStart"/>
      <w:r w:rsidRPr="00E76EA2">
        <w:rPr>
          <w:sz w:val="20"/>
          <w:szCs w:val="20"/>
        </w:rPr>
        <w:t>Killean</w:t>
      </w:r>
      <w:proofErr w:type="spellEnd"/>
      <w:r w:rsidRPr="00E76EA2">
        <w:rPr>
          <w:sz w:val="20"/>
          <w:szCs w:val="20"/>
        </w:rPr>
        <w:t xml:space="preserve"> and Luke Moffett, ‘Victim Legal Representation before the ICC and ECCC’ (2017) 15(4) </w:t>
      </w:r>
      <w:r w:rsidRPr="00E76EA2">
        <w:rPr>
          <w:i/>
          <w:sz w:val="20"/>
          <w:szCs w:val="20"/>
        </w:rPr>
        <w:t xml:space="preserve">Journal of International Criminal Justice, </w:t>
      </w:r>
      <w:r w:rsidRPr="00E76EA2">
        <w:rPr>
          <w:sz w:val="20"/>
          <w:szCs w:val="20"/>
        </w:rPr>
        <w:t>217-740.</w:t>
      </w:r>
    </w:p>
  </w:footnote>
  <w:footnote w:id="128">
    <w:p w14:paraId="5679F883" w14:textId="1BD7A3F0" w:rsidR="00C310AB" w:rsidRPr="00E76EA2" w:rsidRDefault="00C310AB" w:rsidP="000425CF">
      <w:pPr>
        <w:pStyle w:val="NoSpacing1"/>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David </w:t>
      </w:r>
      <w:proofErr w:type="spellStart"/>
      <w:r w:rsidRPr="00E76EA2">
        <w:rPr>
          <w:sz w:val="20"/>
          <w:szCs w:val="20"/>
          <w:lang w:val="en-US"/>
        </w:rPr>
        <w:t>Donat-Catin</w:t>
      </w:r>
      <w:proofErr w:type="spellEnd"/>
      <w:r w:rsidRPr="00E76EA2">
        <w:rPr>
          <w:sz w:val="20"/>
          <w:szCs w:val="20"/>
          <w:lang w:val="en-US"/>
        </w:rPr>
        <w:t xml:space="preserve">, </w:t>
      </w:r>
      <w:r w:rsidR="000425CF">
        <w:rPr>
          <w:sz w:val="20"/>
          <w:szCs w:val="20"/>
          <w:lang w:val="en-US"/>
        </w:rPr>
        <w:t>‘</w:t>
      </w:r>
      <w:r w:rsidRPr="00E76EA2">
        <w:rPr>
          <w:sz w:val="20"/>
          <w:szCs w:val="20"/>
          <w:lang w:val="en-US"/>
        </w:rPr>
        <w:t>Article 68</w:t>
      </w:r>
      <w:r w:rsidR="000425CF">
        <w:rPr>
          <w:sz w:val="20"/>
          <w:szCs w:val="20"/>
          <w:lang w:val="en-US"/>
        </w:rPr>
        <w:t>’</w:t>
      </w:r>
      <w:r w:rsidRPr="00E76EA2">
        <w:rPr>
          <w:sz w:val="20"/>
          <w:szCs w:val="20"/>
          <w:lang w:val="en-US"/>
        </w:rPr>
        <w:t xml:space="preserve">, in </w:t>
      </w:r>
      <w:r w:rsidR="005E3405">
        <w:rPr>
          <w:sz w:val="20"/>
          <w:szCs w:val="20"/>
          <w:lang w:val="en-US"/>
        </w:rPr>
        <w:t>Otto</w:t>
      </w:r>
      <w:r w:rsidRPr="00E76EA2">
        <w:rPr>
          <w:sz w:val="20"/>
          <w:szCs w:val="20"/>
          <w:lang w:val="en-US"/>
        </w:rPr>
        <w:t xml:space="preserve"> </w:t>
      </w:r>
      <w:proofErr w:type="spellStart"/>
      <w:r w:rsidRPr="00E76EA2">
        <w:rPr>
          <w:sz w:val="20"/>
          <w:szCs w:val="20"/>
          <w:lang w:val="en-US"/>
        </w:rPr>
        <w:t>Triffterer</w:t>
      </w:r>
      <w:proofErr w:type="spellEnd"/>
      <w:r w:rsidRPr="00E76EA2">
        <w:rPr>
          <w:sz w:val="20"/>
          <w:szCs w:val="20"/>
          <w:lang w:val="en-US"/>
        </w:rPr>
        <w:t xml:space="preserve"> </w:t>
      </w:r>
      <w:r w:rsidR="000F7FE7">
        <w:rPr>
          <w:sz w:val="20"/>
          <w:szCs w:val="20"/>
          <w:lang w:val="en-US"/>
        </w:rPr>
        <w:t>(</w:t>
      </w:r>
      <w:r w:rsidRPr="00E76EA2">
        <w:rPr>
          <w:sz w:val="20"/>
          <w:szCs w:val="20"/>
          <w:lang w:val="en-US"/>
        </w:rPr>
        <w:t>ed) Commentary on the Rome Statute of the International Criminal Court (2008) 1275,1291</w:t>
      </w:r>
    </w:p>
  </w:footnote>
  <w:footnote w:id="129">
    <w:p w14:paraId="203F923B" w14:textId="77777777" w:rsidR="00C310AB" w:rsidRPr="00730684" w:rsidRDefault="00C310AB" w:rsidP="003527EF">
      <w:pPr>
        <w:pStyle w:val="NoSpacing1"/>
        <w:spacing w:line="276" w:lineRule="auto"/>
        <w:jc w:val="both"/>
        <w:rPr>
          <w:i/>
          <w:iCs/>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Gerard </w:t>
      </w:r>
      <w:proofErr w:type="spellStart"/>
      <w:r w:rsidRPr="00E76EA2">
        <w:rPr>
          <w:sz w:val="20"/>
          <w:szCs w:val="20"/>
          <w:lang w:val="en-US"/>
        </w:rPr>
        <w:t>Mekjian</w:t>
      </w:r>
      <w:proofErr w:type="spellEnd"/>
      <w:r w:rsidRPr="00E76EA2">
        <w:rPr>
          <w:sz w:val="20"/>
          <w:szCs w:val="20"/>
          <w:lang w:val="en-US"/>
        </w:rPr>
        <w:t xml:space="preserve"> and </w:t>
      </w:r>
      <w:proofErr w:type="spellStart"/>
      <w:r w:rsidRPr="00E76EA2">
        <w:rPr>
          <w:sz w:val="20"/>
          <w:szCs w:val="20"/>
          <w:lang w:val="en-US"/>
        </w:rPr>
        <w:t>Mattew</w:t>
      </w:r>
      <w:proofErr w:type="spellEnd"/>
      <w:r w:rsidRPr="00E76EA2">
        <w:rPr>
          <w:sz w:val="20"/>
          <w:szCs w:val="20"/>
          <w:lang w:val="en-US"/>
        </w:rPr>
        <w:t xml:space="preserve"> Varughese, Hearing the Victims’ s </w:t>
      </w:r>
      <w:proofErr w:type="spellStart"/>
      <w:r w:rsidRPr="00E76EA2">
        <w:rPr>
          <w:sz w:val="20"/>
          <w:szCs w:val="20"/>
          <w:lang w:val="en-US"/>
        </w:rPr>
        <w:t>Voice:Analysis</w:t>
      </w:r>
      <w:proofErr w:type="spellEnd"/>
      <w:r w:rsidRPr="00E76EA2">
        <w:rPr>
          <w:sz w:val="20"/>
          <w:szCs w:val="20"/>
          <w:lang w:val="en-US"/>
        </w:rPr>
        <w:t xml:space="preserve"> of Victims’ Advocate Participation in the Trial Proceedings of the International Criminal Court,(2005) 17 </w:t>
      </w:r>
      <w:r w:rsidRPr="00730684">
        <w:rPr>
          <w:i/>
          <w:iCs/>
          <w:sz w:val="20"/>
          <w:szCs w:val="20"/>
          <w:lang w:val="en-US"/>
        </w:rPr>
        <w:t xml:space="preserve">Pace International Law Review   </w:t>
      </w:r>
      <w:r w:rsidRPr="003527EF">
        <w:rPr>
          <w:sz w:val="20"/>
          <w:szCs w:val="20"/>
          <w:lang w:val="en-US"/>
        </w:rPr>
        <w:t>1, 20.</w:t>
      </w:r>
    </w:p>
  </w:footnote>
  <w:footnote w:id="130">
    <w:p w14:paraId="41D9B6B4" w14:textId="784EAE09" w:rsidR="00C310AB" w:rsidRPr="00E50C3A" w:rsidRDefault="00C310AB" w:rsidP="003527EF">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Margeret</w:t>
      </w:r>
      <w:proofErr w:type="spellEnd"/>
      <w:r w:rsidRPr="00E76EA2">
        <w:rPr>
          <w:sz w:val="20"/>
          <w:szCs w:val="20"/>
        </w:rPr>
        <w:t xml:space="preserve"> Gavin and David </w:t>
      </w:r>
      <w:proofErr w:type="spellStart"/>
      <w:r w:rsidRPr="00E76EA2">
        <w:rPr>
          <w:sz w:val="20"/>
          <w:szCs w:val="20"/>
        </w:rPr>
        <w:t>Beloof</w:t>
      </w:r>
      <w:proofErr w:type="spellEnd"/>
      <w:r w:rsidRPr="00E76EA2">
        <w:rPr>
          <w:sz w:val="20"/>
          <w:szCs w:val="20"/>
        </w:rPr>
        <w:t xml:space="preserve">,  Crime Victims Agency,(2015)  13(1) </w:t>
      </w:r>
      <w:r w:rsidRPr="00E50C3A">
        <w:rPr>
          <w:i/>
          <w:iCs/>
          <w:sz w:val="20"/>
          <w:szCs w:val="20"/>
        </w:rPr>
        <w:t xml:space="preserve">Ohio State Journal of Criminal Law, </w:t>
      </w:r>
      <w:r w:rsidRPr="00E50C3A">
        <w:rPr>
          <w:sz w:val="20"/>
          <w:szCs w:val="20"/>
        </w:rPr>
        <w:t>68</w:t>
      </w:r>
      <w:r w:rsidR="003527EF" w:rsidRPr="00E50C3A">
        <w:rPr>
          <w:sz w:val="20"/>
          <w:szCs w:val="20"/>
        </w:rPr>
        <w:t>.</w:t>
      </w:r>
      <w:r w:rsidRPr="00E50C3A">
        <w:rPr>
          <w:i/>
          <w:iCs/>
          <w:sz w:val="20"/>
          <w:szCs w:val="20"/>
        </w:rPr>
        <w:t xml:space="preserve"> </w:t>
      </w:r>
    </w:p>
  </w:footnote>
  <w:footnote w:id="131">
    <w:p w14:paraId="5842E5FD" w14:textId="77777777" w:rsidR="00C310AB" w:rsidRPr="00E76EA2" w:rsidRDefault="00C310AB" w:rsidP="00855041">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Elisabeth Baumgartner, ‘Aspects of victim participation in the proceedings of the International Criminal Court’ (2009)90(870) </w:t>
      </w:r>
      <w:r w:rsidRPr="00E76EA2">
        <w:rPr>
          <w:i/>
          <w:sz w:val="20"/>
          <w:szCs w:val="20"/>
        </w:rPr>
        <w:t>International Review of the Red Cross, 409-440.</w:t>
      </w:r>
    </w:p>
  </w:footnote>
  <w:footnote w:id="132">
    <w:p w14:paraId="197E0982" w14:textId="77777777" w:rsidR="00C310AB" w:rsidRPr="00E76EA2" w:rsidRDefault="00C310AB" w:rsidP="0085504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Ashworth, “Responsibilities , Rights and Restorative justice”(2002) 42 </w:t>
      </w:r>
      <w:r w:rsidRPr="00E76EA2">
        <w:rPr>
          <w:i/>
          <w:sz w:val="20"/>
          <w:szCs w:val="20"/>
        </w:rPr>
        <w:t xml:space="preserve">British Journal of Criminology </w:t>
      </w:r>
      <w:r w:rsidRPr="00E76EA2">
        <w:rPr>
          <w:sz w:val="20"/>
          <w:szCs w:val="20"/>
        </w:rPr>
        <w:t xml:space="preserve"> p.585.</w:t>
      </w:r>
    </w:p>
  </w:footnote>
  <w:footnote w:id="133">
    <w:p w14:paraId="133F779A" w14:textId="387FA9BA" w:rsidR="00C310AB" w:rsidRPr="00E76EA2" w:rsidRDefault="00C310AB" w:rsidP="000A001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‘Philosophical Issues in International Sentencing’ in Mark Findlay &amp;Ralph </w:t>
      </w:r>
      <w:proofErr w:type="spellStart"/>
      <w:r w:rsidRPr="00E76EA2">
        <w:rPr>
          <w:sz w:val="20"/>
          <w:szCs w:val="20"/>
        </w:rPr>
        <w:t>Henham</w:t>
      </w:r>
      <w:proofErr w:type="spellEnd"/>
      <w:r w:rsidRPr="00E76EA2">
        <w:rPr>
          <w:sz w:val="20"/>
          <w:szCs w:val="20"/>
        </w:rPr>
        <w:t xml:space="preserve"> (ed</w:t>
      </w:r>
      <w:r w:rsidR="00855041">
        <w:rPr>
          <w:sz w:val="20"/>
          <w:szCs w:val="20"/>
        </w:rPr>
        <w:t>s</w:t>
      </w:r>
      <w:r w:rsidRPr="00E76EA2">
        <w:rPr>
          <w:sz w:val="20"/>
          <w:szCs w:val="20"/>
        </w:rPr>
        <w:t xml:space="preserve">) </w:t>
      </w:r>
      <w:r w:rsidRPr="00E76EA2">
        <w:rPr>
          <w:i/>
          <w:sz w:val="20"/>
          <w:szCs w:val="20"/>
        </w:rPr>
        <w:t>Punishment and Process in International Criminal Trials, International and Comparative Criminal Justice</w:t>
      </w:r>
      <w:r w:rsidRPr="00E76EA2">
        <w:rPr>
          <w:sz w:val="20"/>
          <w:szCs w:val="20"/>
        </w:rPr>
        <w:t xml:space="preserve"> (Ashgate  2005) 129;Prosecutor v </w:t>
      </w:r>
      <w:proofErr w:type="spellStart"/>
      <w:r w:rsidRPr="00E76EA2">
        <w:rPr>
          <w:sz w:val="20"/>
          <w:szCs w:val="20"/>
        </w:rPr>
        <w:t>Kunarac</w:t>
      </w:r>
      <w:proofErr w:type="spellEnd"/>
      <w:r w:rsidRPr="00E76EA2">
        <w:rPr>
          <w:sz w:val="20"/>
          <w:szCs w:val="20"/>
        </w:rPr>
        <w:t xml:space="preserve"> (Case No.IT-96-23-/1-t), Judgment ,22 February 2001, para.836;Herbert Hart </w:t>
      </w:r>
      <w:r w:rsidRPr="00E76EA2">
        <w:rPr>
          <w:i/>
          <w:sz w:val="20"/>
          <w:szCs w:val="20"/>
        </w:rPr>
        <w:t>Punishment and Responsibility :</w:t>
      </w:r>
      <w:r w:rsidRPr="00E76EA2">
        <w:rPr>
          <w:sz w:val="20"/>
          <w:szCs w:val="20"/>
        </w:rPr>
        <w:t xml:space="preserve">Essays in Philosophy of Law (Oxford University Press 1968) </w:t>
      </w:r>
    </w:p>
  </w:footnote>
  <w:footnote w:id="134">
    <w:p w14:paraId="4D5285FD" w14:textId="1489EA69" w:rsidR="00C310AB" w:rsidRPr="00E76EA2" w:rsidRDefault="00C310AB" w:rsidP="000A001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Van Zyl Smit</w:t>
      </w:r>
      <w:r w:rsidR="006A647B">
        <w:rPr>
          <w:sz w:val="20"/>
          <w:szCs w:val="20"/>
        </w:rPr>
        <w:t>h</w:t>
      </w:r>
      <w:r w:rsidRPr="00E76EA2">
        <w:rPr>
          <w:sz w:val="20"/>
          <w:szCs w:val="20"/>
        </w:rPr>
        <w:t>,  ‘Punishment and Human Rights in International Criminal Justice’ . Inaugural lecture as Professor of Comparative and Penal Law, University of Nottingham , 30  January 2002.</w:t>
      </w:r>
    </w:p>
  </w:footnote>
  <w:footnote w:id="135">
    <w:p w14:paraId="545175B4" w14:textId="01C8CA77" w:rsidR="00C310AB" w:rsidRPr="00E76EA2" w:rsidRDefault="00C310AB" w:rsidP="000A001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Richard Goldstone, ‘Acquittals by the International Criminal Court’ (2019)</w:t>
      </w:r>
      <w:r w:rsidRPr="00E76EA2">
        <w:rPr>
          <w:i/>
          <w:sz w:val="20"/>
          <w:szCs w:val="20"/>
        </w:rPr>
        <w:t xml:space="preserve">European Journal of International Law </w:t>
      </w:r>
      <w:r w:rsidRPr="00E76EA2">
        <w:rPr>
          <w:sz w:val="20"/>
          <w:szCs w:val="20"/>
        </w:rPr>
        <w:t xml:space="preserve">accessible at </w:t>
      </w:r>
      <w:r w:rsidRPr="00E76EA2">
        <w:rPr>
          <w:i/>
          <w:sz w:val="20"/>
          <w:szCs w:val="20"/>
        </w:rPr>
        <w:t xml:space="preserve"> &lt; </w:t>
      </w:r>
      <w:hyperlink r:id="rId9" w:history="1">
        <w:r w:rsidRPr="00E76EA2">
          <w:rPr>
            <w:rStyle w:val="Hyperlink"/>
            <w:i/>
            <w:sz w:val="20"/>
            <w:szCs w:val="20"/>
          </w:rPr>
          <w:t>https://www.ejiltalk.org/acquittals-by-the-international-criminal-court/</w:t>
        </w:r>
      </w:hyperlink>
      <w:r w:rsidRPr="00E76EA2">
        <w:rPr>
          <w:i/>
          <w:sz w:val="20"/>
          <w:szCs w:val="20"/>
        </w:rPr>
        <w:t xml:space="preserve">&gt; </w:t>
      </w:r>
      <w:r w:rsidRPr="00E76EA2">
        <w:rPr>
          <w:sz w:val="20"/>
          <w:szCs w:val="20"/>
        </w:rPr>
        <w:t xml:space="preserve">last accessed 21 November 2019. </w:t>
      </w:r>
    </w:p>
    <w:p w14:paraId="08ABCB85" w14:textId="541D56C7" w:rsidR="00C310AB" w:rsidRPr="00E76EA2" w:rsidRDefault="00C310AB" w:rsidP="000A0010">
      <w:pPr>
        <w:pStyle w:val="NoSpacing1"/>
        <w:spacing w:line="276" w:lineRule="auto"/>
        <w:jc w:val="both"/>
        <w:rPr>
          <w:sz w:val="20"/>
          <w:szCs w:val="20"/>
        </w:rPr>
      </w:pPr>
    </w:p>
  </w:footnote>
  <w:footnote w:id="136">
    <w:p w14:paraId="41AB68A9" w14:textId="3533A9DD" w:rsidR="00C310AB" w:rsidRPr="00E76EA2" w:rsidRDefault="00C310AB" w:rsidP="003841D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Joan</w:t>
      </w:r>
      <w:r w:rsidR="003841D5">
        <w:rPr>
          <w:sz w:val="20"/>
          <w:szCs w:val="20"/>
        </w:rPr>
        <w:t>n</w:t>
      </w:r>
      <w:r w:rsidRPr="00E76EA2">
        <w:rPr>
          <w:sz w:val="20"/>
          <w:szCs w:val="20"/>
        </w:rPr>
        <w:t xml:space="preserve">a </w:t>
      </w:r>
      <w:proofErr w:type="spellStart"/>
      <w:r w:rsidRPr="00E76EA2">
        <w:rPr>
          <w:sz w:val="20"/>
          <w:szCs w:val="20"/>
        </w:rPr>
        <w:t>Shapland</w:t>
      </w:r>
      <w:proofErr w:type="spellEnd"/>
      <w:r w:rsidRPr="00E76EA2">
        <w:rPr>
          <w:sz w:val="20"/>
          <w:szCs w:val="20"/>
        </w:rPr>
        <w:t xml:space="preserve"> and </w:t>
      </w:r>
      <w:proofErr w:type="spellStart"/>
      <w:r w:rsidRPr="00E76EA2">
        <w:rPr>
          <w:sz w:val="20"/>
          <w:szCs w:val="20"/>
        </w:rPr>
        <w:t>Mattew</w:t>
      </w:r>
      <w:proofErr w:type="spellEnd"/>
      <w:r w:rsidRPr="00E76EA2">
        <w:rPr>
          <w:sz w:val="20"/>
          <w:szCs w:val="20"/>
        </w:rPr>
        <w:t xml:space="preserve"> Hall,  “What do  we know about the effects  of crime on victims” (2007) 14 </w:t>
      </w:r>
      <w:r w:rsidRPr="00E76EA2">
        <w:rPr>
          <w:i/>
          <w:sz w:val="20"/>
          <w:szCs w:val="20"/>
        </w:rPr>
        <w:t>International Review of Victimology,</w:t>
      </w:r>
      <w:r w:rsidRPr="00E76EA2">
        <w:rPr>
          <w:sz w:val="20"/>
          <w:szCs w:val="20"/>
        </w:rPr>
        <w:t xml:space="preserve"> 175-217,176</w:t>
      </w:r>
      <w:r w:rsidR="0035398A">
        <w:rPr>
          <w:sz w:val="20"/>
          <w:szCs w:val="20"/>
        </w:rPr>
        <w:t>.</w:t>
      </w:r>
    </w:p>
  </w:footnote>
  <w:footnote w:id="137">
    <w:p w14:paraId="67DAEFD6" w14:textId="1A084599" w:rsidR="00C310AB" w:rsidRPr="00E76EA2" w:rsidRDefault="00C310AB" w:rsidP="003841D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Jo-Anne </w:t>
      </w:r>
      <w:proofErr w:type="spellStart"/>
      <w:r w:rsidRPr="00E76EA2">
        <w:rPr>
          <w:sz w:val="20"/>
          <w:szCs w:val="20"/>
        </w:rPr>
        <w:t>Wemmers</w:t>
      </w:r>
      <w:proofErr w:type="spellEnd"/>
      <w:r w:rsidRPr="00E76EA2">
        <w:rPr>
          <w:sz w:val="20"/>
          <w:szCs w:val="20"/>
        </w:rPr>
        <w:t xml:space="preserve"> , “Where do they belong ? Giving victims a Place in the Criminal Justice Process (2009) </w:t>
      </w:r>
      <w:r w:rsidRPr="00E76EA2">
        <w:rPr>
          <w:i/>
          <w:iCs/>
          <w:sz w:val="20"/>
          <w:szCs w:val="20"/>
        </w:rPr>
        <w:t>Criminal Law Forum</w:t>
      </w:r>
      <w:r w:rsidRPr="00E76EA2">
        <w:rPr>
          <w:sz w:val="20"/>
          <w:szCs w:val="20"/>
        </w:rPr>
        <w:t>,396-416</w:t>
      </w:r>
      <w:r w:rsidR="0035398A">
        <w:rPr>
          <w:sz w:val="20"/>
          <w:szCs w:val="20"/>
        </w:rPr>
        <w:t>,</w:t>
      </w:r>
      <w:r w:rsidRPr="00E76EA2">
        <w:rPr>
          <w:sz w:val="20"/>
          <w:szCs w:val="20"/>
        </w:rPr>
        <w:t xml:space="preserve"> </w:t>
      </w:r>
      <w:r w:rsidRPr="00E76EA2">
        <w:rPr>
          <w:sz w:val="20"/>
          <w:szCs w:val="20"/>
          <w:lang w:val="en-US"/>
        </w:rPr>
        <w:t>399</w:t>
      </w:r>
      <w:r w:rsidR="0035398A">
        <w:rPr>
          <w:sz w:val="20"/>
          <w:szCs w:val="20"/>
          <w:lang w:val="en-US"/>
        </w:rPr>
        <w:t>.</w:t>
      </w:r>
    </w:p>
  </w:footnote>
  <w:footnote w:id="138">
    <w:p w14:paraId="552FD9C7" w14:textId="467D7FBD" w:rsidR="00C310AB" w:rsidRPr="00E76EA2" w:rsidRDefault="00C310AB" w:rsidP="003841D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Sanders, “Victim Impact Statements: Don’t Work, Can’t Work (2001) </w:t>
      </w:r>
      <w:r w:rsidRPr="00E76EA2">
        <w:rPr>
          <w:i/>
          <w:sz w:val="20"/>
          <w:szCs w:val="20"/>
        </w:rPr>
        <w:t>Criminal Law Review</w:t>
      </w:r>
      <w:r w:rsidRPr="00E76EA2">
        <w:rPr>
          <w:sz w:val="20"/>
          <w:szCs w:val="20"/>
        </w:rPr>
        <w:t>, 447-458.</w:t>
      </w:r>
    </w:p>
  </w:footnote>
  <w:footnote w:id="139">
    <w:p w14:paraId="7008572C" w14:textId="17F9A0BB" w:rsidR="00C310AB" w:rsidRPr="00E76EA2" w:rsidRDefault="00C310AB" w:rsidP="00B74802">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Jo-Anne </w:t>
      </w:r>
      <w:proofErr w:type="spellStart"/>
      <w:r w:rsidRPr="00E76EA2">
        <w:rPr>
          <w:sz w:val="20"/>
          <w:szCs w:val="20"/>
          <w:lang w:val="en-US"/>
        </w:rPr>
        <w:t>Shapland</w:t>
      </w:r>
      <w:proofErr w:type="spellEnd"/>
      <w:r w:rsidRPr="00E76EA2">
        <w:rPr>
          <w:sz w:val="20"/>
          <w:szCs w:val="20"/>
          <w:lang w:val="en-US"/>
        </w:rPr>
        <w:t xml:space="preserve">, Jon Wilmore and Peter Duff, </w:t>
      </w:r>
      <w:r w:rsidRPr="00E76EA2">
        <w:rPr>
          <w:i/>
          <w:iCs/>
          <w:sz w:val="20"/>
          <w:szCs w:val="20"/>
          <w:lang w:val="en-US"/>
        </w:rPr>
        <w:t>Victims in the Criminal Justice System</w:t>
      </w:r>
      <w:r w:rsidRPr="00E76EA2">
        <w:rPr>
          <w:sz w:val="20"/>
          <w:szCs w:val="20"/>
          <w:lang w:val="en-US"/>
        </w:rPr>
        <w:t xml:space="preserve"> (</w:t>
      </w:r>
      <w:proofErr w:type="spellStart"/>
      <w:r w:rsidRPr="00E76EA2">
        <w:rPr>
          <w:sz w:val="20"/>
          <w:szCs w:val="20"/>
          <w:lang w:val="en-US"/>
        </w:rPr>
        <w:t>Aldershot</w:t>
      </w:r>
      <w:proofErr w:type="spellEnd"/>
      <w:r w:rsidRPr="00E76EA2">
        <w:rPr>
          <w:sz w:val="20"/>
          <w:szCs w:val="20"/>
          <w:lang w:val="en-US"/>
        </w:rPr>
        <w:t xml:space="preserve"> Gower 1985)</w:t>
      </w:r>
    </w:p>
  </w:footnote>
  <w:footnote w:id="140">
    <w:p w14:paraId="0B05161E" w14:textId="6B779DED" w:rsidR="00C310AB" w:rsidRPr="00E76EA2" w:rsidRDefault="00C310AB" w:rsidP="00B74802">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Edna </w:t>
      </w:r>
      <w:proofErr w:type="spellStart"/>
      <w:r w:rsidRPr="00E76EA2">
        <w:rPr>
          <w:sz w:val="20"/>
          <w:szCs w:val="20"/>
          <w:lang w:val="en-US"/>
        </w:rPr>
        <w:t>Erez</w:t>
      </w:r>
      <w:proofErr w:type="spellEnd"/>
      <w:r w:rsidRPr="00E76EA2">
        <w:rPr>
          <w:sz w:val="20"/>
          <w:szCs w:val="20"/>
          <w:lang w:val="en-US"/>
        </w:rPr>
        <w:t xml:space="preserve"> and  Julian Roberts,  Victim Participation in the Criminal Justice System , in Robert Davis, Arthur </w:t>
      </w:r>
      <w:proofErr w:type="spellStart"/>
      <w:r w:rsidRPr="00E76EA2">
        <w:rPr>
          <w:sz w:val="20"/>
          <w:szCs w:val="20"/>
          <w:lang w:val="en-US"/>
        </w:rPr>
        <w:t>Lurigo</w:t>
      </w:r>
      <w:proofErr w:type="spellEnd"/>
      <w:r w:rsidRPr="00E76EA2">
        <w:rPr>
          <w:sz w:val="20"/>
          <w:szCs w:val="20"/>
          <w:lang w:val="en-US"/>
        </w:rPr>
        <w:t xml:space="preserve"> and Susan Herman (eds) Victims of Crime ( 3</w:t>
      </w:r>
      <w:r w:rsidRPr="00E76EA2">
        <w:rPr>
          <w:sz w:val="20"/>
          <w:szCs w:val="20"/>
          <w:vertAlign w:val="superscript"/>
          <w:lang w:val="en-US"/>
        </w:rPr>
        <w:t>rd</w:t>
      </w:r>
      <w:r w:rsidRPr="00E76EA2">
        <w:rPr>
          <w:sz w:val="20"/>
          <w:szCs w:val="20"/>
          <w:lang w:val="en-US"/>
        </w:rPr>
        <w:t xml:space="preserve"> Edition Sage Publishers 2007);Kim Lens, Anthony </w:t>
      </w:r>
      <w:proofErr w:type="spellStart"/>
      <w:r w:rsidRPr="00E76EA2">
        <w:rPr>
          <w:sz w:val="20"/>
          <w:szCs w:val="20"/>
          <w:lang w:val="en-US"/>
        </w:rPr>
        <w:t>Pemberton,Karen</w:t>
      </w:r>
      <w:proofErr w:type="spellEnd"/>
      <w:r w:rsidRPr="00E76EA2">
        <w:rPr>
          <w:sz w:val="20"/>
          <w:szCs w:val="20"/>
          <w:lang w:val="en-US"/>
        </w:rPr>
        <w:t xml:space="preserve"> Brans, Johan </w:t>
      </w:r>
      <w:proofErr w:type="spellStart"/>
      <w:r w:rsidRPr="00E76EA2">
        <w:rPr>
          <w:sz w:val="20"/>
          <w:szCs w:val="20"/>
          <w:lang w:val="en-US"/>
        </w:rPr>
        <w:t>Braeken</w:t>
      </w:r>
      <w:proofErr w:type="spellEnd"/>
      <w:r w:rsidRPr="00E76EA2">
        <w:rPr>
          <w:sz w:val="20"/>
          <w:szCs w:val="20"/>
          <w:lang w:val="en-US"/>
        </w:rPr>
        <w:t xml:space="preserve">, Stefan Bogaerts and </w:t>
      </w:r>
      <w:proofErr w:type="spellStart"/>
      <w:r w:rsidRPr="00E76EA2">
        <w:rPr>
          <w:sz w:val="20"/>
          <w:szCs w:val="20"/>
          <w:lang w:val="en-US"/>
        </w:rPr>
        <w:t>Esmah</w:t>
      </w:r>
      <w:proofErr w:type="spellEnd"/>
      <w:r w:rsidRPr="00E76EA2">
        <w:rPr>
          <w:sz w:val="20"/>
          <w:szCs w:val="20"/>
          <w:lang w:val="en-US"/>
        </w:rPr>
        <w:t xml:space="preserve"> </w:t>
      </w:r>
      <w:proofErr w:type="spellStart"/>
      <w:r w:rsidRPr="00E76EA2">
        <w:rPr>
          <w:sz w:val="20"/>
          <w:szCs w:val="20"/>
          <w:lang w:val="en-US"/>
        </w:rPr>
        <w:t>Lahlah</w:t>
      </w:r>
      <w:proofErr w:type="spellEnd"/>
      <w:r w:rsidRPr="00E76EA2">
        <w:rPr>
          <w:sz w:val="20"/>
          <w:szCs w:val="20"/>
          <w:lang w:val="en-US"/>
        </w:rPr>
        <w:t xml:space="preserve">,  ‘Delivering a Victim Impact </w:t>
      </w:r>
      <w:proofErr w:type="spellStart"/>
      <w:r w:rsidRPr="00E76EA2">
        <w:rPr>
          <w:sz w:val="20"/>
          <w:szCs w:val="20"/>
          <w:lang w:val="en-US"/>
        </w:rPr>
        <w:t>Statement:Emotionally</w:t>
      </w:r>
      <w:proofErr w:type="spellEnd"/>
      <w:r w:rsidRPr="00E76EA2">
        <w:rPr>
          <w:sz w:val="20"/>
          <w:szCs w:val="20"/>
          <w:lang w:val="en-US"/>
        </w:rPr>
        <w:t xml:space="preserve"> effective or counter-productive? (2015) 12(1)</w:t>
      </w:r>
      <w:r w:rsidRPr="00E76EA2">
        <w:rPr>
          <w:i/>
          <w:sz w:val="20"/>
          <w:szCs w:val="20"/>
          <w:lang w:val="en-US"/>
        </w:rPr>
        <w:t xml:space="preserve">European Journal of Criminology </w:t>
      </w:r>
      <w:r w:rsidRPr="00E76EA2">
        <w:rPr>
          <w:sz w:val="20"/>
          <w:szCs w:val="20"/>
          <w:lang w:val="en-US"/>
        </w:rPr>
        <w:t>, 17-34.)</w:t>
      </w:r>
    </w:p>
  </w:footnote>
  <w:footnote w:id="141">
    <w:p w14:paraId="2CB14DEB" w14:textId="5E97DA15" w:rsidR="00C310AB" w:rsidRPr="00E76EA2" w:rsidRDefault="00C310AB" w:rsidP="00B7480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Luke Moffett, ‘Victims Personal Statements in Managing Victims’ Voices in Sentencing in Northern </w:t>
      </w:r>
      <w:proofErr w:type="spellStart"/>
      <w:r w:rsidRPr="00E76EA2">
        <w:rPr>
          <w:sz w:val="20"/>
          <w:szCs w:val="20"/>
        </w:rPr>
        <w:t>Ireland:Taking</w:t>
      </w:r>
      <w:proofErr w:type="spellEnd"/>
      <w:r w:rsidRPr="00E76EA2">
        <w:rPr>
          <w:sz w:val="20"/>
          <w:szCs w:val="20"/>
        </w:rPr>
        <w:t xml:space="preserve"> a more Procedural Justice Approach’(2017)</w:t>
      </w:r>
      <w:r w:rsidRPr="00E76EA2">
        <w:rPr>
          <w:i/>
          <w:sz w:val="20"/>
          <w:szCs w:val="20"/>
        </w:rPr>
        <w:t>Northern Ireland Legal Quarterly</w:t>
      </w:r>
      <w:r w:rsidRPr="00E76EA2">
        <w:rPr>
          <w:sz w:val="20"/>
          <w:szCs w:val="20"/>
        </w:rPr>
        <w:t xml:space="preserve">, Queen’s University Belfast Law Research Paper No.2019-091-27 </w:t>
      </w:r>
    </w:p>
  </w:footnote>
  <w:footnote w:id="142">
    <w:p w14:paraId="2907081D" w14:textId="77777777" w:rsidR="00C310AB" w:rsidRPr="00E76EA2" w:rsidRDefault="00C310AB" w:rsidP="00B7480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43">
    <w:p w14:paraId="0DCF0EEA" w14:textId="6A2157EB" w:rsidR="00C310AB" w:rsidRPr="00E76EA2" w:rsidRDefault="00C310AB" w:rsidP="00B7480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People of the State of California v Brock Allen Turner, No HO43709 Santa Clara County Super .Court No.b15771622016</w:t>
      </w:r>
    </w:p>
  </w:footnote>
  <w:footnote w:id="144">
    <w:p w14:paraId="5B7BDA55" w14:textId="59B5E17B" w:rsidR="00C310AB" w:rsidRPr="00E76EA2" w:rsidRDefault="00C310AB" w:rsidP="00B7480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Independent, Stanford rape </w:t>
      </w:r>
      <w:proofErr w:type="spellStart"/>
      <w:r w:rsidRPr="00E76EA2">
        <w:rPr>
          <w:sz w:val="20"/>
          <w:szCs w:val="20"/>
        </w:rPr>
        <w:t>case:Read</w:t>
      </w:r>
      <w:proofErr w:type="spellEnd"/>
      <w:r w:rsidRPr="00E76EA2">
        <w:rPr>
          <w:sz w:val="20"/>
          <w:szCs w:val="20"/>
        </w:rPr>
        <w:t xml:space="preserve"> the impact statement of Brock Turner’s victim</w:t>
      </w:r>
      <w:r w:rsidR="00740C77">
        <w:rPr>
          <w:sz w:val="20"/>
          <w:szCs w:val="20"/>
        </w:rPr>
        <w:t>,</w:t>
      </w:r>
      <w:r w:rsidRPr="00E76EA2">
        <w:rPr>
          <w:sz w:val="20"/>
          <w:szCs w:val="20"/>
        </w:rPr>
        <w:t xml:space="preserve"> accessible at </w:t>
      </w:r>
      <w:hyperlink r:id="rId10" w:history="1">
        <w:r w:rsidRPr="00E76EA2">
          <w:rPr>
            <w:rStyle w:val="Hyperlink"/>
            <w:sz w:val="20"/>
            <w:szCs w:val="20"/>
          </w:rPr>
          <w:t>https://www.independent.co.uk/news/people/stanford-rape-case-read-the-impact-statement-of-brock-turners-victim-a7222371.html</w:t>
        </w:r>
      </w:hyperlink>
      <w:r w:rsidRPr="00E76EA2">
        <w:rPr>
          <w:sz w:val="20"/>
          <w:szCs w:val="20"/>
        </w:rPr>
        <w:t xml:space="preserve"> &gt; Last accessed 24 November 2019.</w:t>
      </w:r>
    </w:p>
  </w:footnote>
  <w:footnote w:id="145">
    <w:p w14:paraId="3973D8FA" w14:textId="72B15118" w:rsidR="00C310AB" w:rsidRPr="00E76EA2" w:rsidRDefault="00C310AB" w:rsidP="009B34D6">
      <w:pPr>
        <w:pStyle w:val="NoSpacing1"/>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w:t>
      </w:r>
      <w:r w:rsidRPr="00E76EA2">
        <w:rPr>
          <w:i/>
          <w:sz w:val="20"/>
          <w:szCs w:val="20"/>
        </w:rPr>
        <w:t>Sentencing and the Legitimacy of Trial Justice</w:t>
      </w:r>
      <w:r w:rsidRPr="00E76EA2">
        <w:rPr>
          <w:sz w:val="20"/>
          <w:szCs w:val="20"/>
        </w:rPr>
        <w:t xml:space="preserve"> (</w:t>
      </w:r>
      <w:r w:rsidR="003D55D0">
        <w:rPr>
          <w:sz w:val="20"/>
          <w:szCs w:val="20"/>
        </w:rPr>
        <w:t xml:space="preserve"> First Edition, </w:t>
      </w:r>
      <w:r w:rsidRPr="00E76EA2">
        <w:rPr>
          <w:sz w:val="20"/>
          <w:szCs w:val="20"/>
        </w:rPr>
        <w:t>Routledge 2012)351</w:t>
      </w:r>
    </w:p>
  </w:footnote>
  <w:footnote w:id="146">
    <w:p w14:paraId="2C57D074" w14:textId="77777777" w:rsidR="00C310AB" w:rsidRPr="00E76EA2" w:rsidRDefault="00C310AB" w:rsidP="009B34D6">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147">
    <w:p w14:paraId="3FE4BF9E" w14:textId="26FC8A12" w:rsidR="00C310AB" w:rsidRPr="00E76EA2" w:rsidRDefault="00C310AB" w:rsidP="009B34D6">
      <w:pPr>
        <w:pStyle w:val="NoSpacing1"/>
        <w:jc w:val="both"/>
        <w:rPr>
          <w:sz w:val="20"/>
          <w:szCs w:val="20"/>
        </w:rPr>
      </w:pPr>
      <w:r w:rsidRPr="00E76EA2">
        <w:rPr>
          <w:rStyle w:val="FootnoteReference"/>
          <w:sz w:val="20"/>
          <w:szCs w:val="20"/>
        </w:rPr>
        <w:footnoteRef/>
      </w:r>
      <w:r w:rsidRPr="00E76EA2">
        <w:rPr>
          <w:sz w:val="20"/>
          <w:szCs w:val="20"/>
        </w:rPr>
        <w:t xml:space="preserve"> Heather Strang and Lawrence Sherman, ‘Repairing the Harm: Victims and Restorative justice , </w:t>
      </w:r>
      <w:r w:rsidRPr="00E76EA2">
        <w:rPr>
          <w:i/>
          <w:sz w:val="20"/>
          <w:szCs w:val="20"/>
        </w:rPr>
        <w:t xml:space="preserve">15 Utah Law Review </w:t>
      </w:r>
      <w:r w:rsidRPr="00E76EA2">
        <w:rPr>
          <w:sz w:val="20"/>
          <w:szCs w:val="20"/>
        </w:rPr>
        <w:t xml:space="preserve">(2003)1;Luke Moffett, ‘Elaborating justice for victims at the International Criminal Court’(2015)13(2) </w:t>
      </w:r>
      <w:r w:rsidRPr="00E76EA2">
        <w:rPr>
          <w:i/>
          <w:sz w:val="20"/>
          <w:szCs w:val="20"/>
        </w:rPr>
        <w:t>Journal of International Criminal Law</w:t>
      </w:r>
      <w:r w:rsidRPr="00E76EA2">
        <w:rPr>
          <w:sz w:val="20"/>
          <w:szCs w:val="20"/>
        </w:rPr>
        <w:t>; Ibid .</w:t>
      </w:r>
    </w:p>
  </w:footnote>
  <w:footnote w:id="148">
    <w:p w14:paraId="4597E332" w14:textId="746FA8D7" w:rsidR="00C310AB" w:rsidRPr="00E76EA2" w:rsidRDefault="00C310AB" w:rsidP="009B34D6">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149">
    <w:p w14:paraId="6EF3C3FC" w14:textId="77777777" w:rsidR="00C310AB" w:rsidRPr="00E76EA2" w:rsidRDefault="00C310AB" w:rsidP="001215EA">
      <w:pPr>
        <w:pStyle w:val="NoSpacing1"/>
        <w:spacing w:line="276" w:lineRule="auto"/>
        <w:jc w:val="both"/>
        <w:rPr>
          <w:sz w:val="20"/>
          <w:szCs w:val="20"/>
        </w:rPr>
      </w:pPr>
      <w:r w:rsidRPr="00E76EA2">
        <w:rPr>
          <w:rStyle w:val="FootnoteReference"/>
          <w:sz w:val="20"/>
          <w:szCs w:val="20"/>
        </w:rPr>
        <w:footnoteRef/>
      </w:r>
      <w:r w:rsidRPr="00E76EA2">
        <w:rPr>
          <w:sz w:val="20"/>
          <w:szCs w:val="20"/>
        </w:rPr>
        <w:t>Heather Strang and Lawrence Sherman, ‘Repairing the harm: Victims and Restorative justice, 15</w:t>
      </w:r>
      <w:r w:rsidRPr="00E76EA2">
        <w:rPr>
          <w:i/>
          <w:sz w:val="20"/>
          <w:szCs w:val="20"/>
        </w:rPr>
        <w:t xml:space="preserve"> Utah Law Review </w:t>
      </w:r>
      <w:r w:rsidRPr="00E76EA2">
        <w:rPr>
          <w:sz w:val="20"/>
          <w:szCs w:val="20"/>
        </w:rPr>
        <w:t>(2003) 15,20</w:t>
      </w:r>
    </w:p>
  </w:footnote>
  <w:footnote w:id="150">
    <w:p w14:paraId="176603CF" w14:textId="029641A8" w:rsidR="00C310AB" w:rsidRPr="00E76EA2" w:rsidRDefault="00C310AB" w:rsidP="001215E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Principle 6(a), The United Nations Declaration of Basic Principles of Justice for Victims of Crime and Abuse of Power,1985</w:t>
      </w:r>
    </w:p>
  </w:footnote>
  <w:footnote w:id="151">
    <w:p w14:paraId="3FACE0AF" w14:textId="77777777" w:rsidR="00C310AB" w:rsidRPr="00E76EA2" w:rsidRDefault="00C310AB" w:rsidP="001215E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w:t>
      </w:r>
      <w:r w:rsidRPr="00E76EA2">
        <w:rPr>
          <w:i/>
          <w:sz w:val="20"/>
          <w:szCs w:val="20"/>
        </w:rPr>
        <w:t xml:space="preserve">The Little Book of Restorative Justice: Revised and Updated( </w:t>
      </w:r>
      <w:r w:rsidRPr="00E76EA2">
        <w:rPr>
          <w:sz w:val="20"/>
          <w:szCs w:val="20"/>
        </w:rPr>
        <w:t>1</w:t>
      </w:r>
      <w:r w:rsidRPr="00E76EA2">
        <w:rPr>
          <w:sz w:val="20"/>
          <w:szCs w:val="20"/>
          <w:vertAlign w:val="superscript"/>
        </w:rPr>
        <w:t>st</w:t>
      </w:r>
      <w:r w:rsidRPr="00E76EA2">
        <w:rPr>
          <w:sz w:val="20"/>
          <w:szCs w:val="20"/>
        </w:rPr>
        <w:t xml:space="preserve"> Edition,</w:t>
      </w:r>
      <w:r w:rsidRPr="00E76EA2">
        <w:rPr>
          <w:i/>
          <w:sz w:val="20"/>
          <w:szCs w:val="20"/>
        </w:rPr>
        <w:t xml:space="preserve"> </w:t>
      </w:r>
      <w:r w:rsidRPr="00E76EA2">
        <w:rPr>
          <w:sz w:val="20"/>
          <w:szCs w:val="20"/>
        </w:rPr>
        <w:t>Good Books 2014)5.</w:t>
      </w:r>
    </w:p>
  </w:footnote>
  <w:footnote w:id="152">
    <w:p w14:paraId="66347429" w14:textId="77777777" w:rsidR="00C310AB" w:rsidRPr="00E76EA2" w:rsidRDefault="00C310AB" w:rsidP="001215E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w:t>
      </w:r>
      <w:r w:rsidRPr="00E76EA2">
        <w:rPr>
          <w:i/>
          <w:sz w:val="20"/>
          <w:szCs w:val="20"/>
        </w:rPr>
        <w:t xml:space="preserve">The Little Book of Restorative Justice: Revised and Updated( </w:t>
      </w:r>
      <w:r w:rsidRPr="00E76EA2">
        <w:rPr>
          <w:sz w:val="20"/>
          <w:szCs w:val="20"/>
        </w:rPr>
        <w:t>1</w:t>
      </w:r>
      <w:r w:rsidRPr="00E76EA2">
        <w:rPr>
          <w:sz w:val="20"/>
          <w:szCs w:val="20"/>
          <w:vertAlign w:val="superscript"/>
        </w:rPr>
        <w:t>st</w:t>
      </w:r>
      <w:r w:rsidRPr="00E76EA2">
        <w:rPr>
          <w:sz w:val="20"/>
          <w:szCs w:val="20"/>
        </w:rPr>
        <w:t xml:space="preserve"> Edition,</w:t>
      </w:r>
      <w:r w:rsidRPr="00E76EA2">
        <w:rPr>
          <w:i/>
          <w:sz w:val="20"/>
          <w:szCs w:val="20"/>
        </w:rPr>
        <w:t xml:space="preserve"> </w:t>
      </w:r>
      <w:r w:rsidRPr="00E76EA2">
        <w:rPr>
          <w:sz w:val="20"/>
          <w:szCs w:val="20"/>
        </w:rPr>
        <w:t>Good Books 2014)5.</w:t>
      </w:r>
      <w:r w:rsidRPr="00E76EA2">
        <w:rPr>
          <w:i/>
          <w:sz w:val="20"/>
          <w:szCs w:val="20"/>
        </w:rPr>
        <w:t xml:space="preserve"> </w:t>
      </w:r>
    </w:p>
  </w:footnote>
  <w:footnote w:id="153">
    <w:p w14:paraId="055939E4" w14:textId="77777777" w:rsidR="00C310AB" w:rsidRPr="00E76EA2" w:rsidRDefault="00C310AB" w:rsidP="006709FC">
      <w:pPr>
        <w:pStyle w:val="NoSpacing1"/>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w:t>
      </w:r>
      <w:r w:rsidRPr="00E76EA2">
        <w:rPr>
          <w:i/>
          <w:sz w:val="20"/>
          <w:szCs w:val="20"/>
        </w:rPr>
        <w:t>The Little Book of Restorative Justice :Revised and Updated</w:t>
      </w:r>
      <w:r w:rsidRPr="00E76EA2">
        <w:rPr>
          <w:sz w:val="20"/>
          <w:szCs w:val="20"/>
        </w:rPr>
        <w:t>(Sky Publishing 2014)13.</w:t>
      </w:r>
    </w:p>
  </w:footnote>
  <w:footnote w:id="154">
    <w:p w14:paraId="4B0E9002" w14:textId="0B1D91EA" w:rsidR="00C310AB" w:rsidRPr="00E76EA2" w:rsidRDefault="00C310AB" w:rsidP="006709FC">
      <w:pPr>
        <w:pStyle w:val="NoSpacing1"/>
        <w:jc w:val="both"/>
        <w:rPr>
          <w:sz w:val="20"/>
          <w:szCs w:val="20"/>
        </w:rPr>
      </w:pPr>
      <w:r w:rsidRPr="00E76EA2">
        <w:rPr>
          <w:rStyle w:val="FootnoteReference"/>
          <w:sz w:val="20"/>
          <w:szCs w:val="20"/>
        </w:rPr>
        <w:footnoteRef/>
      </w:r>
      <w:r w:rsidRPr="00E76EA2">
        <w:rPr>
          <w:sz w:val="20"/>
          <w:szCs w:val="20"/>
        </w:rPr>
        <w:t xml:space="preserve"> </w:t>
      </w:r>
      <w:r w:rsidR="00D1410A">
        <w:rPr>
          <w:sz w:val="20"/>
          <w:szCs w:val="20"/>
        </w:rPr>
        <w:t>Luke Moffett, ‘</w:t>
      </w:r>
      <w:r w:rsidR="00571FDB">
        <w:rPr>
          <w:sz w:val="20"/>
          <w:szCs w:val="20"/>
        </w:rPr>
        <w:t xml:space="preserve">Meaningful and </w:t>
      </w:r>
      <w:proofErr w:type="spellStart"/>
      <w:r w:rsidR="00571FDB">
        <w:rPr>
          <w:sz w:val="20"/>
          <w:szCs w:val="20"/>
        </w:rPr>
        <w:t>effective?</w:t>
      </w:r>
      <w:r w:rsidR="00D1410A">
        <w:rPr>
          <w:sz w:val="20"/>
          <w:szCs w:val="20"/>
        </w:rPr>
        <w:t>Considering</w:t>
      </w:r>
      <w:proofErr w:type="spellEnd"/>
      <w:r w:rsidR="00D1410A">
        <w:rPr>
          <w:sz w:val="20"/>
          <w:szCs w:val="20"/>
        </w:rPr>
        <w:t xml:space="preserve"> victims interests</w:t>
      </w:r>
      <w:r w:rsidR="000B7720">
        <w:rPr>
          <w:sz w:val="20"/>
          <w:szCs w:val="20"/>
        </w:rPr>
        <w:t xml:space="preserve"> at </w:t>
      </w:r>
      <w:proofErr w:type="spellStart"/>
      <w:r w:rsidR="000B7720">
        <w:rPr>
          <w:sz w:val="20"/>
          <w:szCs w:val="20"/>
        </w:rPr>
        <w:t>th</w:t>
      </w:r>
      <w:proofErr w:type="spellEnd"/>
      <w:r w:rsidR="000B7720">
        <w:rPr>
          <w:sz w:val="20"/>
          <w:szCs w:val="20"/>
        </w:rPr>
        <w:t xml:space="preserve"> International Criminal Court’</w:t>
      </w:r>
      <w:r w:rsidR="0056419D">
        <w:rPr>
          <w:sz w:val="20"/>
          <w:szCs w:val="20"/>
        </w:rPr>
        <w:t>(2015) 26</w:t>
      </w:r>
      <w:r w:rsidR="0056419D">
        <w:rPr>
          <w:i/>
          <w:iCs/>
          <w:sz w:val="20"/>
          <w:szCs w:val="20"/>
        </w:rPr>
        <w:t>Criminal Law Forum</w:t>
      </w:r>
      <w:r w:rsidR="00D1410A">
        <w:rPr>
          <w:sz w:val="20"/>
          <w:szCs w:val="20"/>
        </w:rPr>
        <w:t xml:space="preserve"> </w:t>
      </w:r>
      <w:r w:rsidR="00A32CE3">
        <w:rPr>
          <w:sz w:val="20"/>
          <w:szCs w:val="20"/>
        </w:rPr>
        <w:t>255-289</w:t>
      </w:r>
      <w:r w:rsidRPr="00E76EA2">
        <w:rPr>
          <w:sz w:val="20"/>
          <w:szCs w:val="20"/>
        </w:rPr>
        <w:t>.</w:t>
      </w:r>
    </w:p>
  </w:footnote>
  <w:footnote w:id="155">
    <w:p w14:paraId="2926FEA6" w14:textId="77777777" w:rsidR="00C310AB" w:rsidRPr="00E76EA2" w:rsidRDefault="00C310AB" w:rsidP="006709FC">
      <w:pPr>
        <w:pStyle w:val="NoSpacing1"/>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Waller Irvin, </w:t>
      </w:r>
      <w:r w:rsidRPr="00E76EA2">
        <w:rPr>
          <w:i/>
          <w:sz w:val="20"/>
          <w:szCs w:val="20"/>
          <w:lang w:val="en-US"/>
        </w:rPr>
        <w:t>Rebalancing Justice: Rights for Victims of Crime</w:t>
      </w:r>
      <w:r w:rsidRPr="00E76EA2">
        <w:rPr>
          <w:sz w:val="20"/>
          <w:szCs w:val="20"/>
          <w:lang w:val="en-US"/>
        </w:rPr>
        <w:t>(Rowan &amp;Littlefield Publishers 2011)38.</w:t>
      </w:r>
    </w:p>
  </w:footnote>
  <w:footnote w:id="156">
    <w:p w14:paraId="5803F474" w14:textId="77777777" w:rsidR="00C310AB" w:rsidRPr="00E76EA2" w:rsidRDefault="00C310AB" w:rsidP="006709FC">
      <w:pPr>
        <w:pStyle w:val="NoSpacing1"/>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w:t>
      </w:r>
    </w:p>
  </w:footnote>
  <w:footnote w:id="157">
    <w:p w14:paraId="08B76EB4" w14:textId="77777777" w:rsidR="00C310AB" w:rsidRPr="00E76EA2" w:rsidRDefault="00C310AB" w:rsidP="006709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xml:space="preserve">, Ralph </w:t>
      </w:r>
      <w:proofErr w:type="spellStart"/>
      <w:r w:rsidRPr="00E76EA2">
        <w:rPr>
          <w:sz w:val="20"/>
          <w:szCs w:val="20"/>
        </w:rPr>
        <w:t>Henham</w:t>
      </w:r>
      <w:proofErr w:type="spellEnd"/>
      <w:r w:rsidRPr="00E76EA2">
        <w:rPr>
          <w:sz w:val="20"/>
          <w:szCs w:val="20"/>
        </w:rPr>
        <w:t xml:space="preserve"> and Barry Mitchell, “Victims and the sentencing process: developing participatory rights? (2009) 29(4) </w:t>
      </w:r>
      <w:r w:rsidRPr="00E76EA2">
        <w:rPr>
          <w:i/>
          <w:sz w:val="20"/>
          <w:szCs w:val="20"/>
        </w:rPr>
        <w:t>Legal Studies</w:t>
      </w:r>
      <w:r w:rsidRPr="00E76EA2">
        <w:rPr>
          <w:sz w:val="20"/>
          <w:szCs w:val="20"/>
        </w:rPr>
        <w:t>,p.651-677.</w:t>
      </w:r>
    </w:p>
  </w:footnote>
  <w:footnote w:id="158">
    <w:p w14:paraId="001E97EE" w14:textId="77777777" w:rsidR="00C310AB" w:rsidRPr="00E76EA2" w:rsidRDefault="00C310AB" w:rsidP="006709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Luke </w:t>
      </w:r>
      <w:r w:rsidRPr="00E76EA2">
        <w:rPr>
          <w:sz w:val="20"/>
          <w:szCs w:val="20"/>
        </w:rPr>
        <w:tab/>
        <w:t xml:space="preserve">Moffett, </w:t>
      </w:r>
      <w:r w:rsidRPr="00E76EA2">
        <w:rPr>
          <w:i/>
          <w:sz w:val="20"/>
          <w:szCs w:val="20"/>
        </w:rPr>
        <w:t>Justice for Victims before the International Criminal Court</w:t>
      </w:r>
      <w:r w:rsidRPr="00E76EA2">
        <w:rPr>
          <w:sz w:val="20"/>
          <w:szCs w:val="20"/>
        </w:rPr>
        <w:t>(First Edition, Routledge 2014)17.</w:t>
      </w:r>
    </w:p>
  </w:footnote>
  <w:footnote w:id="159">
    <w:p w14:paraId="30B74334" w14:textId="77777777" w:rsidR="00C310AB" w:rsidRPr="00E76EA2" w:rsidRDefault="00C310AB" w:rsidP="006709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60">
    <w:p w14:paraId="0199EF26" w14:textId="7782407C" w:rsidR="00C310AB" w:rsidRPr="00E76EA2" w:rsidRDefault="00C310AB" w:rsidP="006709FC">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Valentina Spiga, ‘No Redress Without Justice : Victims and International Criminal Law’ (2012) 10(5)</w:t>
      </w:r>
      <w:r w:rsidRPr="00E76EA2">
        <w:rPr>
          <w:i/>
          <w:sz w:val="20"/>
          <w:szCs w:val="20"/>
        </w:rPr>
        <w:t>Journal of International Criminal Justice,</w:t>
      </w:r>
      <w:r w:rsidRPr="00E76EA2">
        <w:rPr>
          <w:sz w:val="20"/>
          <w:szCs w:val="20"/>
        </w:rPr>
        <w:t>1377-1394;Carolyn Hoyle and Leila Ullrich, ‘New Court, New Justice? The Evolution of ‘Justice for Victims’ at Domestic Courts and at the International Criminal Court,’(2014) 12(4)</w:t>
      </w:r>
      <w:r w:rsidRPr="00E76EA2">
        <w:rPr>
          <w:i/>
          <w:sz w:val="20"/>
          <w:szCs w:val="20"/>
        </w:rPr>
        <w:t xml:space="preserve">Journal of International Criminal Justice </w:t>
      </w:r>
      <w:r w:rsidRPr="00E76EA2">
        <w:rPr>
          <w:sz w:val="20"/>
          <w:szCs w:val="20"/>
        </w:rPr>
        <w:t>,681-703;Claire Garbett, ‘From Passive Objects to Active Agents: A Comparative Study of Conceptions of Victim identities at the Victim Identities at the ICTY and ICC,’(2015) 15(1)</w:t>
      </w:r>
      <w:r w:rsidRPr="00E76EA2">
        <w:rPr>
          <w:i/>
          <w:sz w:val="20"/>
          <w:szCs w:val="20"/>
        </w:rPr>
        <w:t>Journal of Human Rights.</w:t>
      </w:r>
      <w:r w:rsidRPr="00E76EA2">
        <w:rPr>
          <w:iCs/>
          <w:sz w:val="20"/>
          <w:szCs w:val="20"/>
        </w:rPr>
        <w:t>, 40-59.</w:t>
      </w:r>
    </w:p>
  </w:footnote>
  <w:footnote w:id="161">
    <w:p w14:paraId="09782AB9" w14:textId="5804AC37" w:rsidR="00C310AB" w:rsidRPr="00E76EA2" w:rsidRDefault="00C310AB" w:rsidP="00CC21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Peter Dixon and Chris </w:t>
      </w:r>
      <w:proofErr w:type="spellStart"/>
      <w:r w:rsidRPr="00E76EA2">
        <w:rPr>
          <w:sz w:val="20"/>
          <w:szCs w:val="20"/>
        </w:rPr>
        <w:t>Tenove</w:t>
      </w:r>
      <w:proofErr w:type="spellEnd"/>
      <w:r w:rsidRPr="00E76EA2">
        <w:rPr>
          <w:sz w:val="20"/>
          <w:szCs w:val="20"/>
        </w:rPr>
        <w:t xml:space="preserve">. ‘International Criminal Justice as a Transnational </w:t>
      </w:r>
      <w:proofErr w:type="spellStart"/>
      <w:r w:rsidRPr="00E76EA2">
        <w:rPr>
          <w:sz w:val="20"/>
          <w:szCs w:val="20"/>
        </w:rPr>
        <w:t>Field:Rules</w:t>
      </w:r>
      <w:proofErr w:type="spellEnd"/>
      <w:r w:rsidRPr="00E76EA2">
        <w:rPr>
          <w:sz w:val="20"/>
          <w:szCs w:val="20"/>
        </w:rPr>
        <w:t>, Authority and Victims,’ (2013) 7(3)</w:t>
      </w:r>
      <w:r w:rsidRPr="00E76EA2">
        <w:rPr>
          <w:i/>
          <w:sz w:val="20"/>
          <w:szCs w:val="20"/>
        </w:rPr>
        <w:t xml:space="preserve">International Journal of Transitional </w:t>
      </w:r>
      <w:proofErr w:type="spellStart"/>
      <w:r w:rsidRPr="00E76EA2">
        <w:rPr>
          <w:i/>
          <w:sz w:val="20"/>
          <w:szCs w:val="20"/>
        </w:rPr>
        <w:t>Justice</w:t>
      </w:r>
      <w:r w:rsidRPr="00E76EA2">
        <w:rPr>
          <w:sz w:val="20"/>
          <w:szCs w:val="20"/>
        </w:rPr>
        <w:t>,p</w:t>
      </w:r>
      <w:proofErr w:type="spellEnd"/>
      <w:r w:rsidRPr="00E76EA2">
        <w:rPr>
          <w:sz w:val="20"/>
          <w:szCs w:val="20"/>
        </w:rPr>
        <w:t xml:space="preserve"> 408;Jonathan </w:t>
      </w:r>
      <w:proofErr w:type="spellStart"/>
      <w:r w:rsidRPr="00E76EA2">
        <w:rPr>
          <w:sz w:val="20"/>
          <w:szCs w:val="20"/>
        </w:rPr>
        <w:t>Doak</w:t>
      </w:r>
      <w:proofErr w:type="spellEnd"/>
      <w:r w:rsidRPr="00E76EA2">
        <w:rPr>
          <w:sz w:val="20"/>
          <w:szCs w:val="20"/>
        </w:rPr>
        <w:t xml:space="preserve">, </w:t>
      </w:r>
      <w:r w:rsidRPr="00E76EA2">
        <w:rPr>
          <w:i/>
          <w:sz w:val="20"/>
          <w:szCs w:val="20"/>
        </w:rPr>
        <w:t>Victims’ Rights, Human Rights and Criminal Justice: Reconceiving the Role of Third Parties</w:t>
      </w:r>
      <w:r w:rsidRPr="00E76EA2">
        <w:rPr>
          <w:sz w:val="20"/>
          <w:szCs w:val="20"/>
        </w:rPr>
        <w:t>( Oxford: Hart Publishing 2008).325</w:t>
      </w:r>
    </w:p>
  </w:footnote>
  <w:footnote w:id="162">
    <w:p w14:paraId="620BAB3C" w14:textId="77777777" w:rsidR="00C310AB" w:rsidRPr="00E76EA2" w:rsidRDefault="00C310AB" w:rsidP="00CC21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27.</w:t>
      </w:r>
    </w:p>
  </w:footnote>
  <w:footnote w:id="163">
    <w:p w14:paraId="619B1C6A" w14:textId="59617E54" w:rsidR="00C310AB" w:rsidRPr="00E76EA2" w:rsidRDefault="00C310AB" w:rsidP="00CC21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‘Procedural Justice and the Courts’ 44</w:t>
      </w:r>
      <w:r w:rsidRPr="00E76EA2">
        <w:rPr>
          <w:i/>
          <w:sz w:val="20"/>
          <w:szCs w:val="20"/>
        </w:rPr>
        <w:t>Court Review</w:t>
      </w:r>
      <w:r w:rsidRPr="00E76EA2">
        <w:rPr>
          <w:sz w:val="20"/>
          <w:szCs w:val="20"/>
        </w:rPr>
        <w:t xml:space="preserve"> ,27;Jonathan </w:t>
      </w:r>
      <w:proofErr w:type="spellStart"/>
      <w:r w:rsidRPr="00E76EA2">
        <w:rPr>
          <w:sz w:val="20"/>
          <w:szCs w:val="20"/>
        </w:rPr>
        <w:t>Doak</w:t>
      </w:r>
      <w:proofErr w:type="spellEnd"/>
      <w:r w:rsidRPr="00E76EA2">
        <w:rPr>
          <w:sz w:val="20"/>
          <w:szCs w:val="20"/>
        </w:rPr>
        <w:t xml:space="preserve">, Jonathan </w:t>
      </w:r>
      <w:proofErr w:type="spellStart"/>
      <w:r w:rsidRPr="00E76EA2">
        <w:rPr>
          <w:sz w:val="20"/>
          <w:szCs w:val="20"/>
        </w:rPr>
        <w:t>Doak</w:t>
      </w:r>
      <w:proofErr w:type="spellEnd"/>
      <w:r w:rsidRPr="00E76EA2">
        <w:rPr>
          <w:sz w:val="20"/>
          <w:szCs w:val="20"/>
        </w:rPr>
        <w:t xml:space="preserve">, </w:t>
      </w:r>
      <w:r w:rsidRPr="00E76EA2">
        <w:rPr>
          <w:i/>
          <w:sz w:val="20"/>
          <w:szCs w:val="20"/>
        </w:rPr>
        <w:t>Victims’ Rights, Human Rights and Criminal Justice: Reconceiving the Role of Third Parties</w:t>
      </w:r>
      <w:r w:rsidRPr="00E76EA2">
        <w:rPr>
          <w:sz w:val="20"/>
          <w:szCs w:val="20"/>
        </w:rPr>
        <w:t>( Oxford: Hart Publishing 2008).</w:t>
      </w:r>
    </w:p>
  </w:footnote>
  <w:footnote w:id="164">
    <w:p w14:paraId="3A1B63AD" w14:textId="0C38547B" w:rsidR="00C310AB" w:rsidRPr="00E76EA2" w:rsidRDefault="00C310AB" w:rsidP="00CC21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Joanna </w:t>
      </w:r>
      <w:proofErr w:type="spellStart"/>
      <w:r w:rsidRPr="00E76EA2">
        <w:rPr>
          <w:sz w:val="20"/>
          <w:szCs w:val="20"/>
        </w:rPr>
        <w:t>Shapland</w:t>
      </w:r>
      <w:proofErr w:type="spellEnd"/>
      <w:r w:rsidRPr="00E76EA2">
        <w:rPr>
          <w:sz w:val="20"/>
          <w:szCs w:val="20"/>
        </w:rPr>
        <w:t>, ‘Victims, the criminal justice system and compensation’(1984) 24(2)</w:t>
      </w:r>
      <w:r w:rsidRPr="00E76EA2">
        <w:rPr>
          <w:i/>
          <w:sz w:val="20"/>
          <w:szCs w:val="20"/>
        </w:rPr>
        <w:t>British Journal of Criminology</w:t>
      </w:r>
      <w:r w:rsidRPr="00E76EA2">
        <w:rPr>
          <w:sz w:val="20"/>
          <w:szCs w:val="20"/>
        </w:rPr>
        <w:t>131-149.</w:t>
      </w:r>
    </w:p>
  </w:footnote>
  <w:footnote w:id="165">
    <w:p w14:paraId="47CBAC74" w14:textId="77777777" w:rsidR="00C310AB" w:rsidRPr="00E76EA2" w:rsidRDefault="00C310AB" w:rsidP="00CC21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Mike Maguire, </w:t>
      </w:r>
      <w:r w:rsidRPr="00E76EA2">
        <w:rPr>
          <w:i/>
          <w:sz w:val="20"/>
          <w:szCs w:val="20"/>
        </w:rPr>
        <w:t>Burglary in a dwelling : the offence ,the offender and the victim(</w:t>
      </w:r>
      <w:r w:rsidRPr="00E76EA2">
        <w:rPr>
          <w:sz w:val="20"/>
          <w:szCs w:val="20"/>
        </w:rPr>
        <w:t>London Heinemann 1982).</w:t>
      </w:r>
    </w:p>
  </w:footnote>
  <w:footnote w:id="166">
    <w:p w14:paraId="6BA3B85A" w14:textId="77777777" w:rsidR="00C310AB" w:rsidRPr="00E76EA2" w:rsidRDefault="00C310AB" w:rsidP="00CC21FC">
      <w:pPr>
        <w:pStyle w:val="NoSpacing1"/>
        <w:spacing w:line="276" w:lineRule="auto"/>
        <w:jc w:val="both"/>
        <w:rPr>
          <w:sz w:val="20"/>
          <w:szCs w:val="20"/>
        </w:rPr>
      </w:pPr>
      <w:r w:rsidRPr="00E76EA2">
        <w:rPr>
          <w:rStyle w:val="FootnoteReference"/>
          <w:sz w:val="20"/>
          <w:szCs w:val="20"/>
        </w:rPr>
        <w:footnoteRef/>
      </w:r>
      <w:r w:rsidRPr="00E76EA2">
        <w:rPr>
          <w:sz w:val="20"/>
          <w:szCs w:val="20"/>
        </w:rPr>
        <w:t>Declaration of Basic principles of justice for victims of crime and abuse,1985, Principle VII.</w:t>
      </w:r>
    </w:p>
  </w:footnote>
  <w:footnote w:id="167">
    <w:p w14:paraId="02E44936" w14:textId="77777777" w:rsidR="00C310AB" w:rsidRPr="00E76EA2" w:rsidRDefault="00C310AB" w:rsidP="00C930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Principle   VIII.</w:t>
      </w:r>
    </w:p>
  </w:footnote>
  <w:footnote w:id="168">
    <w:p w14:paraId="507D5C63" w14:textId="77777777" w:rsidR="00C310AB" w:rsidRPr="00E76EA2" w:rsidRDefault="00C310AB" w:rsidP="00C930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69">
    <w:p w14:paraId="11A93FAF" w14:textId="77777777" w:rsidR="00C310AB" w:rsidRPr="00E76EA2" w:rsidRDefault="00C310AB" w:rsidP="00C930F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Ibid(n 14).</w:t>
      </w:r>
    </w:p>
  </w:footnote>
  <w:footnote w:id="170">
    <w:p w14:paraId="4A980AE3" w14:textId="2B84AAF7" w:rsidR="00C310AB" w:rsidRPr="00D979DC" w:rsidRDefault="00C310AB" w:rsidP="002D3B0D">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Cecile </w:t>
      </w:r>
      <w:proofErr w:type="spellStart"/>
      <w:r w:rsidRPr="00E76EA2">
        <w:rPr>
          <w:sz w:val="20"/>
          <w:szCs w:val="20"/>
        </w:rPr>
        <w:t>Aptel</w:t>
      </w:r>
      <w:proofErr w:type="spellEnd"/>
      <w:r w:rsidRPr="00E76EA2">
        <w:rPr>
          <w:sz w:val="20"/>
          <w:szCs w:val="20"/>
        </w:rPr>
        <w:t xml:space="preserve">, “Prosecutorial discretion at the ICC and victims’ right to remedy :Narrowing the Impunity Gap” (2012) </w:t>
      </w:r>
      <w:r w:rsidR="009A6AD8">
        <w:rPr>
          <w:sz w:val="20"/>
          <w:szCs w:val="20"/>
        </w:rPr>
        <w:t>10(5)</w:t>
      </w:r>
      <w:r w:rsidRPr="00E76EA2">
        <w:rPr>
          <w:i/>
          <w:sz w:val="20"/>
          <w:szCs w:val="20"/>
        </w:rPr>
        <w:t xml:space="preserve">Journal of International Criminal Justice </w:t>
      </w:r>
      <w:r w:rsidR="00D979DC">
        <w:rPr>
          <w:iCs/>
          <w:sz w:val="20"/>
          <w:szCs w:val="20"/>
        </w:rPr>
        <w:t>1357-1375</w:t>
      </w:r>
      <w:r w:rsidR="007A3BF2">
        <w:rPr>
          <w:iCs/>
          <w:sz w:val="20"/>
          <w:szCs w:val="20"/>
        </w:rPr>
        <w:t>, 13</w:t>
      </w:r>
      <w:r w:rsidR="002D3B0D">
        <w:rPr>
          <w:iCs/>
          <w:sz w:val="20"/>
          <w:szCs w:val="20"/>
        </w:rPr>
        <w:t>58.</w:t>
      </w:r>
    </w:p>
  </w:footnote>
  <w:footnote w:id="171">
    <w:p w14:paraId="45E686E6" w14:textId="1B9F8F2A" w:rsidR="00C310AB" w:rsidRPr="00E76EA2" w:rsidRDefault="00C310AB" w:rsidP="002D3B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Frederic </w:t>
      </w:r>
      <w:proofErr w:type="spellStart"/>
      <w:r w:rsidRPr="00E76EA2">
        <w:rPr>
          <w:sz w:val="20"/>
          <w:szCs w:val="20"/>
        </w:rPr>
        <w:t>Megret</w:t>
      </w:r>
      <w:proofErr w:type="spellEnd"/>
      <w:r w:rsidRPr="00E76EA2">
        <w:rPr>
          <w:sz w:val="20"/>
          <w:szCs w:val="20"/>
        </w:rPr>
        <w:t xml:space="preserve">, ‘The Politics of International Criminal Justice’ (2002) </w:t>
      </w:r>
      <w:r w:rsidRPr="00E76EA2">
        <w:rPr>
          <w:i/>
          <w:sz w:val="20"/>
          <w:szCs w:val="20"/>
        </w:rPr>
        <w:t>European Journal of International Criminal Justice</w:t>
      </w:r>
      <w:r w:rsidRPr="00E76EA2">
        <w:rPr>
          <w:sz w:val="20"/>
          <w:szCs w:val="20"/>
        </w:rPr>
        <w:t xml:space="preserve">,1261-1284; Benjamin Schiff, </w:t>
      </w:r>
      <w:r w:rsidRPr="00E76EA2">
        <w:rPr>
          <w:i/>
          <w:sz w:val="20"/>
          <w:szCs w:val="20"/>
        </w:rPr>
        <w:t>Building the International Criminal Court</w:t>
      </w:r>
      <w:r w:rsidRPr="00E76EA2">
        <w:rPr>
          <w:sz w:val="20"/>
          <w:szCs w:val="20"/>
        </w:rPr>
        <w:t xml:space="preserve">(Cambridge University Press 2008)3,4;Geoffery Robertson, </w:t>
      </w:r>
      <w:r w:rsidRPr="00E76EA2">
        <w:rPr>
          <w:i/>
          <w:sz w:val="20"/>
          <w:szCs w:val="20"/>
        </w:rPr>
        <w:t xml:space="preserve">Crimes Against </w:t>
      </w:r>
      <w:proofErr w:type="spellStart"/>
      <w:r w:rsidRPr="00E76EA2">
        <w:rPr>
          <w:i/>
          <w:sz w:val="20"/>
          <w:szCs w:val="20"/>
        </w:rPr>
        <w:t>Humanity:The</w:t>
      </w:r>
      <w:proofErr w:type="spellEnd"/>
      <w:r w:rsidRPr="00E76EA2">
        <w:rPr>
          <w:i/>
          <w:sz w:val="20"/>
          <w:szCs w:val="20"/>
        </w:rPr>
        <w:t xml:space="preserve"> Struggle for Global Justice (New York :The New Press, 1999) </w:t>
      </w:r>
      <w:r w:rsidRPr="00E76EA2">
        <w:rPr>
          <w:sz w:val="20"/>
          <w:szCs w:val="20"/>
        </w:rPr>
        <w:t>454</w:t>
      </w:r>
      <w:r w:rsidRPr="00E76EA2">
        <w:rPr>
          <w:i/>
          <w:sz w:val="20"/>
          <w:szCs w:val="20"/>
        </w:rPr>
        <w:t>;</w:t>
      </w:r>
      <w:r w:rsidRPr="00E76EA2">
        <w:rPr>
          <w:sz w:val="20"/>
          <w:szCs w:val="20"/>
        </w:rPr>
        <w:t xml:space="preserve">Nerida Chazal, </w:t>
      </w:r>
      <w:r w:rsidRPr="00E76EA2">
        <w:rPr>
          <w:i/>
          <w:sz w:val="20"/>
          <w:szCs w:val="20"/>
        </w:rPr>
        <w:t xml:space="preserve">The International Criminal Court and Global </w:t>
      </w:r>
      <w:proofErr w:type="spellStart"/>
      <w:r w:rsidRPr="00E76EA2">
        <w:rPr>
          <w:i/>
          <w:sz w:val="20"/>
          <w:szCs w:val="20"/>
        </w:rPr>
        <w:t>Soccial</w:t>
      </w:r>
      <w:proofErr w:type="spellEnd"/>
      <w:r w:rsidRPr="00E76EA2">
        <w:rPr>
          <w:i/>
          <w:sz w:val="20"/>
          <w:szCs w:val="20"/>
        </w:rPr>
        <w:t xml:space="preserve"> Control: International Criminal Justice in Late Modernity</w:t>
      </w:r>
      <w:r w:rsidRPr="00E76EA2">
        <w:rPr>
          <w:sz w:val="20"/>
          <w:szCs w:val="20"/>
        </w:rPr>
        <w:t>( First published  2016 1</w:t>
      </w:r>
      <w:r w:rsidRPr="00E76EA2">
        <w:rPr>
          <w:sz w:val="20"/>
          <w:szCs w:val="20"/>
          <w:vertAlign w:val="superscript"/>
        </w:rPr>
        <w:t>st</w:t>
      </w:r>
      <w:r w:rsidRPr="00E76EA2">
        <w:rPr>
          <w:sz w:val="20"/>
          <w:szCs w:val="20"/>
        </w:rPr>
        <w:t xml:space="preserve"> Edition ,Routledge 2016)38.</w:t>
      </w:r>
    </w:p>
  </w:footnote>
  <w:footnote w:id="172">
    <w:p w14:paraId="37D1F6A1" w14:textId="77777777" w:rsidR="00C310AB" w:rsidRPr="00E76EA2" w:rsidRDefault="00C310AB" w:rsidP="006B30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Lovisa</w:t>
      </w:r>
      <w:proofErr w:type="spellEnd"/>
      <w:r w:rsidRPr="00E76EA2">
        <w:rPr>
          <w:sz w:val="20"/>
          <w:szCs w:val="20"/>
        </w:rPr>
        <w:t xml:space="preserve"> </w:t>
      </w:r>
      <w:proofErr w:type="spellStart"/>
      <w:r w:rsidRPr="00E76EA2">
        <w:rPr>
          <w:sz w:val="20"/>
          <w:szCs w:val="20"/>
        </w:rPr>
        <w:t>Badagard</w:t>
      </w:r>
      <w:proofErr w:type="spellEnd"/>
      <w:r w:rsidRPr="00E76EA2">
        <w:rPr>
          <w:sz w:val="20"/>
          <w:szCs w:val="20"/>
        </w:rPr>
        <w:t xml:space="preserve"> and Mark </w:t>
      </w:r>
      <w:proofErr w:type="spellStart"/>
      <w:r w:rsidRPr="00E76EA2">
        <w:rPr>
          <w:sz w:val="20"/>
          <w:szCs w:val="20"/>
        </w:rPr>
        <w:t>Klamberg</w:t>
      </w:r>
      <w:proofErr w:type="spellEnd"/>
      <w:r w:rsidRPr="00E76EA2">
        <w:rPr>
          <w:sz w:val="20"/>
          <w:szCs w:val="20"/>
        </w:rPr>
        <w:t xml:space="preserve">, “The Gatekeeper of the </w:t>
      </w:r>
      <w:proofErr w:type="spellStart"/>
      <w:r w:rsidRPr="00E76EA2">
        <w:rPr>
          <w:sz w:val="20"/>
          <w:szCs w:val="20"/>
        </w:rPr>
        <w:t>ICC:Prosecutorial</w:t>
      </w:r>
      <w:proofErr w:type="spellEnd"/>
      <w:r w:rsidRPr="00E76EA2">
        <w:rPr>
          <w:sz w:val="20"/>
          <w:szCs w:val="20"/>
        </w:rPr>
        <w:t xml:space="preserve"> Strategies for Selecting Situations and Cases at the International Criminal Court’(2017) 48</w:t>
      </w:r>
      <w:r w:rsidRPr="00E76EA2">
        <w:rPr>
          <w:i/>
          <w:sz w:val="20"/>
          <w:szCs w:val="20"/>
        </w:rPr>
        <w:t xml:space="preserve">Gerorgetown Journal of International Law </w:t>
      </w:r>
      <w:r w:rsidRPr="00E76EA2">
        <w:rPr>
          <w:sz w:val="20"/>
          <w:szCs w:val="20"/>
        </w:rPr>
        <w:t xml:space="preserve"> 639- accessible at &lt;https://www.law.georgetown.edu/international-law-journal/wp-content/uploads/sites/21/2018/05/48-3-The-Gatekeeper-of-the-ICC.pdf&gt;</w:t>
      </w:r>
      <w:r w:rsidRPr="00E76EA2">
        <w:rPr>
          <w:i/>
          <w:sz w:val="20"/>
          <w:szCs w:val="20"/>
        </w:rPr>
        <w:t xml:space="preserve"> </w:t>
      </w:r>
      <w:r w:rsidRPr="00E76EA2">
        <w:rPr>
          <w:sz w:val="20"/>
          <w:szCs w:val="20"/>
        </w:rPr>
        <w:t xml:space="preserve"> Last accessed 07 January 2020.</w:t>
      </w:r>
    </w:p>
  </w:footnote>
  <w:footnote w:id="173">
    <w:p w14:paraId="0CEF467F" w14:textId="77777777" w:rsidR="00C310AB" w:rsidRPr="00E76EA2" w:rsidRDefault="00C310AB" w:rsidP="006B30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3</w:t>
      </w:r>
    </w:p>
  </w:footnote>
  <w:footnote w:id="174">
    <w:p w14:paraId="52703EF7" w14:textId="76B639CB" w:rsidR="00C310AB" w:rsidRPr="00E76EA2" w:rsidRDefault="00C310AB" w:rsidP="006B30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Jingbo</w:t>
      </w:r>
      <w:proofErr w:type="spellEnd"/>
      <w:r w:rsidRPr="00E76EA2">
        <w:rPr>
          <w:sz w:val="20"/>
          <w:szCs w:val="20"/>
        </w:rPr>
        <w:t xml:space="preserve"> Dong, Prosecutorial Discretion at the International Criminal Court :A Comparative Study (2009) (2) </w:t>
      </w:r>
      <w:r w:rsidRPr="00E76EA2">
        <w:rPr>
          <w:i/>
          <w:sz w:val="20"/>
          <w:szCs w:val="20"/>
        </w:rPr>
        <w:t>Journal of Politics and Law ;</w:t>
      </w:r>
      <w:r w:rsidRPr="00E76EA2">
        <w:rPr>
          <w:sz w:val="20"/>
          <w:szCs w:val="20"/>
        </w:rPr>
        <w:t xml:space="preserve">Allison Danner ,  ‘Enhancing the Legitimacy and Accountability of Prosecutorial  Discretion at the International Criminal Court(2003) 97(3) </w:t>
      </w:r>
      <w:r w:rsidRPr="00E76EA2">
        <w:rPr>
          <w:i/>
          <w:sz w:val="20"/>
          <w:szCs w:val="20"/>
        </w:rPr>
        <w:t>American Journal of International Law pp</w:t>
      </w:r>
      <w:r w:rsidRPr="00E76EA2">
        <w:rPr>
          <w:sz w:val="20"/>
          <w:szCs w:val="20"/>
        </w:rPr>
        <w:t xml:space="preserve">.510-552; Luc Cote, “Reflections on the Exercise of the Prosecutorial Discretion in International Criminal Law(2005) 3(1) </w:t>
      </w:r>
      <w:r w:rsidRPr="00E76EA2">
        <w:rPr>
          <w:i/>
          <w:sz w:val="20"/>
          <w:szCs w:val="20"/>
        </w:rPr>
        <w:t xml:space="preserve">Journal of International Criminal Justice </w:t>
      </w:r>
      <w:r w:rsidRPr="00E76EA2">
        <w:rPr>
          <w:sz w:val="20"/>
          <w:szCs w:val="20"/>
        </w:rPr>
        <w:t xml:space="preserve">pp.162-189;Maria </w:t>
      </w:r>
      <w:proofErr w:type="spellStart"/>
      <w:r w:rsidRPr="00E76EA2">
        <w:rPr>
          <w:sz w:val="20"/>
          <w:szCs w:val="20"/>
        </w:rPr>
        <w:t>Varaki</w:t>
      </w:r>
      <w:proofErr w:type="spellEnd"/>
      <w:r w:rsidRPr="00E76EA2">
        <w:rPr>
          <w:sz w:val="20"/>
          <w:szCs w:val="20"/>
        </w:rPr>
        <w:t>, “Introducing a Fairness-Based Theory of Prosecutorial Legitimacy before the International Criminal Court(2016)27(3)</w:t>
      </w:r>
      <w:r w:rsidRPr="00E76EA2">
        <w:rPr>
          <w:i/>
          <w:sz w:val="20"/>
          <w:szCs w:val="20"/>
        </w:rPr>
        <w:t xml:space="preserve">European Journal of International Law </w:t>
      </w:r>
      <w:r w:rsidRPr="00E76EA2">
        <w:rPr>
          <w:sz w:val="20"/>
          <w:szCs w:val="20"/>
        </w:rPr>
        <w:t>,</w:t>
      </w:r>
      <w:r w:rsidR="009742FA">
        <w:rPr>
          <w:sz w:val="20"/>
          <w:szCs w:val="20"/>
        </w:rPr>
        <w:t>p</w:t>
      </w:r>
      <w:r w:rsidRPr="00E76EA2">
        <w:rPr>
          <w:sz w:val="20"/>
          <w:szCs w:val="20"/>
        </w:rPr>
        <w:t>769-788.</w:t>
      </w:r>
    </w:p>
  </w:footnote>
  <w:footnote w:id="175">
    <w:p w14:paraId="58AEE063" w14:textId="299C92BE" w:rsidR="00C310AB" w:rsidRPr="00E76EA2" w:rsidRDefault="00C310AB" w:rsidP="00A1367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Martti</w:t>
      </w:r>
      <w:proofErr w:type="spellEnd"/>
      <w:r w:rsidRPr="00E76EA2">
        <w:rPr>
          <w:sz w:val="20"/>
          <w:szCs w:val="20"/>
        </w:rPr>
        <w:t xml:space="preserve"> </w:t>
      </w:r>
      <w:proofErr w:type="spellStart"/>
      <w:r w:rsidRPr="00E76EA2">
        <w:rPr>
          <w:sz w:val="20"/>
          <w:szCs w:val="20"/>
        </w:rPr>
        <w:t>Koskenniemi</w:t>
      </w:r>
      <w:proofErr w:type="spellEnd"/>
      <w:r w:rsidRPr="00E76EA2">
        <w:rPr>
          <w:sz w:val="20"/>
          <w:szCs w:val="20"/>
        </w:rPr>
        <w:t xml:space="preserve"> and </w:t>
      </w:r>
      <w:proofErr w:type="spellStart"/>
      <w:r w:rsidRPr="00E76EA2">
        <w:rPr>
          <w:sz w:val="20"/>
          <w:szCs w:val="20"/>
        </w:rPr>
        <w:t>Paivi</w:t>
      </w:r>
      <w:proofErr w:type="spellEnd"/>
      <w:r w:rsidRPr="00E76EA2">
        <w:rPr>
          <w:sz w:val="20"/>
          <w:szCs w:val="20"/>
        </w:rPr>
        <w:t xml:space="preserve"> </w:t>
      </w:r>
      <w:proofErr w:type="spellStart"/>
      <w:r w:rsidRPr="00E76EA2">
        <w:rPr>
          <w:sz w:val="20"/>
          <w:szCs w:val="20"/>
        </w:rPr>
        <w:t>Leino</w:t>
      </w:r>
      <w:proofErr w:type="spellEnd"/>
      <w:r w:rsidRPr="00E76EA2">
        <w:rPr>
          <w:sz w:val="20"/>
          <w:szCs w:val="20"/>
        </w:rPr>
        <w:t>,</w:t>
      </w:r>
      <w:r w:rsidR="009742FA">
        <w:rPr>
          <w:sz w:val="20"/>
          <w:szCs w:val="20"/>
        </w:rPr>
        <w:t>’</w:t>
      </w:r>
      <w:r w:rsidRPr="00E76EA2">
        <w:rPr>
          <w:sz w:val="20"/>
          <w:szCs w:val="20"/>
        </w:rPr>
        <w:t xml:space="preserve">Fragmentation of International </w:t>
      </w:r>
      <w:proofErr w:type="spellStart"/>
      <w:r w:rsidRPr="00E76EA2">
        <w:rPr>
          <w:sz w:val="20"/>
          <w:szCs w:val="20"/>
        </w:rPr>
        <w:t>Law?Postmodern</w:t>
      </w:r>
      <w:proofErr w:type="spellEnd"/>
      <w:r w:rsidRPr="00E76EA2">
        <w:rPr>
          <w:sz w:val="20"/>
          <w:szCs w:val="20"/>
        </w:rPr>
        <w:t xml:space="preserve"> Anxieties’ (2002)15(3)</w:t>
      </w:r>
      <w:r w:rsidRPr="00E76EA2">
        <w:rPr>
          <w:i/>
          <w:iCs/>
          <w:sz w:val="20"/>
          <w:szCs w:val="20"/>
        </w:rPr>
        <w:t>Leiden Journal of International Law,</w:t>
      </w:r>
      <w:r w:rsidR="009742FA">
        <w:rPr>
          <w:sz w:val="20"/>
          <w:szCs w:val="20"/>
        </w:rPr>
        <w:t>pp</w:t>
      </w:r>
      <w:r w:rsidRPr="00A1367E">
        <w:rPr>
          <w:sz w:val="20"/>
          <w:szCs w:val="20"/>
        </w:rPr>
        <w:t>553-579</w:t>
      </w:r>
    </w:p>
  </w:footnote>
  <w:footnote w:id="176">
    <w:p w14:paraId="372C78DA" w14:textId="5BE6DD34" w:rsidR="00C310AB" w:rsidRPr="00E76EA2" w:rsidRDefault="00C310AB" w:rsidP="00A1367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Nerida Chazal, </w:t>
      </w:r>
      <w:r w:rsidRPr="00E76EA2">
        <w:rPr>
          <w:i/>
          <w:sz w:val="20"/>
          <w:szCs w:val="20"/>
        </w:rPr>
        <w:t>The International Criminal Court and Global Social Control: International Criminal Justice in Late Modernity</w:t>
      </w:r>
      <w:r w:rsidRPr="00E76EA2">
        <w:rPr>
          <w:sz w:val="20"/>
          <w:szCs w:val="20"/>
        </w:rPr>
        <w:t>(First published 2016,1</w:t>
      </w:r>
      <w:r w:rsidRPr="00E76EA2">
        <w:rPr>
          <w:sz w:val="20"/>
          <w:szCs w:val="20"/>
          <w:vertAlign w:val="superscript"/>
        </w:rPr>
        <w:t>st</w:t>
      </w:r>
      <w:r w:rsidRPr="00E76EA2">
        <w:rPr>
          <w:sz w:val="20"/>
          <w:szCs w:val="20"/>
        </w:rPr>
        <w:t xml:space="preserve"> Edition, Routledge 2016).37</w:t>
      </w:r>
    </w:p>
  </w:footnote>
  <w:footnote w:id="177">
    <w:p w14:paraId="402504FC" w14:textId="05B968D4" w:rsidR="00C310AB" w:rsidRPr="00E76EA2" w:rsidRDefault="00C310AB" w:rsidP="00A1367E">
      <w:pPr>
        <w:pStyle w:val="NoSpacing1"/>
        <w:jc w:val="both"/>
        <w:rPr>
          <w:sz w:val="20"/>
          <w:szCs w:val="20"/>
        </w:rPr>
      </w:pPr>
      <w:r w:rsidRPr="00E76EA2">
        <w:rPr>
          <w:rStyle w:val="FootnoteReference"/>
          <w:sz w:val="20"/>
          <w:szCs w:val="20"/>
        </w:rPr>
        <w:footnoteRef/>
      </w:r>
      <w:r w:rsidRPr="00E76EA2">
        <w:rPr>
          <w:sz w:val="20"/>
          <w:szCs w:val="20"/>
        </w:rPr>
        <w:t xml:space="preserve"> Ibid 7.</w:t>
      </w:r>
    </w:p>
  </w:footnote>
  <w:footnote w:id="178">
    <w:p w14:paraId="2F9C8F2A" w14:textId="47D4187B" w:rsidR="00C310AB" w:rsidRPr="00E76EA2" w:rsidRDefault="00C310AB" w:rsidP="00A1367E">
      <w:pPr>
        <w:pStyle w:val="NoSpacing1"/>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Cherif</w:t>
      </w:r>
      <w:proofErr w:type="spellEnd"/>
      <w:r w:rsidRPr="00E76EA2">
        <w:rPr>
          <w:sz w:val="20"/>
          <w:szCs w:val="20"/>
        </w:rPr>
        <w:t xml:space="preserve">  </w:t>
      </w:r>
      <w:proofErr w:type="spellStart"/>
      <w:r w:rsidRPr="00E76EA2">
        <w:rPr>
          <w:sz w:val="20"/>
          <w:szCs w:val="20"/>
        </w:rPr>
        <w:t>Bassiouni</w:t>
      </w:r>
      <w:proofErr w:type="spellEnd"/>
      <w:r w:rsidRPr="00E76EA2">
        <w:rPr>
          <w:sz w:val="20"/>
          <w:szCs w:val="20"/>
        </w:rPr>
        <w:t xml:space="preserve"> and Christopher </w:t>
      </w:r>
      <w:proofErr w:type="spellStart"/>
      <w:r w:rsidRPr="00E76EA2">
        <w:rPr>
          <w:sz w:val="20"/>
          <w:szCs w:val="20"/>
        </w:rPr>
        <w:t>Blakesley</w:t>
      </w:r>
      <w:proofErr w:type="spellEnd"/>
      <w:r w:rsidRPr="00E76EA2">
        <w:rPr>
          <w:sz w:val="20"/>
          <w:szCs w:val="20"/>
        </w:rPr>
        <w:t xml:space="preserve">, “The Need for an International Criminal Court in the New International World Order”(1992) 25(20 </w:t>
      </w:r>
      <w:r w:rsidRPr="00E76EA2">
        <w:rPr>
          <w:i/>
          <w:iCs/>
          <w:sz w:val="20"/>
          <w:szCs w:val="20"/>
        </w:rPr>
        <w:t>Vanderbilt Journal of Transnational Law</w:t>
      </w:r>
      <w:r w:rsidRPr="00E76EA2">
        <w:rPr>
          <w:sz w:val="20"/>
          <w:szCs w:val="20"/>
        </w:rPr>
        <w:t xml:space="preserve">, </w:t>
      </w:r>
      <w:r w:rsidR="009742FA">
        <w:rPr>
          <w:sz w:val="20"/>
          <w:szCs w:val="20"/>
        </w:rPr>
        <w:t>p</w:t>
      </w:r>
      <w:r w:rsidRPr="00E76EA2">
        <w:rPr>
          <w:sz w:val="20"/>
          <w:szCs w:val="20"/>
        </w:rPr>
        <w:t>151-182.</w:t>
      </w:r>
    </w:p>
  </w:footnote>
  <w:footnote w:id="179">
    <w:p w14:paraId="31260E29" w14:textId="2EBC0AB7" w:rsidR="00C310AB" w:rsidRPr="00E76EA2" w:rsidRDefault="00C310AB" w:rsidP="00A1367E">
      <w:pPr>
        <w:pStyle w:val="NoSpacing1"/>
        <w:jc w:val="both"/>
        <w:rPr>
          <w:sz w:val="20"/>
          <w:szCs w:val="20"/>
        </w:rPr>
      </w:pPr>
      <w:r w:rsidRPr="00E76EA2">
        <w:rPr>
          <w:rStyle w:val="FootnoteReference"/>
          <w:sz w:val="20"/>
          <w:szCs w:val="20"/>
        </w:rPr>
        <w:footnoteRef/>
      </w:r>
      <w:r w:rsidRPr="00E76EA2">
        <w:rPr>
          <w:sz w:val="20"/>
          <w:szCs w:val="20"/>
        </w:rPr>
        <w:t xml:space="preserve"> Lilian </w:t>
      </w:r>
      <w:proofErr w:type="spellStart"/>
      <w:r w:rsidRPr="00E76EA2">
        <w:rPr>
          <w:sz w:val="20"/>
          <w:szCs w:val="20"/>
        </w:rPr>
        <w:t>Barria</w:t>
      </w:r>
      <w:proofErr w:type="spellEnd"/>
      <w:r w:rsidRPr="00E76EA2">
        <w:rPr>
          <w:sz w:val="20"/>
          <w:szCs w:val="20"/>
        </w:rPr>
        <w:t xml:space="preserve"> and Steven Roper, ‘How effective are international criminal </w:t>
      </w:r>
      <w:proofErr w:type="spellStart"/>
      <w:r w:rsidRPr="00E76EA2">
        <w:rPr>
          <w:sz w:val="20"/>
          <w:szCs w:val="20"/>
        </w:rPr>
        <w:t>tribunals?An</w:t>
      </w:r>
      <w:proofErr w:type="spellEnd"/>
      <w:r w:rsidRPr="00E76EA2">
        <w:rPr>
          <w:sz w:val="20"/>
          <w:szCs w:val="20"/>
        </w:rPr>
        <w:t xml:space="preserve"> Analysis of the ICTY and the ICTR’(2005) 9(3)</w:t>
      </w:r>
      <w:r w:rsidRPr="00E76EA2">
        <w:rPr>
          <w:i/>
          <w:iCs/>
          <w:sz w:val="20"/>
          <w:szCs w:val="20"/>
        </w:rPr>
        <w:t>The International Journal of Human Rights</w:t>
      </w:r>
      <w:r w:rsidRPr="00E76EA2">
        <w:rPr>
          <w:sz w:val="20"/>
          <w:szCs w:val="20"/>
        </w:rPr>
        <w:t>,349-368; Alexandra Adams, ‘The Legacy of the International Criminal Tribunals for the Former Yugoslavia and Rwanda and their Contribution to the Crime of Rape’(2018) 29</w:t>
      </w:r>
      <w:r w:rsidRPr="00E76EA2">
        <w:rPr>
          <w:i/>
          <w:iCs/>
          <w:sz w:val="20"/>
          <w:szCs w:val="20"/>
        </w:rPr>
        <w:t>European Journal of International Law,</w:t>
      </w:r>
      <w:r w:rsidR="009742FA">
        <w:rPr>
          <w:sz w:val="20"/>
          <w:szCs w:val="20"/>
        </w:rPr>
        <w:t>p</w:t>
      </w:r>
      <w:r w:rsidRPr="00E76EA2">
        <w:rPr>
          <w:sz w:val="20"/>
          <w:szCs w:val="20"/>
        </w:rPr>
        <w:t>749-769.</w:t>
      </w:r>
    </w:p>
  </w:footnote>
  <w:footnote w:id="180">
    <w:p w14:paraId="592D73EE" w14:textId="40322A93" w:rsidR="00C310AB" w:rsidRPr="00E76EA2" w:rsidRDefault="00C310AB" w:rsidP="00A1367E">
      <w:pPr>
        <w:pStyle w:val="NoSpacing1"/>
        <w:jc w:val="both"/>
        <w:rPr>
          <w:sz w:val="20"/>
          <w:szCs w:val="20"/>
        </w:rPr>
      </w:pPr>
      <w:r w:rsidRPr="00E76EA2">
        <w:rPr>
          <w:rStyle w:val="FootnoteReference"/>
          <w:sz w:val="20"/>
          <w:szCs w:val="20"/>
        </w:rPr>
        <w:footnoteRef/>
      </w:r>
      <w:r w:rsidRPr="00E76EA2">
        <w:rPr>
          <w:sz w:val="20"/>
          <w:szCs w:val="20"/>
        </w:rPr>
        <w:t xml:space="preserve"> Michael Scharf, ‘The Politics of Establishing an International Criminal Court’ (1997)</w:t>
      </w:r>
      <w:r w:rsidRPr="00E76EA2">
        <w:rPr>
          <w:i/>
          <w:iCs/>
          <w:sz w:val="20"/>
          <w:szCs w:val="20"/>
        </w:rPr>
        <w:t>6</w:t>
      </w:r>
      <w:r w:rsidRPr="00E76EA2">
        <w:rPr>
          <w:sz w:val="20"/>
          <w:szCs w:val="20"/>
        </w:rPr>
        <w:t>(167)</w:t>
      </w:r>
      <w:r w:rsidRPr="00E76EA2">
        <w:rPr>
          <w:i/>
          <w:iCs/>
          <w:sz w:val="20"/>
          <w:szCs w:val="20"/>
        </w:rPr>
        <w:t xml:space="preserve"> Duke Journal of Comparative and International </w:t>
      </w:r>
      <w:r w:rsidRPr="009742FA">
        <w:rPr>
          <w:sz w:val="20"/>
          <w:szCs w:val="20"/>
        </w:rPr>
        <w:t>Law</w:t>
      </w:r>
      <w:r w:rsidR="009742FA">
        <w:rPr>
          <w:sz w:val="20"/>
          <w:szCs w:val="20"/>
        </w:rPr>
        <w:t>,p</w:t>
      </w:r>
      <w:r w:rsidRPr="009742FA">
        <w:rPr>
          <w:sz w:val="20"/>
          <w:szCs w:val="20"/>
        </w:rPr>
        <w:t>166</w:t>
      </w:r>
      <w:r w:rsidRPr="00E76EA2">
        <w:rPr>
          <w:sz w:val="20"/>
          <w:szCs w:val="20"/>
        </w:rPr>
        <w:t>-173.</w:t>
      </w:r>
    </w:p>
  </w:footnote>
  <w:footnote w:id="181">
    <w:p w14:paraId="081A4599" w14:textId="5AA0B89B" w:rsidR="00C310AB" w:rsidRPr="00E76EA2" w:rsidRDefault="00C310AB" w:rsidP="00A1367E">
      <w:pPr>
        <w:pStyle w:val="NoSpacing1"/>
        <w:jc w:val="both"/>
        <w:rPr>
          <w:sz w:val="20"/>
          <w:szCs w:val="20"/>
        </w:rPr>
      </w:pPr>
      <w:r w:rsidRPr="00E76EA2">
        <w:rPr>
          <w:rStyle w:val="FootnoteReference"/>
          <w:sz w:val="20"/>
          <w:szCs w:val="20"/>
        </w:rPr>
        <w:footnoteRef/>
      </w:r>
      <w:r w:rsidRPr="00E76EA2">
        <w:rPr>
          <w:sz w:val="20"/>
          <w:szCs w:val="20"/>
        </w:rPr>
        <w:t xml:space="preserve"> Leila Wexler, “The Proposed Permanent International Criminal </w:t>
      </w:r>
      <w:proofErr w:type="spellStart"/>
      <w:r w:rsidRPr="00E76EA2">
        <w:rPr>
          <w:sz w:val="20"/>
          <w:szCs w:val="20"/>
        </w:rPr>
        <w:t>Court:An</w:t>
      </w:r>
      <w:proofErr w:type="spellEnd"/>
      <w:r w:rsidRPr="00E76EA2">
        <w:rPr>
          <w:sz w:val="20"/>
          <w:szCs w:val="20"/>
        </w:rPr>
        <w:t xml:space="preserve"> Appraisal” (1996) 29 </w:t>
      </w:r>
      <w:r w:rsidRPr="00E76EA2">
        <w:rPr>
          <w:i/>
          <w:iCs/>
          <w:sz w:val="20"/>
          <w:szCs w:val="20"/>
        </w:rPr>
        <w:t>Cornell International Law Journal,</w:t>
      </w:r>
      <w:r w:rsidRPr="00E76EA2">
        <w:rPr>
          <w:sz w:val="20"/>
          <w:szCs w:val="20"/>
        </w:rPr>
        <w:t>665;Micheal Scharf, “Results of the Rome Conference for an International Criminal Court”(1998)3(10)</w:t>
      </w:r>
      <w:r w:rsidRPr="00E76EA2">
        <w:rPr>
          <w:i/>
          <w:iCs/>
          <w:sz w:val="20"/>
          <w:szCs w:val="20"/>
        </w:rPr>
        <w:t>American Society of International Law</w:t>
      </w:r>
      <w:r w:rsidRPr="00E76EA2">
        <w:rPr>
          <w:sz w:val="20"/>
          <w:szCs w:val="20"/>
        </w:rPr>
        <w:t xml:space="preserve"> accessible at </w:t>
      </w:r>
      <w:hyperlink r:id="rId11" w:history="1">
        <w:r w:rsidRPr="00E76EA2">
          <w:rPr>
            <w:rStyle w:val="Hyperlink"/>
            <w:sz w:val="20"/>
            <w:szCs w:val="20"/>
          </w:rPr>
          <w:t>https://www.asil.org/insights/volume/3/issue/10/results-rome-conference-international-criminal-court</w:t>
        </w:r>
      </w:hyperlink>
      <w:r w:rsidRPr="00E76EA2">
        <w:rPr>
          <w:sz w:val="20"/>
          <w:szCs w:val="20"/>
        </w:rPr>
        <w:t>&gt; last accessed 05 August 2020.</w:t>
      </w:r>
    </w:p>
  </w:footnote>
  <w:footnote w:id="182">
    <w:p w14:paraId="0B00F1F7" w14:textId="3286B9EA" w:rsidR="00C310AB" w:rsidRPr="00B3368A" w:rsidRDefault="00C310AB" w:rsidP="00A1367E">
      <w:pPr>
        <w:pStyle w:val="NoSpacing1"/>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Cherif</w:t>
      </w:r>
      <w:proofErr w:type="spellEnd"/>
      <w:r w:rsidRPr="00E76EA2">
        <w:rPr>
          <w:sz w:val="20"/>
          <w:szCs w:val="20"/>
        </w:rPr>
        <w:t xml:space="preserve"> </w:t>
      </w:r>
      <w:proofErr w:type="spellStart"/>
      <w:r w:rsidRPr="00E76EA2">
        <w:rPr>
          <w:sz w:val="20"/>
          <w:szCs w:val="20"/>
        </w:rPr>
        <w:t>Bassiouni</w:t>
      </w:r>
      <w:proofErr w:type="spellEnd"/>
      <w:r w:rsidRPr="00E76EA2">
        <w:rPr>
          <w:sz w:val="20"/>
          <w:szCs w:val="20"/>
        </w:rPr>
        <w:t xml:space="preserve"> , </w:t>
      </w:r>
      <w:r w:rsidR="009742FA">
        <w:rPr>
          <w:sz w:val="20"/>
          <w:szCs w:val="20"/>
        </w:rPr>
        <w:t>‘</w:t>
      </w:r>
      <w:r w:rsidRPr="00E76EA2">
        <w:rPr>
          <w:sz w:val="20"/>
          <w:szCs w:val="20"/>
        </w:rPr>
        <w:t>The Time has come for an International Criminal Court</w:t>
      </w:r>
      <w:r w:rsidR="009742FA">
        <w:rPr>
          <w:sz w:val="20"/>
          <w:szCs w:val="20"/>
        </w:rPr>
        <w:t>’</w:t>
      </w:r>
      <w:r w:rsidRPr="00E76EA2">
        <w:rPr>
          <w:sz w:val="20"/>
          <w:szCs w:val="20"/>
        </w:rPr>
        <w:t xml:space="preserve"> (1991) 1</w:t>
      </w:r>
      <w:r w:rsidRPr="00E76EA2">
        <w:rPr>
          <w:i/>
          <w:iCs/>
          <w:sz w:val="20"/>
          <w:szCs w:val="20"/>
        </w:rPr>
        <w:t xml:space="preserve">International Law and Comparative Law </w:t>
      </w:r>
      <w:r w:rsidRPr="009742FA">
        <w:rPr>
          <w:sz w:val="20"/>
          <w:szCs w:val="20"/>
        </w:rPr>
        <w:t>Review</w:t>
      </w:r>
      <w:r w:rsidR="009742FA">
        <w:rPr>
          <w:sz w:val="20"/>
          <w:szCs w:val="20"/>
        </w:rPr>
        <w:t>,p</w:t>
      </w:r>
      <w:r w:rsidR="00B3368A" w:rsidRPr="009742FA">
        <w:rPr>
          <w:sz w:val="20"/>
          <w:szCs w:val="20"/>
        </w:rPr>
        <w:t>1</w:t>
      </w:r>
      <w:r w:rsidR="00B3368A">
        <w:rPr>
          <w:sz w:val="20"/>
          <w:szCs w:val="20"/>
        </w:rPr>
        <w:t>-13.</w:t>
      </w:r>
    </w:p>
  </w:footnote>
  <w:footnote w:id="183">
    <w:p w14:paraId="3F235DFB" w14:textId="3007847A" w:rsidR="00C310AB" w:rsidRPr="00E76EA2" w:rsidRDefault="00C310AB" w:rsidP="0090033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General Assembly Resolution  49/53, United Nations General Assembly Official Records, 49</w:t>
      </w:r>
      <w:r w:rsidRPr="00E76EA2">
        <w:rPr>
          <w:sz w:val="20"/>
          <w:szCs w:val="20"/>
          <w:vertAlign w:val="superscript"/>
        </w:rPr>
        <w:t>th</w:t>
      </w:r>
      <w:r w:rsidRPr="00E76EA2">
        <w:rPr>
          <w:sz w:val="20"/>
          <w:szCs w:val="20"/>
        </w:rPr>
        <w:t xml:space="preserve"> Session , item 137, United Nations Document A/RES/49/53 1994. </w:t>
      </w:r>
    </w:p>
  </w:footnote>
  <w:footnote w:id="184">
    <w:p w14:paraId="0EB96C60" w14:textId="5F9829D5" w:rsidR="00C310AB" w:rsidRPr="00E76EA2" w:rsidRDefault="00C310AB" w:rsidP="0090033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General Assembly Resolution 50/46, United Nations General Official Records,50</w:t>
      </w:r>
      <w:r w:rsidRPr="00E76EA2">
        <w:rPr>
          <w:sz w:val="20"/>
          <w:szCs w:val="20"/>
          <w:vertAlign w:val="superscript"/>
        </w:rPr>
        <w:t>th</w:t>
      </w:r>
      <w:r w:rsidRPr="00E76EA2">
        <w:rPr>
          <w:sz w:val="20"/>
          <w:szCs w:val="20"/>
        </w:rPr>
        <w:t xml:space="preserve"> </w:t>
      </w:r>
      <w:proofErr w:type="spellStart"/>
      <w:r w:rsidRPr="00E76EA2">
        <w:rPr>
          <w:sz w:val="20"/>
          <w:szCs w:val="20"/>
        </w:rPr>
        <w:t>Session,,Supplementary</w:t>
      </w:r>
      <w:proofErr w:type="spellEnd"/>
      <w:r w:rsidRPr="00E76EA2">
        <w:rPr>
          <w:sz w:val="20"/>
          <w:szCs w:val="20"/>
        </w:rPr>
        <w:t xml:space="preserve"> No .49, Volume 1 at 307, United Nations Document A/50/46 , 1995; James Crawford, The International Law Commission Adopts a Statute for the International Criminal Court(1995) 89(2)</w:t>
      </w:r>
      <w:r w:rsidRPr="00E76EA2">
        <w:rPr>
          <w:i/>
          <w:iCs/>
          <w:sz w:val="20"/>
          <w:szCs w:val="20"/>
        </w:rPr>
        <w:t xml:space="preserve">American Journal of International Law, </w:t>
      </w:r>
      <w:r w:rsidR="009742FA">
        <w:rPr>
          <w:sz w:val="20"/>
          <w:szCs w:val="20"/>
        </w:rPr>
        <w:t>p</w:t>
      </w:r>
      <w:r w:rsidRPr="00E76EA2">
        <w:rPr>
          <w:sz w:val="20"/>
          <w:szCs w:val="20"/>
        </w:rPr>
        <w:t>404-416.</w:t>
      </w:r>
    </w:p>
  </w:footnote>
  <w:footnote w:id="185">
    <w:p w14:paraId="3BBAD450" w14:textId="1B3B3B7F" w:rsidR="00C310AB" w:rsidRPr="00E76EA2" w:rsidRDefault="00C310AB" w:rsidP="0090033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General Assembly Resolution 50/46, United Nations General Assembly Official Records,50</w:t>
      </w:r>
      <w:r w:rsidRPr="00E76EA2">
        <w:rPr>
          <w:sz w:val="20"/>
          <w:szCs w:val="20"/>
          <w:vertAlign w:val="superscript"/>
        </w:rPr>
        <w:t>th</w:t>
      </w:r>
      <w:r w:rsidRPr="00E76EA2">
        <w:rPr>
          <w:sz w:val="20"/>
          <w:szCs w:val="20"/>
        </w:rPr>
        <w:t xml:space="preserve"> Session , Supplementary No, 49 at 307, United Nations Document , A/RES/50/46(1995).</w:t>
      </w:r>
    </w:p>
  </w:footnote>
  <w:footnote w:id="186">
    <w:p w14:paraId="3BE5CBE1" w14:textId="68512980" w:rsidR="00C310AB" w:rsidRPr="00E76EA2" w:rsidRDefault="00C310AB" w:rsidP="0090033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Fanny Benedetti and John Washburn, “Drafting the International Criminal Court Treaty: Two Years to Rome and an Afterward on the Rome Diplomatic Conference , 5 Global Governance 16, January- march 1999.</w:t>
      </w:r>
    </w:p>
  </w:footnote>
  <w:footnote w:id="187">
    <w:p w14:paraId="48038CB1" w14:textId="77777777" w:rsidR="00C310AB" w:rsidRPr="00E76EA2" w:rsidRDefault="00C310AB" w:rsidP="001D3F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Micheal</w:t>
      </w:r>
      <w:proofErr w:type="spellEnd"/>
      <w:r w:rsidRPr="00E76EA2">
        <w:rPr>
          <w:sz w:val="20"/>
          <w:szCs w:val="20"/>
        </w:rPr>
        <w:t xml:space="preserve"> Scharf, “Results of the Rome Conference for an International Criminal Court”(1998)3(10)</w:t>
      </w:r>
      <w:r w:rsidRPr="00E76EA2">
        <w:rPr>
          <w:i/>
          <w:iCs/>
          <w:sz w:val="20"/>
          <w:szCs w:val="20"/>
        </w:rPr>
        <w:t>American Society of International Law</w:t>
      </w:r>
      <w:r w:rsidRPr="00E76EA2">
        <w:rPr>
          <w:sz w:val="20"/>
          <w:szCs w:val="20"/>
        </w:rPr>
        <w:t xml:space="preserve"> accessible at </w:t>
      </w:r>
      <w:hyperlink r:id="rId12" w:history="1">
        <w:r w:rsidRPr="00E76EA2">
          <w:rPr>
            <w:rStyle w:val="Hyperlink"/>
            <w:sz w:val="20"/>
            <w:szCs w:val="20"/>
          </w:rPr>
          <w:t>https://www.asil.org/insights/volume/3/issue/10/results-rome-conference-international-criminal-court</w:t>
        </w:r>
      </w:hyperlink>
      <w:r w:rsidRPr="00E76EA2">
        <w:rPr>
          <w:sz w:val="20"/>
          <w:szCs w:val="20"/>
        </w:rPr>
        <w:t>&gt; last accessed 05 August 2020.</w:t>
      </w:r>
    </w:p>
    <w:p w14:paraId="1AD3801F" w14:textId="4B394881" w:rsidR="00C310AB" w:rsidRPr="00E76EA2" w:rsidRDefault="00C310AB" w:rsidP="001D3F1E">
      <w:pPr>
        <w:pStyle w:val="NoSpacing1"/>
        <w:spacing w:line="276" w:lineRule="auto"/>
        <w:jc w:val="both"/>
        <w:rPr>
          <w:sz w:val="20"/>
          <w:szCs w:val="20"/>
        </w:rPr>
      </w:pPr>
    </w:p>
  </w:footnote>
  <w:footnote w:id="188">
    <w:p w14:paraId="4BC04DCE" w14:textId="7C06C2FF" w:rsidR="00C310AB" w:rsidRPr="00E76EA2" w:rsidRDefault="00C310AB" w:rsidP="001D3F1E">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Ibid;American</w:t>
      </w:r>
      <w:proofErr w:type="spellEnd"/>
      <w:r w:rsidRPr="00E76EA2">
        <w:rPr>
          <w:sz w:val="20"/>
          <w:szCs w:val="20"/>
        </w:rPr>
        <w:t xml:space="preserve"> Service </w:t>
      </w:r>
      <w:proofErr w:type="spellStart"/>
      <w:r w:rsidRPr="00E76EA2">
        <w:rPr>
          <w:sz w:val="20"/>
          <w:szCs w:val="20"/>
        </w:rPr>
        <w:t>members’Protection</w:t>
      </w:r>
      <w:proofErr w:type="spellEnd"/>
      <w:r w:rsidRPr="00E76EA2">
        <w:rPr>
          <w:sz w:val="20"/>
          <w:szCs w:val="20"/>
        </w:rPr>
        <w:t xml:space="preserve"> Act(ASPA), Pub .1 No.107-206,116 Stat.899;Williams Schabas , </w:t>
      </w:r>
      <w:r w:rsidRPr="00E76EA2">
        <w:rPr>
          <w:i/>
          <w:iCs/>
          <w:sz w:val="20"/>
          <w:szCs w:val="20"/>
        </w:rPr>
        <w:t>An Introduction to the International Criminal Court(</w:t>
      </w:r>
      <w:r w:rsidRPr="00E76EA2">
        <w:rPr>
          <w:sz w:val="20"/>
          <w:szCs w:val="20"/>
        </w:rPr>
        <w:t>2</w:t>
      </w:r>
      <w:r w:rsidRPr="00E76EA2">
        <w:rPr>
          <w:sz w:val="20"/>
          <w:szCs w:val="20"/>
          <w:vertAlign w:val="superscript"/>
        </w:rPr>
        <w:t>nd</w:t>
      </w:r>
      <w:r w:rsidRPr="00E76EA2">
        <w:rPr>
          <w:sz w:val="20"/>
          <w:szCs w:val="20"/>
        </w:rPr>
        <w:t xml:space="preserve"> Edition 2004)21;</w:t>
      </w:r>
    </w:p>
  </w:footnote>
  <w:footnote w:id="189">
    <w:p w14:paraId="41676C57" w14:textId="440531FB" w:rsidR="00C310AB" w:rsidRPr="00E76EA2" w:rsidRDefault="00C310AB" w:rsidP="001D3F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Cherif</w:t>
      </w:r>
      <w:proofErr w:type="spellEnd"/>
      <w:r w:rsidRPr="00E76EA2">
        <w:rPr>
          <w:sz w:val="20"/>
          <w:szCs w:val="20"/>
        </w:rPr>
        <w:t xml:space="preserve"> </w:t>
      </w:r>
      <w:proofErr w:type="spellStart"/>
      <w:r w:rsidRPr="00E76EA2">
        <w:rPr>
          <w:sz w:val="20"/>
          <w:szCs w:val="20"/>
        </w:rPr>
        <w:t>Bassiouni</w:t>
      </w:r>
      <w:proofErr w:type="spellEnd"/>
      <w:r w:rsidRPr="00E76EA2">
        <w:rPr>
          <w:sz w:val="20"/>
          <w:szCs w:val="20"/>
        </w:rPr>
        <w:t xml:space="preserve">, “Negotiating the Treaty of Rome on the Establishment of an International Criminal Court” (1999) 32(3) </w:t>
      </w:r>
      <w:r w:rsidRPr="00E76EA2">
        <w:rPr>
          <w:i/>
          <w:iCs/>
          <w:sz w:val="20"/>
          <w:szCs w:val="20"/>
        </w:rPr>
        <w:t xml:space="preserve">Cornell International Law Journal </w:t>
      </w:r>
      <w:r w:rsidRPr="00E76EA2">
        <w:rPr>
          <w:sz w:val="20"/>
          <w:szCs w:val="20"/>
        </w:rPr>
        <w:t>p.</w:t>
      </w:r>
      <w:r w:rsidR="00DE165A">
        <w:rPr>
          <w:sz w:val="20"/>
          <w:szCs w:val="20"/>
        </w:rPr>
        <w:t>443-449,</w:t>
      </w:r>
      <w:r w:rsidRPr="00E76EA2">
        <w:rPr>
          <w:sz w:val="20"/>
          <w:szCs w:val="20"/>
        </w:rPr>
        <w:t>457</w:t>
      </w:r>
      <w:r w:rsidR="003053BD">
        <w:rPr>
          <w:sz w:val="20"/>
          <w:szCs w:val="20"/>
        </w:rPr>
        <w:t>.</w:t>
      </w:r>
    </w:p>
  </w:footnote>
  <w:footnote w:id="190">
    <w:p w14:paraId="673CFD74" w14:textId="1A872627" w:rsidR="00C310AB" w:rsidRPr="00E76EA2" w:rsidRDefault="00C310AB" w:rsidP="001D3F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91">
    <w:p w14:paraId="29D4370A" w14:textId="2F28E21C" w:rsidR="00C310AB" w:rsidRPr="00E76EA2" w:rsidRDefault="00C310AB" w:rsidP="001D3F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92">
    <w:p w14:paraId="4D5043B0" w14:textId="52A0415D" w:rsidR="00C310AB" w:rsidRPr="00E76EA2" w:rsidRDefault="00C310AB" w:rsidP="001D3F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roofErr w:type="spellStart"/>
      <w:r w:rsidRPr="00E76EA2">
        <w:rPr>
          <w:sz w:val="20"/>
          <w:szCs w:val="20"/>
        </w:rPr>
        <w:t>Marlies</w:t>
      </w:r>
      <w:proofErr w:type="spellEnd"/>
      <w:r w:rsidRPr="00E76EA2">
        <w:rPr>
          <w:sz w:val="20"/>
          <w:szCs w:val="20"/>
        </w:rPr>
        <w:t xml:space="preserve"> </w:t>
      </w:r>
      <w:proofErr w:type="spellStart"/>
      <w:r w:rsidRPr="00E76EA2">
        <w:rPr>
          <w:sz w:val="20"/>
          <w:szCs w:val="20"/>
        </w:rPr>
        <w:t>Glasius</w:t>
      </w:r>
      <w:proofErr w:type="spellEnd"/>
      <w:r w:rsidRPr="00E76EA2">
        <w:rPr>
          <w:sz w:val="20"/>
          <w:szCs w:val="20"/>
        </w:rPr>
        <w:t xml:space="preserve">, </w:t>
      </w:r>
      <w:r w:rsidRPr="00E76EA2">
        <w:rPr>
          <w:i/>
          <w:sz w:val="20"/>
          <w:szCs w:val="20"/>
        </w:rPr>
        <w:t xml:space="preserve">The International Criminal Court: A Global Civil </w:t>
      </w:r>
      <w:r w:rsidRPr="00E76EA2">
        <w:rPr>
          <w:sz w:val="20"/>
          <w:szCs w:val="20"/>
        </w:rPr>
        <w:t>Society</w:t>
      </w:r>
      <w:r w:rsidRPr="00E76EA2">
        <w:rPr>
          <w:i/>
          <w:iCs/>
          <w:sz w:val="20"/>
          <w:szCs w:val="20"/>
        </w:rPr>
        <w:t xml:space="preserve"> Achievement</w:t>
      </w:r>
      <w:r w:rsidRPr="00E76EA2">
        <w:rPr>
          <w:sz w:val="20"/>
          <w:szCs w:val="20"/>
        </w:rPr>
        <w:t xml:space="preserve"> (1</w:t>
      </w:r>
      <w:r w:rsidRPr="00E76EA2">
        <w:rPr>
          <w:sz w:val="20"/>
          <w:szCs w:val="20"/>
          <w:vertAlign w:val="superscript"/>
        </w:rPr>
        <w:t>st</w:t>
      </w:r>
      <w:r w:rsidRPr="00E76EA2">
        <w:rPr>
          <w:sz w:val="20"/>
          <w:szCs w:val="20"/>
        </w:rPr>
        <w:t xml:space="preserve"> Edition Routledge  2006)12.</w:t>
      </w:r>
    </w:p>
  </w:footnote>
  <w:footnote w:id="193">
    <w:p w14:paraId="1B41949A" w14:textId="6B89C7D0" w:rsidR="00C310AB" w:rsidRPr="00E76EA2" w:rsidRDefault="00C310AB" w:rsidP="00CE48B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Ibid;Phillppe</w:t>
      </w:r>
      <w:proofErr w:type="spellEnd"/>
      <w:r w:rsidRPr="00E76EA2">
        <w:rPr>
          <w:sz w:val="20"/>
          <w:szCs w:val="20"/>
        </w:rPr>
        <w:t xml:space="preserve"> Kirsch and John Holmes, “The Rome Conference on an International Criminal </w:t>
      </w:r>
      <w:proofErr w:type="spellStart"/>
      <w:r w:rsidRPr="00E76EA2">
        <w:rPr>
          <w:sz w:val="20"/>
          <w:szCs w:val="20"/>
        </w:rPr>
        <w:t>Court:The</w:t>
      </w:r>
      <w:proofErr w:type="spellEnd"/>
      <w:r w:rsidRPr="00E76EA2">
        <w:rPr>
          <w:sz w:val="20"/>
          <w:szCs w:val="20"/>
        </w:rPr>
        <w:t xml:space="preserve"> Negotiating Process”,(1999)93(1)</w:t>
      </w:r>
      <w:r w:rsidRPr="00E76EA2">
        <w:rPr>
          <w:i/>
          <w:iCs/>
          <w:sz w:val="20"/>
          <w:szCs w:val="20"/>
        </w:rPr>
        <w:t>The American Journal of International Law</w:t>
      </w:r>
      <w:r w:rsidRPr="00E76EA2">
        <w:rPr>
          <w:sz w:val="20"/>
          <w:szCs w:val="20"/>
        </w:rPr>
        <w:t>,</w:t>
      </w:r>
      <w:r w:rsidR="009742FA">
        <w:rPr>
          <w:sz w:val="20"/>
          <w:szCs w:val="20"/>
        </w:rPr>
        <w:t>p</w:t>
      </w:r>
      <w:r w:rsidRPr="00E76EA2">
        <w:rPr>
          <w:sz w:val="20"/>
          <w:szCs w:val="20"/>
        </w:rPr>
        <w:t>2-12</w:t>
      </w:r>
    </w:p>
  </w:footnote>
  <w:footnote w:id="194">
    <w:p w14:paraId="3DEE8D5F" w14:textId="61AFDC91" w:rsidR="00C310AB" w:rsidRPr="00E76EA2" w:rsidRDefault="00C310AB" w:rsidP="00CE48B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95">
    <w:p w14:paraId="757C7A99" w14:textId="1483C2E4" w:rsidR="00C310AB" w:rsidRPr="00E76EA2" w:rsidRDefault="00C310AB" w:rsidP="00C2143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Amnesty </w:t>
      </w:r>
      <w:proofErr w:type="spellStart"/>
      <w:r w:rsidRPr="00E76EA2">
        <w:rPr>
          <w:sz w:val="20"/>
          <w:szCs w:val="20"/>
        </w:rPr>
        <w:t>International,The</w:t>
      </w:r>
      <w:proofErr w:type="spellEnd"/>
      <w:r w:rsidRPr="00E76EA2">
        <w:rPr>
          <w:sz w:val="20"/>
          <w:szCs w:val="20"/>
        </w:rPr>
        <w:t xml:space="preserve"> International Criminal Court: Making the Right Choices -Part 1 108-109, January 1997,</w:t>
      </w:r>
    </w:p>
  </w:footnote>
  <w:footnote w:id="196">
    <w:p w14:paraId="63B334F3" w14:textId="1FC364EF" w:rsidR="00C310AB" w:rsidRPr="00E76EA2" w:rsidRDefault="00C310AB" w:rsidP="00C2143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Report of the Preparatory Committee on the Establishment of an International Criminal Court, Vol.1, 1996, Paras</w:t>
      </w:r>
      <w:r w:rsidR="009742FA">
        <w:rPr>
          <w:sz w:val="20"/>
          <w:szCs w:val="20"/>
        </w:rPr>
        <w:t xml:space="preserve"> </w:t>
      </w:r>
      <w:r w:rsidRPr="00E76EA2">
        <w:rPr>
          <w:sz w:val="20"/>
          <w:szCs w:val="20"/>
        </w:rPr>
        <w:t>149-151,  Paras-149</w:t>
      </w:r>
    </w:p>
  </w:footnote>
  <w:footnote w:id="197">
    <w:p w14:paraId="03B23C8C" w14:textId="0BE3289D" w:rsidR="00C310AB" w:rsidRPr="00E76EA2" w:rsidRDefault="00C310AB" w:rsidP="00C2143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Report of the Preparatory Committee on the Establishment of an International Criminal Court, Vol.1, 1996, Paras149-151,  Paras-149 Silvia </w:t>
      </w:r>
      <w:proofErr w:type="spellStart"/>
      <w:r w:rsidRPr="00E76EA2">
        <w:rPr>
          <w:sz w:val="20"/>
          <w:szCs w:val="20"/>
        </w:rPr>
        <w:t>Fernanadez</w:t>
      </w:r>
      <w:proofErr w:type="spellEnd"/>
      <w:r w:rsidRPr="00E76EA2">
        <w:rPr>
          <w:sz w:val="20"/>
          <w:szCs w:val="20"/>
        </w:rPr>
        <w:t xml:space="preserve"> de </w:t>
      </w:r>
      <w:proofErr w:type="spellStart"/>
      <w:r w:rsidRPr="00E76EA2">
        <w:rPr>
          <w:sz w:val="20"/>
          <w:szCs w:val="20"/>
        </w:rPr>
        <w:t>Gurmendi</w:t>
      </w:r>
      <w:proofErr w:type="spellEnd"/>
      <w:r w:rsidRPr="00E76EA2">
        <w:rPr>
          <w:sz w:val="20"/>
          <w:szCs w:val="20"/>
        </w:rPr>
        <w:t xml:space="preserve">, ‘The Role of the Prosecutor ‘ in Roy Lee(ed), </w:t>
      </w:r>
      <w:r w:rsidRPr="00E76EA2">
        <w:rPr>
          <w:i/>
          <w:sz w:val="20"/>
          <w:szCs w:val="20"/>
        </w:rPr>
        <w:t xml:space="preserve">The International Criminal </w:t>
      </w:r>
      <w:proofErr w:type="spellStart"/>
      <w:r w:rsidRPr="00E76EA2">
        <w:rPr>
          <w:i/>
          <w:sz w:val="20"/>
          <w:szCs w:val="20"/>
        </w:rPr>
        <w:t>Court:The</w:t>
      </w:r>
      <w:proofErr w:type="spellEnd"/>
      <w:r w:rsidRPr="00E76EA2">
        <w:rPr>
          <w:i/>
          <w:sz w:val="20"/>
          <w:szCs w:val="20"/>
        </w:rPr>
        <w:t xml:space="preserve"> Making of the Rome Statute-Issues, Negotiations and Results</w:t>
      </w:r>
      <w:r w:rsidRPr="00E76EA2">
        <w:rPr>
          <w:sz w:val="20"/>
          <w:szCs w:val="20"/>
        </w:rPr>
        <w:t xml:space="preserve"> (Kluwer Law International ,199).175; Draft Statute for the International Criminal Court, articles 21,23,1994, </w:t>
      </w:r>
      <w:hyperlink w:history="1">
        <w:r w:rsidRPr="00E76EA2">
          <w:rPr>
            <w:rStyle w:val="Hyperlink"/>
            <w:sz w:val="20"/>
            <w:szCs w:val="20"/>
          </w:rPr>
          <w:t>https://untreaty .un.org/ilc/texts/instruments/English/draft%20articles/7_4_1994.pdf.</w:t>
        </w:r>
      </w:hyperlink>
      <w:r w:rsidRPr="00E76EA2">
        <w:rPr>
          <w:sz w:val="20"/>
          <w:szCs w:val="20"/>
        </w:rPr>
        <w:t xml:space="preserve"> </w:t>
      </w:r>
    </w:p>
  </w:footnote>
  <w:footnote w:id="198">
    <w:p w14:paraId="66C0B545" w14:textId="70A0BFA6" w:rsidR="00C310AB" w:rsidRPr="00E76EA2" w:rsidRDefault="00C310AB" w:rsidP="00C2143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Report of the Preparatory Committee on the Establishment of an International Criminal Court, Vol.1, 1996, Paras149-151,  Paras,149</w:t>
      </w:r>
    </w:p>
  </w:footnote>
  <w:footnote w:id="199">
    <w:p w14:paraId="67C981D3"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Report of the International Law Commission on the work of its forty-six session, 2 May -22 July 1994;Official Records of the General Assembly , Forty-ninth session, supplement No.10, Draft Statute of the International Criminal Court,p.46.</w:t>
      </w:r>
    </w:p>
  </w:footnote>
  <w:footnote w:id="200">
    <w:p w14:paraId="67951F23" w14:textId="5ABEBEC9"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Report of the Preparatory Committee on the Establishment of an International Criminal Court, Vol.1, 1996, Paras149-151,  Para,151</w:t>
      </w:r>
    </w:p>
  </w:footnote>
  <w:footnote w:id="201">
    <w:p w14:paraId="388679FB"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David </w:t>
      </w:r>
      <w:proofErr w:type="spellStart"/>
      <w:r w:rsidRPr="00E76EA2">
        <w:rPr>
          <w:sz w:val="20"/>
          <w:szCs w:val="20"/>
        </w:rPr>
        <w:t>Scheffer</w:t>
      </w:r>
      <w:proofErr w:type="spellEnd"/>
      <w:r w:rsidRPr="00E76EA2">
        <w:rPr>
          <w:sz w:val="20"/>
          <w:szCs w:val="20"/>
        </w:rPr>
        <w:t xml:space="preserve">, Ambassador, at Large for War Crimes Issues, Address at American University Washington, D.C ,September ,2009, http://www.state.gov/ww/policy_remarks/2000/000914_scheffer_au.html.  </w:t>
      </w:r>
    </w:p>
  </w:footnote>
  <w:footnote w:id="202">
    <w:p w14:paraId="1A027577"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David </w:t>
      </w:r>
      <w:proofErr w:type="spellStart"/>
      <w:r w:rsidRPr="00E76EA2">
        <w:rPr>
          <w:sz w:val="20"/>
          <w:szCs w:val="20"/>
        </w:rPr>
        <w:t>Scheffer</w:t>
      </w:r>
      <w:proofErr w:type="spellEnd"/>
      <w:r w:rsidRPr="00E76EA2">
        <w:rPr>
          <w:sz w:val="20"/>
          <w:szCs w:val="20"/>
        </w:rPr>
        <w:t>, Ambassador at Large for War Crimes Issues  and Head of the U.S Delegation to the U.N Diplomatic Conference on the Establishment of a Permanent International Criminal court Before the Committee on Foreign Relations of the U.S Senate , July 23, 1998.</w:t>
      </w:r>
    </w:p>
  </w:footnote>
  <w:footnote w:id="203">
    <w:p w14:paraId="6B61238E" w14:textId="5BF2988C"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Report of the Preparatory Committee on the Establishment of an International Criminal Court, Vol.1, 1996, Paras149-151,  Para 151.</w:t>
      </w:r>
    </w:p>
  </w:footnote>
  <w:footnote w:id="204">
    <w:p w14:paraId="0256AF87" w14:textId="4218DD46"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Report of the Preparatory Committee on the Establishment of an International Criminal Court, Vol.1, 1996, Para. 150.</w:t>
      </w:r>
    </w:p>
  </w:footnote>
  <w:footnote w:id="205">
    <w:p w14:paraId="089DE9D0"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Pace and Mark </w:t>
      </w:r>
      <w:proofErr w:type="spellStart"/>
      <w:r w:rsidRPr="00E76EA2">
        <w:rPr>
          <w:sz w:val="20"/>
          <w:szCs w:val="20"/>
        </w:rPr>
        <w:t>Thieroff</w:t>
      </w:r>
      <w:proofErr w:type="spellEnd"/>
      <w:r w:rsidRPr="00E76EA2">
        <w:rPr>
          <w:sz w:val="20"/>
          <w:szCs w:val="20"/>
        </w:rPr>
        <w:t xml:space="preserve">, “Participation of Non-Governmental Organisations” Roy Lee(ed) , The International Criminal </w:t>
      </w:r>
      <w:proofErr w:type="spellStart"/>
      <w:r w:rsidRPr="00E76EA2">
        <w:rPr>
          <w:sz w:val="20"/>
          <w:szCs w:val="20"/>
        </w:rPr>
        <w:t>Court:</w:t>
      </w:r>
      <w:r w:rsidRPr="00E76EA2">
        <w:rPr>
          <w:i/>
          <w:sz w:val="20"/>
          <w:szCs w:val="20"/>
        </w:rPr>
        <w:t>The</w:t>
      </w:r>
      <w:proofErr w:type="spellEnd"/>
      <w:r w:rsidRPr="00E76EA2">
        <w:rPr>
          <w:i/>
          <w:sz w:val="20"/>
          <w:szCs w:val="20"/>
        </w:rPr>
        <w:t xml:space="preserve"> Making of the Rome Statute :The Issues , Negotiations, Results </w:t>
      </w:r>
      <w:r w:rsidRPr="00E76EA2">
        <w:rPr>
          <w:sz w:val="20"/>
          <w:szCs w:val="20"/>
        </w:rPr>
        <w:t>(1999)392-393.</w:t>
      </w:r>
    </w:p>
  </w:footnote>
  <w:footnote w:id="206">
    <w:p w14:paraId="2D1F8158"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Lawyers Committee for Human Rights , The accountability of an Ex-Officio Prosecutor 6(1998)</w:t>
      </w:r>
    </w:p>
  </w:footnote>
  <w:footnote w:id="207">
    <w:p w14:paraId="2CB1C9F6"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208">
    <w:p w14:paraId="3B9DB6AA"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Amnesty International , The International Criminal Court :Making the Right Choices –Part 1 108-109, January 1997, </w:t>
      </w:r>
      <w:hyperlink r:id="rId13" w:history="1">
        <w:r w:rsidRPr="00E76EA2">
          <w:rPr>
            <w:rStyle w:val="Hyperlink"/>
            <w:sz w:val="20"/>
            <w:szCs w:val="20"/>
          </w:rPr>
          <w:t>http://web.amnesty.org/library/pdf/IOR400011997ENGLISH/$File/Ior4000197.pdf.</w:t>
        </w:r>
      </w:hyperlink>
      <w:r w:rsidRPr="00E76EA2">
        <w:rPr>
          <w:sz w:val="20"/>
          <w:szCs w:val="20"/>
        </w:rPr>
        <w:t xml:space="preserve"> </w:t>
      </w:r>
    </w:p>
  </w:footnote>
  <w:footnote w:id="209">
    <w:p w14:paraId="2C75587F" w14:textId="77777777"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210">
    <w:p w14:paraId="2CD0D794" w14:textId="7AC59269" w:rsidR="00C310AB" w:rsidRPr="00E76EA2" w:rsidRDefault="00C310AB" w:rsidP="00DB18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Amnesty International, The International Criminal Court: Making the Right Choices, Part 1, June , 1997.</w:t>
      </w:r>
    </w:p>
  </w:footnote>
  <w:footnote w:id="211">
    <w:p w14:paraId="41934834" w14:textId="6EEA1DA3" w:rsidR="00C310AB" w:rsidRPr="00E76EA2" w:rsidRDefault="00C310AB" w:rsidP="00A607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United Nations General Assembly Official Records, Report of the </w:t>
      </w:r>
      <w:proofErr w:type="spellStart"/>
      <w:r w:rsidRPr="00E76EA2">
        <w:rPr>
          <w:sz w:val="20"/>
          <w:szCs w:val="20"/>
        </w:rPr>
        <w:t>Adhoc</w:t>
      </w:r>
      <w:proofErr w:type="spellEnd"/>
      <w:r w:rsidRPr="00E76EA2">
        <w:rPr>
          <w:sz w:val="20"/>
          <w:szCs w:val="20"/>
        </w:rPr>
        <w:t xml:space="preserve"> </w:t>
      </w:r>
      <w:proofErr w:type="spellStart"/>
      <w:r w:rsidRPr="00E76EA2">
        <w:rPr>
          <w:sz w:val="20"/>
          <w:szCs w:val="20"/>
        </w:rPr>
        <w:t>Commmitte</w:t>
      </w:r>
      <w:proofErr w:type="spellEnd"/>
      <w:r w:rsidRPr="00E76EA2">
        <w:rPr>
          <w:sz w:val="20"/>
          <w:szCs w:val="20"/>
        </w:rPr>
        <w:t xml:space="preserve"> on the Establishment of an International Criminal Court,par.121, United Nations Document Doc A/50/22, Fiftieth </w:t>
      </w:r>
      <w:proofErr w:type="spellStart"/>
      <w:r w:rsidRPr="00E76EA2">
        <w:rPr>
          <w:sz w:val="20"/>
          <w:szCs w:val="20"/>
        </w:rPr>
        <w:t>Session,September</w:t>
      </w:r>
      <w:proofErr w:type="spellEnd"/>
      <w:r w:rsidRPr="00E76EA2">
        <w:rPr>
          <w:sz w:val="20"/>
          <w:szCs w:val="20"/>
        </w:rPr>
        <w:t xml:space="preserve"> 6,1995</w:t>
      </w:r>
    </w:p>
  </w:footnote>
  <w:footnote w:id="212">
    <w:p w14:paraId="45821759" w14:textId="47580180" w:rsidR="00C310AB" w:rsidRPr="00E76EA2" w:rsidRDefault="00C310AB" w:rsidP="00A607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213">
    <w:p w14:paraId="2E83F436" w14:textId="6FFDFD1C" w:rsidR="00C310AB" w:rsidRPr="00E76EA2" w:rsidRDefault="00C310AB" w:rsidP="00A607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Statement of David, </w:t>
      </w:r>
      <w:proofErr w:type="spellStart"/>
      <w:r w:rsidRPr="00E76EA2">
        <w:rPr>
          <w:sz w:val="20"/>
          <w:szCs w:val="20"/>
        </w:rPr>
        <w:t>Scheffer</w:t>
      </w:r>
      <w:proofErr w:type="spellEnd"/>
      <w:r w:rsidRPr="00E76EA2">
        <w:rPr>
          <w:sz w:val="20"/>
          <w:szCs w:val="20"/>
        </w:rPr>
        <w:t>, Ambassador at Large for War Crimes Issues and Head of the U.S Delegation at the U.N Diplomatic Conference on the Establishment of a Permanent International Criminal Court, The Committee on Foreign Relations of the U.S Senate , July 23, 1998</w:t>
      </w:r>
    </w:p>
  </w:footnote>
  <w:footnote w:id="214">
    <w:p w14:paraId="717607A9" w14:textId="2603EDBB" w:rsidR="00C310AB" w:rsidRPr="00E76EA2" w:rsidRDefault="00C310AB" w:rsidP="00A607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Zoe Pearson, ‘Non—Governmental Organisations and the International Criminal </w:t>
      </w:r>
      <w:proofErr w:type="spellStart"/>
      <w:r w:rsidRPr="00E76EA2">
        <w:rPr>
          <w:sz w:val="20"/>
          <w:szCs w:val="20"/>
        </w:rPr>
        <w:t>Court:Changing</w:t>
      </w:r>
      <w:proofErr w:type="spellEnd"/>
      <w:r w:rsidRPr="00E76EA2">
        <w:rPr>
          <w:sz w:val="20"/>
          <w:szCs w:val="20"/>
        </w:rPr>
        <w:t xml:space="preserve"> </w:t>
      </w:r>
      <w:proofErr w:type="spellStart"/>
      <w:r w:rsidRPr="00E76EA2">
        <w:rPr>
          <w:sz w:val="20"/>
          <w:szCs w:val="20"/>
        </w:rPr>
        <w:t>Landcapes</w:t>
      </w:r>
      <w:proofErr w:type="spellEnd"/>
      <w:r w:rsidRPr="00E76EA2">
        <w:rPr>
          <w:sz w:val="20"/>
          <w:szCs w:val="20"/>
        </w:rPr>
        <w:t xml:space="preserve"> of International Law, (2006) 39(2) Cornel</w:t>
      </w:r>
      <w:r w:rsidRPr="00E76EA2">
        <w:rPr>
          <w:i/>
          <w:sz w:val="20"/>
          <w:szCs w:val="20"/>
        </w:rPr>
        <w:t xml:space="preserve"> International Law Journal</w:t>
      </w:r>
      <w:r w:rsidRPr="00E76EA2">
        <w:rPr>
          <w:sz w:val="20"/>
          <w:szCs w:val="20"/>
        </w:rPr>
        <w:t xml:space="preserve"> </w:t>
      </w:r>
      <w:r w:rsidR="009742FA">
        <w:rPr>
          <w:sz w:val="20"/>
          <w:szCs w:val="20"/>
        </w:rPr>
        <w:t>p</w:t>
      </w:r>
      <w:r w:rsidRPr="00E76EA2">
        <w:rPr>
          <w:sz w:val="20"/>
          <w:szCs w:val="20"/>
        </w:rPr>
        <w:t>243-284.</w:t>
      </w:r>
    </w:p>
  </w:footnote>
  <w:footnote w:id="215">
    <w:p w14:paraId="5810C6FE" w14:textId="7FC3EEA7" w:rsidR="00C310AB" w:rsidRPr="00E76EA2" w:rsidRDefault="00C310AB" w:rsidP="00A607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Zoe Pearson, ‘Non—Governmental Organisations and the International Criminal </w:t>
      </w:r>
      <w:proofErr w:type="spellStart"/>
      <w:r w:rsidRPr="00E76EA2">
        <w:rPr>
          <w:sz w:val="20"/>
          <w:szCs w:val="20"/>
        </w:rPr>
        <w:t>Court:Changing</w:t>
      </w:r>
      <w:proofErr w:type="spellEnd"/>
      <w:r w:rsidRPr="00E76EA2">
        <w:rPr>
          <w:sz w:val="20"/>
          <w:szCs w:val="20"/>
        </w:rPr>
        <w:t xml:space="preserve"> </w:t>
      </w:r>
      <w:proofErr w:type="spellStart"/>
      <w:r w:rsidRPr="00E76EA2">
        <w:rPr>
          <w:sz w:val="20"/>
          <w:szCs w:val="20"/>
        </w:rPr>
        <w:t>Landcapes</w:t>
      </w:r>
      <w:proofErr w:type="spellEnd"/>
      <w:r w:rsidRPr="00E76EA2">
        <w:rPr>
          <w:sz w:val="20"/>
          <w:szCs w:val="20"/>
        </w:rPr>
        <w:t xml:space="preserve"> of International Law, (2006) 39(2) Cornel</w:t>
      </w:r>
      <w:r w:rsidRPr="00E76EA2">
        <w:rPr>
          <w:i/>
          <w:sz w:val="20"/>
          <w:szCs w:val="20"/>
        </w:rPr>
        <w:t xml:space="preserve"> International Law Journal</w:t>
      </w:r>
      <w:r w:rsidRPr="00E76EA2">
        <w:rPr>
          <w:sz w:val="20"/>
          <w:szCs w:val="20"/>
        </w:rPr>
        <w:t xml:space="preserve"> </w:t>
      </w:r>
      <w:r w:rsidR="009742FA">
        <w:rPr>
          <w:sz w:val="20"/>
          <w:szCs w:val="20"/>
        </w:rPr>
        <w:t>p</w:t>
      </w:r>
      <w:r w:rsidRPr="00E76EA2">
        <w:rPr>
          <w:sz w:val="20"/>
          <w:szCs w:val="20"/>
        </w:rPr>
        <w:t>243-284</w:t>
      </w:r>
    </w:p>
  </w:footnote>
  <w:footnote w:id="216">
    <w:p w14:paraId="16AEEDFF" w14:textId="77777777" w:rsidR="00C310AB" w:rsidRPr="00E76EA2" w:rsidRDefault="00C310AB" w:rsidP="00B121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Office of the Prosecutor , Paper on some Policy issues before the Office of the Prosecutor, September 2003.</w:t>
      </w:r>
    </w:p>
  </w:footnote>
  <w:footnote w:id="217">
    <w:p w14:paraId="4FECFC71" w14:textId="77777777" w:rsidR="00C310AB" w:rsidRPr="00E76EA2" w:rsidRDefault="00C310AB" w:rsidP="00C67390">
      <w:pPr>
        <w:pStyle w:val="NoSpacing1"/>
        <w:spacing w:line="276" w:lineRule="auto"/>
        <w:jc w:val="both"/>
        <w:rPr>
          <w:sz w:val="20"/>
          <w:szCs w:val="20"/>
        </w:rPr>
      </w:pPr>
      <w:r w:rsidRPr="00E76EA2">
        <w:rPr>
          <w:rStyle w:val="FootnoteReference"/>
          <w:sz w:val="20"/>
          <w:szCs w:val="20"/>
        </w:rPr>
        <w:footnoteRef/>
      </w:r>
      <w:r w:rsidRPr="00E76EA2">
        <w:rPr>
          <w:sz w:val="20"/>
          <w:szCs w:val="20"/>
        </w:rPr>
        <w:t>Rome Statute 1998, article 54;article 13(c); article 15(3); ICC Rules, Rule 48;Rule 63(5) ;International Criminal Court, Office of the Prosecutor, accessible at  &lt;</w:t>
      </w:r>
      <w:hyperlink r:id="rId14" w:history="1">
        <w:r w:rsidRPr="00E76EA2">
          <w:rPr>
            <w:rStyle w:val="Hyperlink"/>
            <w:rFonts w:eastAsiaTheme="majorEastAsia"/>
            <w:sz w:val="20"/>
            <w:szCs w:val="20"/>
          </w:rPr>
          <w:t>https://www.icc-cpi.int/about/otp</w:t>
        </w:r>
      </w:hyperlink>
      <w:r w:rsidRPr="00E76EA2">
        <w:rPr>
          <w:sz w:val="20"/>
          <w:szCs w:val="20"/>
        </w:rPr>
        <w:t>&gt; last accessed on 11 January 2020.</w:t>
      </w:r>
    </w:p>
  </w:footnote>
  <w:footnote w:id="218">
    <w:p w14:paraId="519D6CB7" w14:textId="77777777" w:rsidR="00C310AB" w:rsidRPr="00E76EA2" w:rsidRDefault="00C310AB" w:rsidP="00C673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53(1)</w:t>
      </w:r>
    </w:p>
  </w:footnote>
  <w:footnote w:id="219">
    <w:p w14:paraId="69368FFB" w14:textId="0AEDDF8B" w:rsidR="00C310AB" w:rsidRPr="00E76EA2" w:rsidRDefault="00C310AB" w:rsidP="00C673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54(1)(a).</w:t>
      </w:r>
    </w:p>
  </w:footnote>
  <w:footnote w:id="220">
    <w:p w14:paraId="28594C38" w14:textId="6BEB24CD" w:rsidR="00C310AB" w:rsidRPr="00E76EA2" w:rsidRDefault="00C310AB" w:rsidP="00C673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54(b).</w:t>
      </w:r>
    </w:p>
  </w:footnote>
  <w:footnote w:id="221">
    <w:p w14:paraId="1F609760" w14:textId="77777777" w:rsidR="00C310AB" w:rsidRPr="00E76EA2" w:rsidRDefault="00C310AB" w:rsidP="00C673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w:t>
      </w:r>
      <w:r w:rsidRPr="00E76EA2">
        <w:rPr>
          <w:sz w:val="20"/>
          <w:szCs w:val="20"/>
          <w:lang w:val="en-US"/>
        </w:rPr>
        <w:t>Article 53 (1) (c )</w:t>
      </w:r>
    </w:p>
  </w:footnote>
  <w:footnote w:id="222">
    <w:p w14:paraId="579C111F" w14:textId="77777777" w:rsidR="00C310AB" w:rsidRPr="00E76EA2" w:rsidRDefault="00C310AB" w:rsidP="00C673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53(3) (a).</w:t>
      </w:r>
    </w:p>
  </w:footnote>
  <w:footnote w:id="223">
    <w:p w14:paraId="1949A489" w14:textId="77777777" w:rsidR="00C310AB" w:rsidRPr="00E76EA2" w:rsidRDefault="00C310AB" w:rsidP="00C673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53(3) (b).</w:t>
      </w:r>
    </w:p>
  </w:footnote>
  <w:footnote w:id="224">
    <w:p w14:paraId="3939E02E" w14:textId="27F5372C" w:rsidR="00C310AB" w:rsidRPr="00E76EA2" w:rsidRDefault="00C310AB" w:rsidP="00ED682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R(Pretty) v Director of Public Prosecutions(Secretary of State for the Home Department intervening) [2002] 1AC 800 ; </w:t>
      </w:r>
      <w:proofErr w:type="spellStart"/>
      <w:r w:rsidRPr="00E76EA2">
        <w:rPr>
          <w:sz w:val="20"/>
          <w:szCs w:val="20"/>
        </w:rPr>
        <w:t>Matalulu</w:t>
      </w:r>
      <w:proofErr w:type="spellEnd"/>
      <w:r w:rsidRPr="00E76EA2">
        <w:rPr>
          <w:sz w:val="20"/>
          <w:szCs w:val="20"/>
        </w:rPr>
        <w:t xml:space="preserve"> v Director of Public Prosecution[2003] 4 LRC 712,736 </w:t>
      </w:r>
      <w:r w:rsidR="009742FA">
        <w:rPr>
          <w:sz w:val="20"/>
          <w:szCs w:val="20"/>
        </w:rPr>
        <w:t>.</w:t>
      </w:r>
    </w:p>
  </w:footnote>
  <w:footnote w:id="225">
    <w:p w14:paraId="7C5A1854" w14:textId="77777777" w:rsidR="00C310AB" w:rsidRPr="00E76EA2" w:rsidRDefault="00C310AB" w:rsidP="00ED682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GCHQ case, Council of Civil Service Unions v Minister for the Civil Service[1984] UKHL, Statement of Lord Diplock, in the House of Lords.</w:t>
      </w:r>
    </w:p>
  </w:footnote>
  <w:footnote w:id="226">
    <w:p w14:paraId="276443A1" w14:textId="77777777" w:rsidR="00C310AB" w:rsidRPr="00E76EA2" w:rsidRDefault="00C310AB" w:rsidP="00ED682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227">
    <w:p w14:paraId="4C834DBB" w14:textId="05525BF8" w:rsidR="00C310AB" w:rsidRPr="00E76EA2" w:rsidRDefault="00C310AB" w:rsidP="00ED682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Delmas-Marty , ‘Interaction between National and International Criminal Law in the Preliminary Phase of Trial at the ICC’(2006) 4 </w:t>
      </w:r>
      <w:r w:rsidRPr="00E76EA2">
        <w:rPr>
          <w:i/>
          <w:sz w:val="20"/>
          <w:szCs w:val="20"/>
        </w:rPr>
        <w:t>Journal of International Criminal Justice</w:t>
      </w:r>
      <w:r w:rsidRPr="00E76EA2">
        <w:rPr>
          <w:sz w:val="20"/>
          <w:szCs w:val="20"/>
        </w:rPr>
        <w:t xml:space="preserve">, </w:t>
      </w:r>
      <w:r w:rsidR="009742FA">
        <w:rPr>
          <w:sz w:val="20"/>
          <w:szCs w:val="20"/>
        </w:rPr>
        <w:t>p</w:t>
      </w:r>
      <w:r w:rsidRPr="00E76EA2">
        <w:rPr>
          <w:sz w:val="20"/>
          <w:szCs w:val="20"/>
        </w:rPr>
        <w:t>10.</w:t>
      </w:r>
    </w:p>
  </w:footnote>
  <w:footnote w:id="228">
    <w:p w14:paraId="6449DB65" w14:textId="05A4B61A" w:rsidR="00C310AB" w:rsidRPr="00E76EA2" w:rsidRDefault="00C310AB" w:rsidP="0043323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DRC, Decision on the Applications for the Participation in the Proceedings of VPRS 1,VPRS 2,VPRS 3,VPRS 4,VPRS 5,VPRS 6, 17 January 2006, ICC-01/04-101. Par</w:t>
      </w:r>
      <w:r w:rsidR="009742FA">
        <w:rPr>
          <w:sz w:val="20"/>
          <w:szCs w:val="20"/>
        </w:rPr>
        <w:t>a.</w:t>
      </w:r>
      <w:r w:rsidRPr="00E76EA2">
        <w:rPr>
          <w:sz w:val="20"/>
          <w:szCs w:val="20"/>
        </w:rPr>
        <w:t>77-87.</w:t>
      </w:r>
    </w:p>
  </w:footnote>
  <w:footnote w:id="229">
    <w:p w14:paraId="00729114" w14:textId="77777777" w:rsidR="00C310AB" w:rsidRPr="00E76EA2" w:rsidRDefault="00C310AB" w:rsidP="0043323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para.65</w:t>
      </w:r>
    </w:p>
  </w:footnote>
  <w:footnote w:id="230">
    <w:p w14:paraId="46346882" w14:textId="77777777" w:rsidR="00C310AB" w:rsidRPr="00E76EA2" w:rsidRDefault="00C310AB" w:rsidP="0043323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Schabas, </w:t>
      </w:r>
      <w:r w:rsidRPr="00E76EA2">
        <w:rPr>
          <w:i/>
          <w:sz w:val="20"/>
          <w:szCs w:val="20"/>
        </w:rPr>
        <w:t>An Introduction to international Criminal Court.</w:t>
      </w:r>
      <w:r w:rsidRPr="00E76EA2">
        <w:rPr>
          <w:sz w:val="20"/>
          <w:szCs w:val="20"/>
        </w:rPr>
        <w:t>(4</w:t>
      </w:r>
      <w:r w:rsidRPr="00E76EA2">
        <w:rPr>
          <w:sz w:val="20"/>
          <w:szCs w:val="20"/>
          <w:vertAlign w:val="superscript"/>
        </w:rPr>
        <w:t>th</w:t>
      </w:r>
      <w:r w:rsidRPr="00E76EA2">
        <w:rPr>
          <w:sz w:val="20"/>
          <w:szCs w:val="20"/>
        </w:rPr>
        <w:t xml:space="preserve"> Edition, Cambridge University Press 2011)</w:t>
      </w:r>
    </w:p>
  </w:footnote>
  <w:footnote w:id="231">
    <w:p w14:paraId="639A1E90" w14:textId="77777777" w:rsidR="00C310AB" w:rsidRPr="00E76EA2" w:rsidRDefault="00C310AB" w:rsidP="0043323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232">
    <w:p w14:paraId="2A936FBA" w14:textId="77777777" w:rsidR="00C310AB" w:rsidRPr="00E76EA2" w:rsidRDefault="00C310AB" w:rsidP="0043323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233">
    <w:p w14:paraId="57189D0F" w14:textId="5AD6C9E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Rome Statute 1998, Article 53(1)(c).</w:t>
      </w:r>
    </w:p>
  </w:footnote>
  <w:footnote w:id="234">
    <w:p w14:paraId="485E5383" w14:textId="34FAF3D6" w:rsidR="00C310AB" w:rsidRPr="00E76EA2" w:rsidRDefault="00C310AB" w:rsidP="00113B4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Lubanga, ICC-01/04-01/06-T-30, Pre-Trial Chamber 1, 9 November 2006,P.75-76, statement of Mr Luc </w:t>
      </w:r>
      <w:proofErr w:type="spellStart"/>
      <w:r w:rsidRPr="00E76EA2">
        <w:rPr>
          <w:sz w:val="20"/>
          <w:szCs w:val="20"/>
        </w:rPr>
        <w:t>Walleyn</w:t>
      </w:r>
      <w:proofErr w:type="spellEnd"/>
      <w:r w:rsidR="000A0FC5">
        <w:rPr>
          <w:sz w:val="20"/>
          <w:szCs w:val="20"/>
        </w:rPr>
        <w:t>.</w:t>
      </w:r>
    </w:p>
  </w:footnote>
  <w:footnote w:id="235">
    <w:p w14:paraId="65B6B3F6" w14:textId="1A69280E" w:rsidR="00C310AB" w:rsidRPr="00E76EA2" w:rsidRDefault="00C310AB" w:rsidP="00113B4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p.76,77 and 81</w:t>
      </w:r>
      <w:r w:rsidR="000A0FC5">
        <w:rPr>
          <w:sz w:val="20"/>
          <w:szCs w:val="20"/>
        </w:rPr>
        <w:t>.</w:t>
      </w:r>
    </w:p>
  </w:footnote>
  <w:footnote w:id="236">
    <w:p w14:paraId="2D22C95F" w14:textId="01070572" w:rsidR="00C310AB" w:rsidRPr="00E76EA2" w:rsidRDefault="00C310AB" w:rsidP="00113B4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Prosecutor v Lubanga , ICC-01/04-01/06-T-30-EN, statement of Mr Gebbie,p.96-98.</w:t>
      </w:r>
    </w:p>
  </w:footnote>
  <w:footnote w:id="237">
    <w:p w14:paraId="2A9415A8" w14:textId="2CF595F9" w:rsidR="00C310AB" w:rsidRPr="00E76EA2" w:rsidRDefault="00C310AB" w:rsidP="00AB76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Transcripts ,ICC-01/04-01/06-T.30, Transcripts of 9 November 2006, excerpts of Mr </w:t>
      </w:r>
      <w:proofErr w:type="spellStart"/>
      <w:r w:rsidRPr="00E76EA2">
        <w:rPr>
          <w:sz w:val="20"/>
          <w:szCs w:val="20"/>
        </w:rPr>
        <w:t>Mulenda</w:t>
      </w:r>
      <w:proofErr w:type="spellEnd"/>
      <w:r w:rsidRPr="00E76EA2">
        <w:rPr>
          <w:sz w:val="20"/>
          <w:szCs w:val="20"/>
        </w:rPr>
        <w:t>, LRV of victim a/0001/06,a/002/06 and a/0003/06</w:t>
      </w:r>
      <w:r w:rsidR="00AB7648">
        <w:rPr>
          <w:sz w:val="20"/>
          <w:szCs w:val="20"/>
        </w:rPr>
        <w:t>.</w:t>
      </w:r>
    </w:p>
  </w:footnote>
  <w:footnote w:id="238">
    <w:p w14:paraId="0E0FA733" w14:textId="77777777" w:rsidR="00C310AB" w:rsidRPr="00E76EA2" w:rsidRDefault="00C310AB" w:rsidP="00AB76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w:t>
      </w:r>
      <w:proofErr w:type="spellStart"/>
      <w:r w:rsidRPr="00E76EA2">
        <w:rPr>
          <w:sz w:val="20"/>
          <w:szCs w:val="20"/>
        </w:rPr>
        <w:t>v.Lubanga</w:t>
      </w:r>
      <w:proofErr w:type="spellEnd"/>
      <w:r w:rsidRPr="00E76EA2">
        <w:rPr>
          <w:sz w:val="20"/>
          <w:szCs w:val="20"/>
        </w:rPr>
        <w:t>, Transcripts , 28 November 2006, p.45.</w:t>
      </w:r>
    </w:p>
  </w:footnote>
  <w:footnote w:id="239">
    <w:p w14:paraId="3BF1851D" w14:textId="0C95E970" w:rsidR="00C310AB" w:rsidRPr="00E76EA2" w:rsidRDefault="00C310AB" w:rsidP="00AB76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Preambular paragraph 4;preambular paragraph 5.</w:t>
      </w:r>
    </w:p>
  </w:footnote>
  <w:footnote w:id="240">
    <w:p w14:paraId="7531FE3F" w14:textId="1540A304" w:rsidR="00C310AB" w:rsidRPr="00E76EA2" w:rsidRDefault="00C310AB" w:rsidP="00AB76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Germain Katanga and Mathieu </w:t>
      </w:r>
      <w:proofErr w:type="spellStart"/>
      <w:r w:rsidRPr="00E76EA2">
        <w:rPr>
          <w:sz w:val="20"/>
          <w:szCs w:val="20"/>
        </w:rPr>
        <w:t>Ngudjolo</w:t>
      </w:r>
      <w:proofErr w:type="spellEnd"/>
      <w:r w:rsidRPr="00E76EA2">
        <w:rPr>
          <w:sz w:val="20"/>
          <w:szCs w:val="20"/>
        </w:rPr>
        <w:t xml:space="preserve"> Chui, Decision on the Modalities of victim participation at Trial, ICC-01/04-01/07-1788-tENG, 22 January 2010,p.16,para.36</w:t>
      </w:r>
    </w:p>
  </w:footnote>
  <w:footnote w:id="241">
    <w:p w14:paraId="19F3A243" w14:textId="77777777" w:rsidR="00C310AB" w:rsidRPr="00E76EA2" w:rsidRDefault="00C310AB" w:rsidP="00AB76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41, para.37.</w:t>
      </w:r>
    </w:p>
  </w:footnote>
  <w:footnote w:id="242">
    <w:p w14:paraId="73864989" w14:textId="38B9343F" w:rsidR="00C310AB" w:rsidRPr="00E76EA2" w:rsidRDefault="00C310AB" w:rsidP="003B16F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Prosecutor v </w:t>
      </w:r>
      <w:proofErr w:type="spellStart"/>
      <w:r w:rsidRPr="00E76EA2">
        <w:rPr>
          <w:sz w:val="20"/>
          <w:szCs w:val="20"/>
        </w:rPr>
        <w:t>LThomas</w:t>
      </w:r>
      <w:proofErr w:type="spellEnd"/>
      <w:r w:rsidRPr="00E76EA2">
        <w:rPr>
          <w:sz w:val="20"/>
          <w:szCs w:val="20"/>
        </w:rPr>
        <w:t xml:space="preserve"> </w:t>
      </w:r>
      <w:proofErr w:type="spellStart"/>
      <w:r w:rsidRPr="00E76EA2">
        <w:rPr>
          <w:sz w:val="20"/>
          <w:szCs w:val="20"/>
        </w:rPr>
        <w:t>Lubanag</w:t>
      </w:r>
      <w:proofErr w:type="spellEnd"/>
      <w:r w:rsidRPr="00E76EA2">
        <w:rPr>
          <w:sz w:val="20"/>
          <w:szCs w:val="20"/>
        </w:rPr>
        <w:t>, Decision on the Final System of Disclosure and the Establishment of A Timetable, Pre-Trial Chamber 1,  ICC-01/04-01/06-102,16 May 2006</w:t>
      </w:r>
      <w:r w:rsidR="00697CD0">
        <w:rPr>
          <w:sz w:val="20"/>
          <w:szCs w:val="20"/>
        </w:rPr>
        <w:t>.</w:t>
      </w:r>
    </w:p>
  </w:footnote>
  <w:footnote w:id="243">
    <w:p w14:paraId="394E74B3" w14:textId="2B4BBED9" w:rsidR="00C310AB" w:rsidRPr="00E76EA2" w:rsidRDefault="00C310AB" w:rsidP="003B16F5">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David </w:t>
      </w:r>
      <w:proofErr w:type="spellStart"/>
      <w:r w:rsidRPr="00E76EA2">
        <w:rPr>
          <w:sz w:val="20"/>
          <w:szCs w:val="20"/>
        </w:rPr>
        <w:t>Donat-Catin</w:t>
      </w:r>
      <w:proofErr w:type="spellEnd"/>
      <w:r w:rsidRPr="00E76EA2">
        <w:rPr>
          <w:sz w:val="20"/>
          <w:szCs w:val="20"/>
        </w:rPr>
        <w:t>, ‘Article 68:Protection of Victims and Witnesses and their Participation in the Proceedings ‘ in O</w:t>
      </w:r>
      <w:r w:rsidR="003B16F5">
        <w:rPr>
          <w:sz w:val="20"/>
          <w:szCs w:val="20"/>
        </w:rPr>
        <w:t>tto</w:t>
      </w:r>
      <w:r w:rsidRPr="00E76EA2">
        <w:rPr>
          <w:sz w:val="20"/>
          <w:szCs w:val="20"/>
        </w:rPr>
        <w:t xml:space="preserve"> </w:t>
      </w:r>
      <w:proofErr w:type="spellStart"/>
      <w:r w:rsidRPr="00E76EA2">
        <w:rPr>
          <w:sz w:val="20"/>
          <w:szCs w:val="20"/>
        </w:rPr>
        <w:t>Triffterer</w:t>
      </w:r>
      <w:proofErr w:type="spellEnd"/>
      <w:r w:rsidRPr="00E76EA2">
        <w:rPr>
          <w:sz w:val="20"/>
          <w:szCs w:val="20"/>
        </w:rPr>
        <w:t xml:space="preserve"> (ed.), Commentary on the Rome Statute of the International Criminal Court  (1999) 869;Williams Schabas, </w:t>
      </w:r>
      <w:r w:rsidRPr="00E76EA2">
        <w:rPr>
          <w:i/>
          <w:sz w:val="20"/>
          <w:szCs w:val="20"/>
        </w:rPr>
        <w:t>An Introduction to the International Criminal Court (</w:t>
      </w:r>
      <w:r w:rsidRPr="00E76EA2">
        <w:rPr>
          <w:sz w:val="20"/>
          <w:szCs w:val="20"/>
        </w:rPr>
        <w:t xml:space="preserve">Cambridge University Press 2004) 172-173; </w:t>
      </w:r>
      <w:proofErr w:type="spellStart"/>
      <w:r w:rsidRPr="00E76EA2">
        <w:rPr>
          <w:sz w:val="20"/>
          <w:szCs w:val="20"/>
        </w:rPr>
        <w:t>Jorda</w:t>
      </w:r>
      <w:proofErr w:type="spellEnd"/>
      <w:r w:rsidRPr="00E76EA2">
        <w:rPr>
          <w:sz w:val="20"/>
          <w:szCs w:val="20"/>
        </w:rPr>
        <w:t xml:space="preserve"> and </w:t>
      </w:r>
      <w:proofErr w:type="spellStart"/>
      <w:r w:rsidRPr="00E76EA2">
        <w:rPr>
          <w:sz w:val="20"/>
          <w:szCs w:val="20"/>
        </w:rPr>
        <w:t>Hemptinne</w:t>
      </w:r>
      <w:proofErr w:type="spellEnd"/>
      <w:r w:rsidRPr="00E76EA2">
        <w:rPr>
          <w:sz w:val="20"/>
          <w:szCs w:val="20"/>
        </w:rPr>
        <w:t xml:space="preserve"> , </w:t>
      </w:r>
      <w:r w:rsidRPr="00E76EA2">
        <w:rPr>
          <w:i/>
          <w:sz w:val="20"/>
          <w:szCs w:val="20"/>
        </w:rPr>
        <w:t xml:space="preserve">The Rome Statute of the International Criminal Court :A Commentary </w:t>
      </w:r>
      <w:r w:rsidRPr="00E76EA2">
        <w:rPr>
          <w:sz w:val="20"/>
          <w:szCs w:val="20"/>
        </w:rPr>
        <w:t xml:space="preserve"> (Oxford University Press 2002) 1388,1394 </w:t>
      </w:r>
    </w:p>
  </w:footnote>
  <w:footnote w:id="244">
    <w:p w14:paraId="11DFD092" w14:textId="77777777"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Decision on Victims’ Applications, Trial Chamber Decision, 18 January 2008, para 97.</w:t>
      </w:r>
    </w:p>
  </w:footnote>
  <w:footnote w:id="245">
    <w:p w14:paraId="525126D6" w14:textId="77777777"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Decision on the Applications for Participation in the Proceedings of VPRS 1,VPRS 2,VPRS 3, VPRS 4,VPRS 5 and VPRS 6, ICC01/0401010tEN, Pre-Trial Chamber 1  17January 2006, para.31-44</w:t>
      </w:r>
    </w:p>
  </w:footnote>
  <w:footnote w:id="246">
    <w:p w14:paraId="0E4BC99F" w14:textId="1AEAC1F0"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Hector </w:t>
      </w:r>
      <w:proofErr w:type="spellStart"/>
      <w:r w:rsidRPr="00E76EA2">
        <w:rPr>
          <w:sz w:val="20"/>
          <w:szCs w:val="20"/>
        </w:rPr>
        <w:t>Olasolo</w:t>
      </w:r>
      <w:proofErr w:type="spellEnd"/>
      <w:r w:rsidRPr="00E76EA2">
        <w:rPr>
          <w:sz w:val="20"/>
          <w:szCs w:val="20"/>
        </w:rPr>
        <w:t xml:space="preserve">, ‘Systematic and Casuistic Approaches to the Role of Victims in Criminal Proceedings Before the International Criminal Court’ (2009) 12 </w:t>
      </w:r>
      <w:r w:rsidRPr="00E76EA2">
        <w:rPr>
          <w:i/>
          <w:sz w:val="20"/>
          <w:szCs w:val="20"/>
        </w:rPr>
        <w:t xml:space="preserve">New Criminal Law Review </w:t>
      </w:r>
      <w:r w:rsidR="009742FA" w:rsidRPr="009742FA">
        <w:rPr>
          <w:iCs/>
          <w:sz w:val="20"/>
          <w:szCs w:val="20"/>
        </w:rPr>
        <w:t>p</w:t>
      </w:r>
      <w:r w:rsidRPr="009742FA">
        <w:rPr>
          <w:iCs/>
          <w:sz w:val="20"/>
          <w:szCs w:val="20"/>
        </w:rPr>
        <w:t xml:space="preserve"> </w:t>
      </w:r>
      <w:r w:rsidRPr="00E76EA2">
        <w:rPr>
          <w:sz w:val="20"/>
          <w:szCs w:val="20"/>
        </w:rPr>
        <w:t>513, 520</w:t>
      </w:r>
    </w:p>
  </w:footnote>
  <w:footnote w:id="247">
    <w:p w14:paraId="0C827F21" w14:textId="3B1EDA65"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9742FA">
        <w:rPr>
          <w:sz w:val="20"/>
          <w:szCs w:val="20"/>
        </w:rPr>
        <w:t>.</w:t>
      </w:r>
      <w:r w:rsidRPr="00E76EA2">
        <w:rPr>
          <w:sz w:val="20"/>
          <w:szCs w:val="20"/>
        </w:rPr>
        <w:t xml:space="preserve"> </w:t>
      </w:r>
    </w:p>
  </w:footnote>
  <w:footnote w:id="248">
    <w:p w14:paraId="32A4A30E" w14:textId="77777777"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France, Germany and Belgium.</w:t>
      </w:r>
    </w:p>
  </w:footnote>
  <w:footnote w:id="249">
    <w:p w14:paraId="71102B32" w14:textId="06B4E684"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Germany, Sweden, Norway</w:t>
      </w:r>
      <w:r w:rsidR="000F0F27">
        <w:rPr>
          <w:sz w:val="20"/>
          <w:szCs w:val="20"/>
        </w:rPr>
        <w:t>.</w:t>
      </w:r>
    </w:p>
  </w:footnote>
  <w:footnote w:id="250">
    <w:p w14:paraId="14561893" w14:textId="64FC018F"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Marion </w:t>
      </w:r>
      <w:proofErr w:type="spellStart"/>
      <w:r w:rsidRPr="00E76EA2">
        <w:rPr>
          <w:sz w:val="20"/>
          <w:szCs w:val="20"/>
        </w:rPr>
        <w:t>Brienen</w:t>
      </w:r>
      <w:proofErr w:type="spellEnd"/>
      <w:r w:rsidRPr="00E76EA2">
        <w:rPr>
          <w:sz w:val="20"/>
          <w:szCs w:val="20"/>
        </w:rPr>
        <w:t xml:space="preserve"> and </w:t>
      </w:r>
      <w:proofErr w:type="spellStart"/>
      <w:r w:rsidRPr="00E76EA2">
        <w:rPr>
          <w:sz w:val="20"/>
          <w:szCs w:val="20"/>
        </w:rPr>
        <w:t>Ernstine</w:t>
      </w:r>
      <w:proofErr w:type="spellEnd"/>
      <w:r w:rsidRPr="00E76EA2">
        <w:rPr>
          <w:sz w:val="20"/>
          <w:szCs w:val="20"/>
        </w:rPr>
        <w:t xml:space="preserve"> </w:t>
      </w:r>
      <w:proofErr w:type="spellStart"/>
      <w:r w:rsidRPr="00E76EA2">
        <w:rPr>
          <w:sz w:val="20"/>
          <w:szCs w:val="20"/>
        </w:rPr>
        <w:t>Howgen</w:t>
      </w:r>
      <w:proofErr w:type="spellEnd"/>
      <w:r w:rsidRPr="00E76EA2">
        <w:rPr>
          <w:sz w:val="20"/>
          <w:szCs w:val="20"/>
        </w:rPr>
        <w:t>,’ Victims of Crime’  (2001 European Criminal Justice System, (Wolf Legal Publishers, ) 27;</w:t>
      </w:r>
      <w:r w:rsidRPr="00E76EA2">
        <w:rPr>
          <w:color w:val="333333"/>
          <w:sz w:val="20"/>
          <w:szCs w:val="20"/>
        </w:rPr>
        <w:t xml:space="preserve"> </w:t>
      </w:r>
      <w:proofErr w:type="spellStart"/>
      <w:r w:rsidRPr="00E76EA2">
        <w:rPr>
          <w:color w:val="333333"/>
          <w:sz w:val="20"/>
          <w:szCs w:val="20"/>
        </w:rPr>
        <w:t>Brienen</w:t>
      </w:r>
      <w:proofErr w:type="spellEnd"/>
      <w:r w:rsidRPr="00E76EA2">
        <w:rPr>
          <w:color w:val="333333"/>
          <w:sz w:val="20"/>
          <w:szCs w:val="20"/>
        </w:rPr>
        <w:t xml:space="preserve"> M, </w:t>
      </w:r>
      <w:proofErr w:type="spellStart"/>
      <w:r w:rsidRPr="00E76EA2">
        <w:rPr>
          <w:color w:val="333333"/>
          <w:sz w:val="20"/>
          <w:szCs w:val="20"/>
        </w:rPr>
        <w:t>Hoegen</w:t>
      </w:r>
      <w:proofErr w:type="spellEnd"/>
      <w:r w:rsidRPr="00E76EA2">
        <w:rPr>
          <w:color w:val="333333"/>
          <w:sz w:val="20"/>
          <w:szCs w:val="20"/>
        </w:rPr>
        <w:t xml:space="preserve"> H (2000) Victims of crime in 22 European criminal justice systems: the implementation of recommendation (85) 11 of the council of Europe on the position of the victim in the framework of criminal law and procedure. Wolf Legal Productions, </w:t>
      </w:r>
      <w:proofErr w:type="spellStart"/>
      <w:r w:rsidRPr="00E76EA2">
        <w:rPr>
          <w:color w:val="333333"/>
          <w:sz w:val="20"/>
          <w:szCs w:val="20"/>
        </w:rPr>
        <w:t>Niemegen</w:t>
      </w:r>
      <w:proofErr w:type="spellEnd"/>
      <w:r w:rsidR="000F0F27">
        <w:rPr>
          <w:color w:val="333333"/>
          <w:sz w:val="20"/>
          <w:szCs w:val="20"/>
        </w:rPr>
        <w:t>.</w:t>
      </w:r>
    </w:p>
  </w:footnote>
  <w:footnote w:id="251">
    <w:p w14:paraId="45F9792C" w14:textId="1382E973"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Jonathan </w:t>
      </w:r>
      <w:proofErr w:type="spellStart"/>
      <w:r w:rsidRPr="00E76EA2">
        <w:rPr>
          <w:sz w:val="20"/>
          <w:szCs w:val="20"/>
        </w:rPr>
        <w:t>Doak,Victims</w:t>
      </w:r>
      <w:proofErr w:type="spellEnd"/>
      <w:r w:rsidRPr="00E76EA2">
        <w:rPr>
          <w:sz w:val="20"/>
          <w:szCs w:val="20"/>
        </w:rPr>
        <w:t>’ Rights in the Criminal Justice System, in</w:t>
      </w:r>
      <w:r w:rsidR="00DE5D44">
        <w:rPr>
          <w:sz w:val="20"/>
          <w:szCs w:val="20"/>
        </w:rPr>
        <w:t xml:space="preserve"> </w:t>
      </w:r>
      <w:proofErr w:type="spellStart"/>
      <w:r w:rsidR="00DE5D44">
        <w:rPr>
          <w:sz w:val="20"/>
          <w:szCs w:val="20"/>
        </w:rPr>
        <w:t>Gebern</w:t>
      </w:r>
      <w:proofErr w:type="spellEnd"/>
      <w:r w:rsidR="00DE5D44">
        <w:rPr>
          <w:sz w:val="20"/>
          <w:szCs w:val="20"/>
        </w:rPr>
        <w:t xml:space="preserve"> </w:t>
      </w:r>
      <w:proofErr w:type="spellStart"/>
      <w:r w:rsidRPr="00E76EA2">
        <w:rPr>
          <w:sz w:val="20"/>
          <w:szCs w:val="20"/>
        </w:rPr>
        <w:t>Bruinsma</w:t>
      </w:r>
      <w:proofErr w:type="spellEnd"/>
      <w:r w:rsidRPr="00E76EA2">
        <w:rPr>
          <w:sz w:val="20"/>
          <w:szCs w:val="20"/>
        </w:rPr>
        <w:t xml:space="preserve"> </w:t>
      </w:r>
      <w:r w:rsidR="00CC135F">
        <w:rPr>
          <w:sz w:val="20"/>
          <w:szCs w:val="20"/>
        </w:rPr>
        <w:t xml:space="preserve">David </w:t>
      </w:r>
      <w:proofErr w:type="spellStart"/>
      <w:r w:rsidRPr="00E76EA2">
        <w:rPr>
          <w:sz w:val="20"/>
          <w:szCs w:val="20"/>
        </w:rPr>
        <w:t>Weisburg</w:t>
      </w:r>
      <w:proofErr w:type="spellEnd"/>
      <w:r w:rsidRPr="00E76EA2">
        <w:rPr>
          <w:sz w:val="20"/>
          <w:szCs w:val="20"/>
        </w:rPr>
        <w:t xml:space="preserve">(ed.) </w:t>
      </w:r>
      <w:proofErr w:type="spellStart"/>
      <w:r w:rsidRPr="00E76EA2">
        <w:rPr>
          <w:sz w:val="20"/>
          <w:szCs w:val="20"/>
        </w:rPr>
        <w:t>Encyclopedia</w:t>
      </w:r>
      <w:proofErr w:type="spellEnd"/>
      <w:r w:rsidRPr="00E76EA2">
        <w:rPr>
          <w:sz w:val="20"/>
          <w:szCs w:val="20"/>
        </w:rPr>
        <w:t xml:space="preserve"> of Criminology and Criminal Justice (Springer 2014)</w:t>
      </w:r>
      <w:r w:rsidR="000F0F27">
        <w:rPr>
          <w:sz w:val="20"/>
          <w:szCs w:val="20"/>
        </w:rPr>
        <w:t>.</w:t>
      </w:r>
    </w:p>
  </w:footnote>
  <w:footnote w:id="252">
    <w:p w14:paraId="0EAA688D" w14:textId="26DEBBB9"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44</w:t>
      </w:r>
      <w:r w:rsidR="000F0F27">
        <w:rPr>
          <w:sz w:val="20"/>
          <w:szCs w:val="20"/>
        </w:rPr>
        <w:t>.</w:t>
      </w:r>
    </w:p>
  </w:footnote>
  <w:footnote w:id="253">
    <w:p w14:paraId="3A799B5A" w14:textId="49D47575" w:rsidR="00C310AB" w:rsidRPr="00E76EA2" w:rsidRDefault="00C310AB" w:rsidP="000F0F2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Markus Funk, </w:t>
      </w:r>
      <w:r w:rsidRPr="00E76EA2">
        <w:rPr>
          <w:i/>
          <w:sz w:val="20"/>
          <w:szCs w:val="20"/>
        </w:rPr>
        <w:t>Victims’ Rights and Advocacy at the International Criminal Court</w:t>
      </w:r>
      <w:r w:rsidRPr="00E76EA2">
        <w:rPr>
          <w:sz w:val="20"/>
          <w:szCs w:val="20"/>
        </w:rPr>
        <w:t>(Oxford University Press, 2010) 58</w:t>
      </w:r>
      <w:r w:rsidR="000F0F27">
        <w:rPr>
          <w:sz w:val="20"/>
          <w:szCs w:val="20"/>
        </w:rPr>
        <w:t>.</w:t>
      </w:r>
    </w:p>
  </w:footnote>
  <w:footnote w:id="254">
    <w:p w14:paraId="2A86B3C1" w14:textId="057DD6AE" w:rsidR="00C310AB" w:rsidRPr="00E76EA2" w:rsidRDefault="00C310AB" w:rsidP="009D318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Guido </w:t>
      </w:r>
      <w:proofErr w:type="spellStart"/>
      <w:r w:rsidRPr="00E76EA2">
        <w:rPr>
          <w:sz w:val="20"/>
          <w:szCs w:val="20"/>
        </w:rPr>
        <w:t>Aquaviva</w:t>
      </w:r>
      <w:proofErr w:type="spellEnd"/>
      <w:r w:rsidRPr="00E76EA2">
        <w:rPr>
          <w:sz w:val="20"/>
          <w:szCs w:val="20"/>
        </w:rPr>
        <w:t xml:space="preserve">, Nancy Combs, </w:t>
      </w:r>
      <w:proofErr w:type="spellStart"/>
      <w:r w:rsidRPr="00E76EA2">
        <w:rPr>
          <w:sz w:val="20"/>
          <w:szCs w:val="20"/>
        </w:rPr>
        <w:t>Mikaeal</w:t>
      </w:r>
      <w:proofErr w:type="spellEnd"/>
      <w:r w:rsidRPr="00E76EA2">
        <w:rPr>
          <w:sz w:val="20"/>
          <w:szCs w:val="20"/>
        </w:rPr>
        <w:t xml:space="preserve"> Heikkila, Suzannah Linton, Sergey </w:t>
      </w:r>
      <w:proofErr w:type="spellStart"/>
      <w:r w:rsidRPr="00E76EA2">
        <w:rPr>
          <w:sz w:val="20"/>
          <w:szCs w:val="20"/>
        </w:rPr>
        <w:t>Vailiev</w:t>
      </w:r>
      <w:proofErr w:type="spellEnd"/>
      <w:r w:rsidRPr="00E76EA2">
        <w:rPr>
          <w:sz w:val="20"/>
          <w:szCs w:val="20"/>
        </w:rPr>
        <w:t xml:space="preserve"> “Trial Process” in  Goran </w:t>
      </w:r>
      <w:proofErr w:type="spellStart"/>
      <w:r w:rsidRPr="00E76EA2">
        <w:rPr>
          <w:sz w:val="20"/>
          <w:szCs w:val="20"/>
        </w:rPr>
        <w:t>Sluiter</w:t>
      </w:r>
      <w:proofErr w:type="spellEnd"/>
      <w:r w:rsidRPr="00E76EA2">
        <w:rPr>
          <w:sz w:val="20"/>
          <w:szCs w:val="20"/>
        </w:rPr>
        <w:t xml:space="preserve"> et </w:t>
      </w:r>
      <w:proofErr w:type="spellStart"/>
      <w:r w:rsidRPr="00E76EA2">
        <w:rPr>
          <w:sz w:val="20"/>
          <w:szCs w:val="20"/>
        </w:rPr>
        <w:t>al.,</w:t>
      </w:r>
      <w:r w:rsidRPr="00E76EA2">
        <w:rPr>
          <w:i/>
          <w:iCs/>
          <w:sz w:val="20"/>
          <w:szCs w:val="20"/>
        </w:rPr>
        <w:t>International</w:t>
      </w:r>
      <w:proofErr w:type="spellEnd"/>
      <w:r w:rsidRPr="00E76EA2">
        <w:rPr>
          <w:i/>
          <w:iCs/>
          <w:sz w:val="20"/>
          <w:szCs w:val="20"/>
        </w:rPr>
        <w:t xml:space="preserve"> Criminal </w:t>
      </w:r>
      <w:proofErr w:type="spellStart"/>
      <w:r w:rsidRPr="00E76EA2">
        <w:rPr>
          <w:i/>
          <w:iCs/>
          <w:sz w:val="20"/>
          <w:szCs w:val="20"/>
        </w:rPr>
        <w:t>Procedure:Rules</w:t>
      </w:r>
      <w:proofErr w:type="spellEnd"/>
      <w:r w:rsidRPr="00E76EA2">
        <w:rPr>
          <w:i/>
          <w:iCs/>
          <w:sz w:val="20"/>
          <w:szCs w:val="20"/>
        </w:rPr>
        <w:t xml:space="preserve"> and Principles” , </w:t>
      </w:r>
      <w:r w:rsidRPr="00E76EA2">
        <w:rPr>
          <w:sz w:val="20"/>
          <w:szCs w:val="20"/>
        </w:rPr>
        <w:t>(Oxford University Press 2013)638-645</w:t>
      </w:r>
      <w:r w:rsidR="00FA5971">
        <w:rPr>
          <w:sz w:val="20"/>
          <w:szCs w:val="20"/>
        </w:rPr>
        <w:t>.</w:t>
      </w:r>
    </w:p>
  </w:footnote>
  <w:footnote w:id="255">
    <w:p w14:paraId="0CAAC803" w14:textId="77777777" w:rsidR="00C310AB" w:rsidRPr="00E76EA2" w:rsidRDefault="00C310AB" w:rsidP="009D318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61.</w:t>
      </w:r>
    </w:p>
  </w:footnote>
  <w:footnote w:id="256">
    <w:p w14:paraId="0EC7C6DA" w14:textId="77777777" w:rsidR="00C310AB" w:rsidRPr="00E76EA2" w:rsidRDefault="00C310AB" w:rsidP="009D318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61(3).</w:t>
      </w:r>
    </w:p>
  </w:footnote>
  <w:footnote w:id="257">
    <w:p w14:paraId="21244FAC" w14:textId="77777777" w:rsidR="00C310AB" w:rsidRPr="00E76EA2" w:rsidRDefault="00C310AB" w:rsidP="009D318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 Article 61;ICC RPE Rule 121(1)(2)(3);Article 60(3)</w:t>
      </w:r>
    </w:p>
  </w:footnote>
  <w:footnote w:id="258">
    <w:p w14:paraId="09112EFD" w14:textId="47A18F40" w:rsidR="00C310AB" w:rsidRPr="00E76EA2" w:rsidRDefault="00C310AB" w:rsidP="009D318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w:t>
      </w:r>
      <w:proofErr w:type="spellStart"/>
      <w:r w:rsidRPr="00E76EA2">
        <w:rPr>
          <w:sz w:val="20"/>
          <w:szCs w:val="20"/>
        </w:rPr>
        <w:t>Congo,Prosecutor</w:t>
      </w:r>
      <w:proofErr w:type="spellEnd"/>
      <w:r w:rsidRPr="00E76EA2">
        <w:rPr>
          <w:sz w:val="20"/>
          <w:szCs w:val="20"/>
        </w:rPr>
        <w:t xml:space="preserve"> v Thomas </w:t>
      </w:r>
      <w:proofErr w:type="spellStart"/>
      <w:r w:rsidRPr="00E76EA2">
        <w:rPr>
          <w:sz w:val="20"/>
          <w:szCs w:val="20"/>
        </w:rPr>
        <w:t>Lubang</w:t>
      </w:r>
      <w:proofErr w:type="spellEnd"/>
      <w:r w:rsidRPr="00E76EA2">
        <w:rPr>
          <w:sz w:val="20"/>
          <w:szCs w:val="20"/>
        </w:rPr>
        <w:t xml:space="preserve"> </w:t>
      </w:r>
      <w:proofErr w:type="spellStart"/>
      <w:r w:rsidRPr="00E76EA2">
        <w:rPr>
          <w:sz w:val="20"/>
          <w:szCs w:val="20"/>
        </w:rPr>
        <w:t>Dyilo</w:t>
      </w:r>
      <w:proofErr w:type="spellEnd"/>
      <w:r w:rsidRPr="00E76EA2">
        <w:rPr>
          <w:sz w:val="20"/>
          <w:szCs w:val="20"/>
        </w:rPr>
        <w:t xml:space="preserve">, Decision on the final system of disclosure and the establishment of a </w:t>
      </w:r>
      <w:proofErr w:type="spellStart"/>
      <w:r w:rsidRPr="00E76EA2">
        <w:rPr>
          <w:sz w:val="20"/>
          <w:szCs w:val="20"/>
        </w:rPr>
        <w:t>timetable,Pre</w:t>
      </w:r>
      <w:proofErr w:type="spellEnd"/>
      <w:r w:rsidRPr="00E76EA2">
        <w:rPr>
          <w:sz w:val="20"/>
          <w:szCs w:val="20"/>
        </w:rPr>
        <w:t>-Trial Chamber 1,ICC-01/04-01/06-102</w:t>
      </w:r>
      <w:r w:rsidR="00FA5971">
        <w:rPr>
          <w:sz w:val="20"/>
          <w:szCs w:val="20"/>
        </w:rPr>
        <w:t>.</w:t>
      </w:r>
    </w:p>
  </w:footnote>
  <w:footnote w:id="259">
    <w:p w14:paraId="7344478B" w14:textId="29AD361A" w:rsidR="00C310AB" w:rsidRPr="00E76EA2" w:rsidRDefault="00C310AB" w:rsidP="00FA5971">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David </w:t>
      </w:r>
      <w:proofErr w:type="spellStart"/>
      <w:r w:rsidRPr="00E76EA2">
        <w:rPr>
          <w:sz w:val="20"/>
          <w:szCs w:val="20"/>
        </w:rPr>
        <w:t>Scheffer</w:t>
      </w:r>
      <w:proofErr w:type="spellEnd"/>
      <w:r w:rsidRPr="00E76EA2">
        <w:rPr>
          <w:sz w:val="20"/>
          <w:szCs w:val="20"/>
        </w:rPr>
        <w:t>, “A review of the Experiences of the Pre-Trial and Appeals Chambers of the International Criminal Court Regarding the Disclosure of Evidence” (2009) 21</w:t>
      </w:r>
      <w:r w:rsidRPr="00E76EA2">
        <w:rPr>
          <w:i/>
          <w:iCs/>
          <w:sz w:val="20"/>
          <w:szCs w:val="20"/>
        </w:rPr>
        <w:t xml:space="preserve">Leiden Journal of International Law </w:t>
      </w:r>
      <w:r w:rsidRPr="00E76EA2">
        <w:rPr>
          <w:sz w:val="20"/>
          <w:szCs w:val="20"/>
        </w:rPr>
        <w:t>; Maximo Langer, “</w:t>
      </w:r>
      <w:proofErr w:type="spellStart"/>
      <w:r w:rsidRPr="00E76EA2">
        <w:rPr>
          <w:sz w:val="20"/>
          <w:szCs w:val="20"/>
        </w:rPr>
        <w:t>Ther</w:t>
      </w:r>
      <w:proofErr w:type="spellEnd"/>
      <w:r w:rsidRPr="00E76EA2">
        <w:rPr>
          <w:sz w:val="20"/>
          <w:szCs w:val="20"/>
        </w:rPr>
        <w:t xml:space="preserve"> Rise of Managerial Judging in International Criminal Law”(2005) 53 </w:t>
      </w:r>
      <w:r w:rsidRPr="00E76EA2">
        <w:rPr>
          <w:i/>
          <w:iCs/>
          <w:sz w:val="20"/>
          <w:szCs w:val="20"/>
        </w:rPr>
        <w:t>American Journal of Comparative Law ,</w:t>
      </w:r>
      <w:r w:rsidR="009742FA" w:rsidRPr="009742FA">
        <w:rPr>
          <w:sz w:val="20"/>
          <w:szCs w:val="20"/>
        </w:rPr>
        <w:t>p</w:t>
      </w:r>
      <w:r w:rsidRPr="009742FA">
        <w:rPr>
          <w:sz w:val="20"/>
          <w:szCs w:val="20"/>
        </w:rPr>
        <w:t>835</w:t>
      </w:r>
    </w:p>
  </w:footnote>
  <w:footnote w:id="260">
    <w:p w14:paraId="1D79A313" w14:textId="77777777" w:rsidR="00C310AB" w:rsidRPr="00E76EA2" w:rsidRDefault="00C310AB" w:rsidP="00FA597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Prosecutor v </w:t>
      </w:r>
      <w:proofErr w:type="spellStart"/>
      <w:r w:rsidRPr="00E76EA2">
        <w:rPr>
          <w:sz w:val="20"/>
          <w:szCs w:val="20"/>
        </w:rPr>
        <w:t>LThomas</w:t>
      </w:r>
      <w:proofErr w:type="spellEnd"/>
      <w:r w:rsidRPr="00E76EA2">
        <w:rPr>
          <w:sz w:val="20"/>
          <w:szCs w:val="20"/>
        </w:rPr>
        <w:t xml:space="preserve"> </w:t>
      </w:r>
      <w:proofErr w:type="spellStart"/>
      <w:r w:rsidRPr="00E76EA2">
        <w:rPr>
          <w:sz w:val="20"/>
          <w:szCs w:val="20"/>
        </w:rPr>
        <w:t>Lubanag</w:t>
      </w:r>
      <w:proofErr w:type="spellEnd"/>
      <w:r w:rsidRPr="00E76EA2">
        <w:rPr>
          <w:sz w:val="20"/>
          <w:szCs w:val="20"/>
        </w:rPr>
        <w:t>, Decision on the Final System of Disclosure and the Establishment of A Timetable, Pre-Trial Chamber 1,  ICC-01/04-01/06-102,16 May 2006</w:t>
      </w:r>
    </w:p>
  </w:footnote>
  <w:footnote w:id="261">
    <w:p w14:paraId="5E71C1E1" w14:textId="75013C03" w:rsidR="00C310AB" w:rsidRPr="00E76EA2" w:rsidRDefault="00C310AB" w:rsidP="00FA597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John Spencer, ‘Adversarial </w:t>
      </w:r>
      <w:proofErr w:type="spellStart"/>
      <w:r w:rsidRPr="00E76EA2">
        <w:rPr>
          <w:sz w:val="20"/>
          <w:szCs w:val="20"/>
        </w:rPr>
        <w:t>v.inquisitorial</w:t>
      </w:r>
      <w:proofErr w:type="spellEnd"/>
      <w:r w:rsidRPr="00E76EA2">
        <w:rPr>
          <w:sz w:val="20"/>
          <w:szCs w:val="20"/>
        </w:rPr>
        <w:t xml:space="preserve"> systems: is there still such a difference(2016) 20(5) I</w:t>
      </w:r>
      <w:r w:rsidRPr="00E76EA2">
        <w:rPr>
          <w:i/>
          <w:sz w:val="20"/>
          <w:szCs w:val="20"/>
        </w:rPr>
        <w:t>nternational</w:t>
      </w:r>
      <w:r w:rsidRPr="00E76EA2">
        <w:rPr>
          <w:sz w:val="20"/>
          <w:szCs w:val="20"/>
        </w:rPr>
        <w:t xml:space="preserve">  </w:t>
      </w:r>
      <w:r w:rsidRPr="00E76EA2">
        <w:rPr>
          <w:i/>
          <w:sz w:val="20"/>
          <w:szCs w:val="20"/>
        </w:rPr>
        <w:t>Journal of Human Rights,</w:t>
      </w:r>
      <w:r w:rsidR="009742FA">
        <w:rPr>
          <w:iCs/>
          <w:sz w:val="20"/>
          <w:szCs w:val="20"/>
        </w:rPr>
        <w:t>p</w:t>
      </w:r>
      <w:r w:rsidRPr="00E76EA2">
        <w:rPr>
          <w:sz w:val="20"/>
          <w:szCs w:val="20"/>
        </w:rPr>
        <w:t>601-616.</w:t>
      </w:r>
    </w:p>
  </w:footnote>
  <w:footnote w:id="262">
    <w:p w14:paraId="4D27B47F" w14:textId="77777777" w:rsidR="00C310AB" w:rsidRPr="00E76EA2" w:rsidRDefault="00C310AB" w:rsidP="00FA597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Carsten </w:t>
      </w:r>
      <w:proofErr w:type="spellStart"/>
      <w:r w:rsidRPr="00E76EA2">
        <w:rPr>
          <w:sz w:val="20"/>
          <w:szCs w:val="20"/>
        </w:rPr>
        <w:t>Stahn</w:t>
      </w:r>
      <w:proofErr w:type="spellEnd"/>
      <w:r w:rsidRPr="00E76EA2">
        <w:rPr>
          <w:sz w:val="20"/>
          <w:szCs w:val="20"/>
        </w:rPr>
        <w:t xml:space="preserve">, “International Criminal Justice Procedure” in Carsten </w:t>
      </w:r>
      <w:proofErr w:type="spellStart"/>
      <w:r w:rsidRPr="00E76EA2">
        <w:rPr>
          <w:sz w:val="20"/>
          <w:szCs w:val="20"/>
        </w:rPr>
        <w:t>Stahn</w:t>
      </w:r>
      <w:proofErr w:type="spellEnd"/>
      <w:r w:rsidRPr="00E76EA2">
        <w:rPr>
          <w:sz w:val="20"/>
          <w:szCs w:val="20"/>
        </w:rPr>
        <w:t xml:space="preserve"> (ed) </w:t>
      </w:r>
      <w:r w:rsidRPr="00E76EA2">
        <w:rPr>
          <w:i/>
          <w:iCs/>
          <w:sz w:val="20"/>
          <w:szCs w:val="20"/>
        </w:rPr>
        <w:t>A Critical Introduction to International Criminal Law”</w:t>
      </w:r>
      <w:r w:rsidRPr="00E76EA2">
        <w:rPr>
          <w:sz w:val="20"/>
          <w:szCs w:val="20"/>
        </w:rPr>
        <w:t>(Cambridge University Press 2018)269-380.</w:t>
      </w:r>
    </w:p>
  </w:footnote>
  <w:footnote w:id="263">
    <w:p w14:paraId="168E42F3" w14:textId="536D3FE4" w:rsidR="00C310AB" w:rsidRPr="00E76EA2" w:rsidRDefault="00C310AB" w:rsidP="00FA5971">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David </w:t>
      </w:r>
      <w:proofErr w:type="spellStart"/>
      <w:r w:rsidRPr="00E76EA2">
        <w:rPr>
          <w:sz w:val="20"/>
          <w:szCs w:val="20"/>
        </w:rPr>
        <w:t>Donat-Catin</w:t>
      </w:r>
      <w:proofErr w:type="spellEnd"/>
      <w:r w:rsidRPr="00E76EA2">
        <w:rPr>
          <w:sz w:val="20"/>
          <w:szCs w:val="20"/>
        </w:rPr>
        <w:t>, Article 68(3) :Protection of Victims and Witnesses and their Part</w:t>
      </w:r>
      <w:r w:rsidR="00FA5971">
        <w:rPr>
          <w:sz w:val="20"/>
          <w:szCs w:val="20"/>
        </w:rPr>
        <w:t>i</w:t>
      </w:r>
      <w:r w:rsidRPr="00E76EA2">
        <w:rPr>
          <w:sz w:val="20"/>
          <w:szCs w:val="20"/>
        </w:rPr>
        <w:t xml:space="preserve">cipation in the Proceedings, in  Otto </w:t>
      </w:r>
      <w:proofErr w:type="spellStart"/>
      <w:r w:rsidRPr="00E76EA2">
        <w:rPr>
          <w:sz w:val="20"/>
          <w:szCs w:val="20"/>
        </w:rPr>
        <w:t>Trifferrer</w:t>
      </w:r>
      <w:proofErr w:type="spellEnd"/>
      <w:r w:rsidRPr="00E76EA2">
        <w:rPr>
          <w:sz w:val="20"/>
          <w:szCs w:val="20"/>
        </w:rPr>
        <w:t xml:space="preserve"> (ed) C</w:t>
      </w:r>
      <w:r w:rsidRPr="00E76EA2">
        <w:rPr>
          <w:i/>
          <w:sz w:val="20"/>
          <w:szCs w:val="20"/>
        </w:rPr>
        <w:t>ommentary on the Rome Statute of the International Criminal Court (1999)</w:t>
      </w:r>
      <w:r w:rsidRPr="00E76EA2">
        <w:rPr>
          <w:sz w:val="20"/>
          <w:szCs w:val="20"/>
        </w:rPr>
        <w:t xml:space="preserve"> 871; Emily Haslam, “Victim Participation at the International Criminal </w:t>
      </w:r>
      <w:proofErr w:type="spellStart"/>
      <w:r w:rsidRPr="00E76EA2">
        <w:rPr>
          <w:sz w:val="20"/>
          <w:szCs w:val="20"/>
        </w:rPr>
        <w:t>Court:A</w:t>
      </w:r>
      <w:proofErr w:type="spellEnd"/>
      <w:r w:rsidRPr="00E76EA2">
        <w:rPr>
          <w:sz w:val="20"/>
          <w:szCs w:val="20"/>
        </w:rPr>
        <w:t xml:space="preserve"> Triumph of Hope Over Experience?, in Dominic McGoldric</w:t>
      </w:r>
      <w:r w:rsidR="009742FA">
        <w:rPr>
          <w:sz w:val="20"/>
          <w:szCs w:val="20"/>
        </w:rPr>
        <w:t>k, Peter Rowe, Eric Donnelly</w:t>
      </w:r>
      <w:r w:rsidRPr="00E76EA2">
        <w:rPr>
          <w:sz w:val="20"/>
          <w:szCs w:val="20"/>
        </w:rPr>
        <w:t xml:space="preserve"> (ed</w:t>
      </w:r>
      <w:r w:rsidR="009742FA">
        <w:rPr>
          <w:sz w:val="20"/>
          <w:szCs w:val="20"/>
        </w:rPr>
        <w:t>s</w:t>
      </w:r>
      <w:r w:rsidRPr="00E76EA2">
        <w:rPr>
          <w:sz w:val="20"/>
          <w:szCs w:val="20"/>
        </w:rPr>
        <w:t xml:space="preserve">) </w:t>
      </w:r>
      <w:r w:rsidRPr="00E76EA2">
        <w:rPr>
          <w:i/>
          <w:sz w:val="20"/>
          <w:szCs w:val="20"/>
        </w:rPr>
        <w:t xml:space="preserve">The Permanent International Criminal </w:t>
      </w:r>
      <w:proofErr w:type="spellStart"/>
      <w:r w:rsidRPr="00E76EA2">
        <w:rPr>
          <w:i/>
          <w:sz w:val="20"/>
          <w:szCs w:val="20"/>
        </w:rPr>
        <w:t>Court:Legal</w:t>
      </w:r>
      <w:proofErr w:type="spellEnd"/>
      <w:r w:rsidRPr="00E76EA2">
        <w:rPr>
          <w:i/>
          <w:sz w:val="20"/>
          <w:szCs w:val="20"/>
        </w:rPr>
        <w:t xml:space="preserve"> and Policy Issues </w:t>
      </w:r>
      <w:r w:rsidRPr="00E76EA2">
        <w:rPr>
          <w:sz w:val="20"/>
          <w:szCs w:val="20"/>
        </w:rPr>
        <w:t>(</w:t>
      </w:r>
      <w:r w:rsidR="009742FA">
        <w:rPr>
          <w:sz w:val="20"/>
          <w:szCs w:val="20"/>
        </w:rPr>
        <w:t xml:space="preserve">Hart Publishing </w:t>
      </w:r>
      <w:r w:rsidRPr="00E76EA2">
        <w:rPr>
          <w:sz w:val="20"/>
          <w:szCs w:val="20"/>
        </w:rPr>
        <w:t xml:space="preserve">2004)315 p390;Pam </w:t>
      </w:r>
      <w:proofErr w:type="spellStart"/>
      <w:r w:rsidRPr="00E76EA2">
        <w:rPr>
          <w:sz w:val="20"/>
          <w:szCs w:val="20"/>
        </w:rPr>
        <w:t>Spees</w:t>
      </w:r>
      <w:proofErr w:type="spellEnd"/>
      <w:r w:rsidRPr="00E76EA2">
        <w:rPr>
          <w:sz w:val="20"/>
          <w:szCs w:val="20"/>
        </w:rPr>
        <w:t>, Women’s Caucus  for Gender Justice, Report of Panel Discussions on Appropriate Measures for Victim Participation and Protection in the ICC(1999)</w:t>
      </w:r>
    </w:p>
  </w:footnote>
  <w:footnote w:id="264">
    <w:p w14:paraId="681DB7D8" w14:textId="35247EC2" w:rsidR="00C310AB" w:rsidRPr="00E76EA2" w:rsidRDefault="00C310AB" w:rsidP="00FA597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Preamble of the Rome Statute 1998.</w:t>
      </w:r>
    </w:p>
  </w:footnote>
  <w:footnote w:id="265">
    <w:p w14:paraId="78538A69" w14:textId="4AC8F15E" w:rsidR="00C310AB" w:rsidRPr="00E76EA2" w:rsidRDefault="00C310AB" w:rsidP="00FA597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Rome Statute 1998, Article 53(2);emphasis is mine.</w:t>
      </w:r>
    </w:p>
  </w:footnote>
  <w:footnote w:id="266">
    <w:p w14:paraId="0B8DBFC1" w14:textId="45E4C233" w:rsidR="00C310AB" w:rsidRPr="00E76EA2" w:rsidRDefault="00C310AB" w:rsidP="00FA5971">
      <w:pPr>
        <w:pStyle w:val="NoSpacing1"/>
        <w:jc w:val="both"/>
        <w:rPr>
          <w:sz w:val="20"/>
          <w:szCs w:val="20"/>
        </w:rPr>
      </w:pPr>
      <w:r w:rsidRPr="00E76EA2">
        <w:rPr>
          <w:rStyle w:val="FootnoteReference"/>
          <w:sz w:val="20"/>
          <w:szCs w:val="20"/>
        </w:rPr>
        <w:footnoteRef/>
      </w:r>
      <w:r w:rsidRPr="00E76EA2">
        <w:rPr>
          <w:sz w:val="20"/>
          <w:szCs w:val="20"/>
        </w:rPr>
        <w:t xml:space="preserve"> Human Rights Watch Policy Paper, “The Meaning of the “Interests of Justice” in Article 53 of the Rome Statute” accessible at </w:t>
      </w:r>
      <w:hyperlink r:id="rId15" w:history="1">
        <w:r w:rsidRPr="00E76EA2">
          <w:rPr>
            <w:rStyle w:val="Hyperlink"/>
            <w:sz w:val="20"/>
            <w:szCs w:val="20"/>
          </w:rPr>
          <w:t>https://www.hrw.org/new/2005/06/01/meaning-interests-justice-article-53-rome-statute</w:t>
        </w:r>
      </w:hyperlink>
      <w:r w:rsidRPr="00E76EA2">
        <w:rPr>
          <w:sz w:val="20"/>
          <w:szCs w:val="20"/>
        </w:rPr>
        <w:t>&gt; last accessed 25 August 2020,</w:t>
      </w:r>
    </w:p>
  </w:footnote>
  <w:footnote w:id="267">
    <w:p w14:paraId="4F2FFFBB" w14:textId="2408FB3E" w:rsidR="00C310AB" w:rsidRPr="00E76EA2" w:rsidRDefault="00C310AB" w:rsidP="00FA5971">
      <w:pPr>
        <w:pStyle w:val="NoSpacing1"/>
        <w:jc w:val="both"/>
        <w:rPr>
          <w:sz w:val="20"/>
          <w:szCs w:val="20"/>
        </w:rPr>
      </w:pPr>
      <w:r w:rsidRPr="00E76EA2">
        <w:rPr>
          <w:rStyle w:val="FootnoteReference"/>
          <w:sz w:val="20"/>
          <w:szCs w:val="20"/>
        </w:rPr>
        <w:footnoteRef/>
      </w:r>
      <w:r w:rsidRPr="00E76EA2">
        <w:rPr>
          <w:sz w:val="20"/>
          <w:szCs w:val="20"/>
        </w:rPr>
        <w:t xml:space="preserve">David </w:t>
      </w:r>
      <w:proofErr w:type="spellStart"/>
      <w:r w:rsidRPr="00E76EA2">
        <w:rPr>
          <w:sz w:val="20"/>
          <w:szCs w:val="20"/>
        </w:rPr>
        <w:t>Donat-Catin</w:t>
      </w:r>
      <w:proofErr w:type="spellEnd"/>
      <w:r w:rsidRPr="00E76EA2">
        <w:rPr>
          <w:sz w:val="20"/>
          <w:szCs w:val="20"/>
        </w:rPr>
        <w:t xml:space="preserve">, “Article 68” , In Otto </w:t>
      </w:r>
      <w:proofErr w:type="spellStart"/>
      <w:r w:rsidRPr="00E76EA2">
        <w:rPr>
          <w:sz w:val="20"/>
          <w:szCs w:val="20"/>
        </w:rPr>
        <w:t>Triffterer</w:t>
      </w:r>
      <w:proofErr w:type="spellEnd"/>
      <w:r w:rsidRPr="00E76EA2">
        <w:rPr>
          <w:sz w:val="20"/>
          <w:szCs w:val="20"/>
        </w:rPr>
        <w:t xml:space="preserve">(ed), </w:t>
      </w:r>
      <w:r w:rsidRPr="00E76EA2">
        <w:rPr>
          <w:i/>
          <w:iCs/>
          <w:sz w:val="20"/>
          <w:szCs w:val="20"/>
        </w:rPr>
        <w:t xml:space="preserve">Commentary on the Rome Statute of the International Criminal </w:t>
      </w:r>
      <w:proofErr w:type="spellStart"/>
      <w:r w:rsidRPr="00E76EA2">
        <w:rPr>
          <w:i/>
          <w:iCs/>
          <w:sz w:val="20"/>
          <w:szCs w:val="20"/>
        </w:rPr>
        <w:t>Court,Observers</w:t>
      </w:r>
      <w:proofErr w:type="spellEnd"/>
      <w:r w:rsidRPr="00E76EA2">
        <w:rPr>
          <w:i/>
          <w:iCs/>
          <w:sz w:val="20"/>
          <w:szCs w:val="20"/>
        </w:rPr>
        <w:t>’ Notes, Article by Article ,</w:t>
      </w:r>
      <w:r w:rsidRPr="00E76EA2">
        <w:rPr>
          <w:sz w:val="20"/>
          <w:szCs w:val="20"/>
        </w:rPr>
        <w:t xml:space="preserve"> (Second Edition ,</w:t>
      </w:r>
      <w:r w:rsidR="005F6D93">
        <w:rPr>
          <w:sz w:val="20"/>
          <w:szCs w:val="20"/>
        </w:rPr>
        <w:t>C.H BECK, Hart</w:t>
      </w:r>
      <w:r w:rsidRPr="00E76EA2">
        <w:rPr>
          <w:sz w:val="20"/>
          <w:szCs w:val="20"/>
        </w:rPr>
        <w:t xml:space="preserve"> 2008)1279,1290 and 1291.</w:t>
      </w:r>
    </w:p>
  </w:footnote>
  <w:footnote w:id="268">
    <w:p w14:paraId="12ACF8B4" w14:textId="6BB93965" w:rsidR="00C310AB" w:rsidRPr="00E76EA2" w:rsidRDefault="00C310AB" w:rsidP="005F6D9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bookmarkStart w:id="19" w:name="_Hlk55324161"/>
      <w:r w:rsidRPr="00E76EA2">
        <w:rPr>
          <w:sz w:val="20"/>
          <w:szCs w:val="20"/>
        </w:rPr>
        <w:t xml:space="preserve">Situation in the Democratic Republic of the Congo in the Case of the Prosecutor v Germain Katanga and Mathieu </w:t>
      </w:r>
      <w:proofErr w:type="spellStart"/>
      <w:r w:rsidRPr="00E76EA2">
        <w:rPr>
          <w:sz w:val="20"/>
          <w:szCs w:val="20"/>
        </w:rPr>
        <w:t>Ngudjolo</w:t>
      </w:r>
      <w:proofErr w:type="spellEnd"/>
      <w:r w:rsidRPr="00E76EA2">
        <w:rPr>
          <w:sz w:val="20"/>
          <w:szCs w:val="20"/>
        </w:rPr>
        <w:t xml:space="preserve">, Written Submissions from the Legal Representative of Victims a/0009/08,a/0110/08.a/0011/08,a/0012/08,a/0013/08,a/0015/08,a/0016/08 on the Issues Raised at the Confirmation </w:t>
      </w:r>
      <w:proofErr w:type="spellStart"/>
      <w:r w:rsidRPr="00E76EA2">
        <w:rPr>
          <w:sz w:val="20"/>
          <w:szCs w:val="20"/>
        </w:rPr>
        <w:t>Hearing,Pre</w:t>
      </w:r>
      <w:proofErr w:type="spellEnd"/>
      <w:r w:rsidRPr="00E76EA2">
        <w:rPr>
          <w:sz w:val="20"/>
          <w:szCs w:val="20"/>
        </w:rPr>
        <w:t>-Trial Chamber 1, ICC-01/04/01/07-690-tENG, 22 July 2008,paras,22-25,p.11</w:t>
      </w:r>
    </w:p>
    <w:bookmarkEnd w:id="19"/>
  </w:footnote>
  <w:footnote w:id="269">
    <w:p w14:paraId="0B95EF3D" w14:textId="02CA0B83" w:rsidR="00C310AB" w:rsidRPr="00E76EA2" w:rsidRDefault="00C310AB" w:rsidP="005F6D9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n 11)para. 25;The Rome Statute 1998, Article 69(4) .</w:t>
      </w:r>
    </w:p>
  </w:footnote>
  <w:footnote w:id="270">
    <w:p w14:paraId="1768E0A3" w14:textId="32E0E6F1" w:rsidR="00C310AB" w:rsidRPr="00E76EA2" w:rsidRDefault="00C310AB" w:rsidP="005F6D9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,p.12,paras 26-28</w:t>
      </w:r>
    </w:p>
  </w:footnote>
  <w:footnote w:id="271">
    <w:p w14:paraId="6AAB1C79" w14:textId="2C76937B" w:rsidR="00C310AB" w:rsidRPr="00E76EA2" w:rsidRDefault="00C310AB" w:rsidP="00E76EA2">
      <w:pPr>
        <w:pStyle w:val="NoSpacing1"/>
        <w:rPr>
          <w:sz w:val="20"/>
          <w:szCs w:val="20"/>
        </w:rPr>
      </w:pPr>
      <w:r w:rsidRPr="00E76EA2">
        <w:rPr>
          <w:rStyle w:val="FootnoteReference"/>
          <w:rFonts w:eastAsiaTheme="minorEastAsia"/>
          <w:sz w:val="20"/>
          <w:szCs w:val="20"/>
        </w:rPr>
        <w:footnoteRef/>
      </w:r>
      <w:r w:rsidRPr="00E76EA2">
        <w:rPr>
          <w:sz w:val="20"/>
          <w:szCs w:val="20"/>
        </w:rPr>
        <w:t xml:space="preserve">Yvonne McDermott, ‘Rights in </w:t>
      </w:r>
      <w:proofErr w:type="spellStart"/>
      <w:r w:rsidRPr="00E76EA2">
        <w:rPr>
          <w:sz w:val="20"/>
          <w:szCs w:val="20"/>
        </w:rPr>
        <w:t>Reverse</w:t>
      </w:r>
      <w:r w:rsidR="00B35E81">
        <w:rPr>
          <w:sz w:val="20"/>
          <w:szCs w:val="20"/>
        </w:rPr>
        <w:t>;A</w:t>
      </w:r>
      <w:proofErr w:type="spellEnd"/>
      <w:r w:rsidR="00B35E81">
        <w:rPr>
          <w:sz w:val="20"/>
          <w:szCs w:val="20"/>
        </w:rPr>
        <w:t xml:space="preserve"> crucial Analysis of fair trails rights under international criminal law</w:t>
      </w:r>
      <w:r w:rsidRPr="00E76EA2">
        <w:rPr>
          <w:sz w:val="20"/>
          <w:szCs w:val="20"/>
        </w:rPr>
        <w:t>’ in Williams Schabas</w:t>
      </w:r>
      <w:r w:rsidR="00F95F7C">
        <w:rPr>
          <w:sz w:val="20"/>
          <w:szCs w:val="20"/>
        </w:rPr>
        <w:t>,</w:t>
      </w:r>
      <w:r w:rsidR="006E4316">
        <w:rPr>
          <w:sz w:val="20"/>
          <w:szCs w:val="20"/>
        </w:rPr>
        <w:t xml:space="preserve"> Yvonne McDermott</w:t>
      </w:r>
      <w:r w:rsidR="00F95F7C">
        <w:rPr>
          <w:sz w:val="20"/>
          <w:szCs w:val="20"/>
        </w:rPr>
        <w:t xml:space="preserve"> and  Niamh Hayes</w:t>
      </w:r>
      <w:r w:rsidR="006E4316">
        <w:rPr>
          <w:sz w:val="20"/>
          <w:szCs w:val="20"/>
        </w:rPr>
        <w:t xml:space="preserve"> </w:t>
      </w:r>
      <w:r w:rsidRPr="00E76EA2">
        <w:rPr>
          <w:sz w:val="20"/>
          <w:szCs w:val="20"/>
        </w:rPr>
        <w:t xml:space="preserve">(eds) , </w:t>
      </w:r>
      <w:r w:rsidRPr="00E76EA2">
        <w:rPr>
          <w:i/>
          <w:sz w:val="20"/>
          <w:szCs w:val="20"/>
        </w:rPr>
        <w:t xml:space="preserve">The Ashgate Research Companion to International Criminal Law </w:t>
      </w:r>
      <w:r w:rsidR="00151B02">
        <w:rPr>
          <w:i/>
          <w:sz w:val="20"/>
          <w:szCs w:val="20"/>
        </w:rPr>
        <w:t>:Critical Perspectives</w:t>
      </w:r>
      <w:r w:rsidRPr="00E76EA2">
        <w:rPr>
          <w:sz w:val="20"/>
          <w:szCs w:val="20"/>
        </w:rPr>
        <w:t>(</w:t>
      </w:r>
      <w:r w:rsidR="00151B02">
        <w:rPr>
          <w:sz w:val="20"/>
          <w:szCs w:val="20"/>
        </w:rPr>
        <w:t xml:space="preserve"> First Edition </w:t>
      </w:r>
      <w:r w:rsidR="0012291B">
        <w:rPr>
          <w:sz w:val="20"/>
          <w:szCs w:val="20"/>
        </w:rPr>
        <w:t xml:space="preserve">Routledge, </w:t>
      </w:r>
      <w:r w:rsidRPr="00E76EA2">
        <w:rPr>
          <w:sz w:val="20"/>
          <w:szCs w:val="20"/>
        </w:rPr>
        <w:t>2013),165,166.</w:t>
      </w:r>
    </w:p>
  </w:footnote>
  <w:footnote w:id="272">
    <w:p w14:paraId="417030A3"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Dissenting Opinion of Judge </w:t>
      </w:r>
      <w:proofErr w:type="spellStart"/>
      <w:r w:rsidRPr="00E76EA2">
        <w:rPr>
          <w:sz w:val="20"/>
          <w:szCs w:val="20"/>
        </w:rPr>
        <w:t>Wyngaert</w:t>
      </w:r>
      <w:proofErr w:type="spellEnd"/>
      <w:r w:rsidRPr="00E76EA2">
        <w:rPr>
          <w:sz w:val="20"/>
          <w:szCs w:val="20"/>
        </w:rPr>
        <w:t xml:space="preserve"> in Prosecutor v Katanga, Judgment Pursuant to Article 74.</w:t>
      </w:r>
    </w:p>
  </w:footnote>
  <w:footnote w:id="273">
    <w:p w14:paraId="0806BF86" w14:textId="4A084E0C"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Andrew </w:t>
      </w:r>
      <w:proofErr w:type="spellStart"/>
      <w:r w:rsidRPr="00E76EA2">
        <w:rPr>
          <w:sz w:val="20"/>
          <w:szCs w:val="20"/>
        </w:rPr>
        <w:t>Ashworth,</w:t>
      </w:r>
      <w:r w:rsidRPr="00E76EA2">
        <w:rPr>
          <w:i/>
          <w:sz w:val="20"/>
          <w:szCs w:val="20"/>
        </w:rPr>
        <w:t>Sentencing</w:t>
      </w:r>
      <w:proofErr w:type="spellEnd"/>
      <w:r w:rsidRPr="00E76EA2">
        <w:rPr>
          <w:i/>
          <w:sz w:val="20"/>
          <w:szCs w:val="20"/>
        </w:rPr>
        <w:t xml:space="preserve"> and Criminal Justice</w:t>
      </w:r>
      <w:r w:rsidRPr="00E76EA2">
        <w:rPr>
          <w:sz w:val="20"/>
          <w:szCs w:val="20"/>
        </w:rPr>
        <w:t>(5</w:t>
      </w:r>
      <w:r w:rsidRPr="00E76EA2">
        <w:rPr>
          <w:sz w:val="20"/>
          <w:szCs w:val="20"/>
          <w:vertAlign w:val="superscript"/>
        </w:rPr>
        <w:t>th</w:t>
      </w:r>
      <w:r w:rsidRPr="00E76EA2">
        <w:rPr>
          <w:sz w:val="20"/>
          <w:szCs w:val="20"/>
        </w:rPr>
        <w:t xml:space="preserve"> </w:t>
      </w:r>
      <w:proofErr w:type="spellStart"/>
      <w:r w:rsidRPr="00E76EA2">
        <w:rPr>
          <w:sz w:val="20"/>
          <w:szCs w:val="20"/>
        </w:rPr>
        <w:t>Edition,Cambridge</w:t>
      </w:r>
      <w:proofErr w:type="spellEnd"/>
      <w:r w:rsidRPr="00E76EA2">
        <w:rPr>
          <w:sz w:val="20"/>
          <w:szCs w:val="20"/>
        </w:rPr>
        <w:t xml:space="preserve"> University Press 2010)</w:t>
      </w:r>
    </w:p>
  </w:footnote>
  <w:footnote w:id="274">
    <w:p w14:paraId="05EE3726" w14:textId="524EF169" w:rsidR="00C310AB" w:rsidRPr="00E76EA2" w:rsidRDefault="00C310AB" w:rsidP="00525E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v.Lubanga</w:t>
      </w:r>
      <w:proofErr w:type="spellEnd"/>
      <w:r w:rsidRPr="00E76EA2">
        <w:rPr>
          <w:sz w:val="20"/>
          <w:szCs w:val="20"/>
        </w:rPr>
        <w:t>,  Appeal Chambers, ICC-01/04-01/06-568, 13 October 2006, para.52</w:t>
      </w:r>
    </w:p>
  </w:footnote>
  <w:footnote w:id="275">
    <w:p w14:paraId="1EC65A83" w14:textId="77777777" w:rsidR="00C310AB" w:rsidRPr="00E76EA2" w:rsidRDefault="00C310AB" w:rsidP="00525E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Richard Goldstone, “Acquittals by the International Criminal Court” (2019) accessible at </w:t>
      </w:r>
      <w:hyperlink r:id="rId16" w:history="1">
        <w:r w:rsidRPr="00E76EA2">
          <w:rPr>
            <w:rStyle w:val="Hyperlink"/>
            <w:sz w:val="20"/>
            <w:szCs w:val="20"/>
          </w:rPr>
          <w:t>https://www.ejiltalk.org/acquittals-by-the-international-criminal-court/</w:t>
        </w:r>
      </w:hyperlink>
      <w:r w:rsidRPr="00E76EA2">
        <w:rPr>
          <w:sz w:val="20"/>
          <w:szCs w:val="20"/>
        </w:rPr>
        <w:t xml:space="preserve"> last accessed 09/01/2020</w:t>
      </w:r>
    </w:p>
  </w:footnote>
  <w:footnote w:id="276">
    <w:p w14:paraId="3A8B25C9" w14:textId="77777777" w:rsidR="00C310AB" w:rsidRPr="00E76EA2" w:rsidRDefault="00C310AB" w:rsidP="00525E0E">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Dissenting Opinion of  Judge </w:t>
      </w:r>
      <w:proofErr w:type="spellStart"/>
      <w:r w:rsidRPr="00E76EA2">
        <w:rPr>
          <w:sz w:val="20"/>
          <w:szCs w:val="20"/>
        </w:rPr>
        <w:t>Wyngaert</w:t>
      </w:r>
      <w:proofErr w:type="spellEnd"/>
      <w:r w:rsidRPr="00E76EA2">
        <w:rPr>
          <w:sz w:val="20"/>
          <w:szCs w:val="20"/>
        </w:rPr>
        <w:t xml:space="preserve">, Prosecutor </w:t>
      </w:r>
      <w:proofErr w:type="spellStart"/>
      <w:r w:rsidRPr="00E76EA2">
        <w:rPr>
          <w:sz w:val="20"/>
          <w:szCs w:val="20"/>
        </w:rPr>
        <w:t>v.Germain</w:t>
      </w:r>
      <w:proofErr w:type="spellEnd"/>
      <w:r w:rsidRPr="00E76EA2">
        <w:rPr>
          <w:sz w:val="20"/>
          <w:szCs w:val="20"/>
        </w:rPr>
        <w:t xml:space="preserve"> Katanga ,Judgment pursuant to Article 74.</w:t>
      </w:r>
    </w:p>
  </w:footnote>
  <w:footnote w:id="277">
    <w:p w14:paraId="073573D4" w14:textId="77777777" w:rsidR="00C310AB" w:rsidRPr="00E76EA2" w:rsidRDefault="00C310AB" w:rsidP="00C03D3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Lubanga, Decision of the Appeal Chamber on the Joint Application of Victims a/0001/06 to a/0003/06 and a/0105/06 concerning the Directions and Decision of the Appeals Chamber of 2 February 2007,ICC-01/04-01/06-925 13-06-2007 CB PT OA8,para.45.</w:t>
      </w:r>
    </w:p>
  </w:footnote>
  <w:footnote w:id="278">
    <w:p w14:paraId="576FBB3E" w14:textId="77777777" w:rsidR="00C310AB" w:rsidRPr="00E76EA2" w:rsidRDefault="00C310AB" w:rsidP="00C03D3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Uganda, Decision on Victims’ Application for Participation, Pre-trial Chamber II..</w:t>
      </w:r>
    </w:p>
  </w:footnote>
  <w:footnote w:id="279">
    <w:p w14:paraId="746F2797" w14:textId="77777777" w:rsidR="00C310AB" w:rsidRPr="00E76EA2" w:rsidRDefault="00C310AB" w:rsidP="00C03D3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para.97.</w:t>
      </w:r>
    </w:p>
  </w:footnote>
  <w:footnote w:id="280">
    <w:p w14:paraId="674EC589" w14:textId="77777777" w:rsidR="00C310AB" w:rsidRPr="00E76EA2" w:rsidRDefault="00C310AB" w:rsidP="00C03D3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para.97.</w:t>
      </w:r>
    </w:p>
  </w:footnote>
  <w:footnote w:id="281">
    <w:p w14:paraId="2BA0828B" w14:textId="5B17BB7A" w:rsidR="00C310AB" w:rsidRPr="00E76EA2" w:rsidRDefault="00C310AB" w:rsidP="00FD17E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ICC-01/04-01/06-1432, 11 July 2008, p.4,para.2</w:t>
      </w:r>
      <w:r w:rsidR="00FD17E6">
        <w:rPr>
          <w:sz w:val="20"/>
          <w:szCs w:val="20"/>
        </w:rPr>
        <w:t>.</w:t>
      </w:r>
    </w:p>
  </w:footnote>
  <w:footnote w:id="282">
    <w:p w14:paraId="47BCDA79" w14:textId="38801BE0" w:rsidR="00C310AB" w:rsidRPr="00E76EA2" w:rsidRDefault="00C310AB" w:rsidP="00FD17E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Judgment on the appeals of the Prosecutor and the Defence against Trial Chamber I’s Decision on Victims’ Participation of 18 January 2008,Trial Chamber , ICC-01/04-01/06-1432. 11 July 2008</w:t>
      </w:r>
      <w:r w:rsidR="00FD17E6">
        <w:rPr>
          <w:sz w:val="20"/>
          <w:szCs w:val="20"/>
        </w:rPr>
        <w:t>.</w:t>
      </w:r>
      <w:r w:rsidRPr="00E76EA2">
        <w:rPr>
          <w:sz w:val="20"/>
          <w:szCs w:val="20"/>
        </w:rPr>
        <w:t xml:space="preserve"> </w:t>
      </w:r>
    </w:p>
  </w:footnote>
  <w:footnote w:id="283">
    <w:p w14:paraId="331634D7" w14:textId="25BA3113" w:rsidR="00C310AB" w:rsidRPr="00E76EA2" w:rsidRDefault="00C310AB" w:rsidP="00FD17E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69</w:t>
      </w:r>
      <w:r w:rsidR="00FD17E6">
        <w:rPr>
          <w:sz w:val="20"/>
          <w:szCs w:val="20"/>
        </w:rPr>
        <w:t>.</w:t>
      </w:r>
    </w:p>
  </w:footnote>
  <w:footnote w:id="284">
    <w:p w14:paraId="75F5F09F" w14:textId="1B0338A5" w:rsidR="00C310AB" w:rsidRPr="00E76EA2" w:rsidRDefault="00C310AB" w:rsidP="00FD17E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Ashworth and Michael Redmayne, </w:t>
      </w:r>
      <w:r w:rsidRPr="00E76EA2">
        <w:rPr>
          <w:i/>
          <w:sz w:val="20"/>
          <w:szCs w:val="20"/>
        </w:rPr>
        <w:t>The Criminal Process</w:t>
      </w:r>
      <w:r w:rsidRPr="00E76EA2">
        <w:rPr>
          <w:sz w:val="20"/>
          <w:szCs w:val="20"/>
        </w:rPr>
        <w:t xml:space="preserve"> (3</w:t>
      </w:r>
      <w:r w:rsidRPr="00E76EA2">
        <w:rPr>
          <w:sz w:val="20"/>
          <w:szCs w:val="20"/>
          <w:vertAlign w:val="superscript"/>
        </w:rPr>
        <w:t>rd</w:t>
      </w:r>
      <w:r w:rsidRPr="00E76EA2">
        <w:rPr>
          <w:sz w:val="20"/>
          <w:szCs w:val="20"/>
        </w:rPr>
        <w:t xml:space="preserve"> Edition, Oxford University Press)</w:t>
      </w:r>
      <w:r w:rsidR="00F913F4">
        <w:rPr>
          <w:sz w:val="20"/>
          <w:szCs w:val="20"/>
        </w:rPr>
        <w:t>.</w:t>
      </w:r>
    </w:p>
  </w:footnote>
  <w:footnote w:id="285">
    <w:p w14:paraId="630405D4" w14:textId="5C9CB736" w:rsidR="00C310AB" w:rsidRPr="00E76EA2" w:rsidRDefault="00C310AB" w:rsidP="00FD17E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Lovisa</w:t>
      </w:r>
      <w:proofErr w:type="spellEnd"/>
      <w:r w:rsidRPr="00E76EA2">
        <w:rPr>
          <w:sz w:val="20"/>
          <w:szCs w:val="20"/>
        </w:rPr>
        <w:t xml:space="preserve"> </w:t>
      </w:r>
      <w:proofErr w:type="spellStart"/>
      <w:r w:rsidRPr="00E76EA2">
        <w:rPr>
          <w:sz w:val="20"/>
          <w:szCs w:val="20"/>
        </w:rPr>
        <w:t>Badgard</w:t>
      </w:r>
      <w:proofErr w:type="spellEnd"/>
      <w:r w:rsidRPr="00E76EA2">
        <w:rPr>
          <w:sz w:val="20"/>
          <w:szCs w:val="20"/>
        </w:rPr>
        <w:t xml:space="preserve"> and Mark </w:t>
      </w:r>
      <w:proofErr w:type="spellStart"/>
      <w:r w:rsidRPr="00E76EA2">
        <w:rPr>
          <w:sz w:val="20"/>
          <w:szCs w:val="20"/>
        </w:rPr>
        <w:t>Klamberg</w:t>
      </w:r>
      <w:proofErr w:type="spellEnd"/>
      <w:r w:rsidRPr="00E76EA2">
        <w:rPr>
          <w:sz w:val="20"/>
          <w:szCs w:val="20"/>
        </w:rPr>
        <w:t xml:space="preserve">,  ‘The Gatekeeper of the </w:t>
      </w:r>
      <w:proofErr w:type="spellStart"/>
      <w:r w:rsidRPr="00E76EA2">
        <w:rPr>
          <w:sz w:val="20"/>
          <w:szCs w:val="20"/>
        </w:rPr>
        <w:t>ICC:Prosecutorial</w:t>
      </w:r>
      <w:proofErr w:type="spellEnd"/>
      <w:r w:rsidRPr="00E76EA2">
        <w:rPr>
          <w:sz w:val="20"/>
          <w:szCs w:val="20"/>
        </w:rPr>
        <w:t xml:space="preserve"> Strategies for Selecting Situations and Cases at the International Criminal Court’ (2016) 48Georgetown Journal of International </w:t>
      </w:r>
      <w:proofErr w:type="spellStart"/>
      <w:r w:rsidRPr="00E76EA2">
        <w:rPr>
          <w:sz w:val="20"/>
          <w:szCs w:val="20"/>
        </w:rPr>
        <w:t>Law,Faculty</w:t>
      </w:r>
      <w:proofErr w:type="spellEnd"/>
      <w:r w:rsidRPr="00E76EA2">
        <w:rPr>
          <w:sz w:val="20"/>
          <w:szCs w:val="20"/>
        </w:rPr>
        <w:t xml:space="preserve"> of Law, Stockholm University Research paper No.8,639-733;Kai Ambos, ‘Prosecuting international crimes at the International Criminal </w:t>
      </w:r>
      <w:proofErr w:type="spellStart"/>
      <w:r w:rsidRPr="00E76EA2">
        <w:rPr>
          <w:sz w:val="20"/>
          <w:szCs w:val="20"/>
        </w:rPr>
        <w:t>Court:Is</w:t>
      </w:r>
      <w:proofErr w:type="spellEnd"/>
      <w:r w:rsidRPr="00E76EA2">
        <w:rPr>
          <w:sz w:val="20"/>
          <w:szCs w:val="20"/>
        </w:rPr>
        <w:t xml:space="preserve"> there a coherent and comprehensive prosecution strategy? (2013) 59(4)</w:t>
      </w:r>
      <w:r w:rsidRPr="00E76EA2">
        <w:rPr>
          <w:i/>
          <w:sz w:val="20"/>
          <w:szCs w:val="20"/>
        </w:rPr>
        <w:t>Crime Law and Social Change</w:t>
      </w:r>
      <w:r w:rsidRPr="00E76EA2">
        <w:rPr>
          <w:sz w:val="20"/>
          <w:szCs w:val="20"/>
        </w:rPr>
        <w:t xml:space="preserve"> p415-437  Cecile </w:t>
      </w:r>
      <w:proofErr w:type="spellStart"/>
      <w:r w:rsidRPr="00E76EA2">
        <w:rPr>
          <w:sz w:val="20"/>
          <w:szCs w:val="20"/>
        </w:rPr>
        <w:t>Aptel</w:t>
      </w:r>
      <w:proofErr w:type="spellEnd"/>
      <w:r w:rsidRPr="00E76EA2">
        <w:rPr>
          <w:sz w:val="20"/>
          <w:szCs w:val="20"/>
        </w:rPr>
        <w:t>, “Prosecutorial Discretion at the ICC and Victims’ Right to Remedy(2012) 10(5)</w:t>
      </w:r>
      <w:r w:rsidRPr="00E76EA2">
        <w:rPr>
          <w:i/>
          <w:sz w:val="20"/>
          <w:szCs w:val="20"/>
        </w:rPr>
        <w:t xml:space="preserve"> Journal of International Criminal Justice</w:t>
      </w:r>
      <w:r w:rsidRPr="00E76EA2">
        <w:rPr>
          <w:sz w:val="20"/>
          <w:szCs w:val="20"/>
        </w:rPr>
        <w:t>,p.3437</w:t>
      </w:r>
    </w:p>
  </w:footnote>
  <w:footnote w:id="286">
    <w:p w14:paraId="2C6089EE" w14:textId="4033B997" w:rsidR="00C310AB" w:rsidRPr="00E76EA2" w:rsidRDefault="00C310AB" w:rsidP="00FD17E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Cecile </w:t>
      </w:r>
      <w:proofErr w:type="spellStart"/>
      <w:r w:rsidRPr="00E76EA2">
        <w:rPr>
          <w:sz w:val="20"/>
          <w:szCs w:val="20"/>
        </w:rPr>
        <w:t>Aptel</w:t>
      </w:r>
      <w:proofErr w:type="spellEnd"/>
      <w:r w:rsidRPr="00E76EA2">
        <w:rPr>
          <w:sz w:val="20"/>
          <w:szCs w:val="20"/>
        </w:rPr>
        <w:t>, “Prosecutorial Discretion at the ICC and Victims’ Right to Remedy(2012) 10(5)</w:t>
      </w:r>
      <w:r w:rsidRPr="00E76EA2">
        <w:rPr>
          <w:i/>
          <w:sz w:val="20"/>
          <w:szCs w:val="20"/>
        </w:rPr>
        <w:t xml:space="preserve"> Journal of International Criminal Justice</w:t>
      </w:r>
      <w:r w:rsidRPr="00E76EA2">
        <w:rPr>
          <w:sz w:val="20"/>
          <w:szCs w:val="20"/>
        </w:rPr>
        <w:t>,p.3.</w:t>
      </w:r>
    </w:p>
  </w:footnote>
  <w:footnote w:id="287">
    <w:p w14:paraId="0E98493A" w14:textId="65A0DC6B" w:rsidR="00C310AB" w:rsidRPr="00E76EA2" w:rsidRDefault="00C310AB" w:rsidP="00FD17E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14 and 15;Office of the Prosecutor, </w:t>
      </w:r>
      <w:r w:rsidRPr="00E76EA2">
        <w:rPr>
          <w:i/>
          <w:sz w:val="20"/>
          <w:szCs w:val="20"/>
        </w:rPr>
        <w:t>Prosecutorial Strategy</w:t>
      </w:r>
      <w:r w:rsidRPr="00E76EA2">
        <w:rPr>
          <w:sz w:val="20"/>
          <w:szCs w:val="20"/>
        </w:rPr>
        <w:t>, 2009-2012, 1 February 2010.22</w:t>
      </w:r>
      <w:r w:rsidR="00F913F4">
        <w:rPr>
          <w:sz w:val="20"/>
          <w:szCs w:val="20"/>
        </w:rPr>
        <w:t>.</w:t>
      </w:r>
    </w:p>
  </w:footnote>
  <w:footnote w:id="288">
    <w:p w14:paraId="033E00C7" w14:textId="77777777" w:rsidR="00C310AB" w:rsidRPr="00E76EA2" w:rsidRDefault="00C310AB" w:rsidP="00F913F4">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289">
    <w:p w14:paraId="7CB08970" w14:textId="77777777" w:rsidR="00C310AB" w:rsidRPr="00E76EA2" w:rsidRDefault="00C310AB" w:rsidP="00F913F4">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290">
    <w:p w14:paraId="1B9581E8" w14:textId="77777777" w:rsidR="00C310AB" w:rsidRPr="00E76EA2" w:rsidRDefault="00C310AB" w:rsidP="00F913F4">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291">
    <w:p w14:paraId="508E92AE" w14:textId="5D36D3AF" w:rsidR="00C310AB" w:rsidRPr="00E76EA2" w:rsidRDefault="00C310AB" w:rsidP="00F913F4">
      <w:pPr>
        <w:pStyle w:val="NoSpacing1"/>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Pascal Kambale,  ‘The ICC and Lubanga :Missed Opportunities ‘ SSRC </w:t>
      </w:r>
      <w:proofErr w:type="spellStart"/>
      <w:r w:rsidRPr="00E76EA2">
        <w:rPr>
          <w:sz w:val="20"/>
          <w:szCs w:val="20"/>
          <w:lang w:val="en-US"/>
        </w:rPr>
        <w:t>Forums:African</w:t>
      </w:r>
      <w:proofErr w:type="spellEnd"/>
      <w:r w:rsidRPr="00E76EA2">
        <w:rPr>
          <w:sz w:val="20"/>
          <w:szCs w:val="20"/>
          <w:lang w:val="en-US"/>
        </w:rPr>
        <w:t xml:space="preserve"> Futures, 16 March 2012, available at </w:t>
      </w:r>
      <w:hyperlink r:id="rId17" w:history="1">
        <w:r w:rsidRPr="00E76EA2">
          <w:rPr>
            <w:rStyle w:val="Hyperlink"/>
            <w:sz w:val="20"/>
            <w:szCs w:val="20"/>
            <w:lang w:val="en-US"/>
          </w:rPr>
          <w:t xml:space="preserve">http://forums.ssrc.org/african-futures/2012/03/16/african-futures-icc-missed-opportunities/ </w:t>
        </w:r>
      </w:hyperlink>
      <w:r w:rsidRPr="00E76EA2">
        <w:rPr>
          <w:sz w:val="20"/>
          <w:szCs w:val="20"/>
          <w:lang w:val="en-US"/>
        </w:rPr>
        <w:t xml:space="preserve"> last accessed 16 March 2019.</w:t>
      </w:r>
    </w:p>
  </w:footnote>
  <w:footnote w:id="292">
    <w:p w14:paraId="089DFD0C" w14:textId="77777777" w:rsidR="00C310AB" w:rsidRPr="00E76EA2" w:rsidRDefault="00C310AB" w:rsidP="00F913F4">
      <w:pPr>
        <w:pStyle w:val="NoSpacing1"/>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 xml:space="preserve">Ibid. </w:t>
      </w:r>
    </w:p>
  </w:footnote>
  <w:footnote w:id="293">
    <w:p w14:paraId="3001750D"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w:t>
      </w:r>
    </w:p>
  </w:footnote>
  <w:footnote w:id="294">
    <w:p w14:paraId="42F43656" w14:textId="630D97B4"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Situation in the Democratic Republic of Congo, The Prosecutor </w:t>
      </w:r>
      <w:proofErr w:type="spellStart"/>
      <w:r w:rsidRPr="00E76EA2">
        <w:rPr>
          <w:sz w:val="20"/>
          <w:szCs w:val="20"/>
        </w:rPr>
        <w:t>vGermain</w:t>
      </w:r>
      <w:proofErr w:type="spellEnd"/>
      <w:r w:rsidRPr="00E76EA2">
        <w:rPr>
          <w:sz w:val="20"/>
          <w:szCs w:val="20"/>
        </w:rPr>
        <w:t xml:space="preserve"> Katanga and </w:t>
      </w:r>
      <w:proofErr w:type="spellStart"/>
      <w:r w:rsidRPr="00E76EA2">
        <w:rPr>
          <w:sz w:val="20"/>
          <w:szCs w:val="20"/>
        </w:rPr>
        <w:t>Ngudjolo</w:t>
      </w:r>
      <w:proofErr w:type="spellEnd"/>
      <w:r w:rsidRPr="00E76EA2">
        <w:rPr>
          <w:sz w:val="20"/>
          <w:szCs w:val="20"/>
        </w:rPr>
        <w:t xml:space="preserve"> Chui</w:t>
      </w:r>
      <w:r w:rsidR="00482DAC">
        <w:rPr>
          <w:sz w:val="20"/>
          <w:szCs w:val="20"/>
        </w:rPr>
        <w:t>.</w:t>
      </w:r>
    </w:p>
  </w:footnote>
  <w:footnote w:id="295">
    <w:p w14:paraId="2DD54714"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The Office of the Prosecutor of the International Criminal Court opens its first </w:t>
      </w:r>
      <w:proofErr w:type="spellStart"/>
      <w:r w:rsidRPr="00E76EA2">
        <w:rPr>
          <w:sz w:val="20"/>
          <w:szCs w:val="20"/>
        </w:rPr>
        <w:t>investigation’:Press</w:t>
      </w:r>
      <w:proofErr w:type="spellEnd"/>
      <w:r w:rsidRPr="00E76EA2">
        <w:rPr>
          <w:sz w:val="20"/>
          <w:szCs w:val="20"/>
        </w:rPr>
        <w:t xml:space="preserve">  release issued by the Court on 23 June 2004, ICC-OTP-200-40624-59.</w:t>
      </w:r>
    </w:p>
  </w:footnote>
  <w:footnote w:id="296">
    <w:p w14:paraId="6A1488D4" w14:textId="77777777" w:rsidR="00C310AB" w:rsidRPr="00E76EA2" w:rsidRDefault="00C310AB" w:rsidP="00E76EA2">
      <w:pPr>
        <w:pStyle w:val="NoSpacing1"/>
        <w:rPr>
          <w:sz w:val="20"/>
          <w:szCs w:val="20"/>
          <w:lang w:val="en-US"/>
        </w:rPr>
      </w:pPr>
      <w:r w:rsidRPr="00E76EA2">
        <w:rPr>
          <w:rStyle w:val="FootnoteReference"/>
          <w:rFonts w:eastAsiaTheme="minorEastAsia"/>
          <w:sz w:val="20"/>
          <w:szCs w:val="20"/>
        </w:rPr>
        <w:footnoteRef/>
      </w:r>
      <w:r w:rsidRPr="00E76EA2">
        <w:rPr>
          <w:sz w:val="20"/>
          <w:szCs w:val="20"/>
        </w:rPr>
        <w:t xml:space="preserve"> ‘The Office of the Prosecutor of the International Criminal Court opens its first </w:t>
      </w:r>
      <w:proofErr w:type="spellStart"/>
      <w:r w:rsidRPr="00E76EA2">
        <w:rPr>
          <w:sz w:val="20"/>
          <w:szCs w:val="20"/>
        </w:rPr>
        <w:t>investigation’:Press</w:t>
      </w:r>
      <w:proofErr w:type="spellEnd"/>
      <w:r w:rsidRPr="00E76EA2">
        <w:rPr>
          <w:sz w:val="20"/>
          <w:szCs w:val="20"/>
        </w:rPr>
        <w:t xml:space="preserve">  release issued by the Court on 23 June 2004, ICC-OTP-200-40624-59.</w:t>
      </w:r>
    </w:p>
  </w:footnote>
  <w:footnote w:id="297">
    <w:p w14:paraId="0837C4E0" w14:textId="1B63B95E" w:rsidR="00C310AB" w:rsidRPr="00E76EA2" w:rsidRDefault="00C310AB" w:rsidP="00482DA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proofErr w:type="spellStart"/>
      <w:r w:rsidRPr="00E76EA2">
        <w:rPr>
          <w:sz w:val="20"/>
          <w:szCs w:val="20"/>
          <w:lang w:val="en-US"/>
        </w:rPr>
        <w:t>Armoury</w:t>
      </w:r>
      <w:proofErr w:type="spellEnd"/>
      <w:r w:rsidRPr="00E76EA2">
        <w:rPr>
          <w:sz w:val="20"/>
          <w:szCs w:val="20"/>
          <w:lang w:val="en-US"/>
        </w:rPr>
        <w:t xml:space="preserve"> Combs, Fact-Finding without </w:t>
      </w:r>
      <w:proofErr w:type="spellStart"/>
      <w:r w:rsidRPr="00E76EA2">
        <w:rPr>
          <w:sz w:val="20"/>
          <w:szCs w:val="20"/>
          <w:lang w:val="en-US"/>
        </w:rPr>
        <w:t>Facts:The</w:t>
      </w:r>
      <w:proofErr w:type="spellEnd"/>
      <w:r w:rsidRPr="00E76EA2">
        <w:rPr>
          <w:sz w:val="20"/>
          <w:szCs w:val="20"/>
          <w:lang w:val="en-US"/>
        </w:rPr>
        <w:t xml:space="preserve"> Uncertain Evidentiary Foundations of International Convictions(Cambridge University Press, 2010) ; Carla Del Ponte, Investigation and Prosecution of Large –Scale Crimes at the International Level (2006) 4Journal of International Criminal justice, 552</w:t>
      </w:r>
    </w:p>
  </w:footnote>
  <w:footnote w:id="298">
    <w:p w14:paraId="5E887E52" w14:textId="3D508F68" w:rsidR="00C310AB" w:rsidRPr="00E76EA2" w:rsidRDefault="00C310AB" w:rsidP="00482D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v.Lubanga</w:t>
      </w:r>
      <w:proofErr w:type="spellEnd"/>
      <w:r w:rsidRPr="00E76EA2">
        <w:rPr>
          <w:sz w:val="20"/>
          <w:szCs w:val="20"/>
        </w:rPr>
        <w:t>, Confirmation of Charges</w:t>
      </w:r>
      <w:r w:rsidR="00482DAC">
        <w:rPr>
          <w:sz w:val="20"/>
          <w:szCs w:val="20"/>
        </w:rPr>
        <w:t>.</w:t>
      </w:r>
    </w:p>
  </w:footnote>
  <w:footnote w:id="299">
    <w:p w14:paraId="3562EB6D" w14:textId="77777777" w:rsidR="00C310AB" w:rsidRPr="00E76EA2" w:rsidRDefault="00C310AB" w:rsidP="00482DA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Pascal Kambale,  ‘The ICC and Lubanga :Missed Opportunities ‘ SSRC </w:t>
      </w:r>
      <w:proofErr w:type="spellStart"/>
      <w:r w:rsidRPr="00E76EA2">
        <w:rPr>
          <w:sz w:val="20"/>
          <w:szCs w:val="20"/>
          <w:lang w:val="en-US"/>
        </w:rPr>
        <w:t>Forums:African</w:t>
      </w:r>
      <w:proofErr w:type="spellEnd"/>
      <w:r w:rsidRPr="00E76EA2">
        <w:rPr>
          <w:sz w:val="20"/>
          <w:szCs w:val="20"/>
          <w:lang w:val="en-US"/>
        </w:rPr>
        <w:t xml:space="preserve"> Futures, 16 March 2012, available at </w:t>
      </w:r>
      <w:hyperlink r:id="rId18" w:history="1">
        <w:r w:rsidRPr="00E76EA2">
          <w:rPr>
            <w:rStyle w:val="Hyperlink"/>
            <w:sz w:val="20"/>
            <w:szCs w:val="20"/>
            <w:lang w:val="en-US"/>
          </w:rPr>
          <w:t xml:space="preserve">http://forums.ssrc.org/african-futures/2012/03/16/african-futures-icc-missed-opportunities/ </w:t>
        </w:r>
      </w:hyperlink>
      <w:r w:rsidRPr="00E76EA2">
        <w:rPr>
          <w:sz w:val="20"/>
          <w:szCs w:val="20"/>
          <w:lang w:val="en-US"/>
        </w:rPr>
        <w:t xml:space="preserve"> last accessed 16 March 2019.</w:t>
      </w:r>
    </w:p>
  </w:footnote>
  <w:footnote w:id="300">
    <w:p w14:paraId="11B2C6AA" w14:textId="5BCB07FD" w:rsidR="00C310AB" w:rsidRPr="00E76EA2" w:rsidRDefault="00C310AB" w:rsidP="00B027B6">
      <w:pPr>
        <w:pStyle w:val="NoSpacing1"/>
        <w:jc w:val="both"/>
        <w:rPr>
          <w:sz w:val="20"/>
          <w:szCs w:val="20"/>
        </w:rPr>
      </w:pPr>
      <w:r w:rsidRPr="00E76EA2">
        <w:rPr>
          <w:rStyle w:val="FootnoteReference"/>
          <w:rFonts w:eastAsiaTheme="minorEastAsia"/>
          <w:sz w:val="20"/>
          <w:szCs w:val="20"/>
        </w:rPr>
        <w:footnoteRef/>
      </w:r>
      <w:r w:rsidRPr="00E76EA2">
        <w:rPr>
          <w:sz w:val="20"/>
          <w:szCs w:val="20"/>
        </w:rPr>
        <w:t xml:space="preserve"> </w:t>
      </w:r>
      <w:r w:rsidRPr="00E76EA2">
        <w:rPr>
          <w:sz w:val="20"/>
          <w:szCs w:val="20"/>
          <w:shd w:val="clear" w:color="auto" w:fill="FFFFFF"/>
        </w:rPr>
        <w:t>“Obtaining further charges in the opening case against Thomas Lubanga”, </w:t>
      </w:r>
      <w:r w:rsidRPr="00E76EA2">
        <w:rPr>
          <w:i/>
          <w:iCs/>
          <w:sz w:val="20"/>
          <w:szCs w:val="20"/>
        </w:rPr>
        <w:t>Statement by women’s rights and human rights NGOs of the DRC on the prosecutions by the ICC</w:t>
      </w:r>
      <w:r w:rsidRPr="00E76EA2">
        <w:rPr>
          <w:sz w:val="20"/>
          <w:szCs w:val="20"/>
          <w:shd w:val="clear" w:color="auto" w:fill="FFFFFF"/>
        </w:rPr>
        <w:t>, Beni, September 16, 2006 (on file with the author)</w:t>
      </w:r>
    </w:p>
  </w:footnote>
  <w:footnote w:id="301">
    <w:p w14:paraId="127C189D" w14:textId="0C756060" w:rsidR="00C310AB" w:rsidRPr="00E76EA2" w:rsidRDefault="00C310AB" w:rsidP="00B027B6">
      <w:pPr>
        <w:pStyle w:val="NoSpacing1"/>
        <w:jc w:val="both"/>
        <w:rPr>
          <w:sz w:val="20"/>
          <w:szCs w:val="20"/>
        </w:rPr>
      </w:pPr>
      <w:r w:rsidRPr="00E76EA2">
        <w:rPr>
          <w:rStyle w:val="FootnoteReference"/>
          <w:sz w:val="20"/>
          <w:szCs w:val="20"/>
        </w:rPr>
        <w:footnoteRef/>
      </w:r>
      <w:r w:rsidRPr="00E76EA2">
        <w:rPr>
          <w:sz w:val="20"/>
          <w:szCs w:val="20"/>
        </w:rPr>
        <w:t xml:space="preserve"> Ibid</w:t>
      </w:r>
      <w:r w:rsidR="00B027B6">
        <w:rPr>
          <w:sz w:val="20"/>
          <w:szCs w:val="20"/>
        </w:rPr>
        <w:t>.</w:t>
      </w:r>
    </w:p>
  </w:footnote>
  <w:footnote w:id="302">
    <w:p w14:paraId="3DC902FF" w14:textId="0DFF0AE2" w:rsidR="00C310AB" w:rsidRPr="00E76EA2" w:rsidRDefault="00C310AB" w:rsidP="00B027B6">
      <w:pPr>
        <w:pStyle w:val="NoSpacing1"/>
        <w:jc w:val="both"/>
        <w:rPr>
          <w:sz w:val="20"/>
          <w:szCs w:val="20"/>
        </w:rPr>
      </w:pPr>
      <w:r w:rsidRPr="00E76EA2">
        <w:rPr>
          <w:rStyle w:val="FootnoteReference"/>
          <w:sz w:val="20"/>
          <w:szCs w:val="20"/>
        </w:rPr>
        <w:footnoteRef/>
      </w:r>
      <w:r w:rsidRPr="00E76EA2">
        <w:rPr>
          <w:sz w:val="20"/>
          <w:szCs w:val="20"/>
        </w:rPr>
        <w:t xml:space="preserve"> Ibid</w:t>
      </w:r>
      <w:r w:rsidR="00B027B6">
        <w:rPr>
          <w:sz w:val="20"/>
          <w:szCs w:val="20"/>
        </w:rPr>
        <w:t>.</w:t>
      </w:r>
      <w:r w:rsidRPr="00E76EA2">
        <w:rPr>
          <w:sz w:val="20"/>
          <w:szCs w:val="20"/>
        </w:rPr>
        <w:t xml:space="preserve"> </w:t>
      </w:r>
    </w:p>
  </w:footnote>
  <w:footnote w:id="303">
    <w:p w14:paraId="6384C0CF" w14:textId="7F1C6F21" w:rsidR="00C310AB" w:rsidRPr="00E76EA2" w:rsidRDefault="00C310AB" w:rsidP="00B027B6">
      <w:pPr>
        <w:pStyle w:val="NoSpacing1"/>
        <w:jc w:val="both"/>
        <w:rPr>
          <w:sz w:val="20"/>
          <w:szCs w:val="20"/>
        </w:rPr>
      </w:pPr>
      <w:r w:rsidRPr="00E76EA2">
        <w:rPr>
          <w:rStyle w:val="FootnoteReference"/>
          <w:rFonts w:eastAsiaTheme="minorEastAsia"/>
          <w:sz w:val="20"/>
          <w:szCs w:val="20"/>
        </w:rPr>
        <w:footnoteRef/>
      </w:r>
      <w:r w:rsidRPr="00E76EA2">
        <w:rPr>
          <w:sz w:val="20"/>
          <w:szCs w:val="20"/>
        </w:rPr>
        <w:t xml:space="preserve"> International </w:t>
      </w:r>
      <w:proofErr w:type="spellStart"/>
      <w:r w:rsidRPr="00E76EA2">
        <w:rPr>
          <w:sz w:val="20"/>
          <w:szCs w:val="20"/>
        </w:rPr>
        <w:t>center</w:t>
      </w:r>
      <w:proofErr w:type="spellEnd"/>
      <w:r w:rsidRPr="00E76EA2">
        <w:rPr>
          <w:sz w:val="20"/>
          <w:szCs w:val="20"/>
        </w:rPr>
        <w:t xml:space="preserve"> for Transitional Justice, Situation Brief: The Trial of Thomas </w:t>
      </w:r>
      <w:proofErr w:type="spellStart"/>
      <w:r w:rsidRPr="00E76EA2">
        <w:rPr>
          <w:sz w:val="20"/>
          <w:szCs w:val="20"/>
        </w:rPr>
        <w:t>Lubanga,accessible</w:t>
      </w:r>
      <w:proofErr w:type="spellEnd"/>
      <w:r w:rsidRPr="00E76EA2">
        <w:rPr>
          <w:sz w:val="20"/>
          <w:szCs w:val="20"/>
        </w:rPr>
        <w:t xml:space="preserve"> at </w:t>
      </w:r>
      <w:hyperlink r:id="rId19" w:history="1">
        <w:r w:rsidRPr="00E76EA2">
          <w:rPr>
            <w:rStyle w:val="Hyperlink"/>
            <w:sz w:val="20"/>
            <w:szCs w:val="20"/>
          </w:rPr>
          <w:t>https://www.ictj.org/sites/default/files/ICTJ-DRC-Lubanga-Trial-2009-English.pdf</w:t>
        </w:r>
      </w:hyperlink>
      <w:r w:rsidRPr="00E76EA2">
        <w:rPr>
          <w:sz w:val="20"/>
          <w:szCs w:val="20"/>
        </w:rPr>
        <w:t xml:space="preserve"> last accessed January 12 2020.</w:t>
      </w:r>
    </w:p>
  </w:footnote>
  <w:footnote w:id="304">
    <w:p w14:paraId="76E5ACAC" w14:textId="6C4A0CBD" w:rsidR="00C310AB" w:rsidRPr="00E76EA2" w:rsidRDefault="00C310AB" w:rsidP="00B027B6">
      <w:pPr>
        <w:pStyle w:val="NoSpacing1"/>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 xml:space="preserve">ICC-Prosecutor receives referral of the situation in the Democratic Republic of Congo,  </w:t>
      </w:r>
      <w:proofErr w:type="spellStart"/>
      <w:r w:rsidRPr="00E76EA2">
        <w:rPr>
          <w:sz w:val="20"/>
          <w:szCs w:val="20"/>
          <w:lang w:val="en-US"/>
        </w:rPr>
        <w:t>Situation:Democratic</w:t>
      </w:r>
      <w:proofErr w:type="spellEnd"/>
      <w:r w:rsidRPr="00E76EA2">
        <w:rPr>
          <w:sz w:val="20"/>
          <w:szCs w:val="20"/>
          <w:lang w:val="en-US"/>
        </w:rPr>
        <w:t xml:space="preserve"> Republic of </w:t>
      </w:r>
      <w:proofErr w:type="spellStart"/>
      <w:r w:rsidRPr="00E76EA2">
        <w:rPr>
          <w:sz w:val="20"/>
          <w:szCs w:val="20"/>
          <w:lang w:val="en-US"/>
        </w:rPr>
        <w:t>Congo.Press</w:t>
      </w:r>
      <w:proofErr w:type="spellEnd"/>
      <w:r w:rsidRPr="00E76EA2">
        <w:rPr>
          <w:sz w:val="20"/>
          <w:szCs w:val="20"/>
          <w:lang w:val="en-US"/>
        </w:rPr>
        <w:t xml:space="preserve"> Release, ICC-OTP-20040419-50, 19 April 2004.</w:t>
      </w:r>
    </w:p>
  </w:footnote>
  <w:footnote w:id="305">
    <w:p w14:paraId="641E3CC4" w14:textId="77777777" w:rsidR="00C310AB" w:rsidRPr="00E76EA2" w:rsidRDefault="00C310AB" w:rsidP="00B027B6">
      <w:pPr>
        <w:pStyle w:val="NoSpacing1"/>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Ibid .</w:t>
      </w:r>
    </w:p>
  </w:footnote>
  <w:footnote w:id="306">
    <w:p w14:paraId="770E15D3" w14:textId="0C5148EF" w:rsidR="00C310AB" w:rsidRPr="00E76EA2" w:rsidRDefault="00C310AB" w:rsidP="00B027B6">
      <w:pPr>
        <w:pStyle w:val="NoSpacing1"/>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Ibid</w:t>
      </w:r>
      <w:r w:rsidR="00B027B6">
        <w:rPr>
          <w:sz w:val="20"/>
          <w:szCs w:val="20"/>
          <w:lang w:val="en-US"/>
        </w:rPr>
        <w:t>.</w:t>
      </w:r>
      <w:r w:rsidRPr="00E76EA2">
        <w:rPr>
          <w:sz w:val="20"/>
          <w:szCs w:val="20"/>
          <w:lang w:val="en-US"/>
        </w:rPr>
        <w:t xml:space="preserve"> </w:t>
      </w:r>
    </w:p>
  </w:footnote>
  <w:footnote w:id="307">
    <w:p w14:paraId="72682BB2" w14:textId="71DFBAB2" w:rsidR="00C310AB" w:rsidRPr="00E76EA2" w:rsidRDefault="00C310AB" w:rsidP="00B027B6">
      <w:pPr>
        <w:pStyle w:val="NoSpacing1"/>
        <w:jc w:val="both"/>
        <w:rPr>
          <w:sz w:val="20"/>
          <w:szCs w:val="20"/>
        </w:rPr>
      </w:pPr>
      <w:r w:rsidRPr="00E76EA2">
        <w:rPr>
          <w:rStyle w:val="FootnoteReference"/>
          <w:rFonts w:eastAsiaTheme="minorEastAsia"/>
          <w:sz w:val="20"/>
          <w:szCs w:val="20"/>
        </w:rPr>
        <w:footnoteRef/>
      </w:r>
      <w:r w:rsidRPr="00E76EA2">
        <w:rPr>
          <w:sz w:val="20"/>
          <w:szCs w:val="20"/>
        </w:rPr>
        <w:t xml:space="preserve"> International Federation for Human Rights , </w:t>
      </w:r>
      <w:r w:rsidR="002C52DF">
        <w:rPr>
          <w:sz w:val="20"/>
          <w:szCs w:val="20"/>
        </w:rPr>
        <w:t>“</w:t>
      </w:r>
      <w:r w:rsidRPr="00E76EA2">
        <w:rPr>
          <w:sz w:val="20"/>
          <w:szCs w:val="20"/>
        </w:rPr>
        <w:t>Democratic Republic of Congo :breaking the Cycle of Impunity” (2008) accessible at &lt;http://www.fidh.org/img/pdf/DRCsexualcrimeseng2008.pdf&gt;</w:t>
      </w:r>
    </w:p>
  </w:footnote>
  <w:footnote w:id="308">
    <w:p w14:paraId="2161492C" w14:textId="2567C195" w:rsidR="00C310AB" w:rsidRPr="00E76EA2" w:rsidRDefault="00C310AB" w:rsidP="00B027B6">
      <w:pPr>
        <w:pStyle w:val="NoSpacing1"/>
        <w:jc w:val="both"/>
        <w:rPr>
          <w:sz w:val="20"/>
          <w:szCs w:val="20"/>
        </w:rPr>
      </w:pPr>
      <w:r w:rsidRPr="00E76EA2">
        <w:rPr>
          <w:rStyle w:val="FootnoteReference"/>
          <w:rFonts w:eastAsiaTheme="minorEastAsia"/>
          <w:sz w:val="20"/>
          <w:szCs w:val="20"/>
        </w:rPr>
        <w:footnoteRef/>
      </w:r>
      <w:r w:rsidRPr="00E76EA2">
        <w:rPr>
          <w:sz w:val="20"/>
          <w:szCs w:val="20"/>
        </w:rPr>
        <w:t xml:space="preserve"> ICC, Statement by Luis </w:t>
      </w:r>
      <w:proofErr w:type="spellStart"/>
      <w:r w:rsidRPr="00E76EA2">
        <w:rPr>
          <w:sz w:val="20"/>
          <w:szCs w:val="20"/>
        </w:rPr>
        <w:t>Moreno-Ocampo:Press</w:t>
      </w:r>
      <w:proofErr w:type="spellEnd"/>
      <w:r w:rsidRPr="00E76EA2">
        <w:rPr>
          <w:sz w:val="20"/>
          <w:szCs w:val="20"/>
        </w:rPr>
        <w:t xml:space="preserve"> Conference in relation with the surrender to the Court of Mr Thomas Lubanga </w:t>
      </w:r>
      <w:proofErr w:type="spellStart"/>
      <w:r w:rsidRPr="00E76EA2">
        <w:rPr>
          <w:sz w:val="20"/>
          <w:szCs w:val="20"/>
        </w:rPr>
        <w:t>Dyilo,The</w:t>
      </w:r>
      <w:proofErr w:type="spellEnd"/>
      <w:r w:rsidRPr="00E76EA2">
        <w:rPr>
          <w:sz w:val="20"/>
          <w:szCs w:val="20"/>
        </w:rPr>
        <w:t xml:space="preserve"> Hague , 18 March 2006,p.2</w:t>
      </w:r>
      <w:r w:rsidR="00B027B6">
        <w:rPr>
          <w:sz w:val="20"/>
          <w:szCs w:val="20"/>
        </w:rPr>
        <w:t>.</w:t>
      </w:r>
    </w:p>
  </w:footnote>
  <w:footnote w:id="309">
    <w:p w14:paraId="2C40DA0D" w14:textId="78443C45" w:rsidR="00C310AB" w:rsidRPr="00E76EA2" w:rsidRDefault="00C310AB" w:rsidP="002C52DF">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Williams Schabas, “Prosecutorial discretion v. judicial activism at the International Criminal Court(2008) 6</w:t>
      </w:r>
      <w:r w:rsidRPr="00E76EA2">
        <w:rPr>
          <w:i/>
          <w:sz w:val="20"/>
          <w:szCs w:val="20"/>
        </w:rPr>
        <w:t>Journal of International Criminal Justice ,</w:t>
      </w:r>
      <w:r w:rsidRPr="00E76EA2">
        <w:rPr>
          <w:sz w:val="20"/>
          <w:szCs w:val="20"/>
        </w:rPr>
        <w:t>731-761</w:t>
      </w:r>
      <w:r w:rsidR="002C79E1">
        <w:rPr>
          <w:sz w:val="20"/>
          <w:szCs w:val="20"/>
        </w:rPr>
        <w:t>,</w:t>
      </w:r>
      <w:r w:rsidRPr="00E76EA2">
        <w:rPr>
          <w:sz w:val="20"/>
          <w:szCs w:val="20"/>
        </w:rPr>
        <w:t>p.743.</w:t>
      </w:r>
    </w:p>
  </w:footnote>
  <w:footnote w:id="310">
    <w:p w14:paraId="4EF9FFFC" w14:textId="77777777" w:rsidR="00C310AB" w:rsidRPr="00E76EA2" w:rsidRDefault="00C310AB" w:rsidP="00AA1CE3">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Ibid, p.743</w:t>
      </w:r>
    </w:p>
  </w:footnote>
  <w:footnote w:id="311">
    <w:p w14:paraId="67DE4986" w14:textId="12544010" w:rsidR="00C310AB" w:rsidRPr="00E76EA2" w:rsidRDefault="00C310AB" w:rsidP="00AA1CE3">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ICC, Statement by Luis Moreno-Ocampo, Press Conference in relation with the surrender of the Court of Mr Thomas </w:t>
      </w:r>
      <w:proofErr w:type="spellStart"/>
      <w:r w:rsidRPr="00E76EA2">
        <w:rPr>
          <w:sz w:val="20"/>
          <w:szCs w:val="20"/>
        </w:rPr>
        <w:t>Lubango</w:t>
      </w:r>
      <w:proofErr w:type="spellEnd"/>
      <w:r w:rsidRPr="00E76EA2">
        <w:rPr>
          <w:sz w:val="20"/>
          <w:szCs w:val="20"/>
        </w:rPr>
        <w:t xml:space="preserve"> </w:t>
      </w:r>
      <w:proofErr w:type="spellStart"/>
      <w:r w:rsidRPr="00E76EA2">
        <w:rPr>
          <w:sz w:val="20"/>
          <w:szCs w:val="20"/>
        </w:rPr>
        <w:t>Dyilo</w:t>
      </w:r>
      <w:proofErr w:type="spellEnd"/>
      <w:r w:rsidRPr="00E76EA2">
        <w:rPr>
          <w:sz w:val="20"/>
          <w:szCs w:val="20"/>
        </w:rPr>
        <w:t>, The Hague, 18 March 2008, p.2 -.3</w:t>
      </w:r>
    </w:p>
  </w:footnote>
  <w:footnote w:id="312">
    <w:p w14:paraId="7F49A843" w14:textId="77777777" w:rsidR="00C310AB" w:rsidRPr="00E76EA2" w:rsidRDefault="00C310AB" w:rsidP="00AA1CE3">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Rome Statue 1998, article 5(1)</w:t>
      </w:r>
    </w:p>
  </w:footnote>
  <w:footnote w:id="313">
    <w:p w14:paraId="47C90E45" w14:textId="77777777" w:rsidR="00C310AB" w:rsidRPr="00E76EA2" w:rsidRDefault="00C310AB" w:rsidP="00AA1CE3">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ICC, Statement by Luis Moreno-Ocampo, Press Conference in relation with the surrender of the Court of Mr Thomas </w:t>
      </w:r>
      <w:proofErr w:type="spellStart"/>
      <w:r w:rsidRPr="00E76EA2">
        <w:rPr>
          <w:sz w:val="20"/>
          <w:szCs w:val="20"/>
        </w:rPr>
        <w:t>Lubango</w:t>
      </w:r>
      <w:proofErr w:type="spellEnd"/>
      <w:r w:rsidRPr="00E76EA2">
        <w:rPr>
          <w:sz w:val="20"/>
          <w:szCs w:val="20"/>
        </w:rPr>
        <w:t xml:space="preserve"> </w:t>
      </w:r>
      <w:proofErr w:type="spellStart"/>
      <w:r w:rsidRPr="00E76EA2">
        <w:rPr>
          <w:sz w:val="20"/>
          <w:szCs w:val="20"/>
        </w:rPr>
        <w:t>Dyilo</w:t>
      </w:r>
      <w:proofErr w:type="spellEnd"/>
      <w:r w:rsidRPr="00E76EA2">
        <w:rPr>
          <w:sz w:val="20"/>
          <w:szCs w:val="20"/>
        </w:rPr>
        <w:t>, The Hague, 18 March 2008p.2;Decision on the Prosecutor ‘s Application for a Warrant of Arrest, Prosecutor v Lubanga (ICC-01/04-01/06-8), Pre-Trial Chamber 1, 10 February 2006;</w:t>
      </w:r>
    </w:p>
  </w:footnote>
  <w:footnote w:id="314">
    <w:p w14:paraId="073557B1" w14:textId="77777777" w:rsidR="00C310AB" w:rsidRPr="00E76EA2" w:rsidRDefault="00C310AB" w:rsidP="00AA1CE3">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Ibid.</w:t>
      </w:r>
    </w:p>
  </w:footnote>
  <w:footnote w:id="315">
    <w:p w14:paraId="2471E6FC" w14:textId="435B3C89" w:rsidR="00C310AB" w:rsidRPr="00E76EA2" w:rsidRDefault="00C310AB" w:rsidP="00AA1CE3">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Prosecutor v Lubanga, ICC-01/04-01/06, Decision on Confirmation of Charge, 9 January 2007, http://www.icc-cpi.int/iccdocs/dos/doc266175.pdf</w:t>
      </w:r>
    </w:p>
  </w:footnote>
  <w:footnote w:id="316">
    <w:p w14:paraId="40B7288A" w14:textId="7A18EE4B" w:rsidR="00C310AB" w:rsidRPr="00E76EA2" w:rsidRDefault="00C310AB" w:rsidP="00AA1CE3">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Williams Schabas, Prosecutorial Discretion v. Judicial Activism 92008) 6</w:t>
      </w:r>
      <w:r w:rsidRPr="00E76EA2">
        <w:rPr>
          <w:i/>
          <w:sz w:val="20"/>
          <w:szCs w:val="20"/>
        </w:rPr>
        <w:t xml:space="preserve">Journal of International Criminal Justice, </w:t>
      </w:r>
      <w:r w:rsidRPr="002C79E1">
        <w:rPr>
          <w:iCs/>
          <w:sz w:val="20"/>
          <w:szCs w:val="20"/>
        </w:rPr>
        <w:t>731-761</w:t>
      </w:r>
      <w:r w:rsidRPr="00E76EA2">
        <w:rPr>
          <w:i/>
          <w:sz w:val="20"/>
          <w:szCs w:val="20"/>
        </w:rPr>
        <w:t>,</w:t>
      </w:r>
      <w:r w:rsidR="002C79E1">
        <w:rPr>
          <w:iCs/>
          <w:sz w:val="20"/>
          <w:szCs w:val="20"/>
        </w:rPr>
        <w:t>p</w:t>
      </w:r>
      <w:r w:rsidRPr="00E76EA2">
        <w:rPr>
          <w:sz w:val="20"/>
          <w:szCs w:val="20"/>
        </w:rPr>
        <w:t>742.</w:t>
      </w:r>
    </w:p>
  </w:footnote>
  <w:footnote w:id="317">
    <w:p w14:paraId="4D9B0B8D" w14:textId="77777777" w:rsidR="00C310AB" w:rsidRPr="00E76EA2" w:rsidRDefault="00C310AB" w:rsidP="00E76EA2">
      <w:pPr>
        <w:pStyle w:val="NoSpacing1"/>
        <w:rPr>
          <w:sz w:val="20"/>
          <w:szCs w:val="20"/>
        </w:rPr>
      </w:pPr>
      <w:r w:rsidRPr="00E76EA2">
        <w:rPr>
          <w:rStyle w:val="FootnoteReference"/>
          <w:rFonts w:eastAsiaTheme="minorEastAsia"/>
          <w:sz w:val="20"/>
          <w:szCs w:val="20"/>
        </w:rPr>
        <w:footnoteRef/>
      </w:r>
      <w:r w:rsidRPr="00E76EA2">
        <w:rPr>
          <w:sz w:val="20"/>
          <w:szCs w:val="20"/>
        </w:rPr>
        <w:t xml:space="preserve"> Ibid.</w:t>
      </w:r>
    </w:p>
  </w:footnote>
  <w:footnote w:id="318">
    <w:p w14:paraId="5016FCC2" w14:textId="77777777" w:rsidR="00C310AB" w:rsidRPr="00E76EA2" w:rsidRDefault="00C310AB" w:rsidP="00E76EA2">
      <w:pPr>
        <w:pStyle w:val="NoSpacing1"/>
        <w:rPr>
          <w:sz w:val="20"/>
          <w:szCs w:val="20"/>
        </w:rPr>
      </w:pPr>
      <w:r w:rsidRPr="00E76EA2">
        <w:rPr>
          <w:rStyle w:val="FootnoteReference"/>
          <w:rFonts w:eastAsiaTheme="minorEastAsia"/>
          <w:sz w:val="20"/>
          <w:szCs w:val="20"/>
        </w:rPr>
        <w:footnoteRef/>
      </w:r>
      <w:r w:rsidRPr="00E76EA2">
        <w:rPr>
          <w:sz w:val="20"/>
          <w:szCs w:val="20"/>
        </w:rPr>
        <w:t xml:space="preserve"> Ibid.</w:t>
      </w:r>
    </w:p>
  </w:footnote>
  <w:footnote w:id="319">
    <w:p w14:paraId="1CEB84D5" w14:textId="77777777" w:rsidR="00C310AB" w:rsidRPr="00E76EA2" w:rsidRDefault="00C310AB" w:rsidP="00E76EA2">
      <w:pPr>
        <w:pStyle w:val="NoSpacing1"/>
        <w:rPr>
          <w:sz w:val="20"/>
          <w:szCs w:val="20"/>
        </w:rPr>
      </w:pPr>
      <w:r w:rsidRPr="00E76EA2">
        <w:rPr>
          <w:rStyle w:val="FootnoteReference"/>
          <w:rFonts w:eastAsiaTheme="minorEastAsia"/>
          <w:sz w:val="20"/>
          <w:szCs w:val="20"/>
        </w:rPr>
        <w:footnoteRef/>
      </w:r>
      <w:r w:rsidRPr="00E76EA2">
        <w:rPr>
          <w:sz w:val="20"/>
          <w:szCs w:val="20"/>
        </w:rPr>
        <w:t xml:space="preserve"> Ibid</w:t>
      </w:r>
    </w:p>
  </w:footnote>
  <w:footnote w:id="320">
    <w:p w14:paraId="12539781" w14:textId="77777777" w:rsidR="00C310AB" w:rsidRPr="00E76EA2" w:rsidRDefault="00C310AB" w:rsidP="00E76EA2">
      <w:pPr>
        <w:pStyle w:val="NoSpacing1"/>
        <w:rPr>
          <w:sz w:val="20"/>
          <w:szCs w:val="20"/>
        </w:rPr>
      </w:pPr>
      <w:r w:rsidRPr="00E76EA2">
        <w:rPr>
          <w:rStyle w:val="FootnoteReference"/>
          <w:rFonts w:eastAsiaTheme="minorEastAsia"/>
          <w:sz w:val="20"/>
          <w:szCs w:val="20"/>
        </w:rPr>
        <w:footnoteRef/>
      </w:r>
      <w:r w:rsidRPr="00E76EA2">
        <w:rPr>
          <w:sz w:val="20"/>
          <w:szCs w:val="20"/>
        </w:rPr>
        <w:t xml:space="preserve"> Ibid</w:t>
      </w:r>
    </w:p>
  </w:footnote>
  <w:footnote w:id="321">
    <w:p w14:paraId="2BE7E537" w14:textId="3D476448" w:rsidR="00C310AB" w:rsidRPr="00E76EA2" w:rsidRDefault="00C310AB" w:rsidP="00E76EA2">
      <w:pPr>
        <w:pStyle w:val="NoSpacing1"/>
        <w:rPr>
          <w:i/>
          <w:sz w:val="20"/>
          <w:szCs w:val="20"/>
        </w:rPr>
      </w:pPr>
      <w:r w:rsidRPr="00E76EA2">
        <w:rPr>
          <w:rStyle w:val="FootnoteReference"/>
          <w:rFonts w:eastAsiaTheme="minorEastAsia"/>
          <w:sz w:val="20"/>
          <w:szCs w:val="20"/>
        </w:rPr>
        <w:footnoteRef/>
      </w:r>
      <w:r w:rsidRPr="00E76EA2">
        <w:rPr>
          <w:sz w:val="20"/>
          <w:szCs w:val="20"/>
        </w:rPr>
        <w:t xml:space="preserve"> Matthew Brubacher, ‘Prosecutorial Discretion within the International Criminal Court’, (2004) 71; </w:t>
      </w:r>
      <w:r w:rsidRPr="00E76EA2">
        <w:rPr>
          <w:i/>
          <w:sz w:val="20"/>
          <w:szCs w:val="20"/>
        </w:rPr>
        <w:t xml:space="preserve">Journal of International Criminal </w:t>
      </w:r>
      <w:proofErr w:type="spellStart"/>
      <w:r w:rsidRPr="00E76EA2">
        <w:rPr>
          <w:i/>
          <w:sz w:val="20"/>
          <w:szCs w:val="20"/>
        </w:rPr>
        <w:t>Justice;</w:t>
      </w:r>
      <w:r w:rsidRPr="00E76EA2">
        <w:rPr>
          <w:sz w:val="20"/>
          <w:szCs w:val="20"/>
        </w:rPr>
        <w:t>Schabas</w:t>
      </w:r>
      <w:proofErr w:type="spellEnd"/>
      <w:r w:rsidRPr="00E76EA2">
        <w:rPr>
          <w:sz w:val="20"/>
          <w:szCs w:val="20"/>
        </w:rPr>
        <w:t xml:space="preserve"> Ibid</w:t>
      </w:r>
      <w:r w:rsidRPr="00E76EA2">
        <w:rPr>
          <w:i/>
          <w:sz w:val="20"/>
          <w:szCs w:val="20"/>
        </w:rPr>
        <w:t xml:space="preserve"> </w:t>
      </w:r>
    </w:p>
  </w:footnote>
  <w:footnote w:id="322">
    <w:p w14:paraId="7A512F0A" w14:textId="77777777" w:rsidR="00C310AB" w:rsidRPr="00E76EA2" w:rsidRDefault="00C310AB" w:rsidP="005302E4">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Communications Received by the Office of the Prosecutor of the ICC, 16 July 2003.</w:t>
      </w:r>
    </w:p>
  </w:footnote>
  <w:footnote w:id="323">
    <w:p w14:paraId="17869E74" w14:textId="77777777" w:rsidR="00C310AB" w:rsidRPr="00E76EA2" w:rsidRDefault="00C310AB" w:rsidP="005302E4">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Ibid, Schabas.</w:t>
      </w:r>
    </w:p>
  </w:footnote>
  <w:footnote w:id="324">
    <w:p w14:paraId="22797985" w14:textId="4E78B860" w:rsidR="00C310AB" w:rsidRPr="00E76EA2" w:rsidRDefault="00C310AB" w:rsidP="005302E4">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OTP Policy Paper, Paper on some policy issues before the Office of the Prosecutor, September 2003,p.7.</w:t>
      </w:r>
    </w:p>
  </w:footnote>
  <w:footnote w:id="325">
    <w:p w14:paraId="2937B1B1" w14:textId="4D1F22B9" w:rsidR="00C310AB" w:rsidRPr="00E76EA2" w:rsidRDefault="00C310AB" w:rsidP="005302E4">
      <w:pPr>
        <w:pStyle w:val="NoSpacing1"/>
        <w:spacing w:line="276" w:lineRule="auto"/>
        <w:jc w:val="both"/>
        <w:rPr>
          <w:sz w:val="20"/>
          <w:szCs w:val="20"/>
        </w:rPr>
      </w:pPr>
      <w:r w:rsidRPr="00E76EA2">
        <w:rPr>
          <w:rStyle w:val="FootnoteReference"/>
          <w:rFonts w:eastAsiaTheme="minorEastAsia"/>
          <w:sz w:val="20"/>
          <w:szCs w:val="20"/>
        </w:rPr>
        <w:footnoteRef/>
      </w:r>
      <w:r w:rsidRPr="00E76EA2">
        <w:rPr>
          <w:sz w:val="20"/>
          <w:szCs w:val="20"/>
        </w:rPr>
        <w:t xml:space="preserve"> The ICC, Office of the Prosecutor , Statement  by the Luis Moreno-Ocampo, Prosecutor of the International Criminal </w:t>
      </w:r>
      <w:proofErr w:type="spellStart"/>
      <w:r w:rsidRPr="00E76EA2">
        <w:rPr>
          <w:sz w:val="20"/>
          <w:szCs w:val="20"/>
        </w:rPr>
        <w:t>Court:Informal</w:t>
      </w:r>
      <w:proofErr w:type="spellEnd"/>
      <w:r w:rsidRPr="00E76EA2">
        <w:rPr>
          <w:sz w:val="20"/>
          <w:szCs w:val="20"/>
        </w:rPr>
        <w:t xml:space="preserve"> Meeting of Legal Advisors of Ministries of Foreign Affairs (24</w:t>
      </w:r>
      <w:r w:rsidRPr="00E76EA2">
        <w:rPr>
          <w:sz w:val="20"/>
          <w:szCs w:val="20"/>
          <w:vertAlign w:val="superscript"/>
        </w:rPr>
        <w:t>th</w:t>
      </w:r>
      <w:r w:rsidRPr="00E76EA2">
        <w:rPr>
          <w:sz w:val="20"/>
          <w:szCs w:val="20"/>
        </w:rPr>
        <w:t xml:space="preserve"> October 2005), P.6</w:t>
      </w:r>
      <w:r w:rsidR="005302E4">
        <w:rPr>
          <w:sz w:val="20"/>
          <w:szCs w:val="20"/>
        </w:rPr>
        <w:t>.</w:t>
      </w:r>
    </w:p>
  </w:footnote>
  <w:footnote w:id="326">
    <w:p w14:paraId="5A015002" w14:textId="646E0713" w:rsidR="00C310AB" w:rsidRPr="00E76EA2" w:rsidRDefault="00C310AB" w:rsidP="005302E4">
      <w:pPr>
        <w:pStyle w:val="NoSpacing1"/>
        <w:spacing w:line="276" w:lineRule="auto"/>
        <w:jc w:val="both"/>
        <w:rPr>
          <w:sz w:val="20"/>
          <w:szCs w:val="20"/>
          <w:lang w:val="en-US"/>
        </w:rPr>
      </w:pPr>
      <w:r w:rsidRPr="00E76EA2">
        <w:rPr>
          <w:rStyle w:val="FootnoteReference"/>
          <w:rFonts w:eastAsiaTheme="minorEastAsia"/>
          <w:sz w:val="20"/>
          <w:szCs w:val="20"/>
        </w:rPr>
        <w:footnoteRef/>
      </w:r>
      <w:r w:rsidRPr="00E76EA2">
        <w:rPr>
          <w:sz w:val="20"/>
          <w:szCs w:val="20"/>
        </w:rPr>
        <w:t xml:space="preserve"> </w:t>
      </w:r>
      <w:r w:rsidRPr="00E76EA2">
        <w:rPr>
          <w:sz w:val="20"/>
          <w:szCs w:val="20"/>
          <w:lang w:val="en-US"/>
        </w:rPr>
        <w:t>Allison Danner, ‘ Navigating law and politics : the prosecutor of the International Criminal Court and the Independent Counsel’ (2003) 55 Stanford Law Review ,</w:t>
      </w:r>
      <w:r w:rsidR="002C79E1">
        <w:rPr>
          <w:sz w:val="20"/>
          <w:szCs w:val="20"/>
          <w:lang w:val="en-US"/>
        </w:rPr>
        <w:t>p.</w:t>
      </w:r>
      <w:r w:rsidRPr="00E76EA2">
        <w:rPr>
          <w:sz w:val="20"/>
          <w:szCs w:val="20"/>
          <w:lang w:val="en-US"/>
        </w:rPr>
        <w:t>1655</w:t>
      </w:r>
      <w:r w:rsidR="005302E4">
        <w:rPr>
          <w:sz w:val="20"/>
          <w:szCs w:val="20"/>
          <w:lang w:val="en-US"/>
        </w:rPr>
        <w:t>.</w:t>
      </w:r>
    </w:p>
  </w:footnote>
  <w:footnote w:id="327">
    <w:p w14:paraId="4FCC4CD3" w14:textId="471FF2C8" w:rsidR="00C310AB" w:rsidRPr="00E76EA2" w:rsidRDefault="00C310AB" w:rsidP="001812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Allen Buchanan, “The Complex Epistemology of Institutional Legitimacy Assessments, as Illustrated by the Case of the International Criminal Court” (2019)33(2) </w:t>
      </w:r>
      <w:r w:rsidRPr="00E76EA2">
        <w:rPr>
          <w:i/>
          <w:iCs/>
          <w:sz w:val="20"/>
          <w:szCs w:val="20"/>
        </w:rPr>
        <w:t>Temple International and Comparative Law Journal</w:t>
      </w:r>
      <w:r w:rsidRPr="00E76EA2">
        <w:rPr>
          <w:sz w:val="20"/>
          <w:szCs w:val="20"/>
        </w:rPr>
        <w:t>, 323-339,p335.</w:t>
      </w:r>
    </w:p>
  </w:footnote>
  <w:footnote w:id="328">
    <w:p w14:paraId="7F8C62EA" w14:textId="2FB1C08B" w:rsidR="00C310AB" w:rsidRPr="00E76EA2" w:rsidRDefault="00C310AB" w:rsidP="001812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329">
    <w:p w14:paraId="34A0399F" w14:textId="51345ED3" w:rsidR="00C310AB" w:rsidRPr="00E76EA2" w:rsidRDefault="00C310AB" w:rsidP="001812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Vienna Convention on the Law of Treaties 1969.</w:t>
      </w:r>
    </w:p>
  </w:footnote>
  <w:footnote w:id="330">
    <w:p w14:paraId="0EFEBFDC" w14:textId="5BFAF515" w:rsidR="00C310AB" w:rsidRPr="00E76EA2" w:rsidRDefault="00C310AB" w:rsidP="001812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181265">
        <w:rPr>
          <w:sz w:val="20"/>
          <w:szCs w:val="20"/>
        </w:rPr>
        <w:t>.</w:t>
      </w:r>
    </w:p>
  </w:footnote>
  <w:footnote w:id="331">
    <w:p w14:paraId="1FDAA0A4" w14:textId="6C123DAA" w:rsidR="00C310AB" w:rsidRPr="00E76EA2" w:rsidRDefault="00C310AB" w:rsidP="001812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Margaret de Guzman &amp; Timothy Kelly, “The International Criminal Court is Legitimate Enough to Deserve Support”(2019)33(2) </w:t>
      </w:r>
      <w:r w:rsidRPr="00E76EA2">
        <w:rPr>
          <w:i/>
          <w:iCs/>
          <w:sz w:val="20"/>
          <w:szCs w:val="20"/>
        </w:rPr>
        <w:t xml:space="preserve">Temple International &amp; Comparative Law Journal </w:t>
      </w:r>
      <w:r w:rsidRPr="00E76EA2">
        <w:rPr>
          <w:sz w:val="20"/>
          <w:szCs w:val="20"/>
        </w:rPr>
        <w:t>397-404,</w:t>
      </w:r>
      <w:r w:rsidR="002C79E1">
        <w:rPr>
          <w:sz w:val="20"/>
          <w:szCs w:val="20"/>
        </w:rPr>
        <w:t>p</w:t>
      </w:r>
      <w:r w:rsidRPr="00E76EA2">
        <w:rPr>
          <w:sz w:val="20"/>
          <w:szCs w:val="20"/>
        </w:rPr>
        <w:t>404.</w:t>
      </w:r>
    </w:p>
  </w:footnote>
  <w:footnote w:id="332">
    <w:p w14:paraId="7F673E5B"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Confirmation of charges for Lubanga.</w:t>
      </w:r>
    </w:p>
  </w:footnote>
  <w:footnote w:id="333">
    <w:p w14:paraId="36D01CE6" w14:textId="77777777" w:rsidR="00C310AB" w:rsidRPr="00E76EA2" w:rsidRDefault="00C310AB" w:rsidP="00E76EA2">
      <w:pPr>
        <w:pStyle w:val="NoSpacing1"/>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Document containing Charges, para 30-40.</w:t>
      </w:r>
    </w:p>
  </w:footnote>
  <w:footnote w:id="334">
    <w:p w14:paraId="68F17680" w14:textId="76DF022F" w:rsidR="00C310AB" w:rsidRPr="00E76EA2" w:rsidRDefault="00C310AB" w:rsidP="00E76EA2">
      <w:pPr>
        <w:pStyle w:val="NoSpacing1"/>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Document containing the charges, paras 41-84</w:t>
      </w:r>
    </w:p>
  </w:footnote>
  <w:footnote w:id="335">
    <w:p w14:paraId="125BE944" w14:textId="77777777" w:rsidR="00C310AB" w:rsidRPr="00E76EA2" w:rsidRDefault="00C310AB" w:rsidP="000E5A7F">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336">
    <w:p w14:paraId="6B10843B" w14:textId="77777777" w:rsidR="00C310AB" w:rsidRPr="00E76EA2" w:rsidRDefault="00C310AB" w:rsidP="000E5A7F">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Dissenting Opinion of  Judge Anita </w:t>
      </w:r>
      <w:proofErr w:type="spellStart"/>
      <w:r w:rsidRPr="00E76EA2">
        <w:rPr>
          <w:sz w:val="20"/>
          <w:szCs w:val="20"/>
          <w:lang w:val="en-US"/>
        </w:rPr>
        <w:t>Usacka</w:t>
      </w:r>
      <w:proofErr w:type="spellEnd"/>
      <w:r w:rsidRPr="00E76EA2">
        <w:rPr>
          <w:sz w:val="20"/>
          <w:szCs w:val="20"/>
          <w:lang w:val="en-US"/>
        </w:rPr>
        <w:t xml:space="preserve">, The Prosecutor v Thomas </w:t>
      </w:r>
      <w:proofErr w:type="spellStart"/>
      <w:r w:rsidRPr="00E76EA2">
        <w:rPr>
          <w:sz w:val="20"/>
          <w:szCs w:val="20"/>
          <w:lang w:val="en-US"/>
        </w:rPr>
        <w:t>Dyilo</w:t>
      </w:r>
      <w:proofErr w:type="spellEnd"/>
      <w:r w:rsidRPr="00E76EA2">
        <w:rPr>
          <w:sz w:val="20"/>
          <w:szCs w:val="20"/>
          <w:lang w:val="en-US"/>
        </w:rPr>
        <w:t xml:space="preserve"> Lubanga, Trial, Conviction, ICC-01/04-01/06 A5, p7,para12.</w:t>
      </w:r>
    </w:p>
  </w:footnote>
  <w:footnote w:id="337">
    <w:p w14:paraId="73ADC3EA" w14:textId="37F7C698" w:rsidR="00C310AB" w:rsidRPr="00E76EA2" w:rsidRDefault="00C310AB" w:rsidP="000E5A7F">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Ibid,.(n 8) para 15.</w:t>
      </w:r>
    </w:p>
  </w:footnote>
  <w:footnote w:id="338">
    <w:p w14:paraId="6C41EB34" w14:textId="24A63CE7" w:rsidR="00C310AB" w:rsidRPr="00E76EA2" w:rsidRDefault="00C310AB" w:rsidP="000E5A7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3E0DD9">
        <w:rPr>
          <w:sz w:val="20"/>
          <w:szCs w:val="20"/>
        </w:rPr>
        <w:t>.</w:t>
      </w:r>
      <w:r w:rsidRPr="00E76EA2">
        <w:rPr>
          <w:sz w:val="20"/>
          <w:szCs w:val="20"/>
        </w:rPr>
        <w:t xml:space="preserve"> </w:t>
      </w:r>
    </w:p>
  </w:footnote>
  <w:footnote w:id="339">
    <w:p w14:paraId="37E92C31" w14:textId="612ACCCB" w:rsidR="00C310AB" w:rsidRPr="00E76EA2" w:rsidRDefault="00C310AB" w:rsidP="000E5A7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Coalition for the International Criminal </w:t>
      </w:r>
      <w:proofErr w:type="spellStart"/>
      <w:r w:rsidRPr="00E76EA2">
        <w:rPr>
          <w:sz w:val="20"/>
          <w:szCs w:val="20"/>
        </w:rPr>
        <w:t>Court,Katanga</w:t>
      </w:r>
      <w:proofErr w:type="spellEnd"/>
      <w:r w:rsidRPr="00E76EA2">
        <w:rPr>
          <w:sz w:val="20"/>
          <w:szCs w:val="20"/>
        </w:rPr>
        <w:t xml:space="preserve"> and </w:t>
      </w:r>
      <w:proofErr w:type="spellStart"/>
      <w:r w:rsidRPr="00E76EA2">
        <w:rPr>
          <w:sz w:val="20"/>
          <w:szCs w:val="20"/>
        </w:rPr>
        <w:t>Ngudjolo</w:t>
      </w:r>
      <w:proofErr w:type="spellEnd"/>
      <w:r w:rsidRPr="00E76EA2">
        <w:rPr>
          <w:sz w:val="20"/>
          <w:szCs w:val="20"/>
        </w:rPr>
        <w:t xml:space="preserve"> Chui cases, accessible at  </w:t>
      </w:r>
      <w:hyperlink r:id="rId20" w:history="1">
        <w:r w:rsidRPr="00E76EA2">
          <w:rPr>
            <w:rStyle w:val="Hyperlink"/>
            <w:sz w:val="20"/>
            <w:szCs w:val="20"/>
          </w:rPr>
          <w:t>http://iccnow.org/?mod=drctimelinekatanga&amp;idudctp=109&amp;order=titledesc</w:t>
        </w:r>
      </w:hyperlink>
      <w:r w:rsidRPr="00E76EA2">
        <w:rPr>
          <w:sz w:val="20"/>
          <w:szCs w:val="20"/>
        </w:rPr>
        <w:t xml:space="preserve"> last accessed 02 February2020 ;International Justice </w:t>
      </w:r>
      <w:proofErr w:type="spellStart"/>
      <w:r w:rsidRPr="00E76EA2">
        <w:rPr>
          <w:sz w:val="20"/>
          <w:szCs w:val="20"/>
        </w:rPr>
        <w:t>Monitor,Germain</w:t>
      </w:r>
      <w:proofErr w:type="spellEnd"/>
      <w:r w:rsidRPr="00E76EA2">
        <w:rPr>
          <w:sz w:val="20"/>
          <w:szCs w:val="20"/>
        </w:rPr>
        <w:t xml:space="preserve"> Katanga and Mathieu </w:t>
      </w:r>
      <w:proofErr w:type="spellStart"/>
      <w:r w:rsidRPr="00E76EA2">
        <w:rPr>
          <w:sz w:val="20"/>
          <w:szCs w:val="20"/>
        </w:rPr>
        <w:t>Ngudjolo</w:t>
      </w:r>
      <w:proofErr w:type="spellEnd"/>
      <w:r w:rsidRPr="00E76EA2">
        <w:rPr>
          <w:sz w:val="20"/>
          <w:szCs w:val="20"/>
        </w:rPr>
        <w:t xml:space="preserve"> Chui,  accessible at </w:t>
      </w:r>
      <w:hyperlink r:id="rId21" w:history="1">
        <w:r w:rsidRPr="00E76EA2">
          <w:rPr>
            <w:rStyle w:val="Hyperlink"/>
            <w:sz w:val="20"/>
            <w:szCs w:val="20"/>
          </w:rPr>
          <w:t>https://www.ijmonitor.org/germain-katanga-and-mathieu-ngudjolo-chui-background/</w:t>
        </w:r>
      </w:hyperlink>
      <w:r w:rsidRPr="00E76EA2">
        <w:rPr>
          <w:sz w:val="20"/>
          <w:szCs w:val="20"/>
        </w:rPr>
        <w:t xml:space="preserve"> &gt;last accessed 02 February 2020.</w:t>
      </w:r>
    </w:p>
  </w:footnote>
  <w:footnote w:id="340">
    <w:p w14:paraId="075128D9" w14:textId="32A1F880" w:rsidR="00C310AB" w:rsidRPr="00E76EA2" w:rsidRDefault="00C310AB" w:rsidP="000E5A7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w:t>
      </w:r>
      <w:r w:rsidR="00C62C62">
        <w:rPr>
          <w:sz w:val="20"/>
          <w:szCs w:val="20"/>
        </w:rPr>
        <w:t>d</w:t>
      </w:r>
      <w:r w:rsidRPr="00E76EA2">
        <w:rPr>
          <w:sz w:val="20"/>
          <w:szCs w:val="20"/>
        </w:rPr>
        <w:t>.</w:t>
      </w:r>
    </w:p>
  </w:footnote>
  <w:footnote w:id="341">
    <w:p w14:paraId="4F98C687" w14:textId="7916771D"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158.</w:t>
      </w:r>
    </w:p>
  </w:footnote>
  <w:footnote w:id="342">
    <w:p w14:paraId="3304FDA3" w14:textId="4D068921"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ICC-01/04-348-US-Exp andICC-01/04-350-US-EXP; The Prosecutor </w:t>
      </w:r>
      <w:proofErr w:type="spellStart"/>
      <w:r w:rsidRPr="00E76EA2">
        <w:rPr>
          <w:sz w:val="20"/>
          <w:szCs w:val="20"/>
        </w:rPr>
        <w:t>v.Germain</w:t>
      </w:r>
      <w:proofErr w:type="spellEnd"/>
      <w:r w:rsidRPr="00E76EA2">
        <w:rPr>
          <w:sz w:val="20"/>
          <w:szCs w:val="20"/>
        </w:rPr>
        <w:t xml:space="preserve"> Katanga, Case </w:t>
      </w:r>
      <w:proofErr w:type="spellStart"/>
      <w:r w:rsidRPr="00E76EA2">
        <w:rPr>
          <w:sz w:val="20"/>
          <w:szCs w:val="20"/>
        </w:rPr>
        <w:t>Informations</w:t>
      </w:r>
      <w:proofErr w:type="spellEnd"/>
      <w:r w:rsidRPr="00E76EA2">
        <w:rPr>
          <w:sz w:val="20"/>
          <w:szCs w:val="20"/>
        </w:rPr>
        <w:t xml:space="preserve"> Sheet, ICC-01/04-01/07, accessible at </w:t>
      </w:r>
      <w:hyperlink r:id="rId22" w:history="1">
        <w:r w:rsidRPr="00E76EA2">
          <w:rPr>
            <w:rStyle w:val="Hyperlink"/>
            <w:sz w:val="20"/>
            <w:szCs w:val="20"/>
          </w:rPr>
          <w:t>https://www.icc-cpi.int/iccdocs/pids/publications/KatangaEng.pdf</w:t>
        </w:r>
      </w:hyperlink>
      <w:r w:rsidRPr="00E76EA2">
        <w:rPr>
          <w:sz w:val="20"/>
          <w:szCs w:val="20"/>
        </w:rPr>
        <w:t xml:space="preserve"> &gt;  last accessed at 02 February 2020.</w:t>
      </w:r>
    </w:p>
  </w:footnote>
  <w:footnote w:id="343">
    <w:p w14:paraId="0141B5FA" w14:textId="69A8F59C"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ICC-01/04-01/07-257; International Justice Monitor, Germain Katanga and Mathieu </w:t>
      </w:r>
      <w:proofErr w:type="spellStart"/>
      <w:r w:rsidRPr="00E76EA2">
        <w:rPr>
          <w:sz w:val="20"/>
          <w:szCs w:val="20"/>
        </w:rPr>
        <w:t>Ngudjolo</w:t>
      </w:r>
      <w:proofErr w:type="spellEnd"/>
      <w:r w:rsidRPr="00E76EA2">
        <w:rPr>
          <w:sz w:val="20"/>
          <w:szCs w:val="20"/>
        </w:rPr>
        <w:t xml:space="preserve"> Chui,  accessible at </w:t>
      </w:r>
      <w:hyperlink r:id="rId23" w:history="1">
        <w:r w:rsidRPr="00E76EA2">
          <w:rPr>
            <w:rStyle w:val="Hyperlink"/>
            <w:sz w:val="20"/>
            <w:szCs w:val="20"/>
          </w:rPr>
          <w:t>https://www.ijmonitor.org/germain-katanga-and-mathieu-ngudjolo-chui-background/</w:t>
        </w:r>
      </w:hyperlink>
      <w:r w:rsidRPr="00E76EA2">
        <w:rPr>
          <w:sz w:val="20"/>
          <w:szCs w:val="20"/>
        </w:rPr>
        <w:t xml:space="preserve"> &gt;last accessed 02 February 2020.</w:t>
      </w:r>
    </w:p>
  </w:footnote>
  <w:footnote w:id="344">
    <w:p w14:paraId="78D9B360" w14:textId="6628AB09"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International Justice </w:t>
      </w:r>
      <w:proofErr w:type="spellStart"/>
      <w:r w:rsidRPr="00E76EA2">
        <w:rPr>
          <w:sz w:val="20"/>
          <w:szCs w:val="20"/>
        </w:rPr>
        <w:t>Monitor,Germain</w:t>
      </w:r>
      <w:proofErr w:type="spellEnd"/>
      <w:r w:rsidRPr="00E76EA2">
        <w:rPr>
          <w:sz w:val="20"/>
          <w:szCs w:val="20"/>
        </w:rPr>
        <w:t xml:space="preserve"> Katanga and Mathieu </w:t>
      </w:r>
      <w:proofErr w:type="spellStart"/>
      <w:r w:rsidRPr="00E76EA2">
        <w:rPr>
          <w:sz w:val="20"/>
          <w:szCs w:val="20"/>
        </w:rPr>
        <w:t>Ngudjolo</w:t>
      </w:r>
      <w:proofErr w:type="spellEnd"/>
      <w:r w:rsidRPr="00E76EA2">
        <w:rPr>
          <w:sz w:val="20"/>
          <w:szCs w:val="20"/>
        </w:rPr>
        <w:t xml:space="preserve"> Chui,  accessible at </w:t>
      </w:r>
      <w:hyperlink r:id="rId24" w:history="1">
        <w:r w:rsidRPr="00E76EA2">
          <w:rPr>
            <w:rStyle w:val="Hyperlink"/>
            <w:sz w:val="20"/>
            <w:szCs w:val="20"/>
          </w:rPr>
          <w:t>https://www.ijmonitor.org/germain-katanga-and-mathieu-ngudjolo-chui-background/</w:t>
        </w:r>
      </w:hyperlink>
      <w:r w:rsidRPr="00E76EA2">
        <w:rPr>
          <w:sz w:val="20"/>
          <w:szCs w:val="20"/>
        </w:rPr>
        <w:t xml:space="preserve"> &gt;last accessed 02 February 2020.</w:t>
      </w:r>
    </w:p>
  </w:footnote>
  <w:footnote w:id="345">
    <w:p w14:paraId="52C3583E" w14:textId="77777777" w:rsidR="00C310AB" w:rsidRPr="00E76EA2" w:rsidRDefault="00C310AB" w:rsidP="00974B6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Decision on the Confirmation of Charges in the Case of the Prosecutor v. Germain Katanga and Mathieu </w:t>
      </w:r>
      <w:proofErr w:type="spellStart"/>
      <w:r w:rsidRPr="00E76EA2">
        <w:rPr>
          <w:sz w:val="20"/>
          <w:szCs w:val="20"/>
        </w:rPr>
        <w:t>Ngudjolo</w:t>
      </w:r>
      <w:proofErr w:type="spellEnd"/>
      <w:r w:rsidRPr="00E76EA2">
        <w:rPr>
          <w:sz w:val="20"/>
          <w:szCs w:val="20"/>
        </w:rPr>
        <w:t xml:space="preserve"> Chui.</w:t>
      </w:r>
    </w:p>
    <w:p w14:paraId="2B1D31CB" w14:textId="77777777" w:rsidR="00C310AB" w:rsidRPr="00E76EA2" w:rsidRDefault="00C310AB" w:rsidP="00E76EA2">
      <w:pPr>
        <w:pStyle w:val="NoSpacing1"/>
        <w:rPr>
          <w:sz w:val="20"/>
          <w:szCs w:val="20"/>
        </w:rPr>
      </w:pPr>
    </w:p>
  </w:footnote>
  <w:footnote w:id="346">
    <w:p w14:paraId="1A0C0879" w14:textId="77777777" w:rsidR="00C310AB" w:rsidRPr="00E76EA2" w:rsidRDefault="00C310AB" w:rsidP="00974B6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Situation in the Democratic Republic of the Congo, in the case of the Prosecutor </w:t>
      </w:r>
      <w:proofErr w:type="spellStart"/>
      <w:r w:rsidRPr="00E76EA2">
        <w:rPr>
          <w:sz w:val="20"/>
          <w:szCs w:val="20"/>
          <w:lang w:val="en-US"/>
        </w:rPr>
        <w:t>v.Mathieu</w:t>
      </w:r>
      <w:proofErr w:type="spellEnd"/>
      <w:r w:rsidRPr="00E76EA2">
        <w:rPr>
          <w:sz w:val="20"/>
          <w:szCs w:val="20"/>
          <w:lang w:val="en-US"/>
        </w:rPr>
        <w:t xml:space="preserve"> </w:t>
      </w:r>
      <w:proofErr w:type="spellStart"/>
      <w:r w:rsidRPr="00E76EA2">
        <w:rPr>
          <w:sz w:val="20"/>
          <w:szCs w:val="20"/>
          <w:lang w:val="en-US"/>
        </w:rPr>
        <w:t>Ngudjolo</w:t>
      </w:r>
      <w:proofErr w:type="spellEnd"/>
      <w:r w:rsidRPr="00E76EA2">
        <w:rPr>
          <w:sz w:val="20"/>
          <w:szCs w:val="20"/>
          <w:lang w:val="en-US"/>
        </w:rPr>
        <w:t>, Judgment Pursuant to article 74 of the Statute,ICC-01/04-02/12-3-tENG 12-04-2013 1/198 FB T, 18 December 2012,p.7 para 7-9;Decision on the Confirmation of Charges, para 574-579</w:t>
      </w:r>
    </w:p>
  </w:footnote>
  <w:footnote w:id="347">
    <w:p w14:paraId="5AADC79F" w14:textId="5AE53A94" w:rsidR="00C310AB" w:rsidRPr="00E76EA2" w:rsidRDefault="00C310AB" w:rsidP="00974B6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Decision on the Confirmation of Charges in</w:t>
      </w:r>
      <w:r w:rsidRPr="00E76EA2">
        <w:rPr>
          <w:sz w:val="20"/>
          <w:szCs w:val="20"/>
        </w:rPr>
        <w:t xml:space="preserve"> </w:t>
      </w:r>
      <w:r w:rsidRPr="00E76EA2">
        <w:rPr>
          <w:sz w:val="20"/>
          <w:szCs w:val="20"/>
          <w:lang w:val="en-US"/>
        </w:rPr>
        <w:t xml:space="preserve">Situation in the Democratic Republic of the Congo, in the case of the Prosecutor </w:t>
      </w:r>
      <w:proofErr w:type="spellStart"/>
      <w:r w:rsidRPr="00E76EA2">
        <w:rPr>
          <w:sz w:val="20"/>
          <w:szCs w:val="20"/>
          <w:lang w:val="en-US"/>
        </w:rPr>
        <w:t>v.Mathieu</w:t>
      </w:r>
      <w:proofErr w:type="spellEnd"/>
      <w:r w:rsidRPr="00E76EA2">
        <w:rPr>
          <w:sz w:val="20"/>
          <w:szCs w:val="20"/>
          <w:lang w:val="en-US"/>
        </w:rPr>
        <w:t xml:space="preserve"> </w:t>
      </w:r>
      <w:proofErr w:type="spellStart"/>
      <w:r w:rsidRPr="00E76EA2">
        <w:rPr>
          <w:sz w:val="20"/>
          <w:szCs w:val="20"/>
          <w:lang w:val="en-US"/>
        </w:rPr>
        <w:t>Ngudjolo</w:t>
      </w:r>
      <w:proofErr w:type="spellEnd"/>
      <w:r w:rsidRPr="00E76EA2">
        <w:rPr>
          <w:sz w:val="20"/>
          <w:szCs w:val="20"/>
          <w:lang w:val="en-US"/>
        </w:rPr>
        <w:t>, Judgment Pursuant to article 74 of the Statute,ICC-01/04-02/12-3-tENG 12-04-2013 1/198 FB T, 18 December 2012,p.7 para 7-9;Decision on the Confirmation of Charges, para 574-579</w:t>
      </w:r>
    </w:p>
    <w:p w14:paraId="57D00B68" w14:textId="77777777" w:rsidR="00C310AB" w:rsidRPr="00E76EA2" w:rsidRDefault="00C310AB" w:rsidP="00974B6C">
      <w:pPr>
        <w:pStyle w:val="NoSpacing1"/>
        <w:spacing w:line="276" w:lineRule="auto"/>
        <w:jc w:val="both"/>
        <w:rPr>
          <w:sz w:val="20"/>
          <w:szCs w:val="20"/>
          <w:lang w:val="en-US"/>
        </w:rPr>
      </w:pPr>
      <w:proofErr w:type="spellStart"/>
      <w:r w:rsidRPr="00E76EA2">
        <w:rPr>
          <w:sz w:val="20"/>
          <w:szCs w:val="20"/>
          <w:lang w:val="en-US"/>
        </w:rPr>
        <w:t>n</w:t>
      </w:r>
      <w:proofErr w:type="spellEnd"/>
      <w:r w:rsidRPr="00E76EA2">
        <w:rPr>
          <w:sz w:val="20"/>
          <w:szCs w:val="20"/>
          <w:lang w:val="en-US"/>
        </w:rPr>
        <w:t xml:space="preserve"> the case of the Prosecutor v. Germain Katanga and Mathieu </w:t>
      </w:r>
      <w:proofErr w:type="spellStart"/>
      <w:r w:rsidRPr="00E76EA2">
        <w:rPr>
          <w:sz w:val="20"/>
          <w:szCs w:val="20"/>
          <w:lang w:val="en-US"/>
        </w:rPr>
        <w:t>Ngudjolo</w:t>
      </w:r>
      <w:proofErr w:type="spellEnd"/>
      <w:r w:rsidRPr="00E76EA2">
        <w:rPr>
          <w:sz w:val="20"/>
          <w:szCs w:val="20"/>
          <w:lang w:val="en-US"/>
        </w:rPr>
        <w:t xml:space="preserve"> Chui, para.576 and 580.</w:t>
      </w:r>
    </w:p>
  </w:footnote>
  <w:footnote w:id="348">
    <w:p w14:paraId="63527D28" w14:textId="2CB88E16"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International Justice Monitor, Background to the Germain Katanga and Mathieu </w:t>
      </w:r>
      <w:proofErr w:type="spellStart"/>
      <w:r w:rsidRPr="00E76EA2">
        <w:rPr>
          <w:sz w:val="20"/>
          <w:szCs w:val="20"/>
        </w:rPr>
        <w:t>Ngudjolo</w:t>
      </w:r>
      <w:proofErr w:type="spellEnd"/>
      <w:r w:rsidRPr="00E76EA2">
        <w:rPr>
          <w:sz w:val="20"/>
          <w:szCs w:val="20"/>
        </w:rPr>
        <w:t xml:space="preserve"> Chui Trials, accessible at </w:t>
      </w:r>
      <w:hyperlink r:id="rId25" w:history="1">
        <w:r w:rsidRPr="00E76EA2">
          <w:rPr>
            <w:rStyle w:val="Hyperlink"/>
            <w:sz w:val="20"/>
            <w:szCs w:val="20"/>
          </w:rPr>
          <w:t>https://www.ijmonitor.org/germain-katanga-and-mathieu-ngudjolo-chui-background/</w:t>
        </w:r>
      </w:hyperlink>
      <w:r w:rsidRPr="00E76EA2">
        <w:rPr>
          <w:sz w:val="20"/>
          <w:szCs w:val="20"/>
        </w:rPr>
        <w:t xml:space="preserve"> Last accessed 02/February 2020.</w:t>
      </w:r>
    </w:p>
  </w:footnote>
  <w:footnote w:id="349">
    <w:p w14:paraId="6E984258" w14:textId="77777777" w:rsidR="00C310AB" w:rsidRPr="00E76EA2" w:rsidRDefault="00C310AB" w:rsidP="00974B6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206, paras 213-154.</w:t>
      </w:r>
    </w:p>
  </w:footnote>
  <w:footnote w:id="350">
    <w:p w14:paraId="62360980" w14:textId="5E77539A" w:rsidR="00C310AB" w:rsidRPr="00E76EA2" w:rsidRDefault="00C310AB" w:rsidP="00974B6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Closing Brief of the common legal representatives of the main group of victims , paras 195-209 and 259; Oral Closing Statement of the common legal representatives of the main group pf victims , T.337, PP.89-91.</w:t>
      </w:r>
    </w:p>
  </w:footnote>
  <w:footnote w:id="351">
    <w:p w14:paraId="4E17641E" w14:textId="0AC71F72"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Judge Anita </w:t>
      </w:r>
      <w:proofErr w:type="spellStart"/>
      <w:r w:rsidRPr="00E76EA2">
        <w:rPr>
          <w:sz w:val="20"/>
          <w:szCs w:val="20"/>
        </w:rPr>
        <w:t>Usacka</w:t>
      </w:r>
      <w:proofErr w:type="spellEnd"/>
      <w:r w:rsidRPr="00E76EA2">
        <w:rPr>
          <w:sz w:val="20"/>
          <w:szCs w:val="20"/>
        </w:rPr>
        <w:t>, Dissenting Opinion</w:t>
      </w:r>
      <w:r w:rsidR="00C62C62">
        <w:rPr>
          <w:sz w:val="20"/>
          <w:szCs w:val="20"/>
        </w:rPr>
        <w:t>.</w:t>
      </w:r>
    </w:p>
  </w:footnote>
  <w:footnote w:id="352">
    <w:p w14:paraId="7268ACF6" w14:textId="140DFCD5"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C62C62">
        <w:rPr>
          <w:sz w:val="20"/>
          <w:szCs w:val="20"/>
        </w:rPr>
        <w:t>.</w:t>
      </w:r>
    </w:p>
  </w:footnote>
  <w:footnote w:id="353">
    <w:p w14:paraId="34C03FF2" w14:textId="08EE8B45" w:rsidR="00C310AB" w:rsidRPr="00E76EA2" w:rsidRDefault="00C310AB" w:rsidP="00974B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Michele Laborde-</w:t>
      </w:r>
      <w:proofErr w:type="spellStart"/>
      <w:r w:rsidRPr="00E76EA2">
        <w:rPr>
          <w:sz w:val="20"/>
          <w:szCs w:val="20"/>
        </w:rPr>
        <w:t>Barnagere</w:t>
      </w:r>
      <w:proofErr w:type="spellEnd"/>
      <w:r w:rsidRPr="00E76EA2">
        <w:rPr>
          <w:sz w:val="20"/>
          <w:szCs w:val="20"/>
        </w:rPr>
        <w:t xml:space="preserve">, Guy </w:t>
      </w:r>
      <w:proofErr w:type="spellStart"/>
      <w:r w:rsidRPr="00E76EA2">
        <w:rPr>
          <w:sz w:val="20"/>
          <w:szCs w:val="20"/>
        </w:rPr>
        <w:t>Mushiate</w:t>
      </w:r>
      <w:proofErr w:type="spellEnd"/>
      <w:r w:rsidRPr="00E76EA2">
        <w:rPr>
          <w:sz w:val="20"/>
          <w:szCs w:val="20"/>
        </w:rPr>
        <w:t xml:space="preserve"> and </w:t>
      </w:r>
      <w:proofErr w:type="spellStart"/>
      <w:r w:rsidRPr="00E76EA2">
        <w:rPr>
          <w:sz w:val="20"/>
          <w:szCs w:val="20"/>
        </w:rPr>
        <w:t>Meritxell</w:t>
      </w:r>
      <w:proofErr w:type="spellEnd"/>
      <w:r w:rsidRPr="00E76EA2">
        <w:rPr>
          <w:sz w:val="20"/>
          <w:szCs w:val="20"/>
        </w:rPr>
        <w:t xml:space="preserve"> </w:t>
      </w:r>
      <w:proofErr w:type="spellStart"/>
      <w:r w:rsidRPr="00E76EA2">
        <w:rPr>
          <w:sz w:val="20"/>
          <w:szCs w:val="20"/>
        </w:rPr>
        <w:t>Regue</w:t>
      </w:r>
      <w:proofErr w:type="spellEnd"/>
      <w:r w:rsidRPr="00E76EA2">
        <w:rPr>
          <w:sz w:val="20"/>
          <w:szCs w:val="20"/>
        </w:rPr>
        <w:t xml:space="preserve">, ICTJ briefing, Case against Germain Katanga and Mathieu </w:t>
      </w:r>
      <w:proofErr w:type="spellStart"/>
      <w:r w:rsidRPr="00E76EA2">
        <w:rPr>
          <w:sz w:val="20"/>
          <w:szCs w:val="20"/>
        </w:rPr>
        <w:t>Ngudjolo</w:t>
      </w:r>
      <w:proofErr w:type="spellEnd"/>
      <w:r w:rsidRPr="00E76EA2">
        <w:rPr>
          <w:sz w:val="20"/>
          <w:szCs w:val="20"/>
        </w:rPr>
        <w:t xml:space="preserve"> </w:t>
      </w:r>
      <w:hyperlink r:id="rId26" w:history="1">
        <w:r w:rsidR="00C62C62" w:rsidRPr="00BE40CB">
          <w:rPr>
            <w:rStyle w:val="Hyperlink"/>
            <w:sz w:val="20"/>
            <w:szCs w:val="20"/>
          </w:rPr>
          <w:t>https://www.ictj.org/sites/default/files/ICTJ-Briefing-DRC-Katanga-2014.PDF</w:t>
        </w:r>
      </w:hyperlink>
      <w:r w:rsidR="00C62C62">
        <w:rPr>
          <w:sz w:val="20"/>
          <w:szCs w:val="20"/>
        </w:rPr>
        <w:t>.</w:t>
      </w:r>
    </w:p>
  </w:footnote>
  <w:footnote w:id="354">
    <w:p w14:paraId="4E61F404" w14:textId="7E0F86BD" w:rsidR="00C310AB" w:rsidRPr="00E76EA2" w:rsidRDefault="00C310AB" w:rsidP="00603C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603CD0">
        <w:rPr>
          <w:sz w:val="20"/>
          <w:szCs w:val="20"/>
        </w:rPr>
        <w:t>.</w:t>
      </w:r>
    </w:p>
  </w:footnote>
  <w:footnote w:id="355">
    <w:p w14:paraId="55924FFF" w14:textId="77C189B1" w:rsidR="00C310AB" w:rsidRPr="00E76EA2" w:rsidRDefault="00C310AB" w:rsidP="00603CD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Kevin Jon Heller, “Another Terrible Day for the OTP” </w:t>
      </w:r>
      <w:proofErr w:type="spellStart"/>
      <w:r w:rsidRPr="00E76EA2">
        <w:rPr>
          <w:sz w:val="20"/>
          <w:szCs w:val="20"/>
        </w:rPr>
        <w:t>Opinio</w:t>
      </w:r>
      <w:proofErr w:type="spellEnd"/>
      <w:r w:rsidRPr="00E76EA2">
        <w:rPr>
          <w:sz w:val="20"/>
          <w:szCs w:val="20"/>
        </w:rPr>
        <w:t xml:space="preserve"> Juris, </w:t>
      </w:r>
      <w:hyperlink r:id="rId27" w:history="1">
        <w:r w:rsidRPr="00E76EA2">
          <w:rPr>
            <w:rStyle w:val="Hyperlink"/>
            <w:sz w:val="20"/>
            <w:szCs w:val="20"/>
          </w:rPr>
          <w:t>http://opiniojuris.org/2014/03/08/another-terrible-day-otp/</w:t>
        </w:r>
      </w:hyperlink>
      <w:r w:rsidRPr="00E76EA2">
        <w:rPr>
          <w:sz w:val="20"/>
          <w:szCs w:val="20"/>
        </w:rPr>
        <w:t xml:space="preserve"> ; </w:t>
      </w:r>
      <w:proofErr w:type="spellStart"/>
      <w:r w:rsidRPr="00E76EA2">
        <w:rPr>
          <w:sz w:val="20"/>
          <w:szCs w:val="20"/>
        </w:rPr>
        <w:t>Dov</w:t>
      </w:r>
      <w:proofErr w:type="spellEnd"/>
      <w:r w:rsidRPr="00E76EA2">
        <w:rPr>
          <w:sz w:val="20"/>
          <w:szCs w:val="20"/>
        </w:rPr>
        <w:t xml:space="preserve"> Jacobs, The ICC Katanga </w:t>
      </w:r>
      <w:proofErr w:type="spellStart"/>
      <w:r w:rsidRPr="00E76EA2">
        <w:rPr>
          <w:sz w:val="20"/>
          <w:szCs w:val="20"/>
        </w:rPr>
        <w:t>Judgment:A</w:t>
      </w:r>
      <w:proofErr w:type="spellEnd"/>
      <w:r w:rsidRPr="00E76EA2">
        <w:rPr>
          <w:sz w:val="20"/>
          <w:szCs w:val="20"/>
        </w:rPr>
        <w:t xml:space="preserve"> </w:t>
      </w:r>
      <w:proofErr w:type="spellStart"/>
      <w:r w:rsidRPr="00E76EA2">
        <w:rPr>
          <w:sz w:val="20"/>
          <w:szCs w:val="20"/>
        </w:rPr>
        <w:t>Commentary:Investigation</w:t>
      </w:r>
      <w:proofErr w:type="spellEnd"/>
      <w:r w:rsidRPr="00E76EA2">
        <w:rPr>
          <w:sz w:val="20"/>
          <w:szCs w:val="20"/>
        </w:rPr>
        <w:t xml:space="preserve"> , Interpretation and the Crimes 10 March 2014, </w:t>
      </w:r>
      <w:hyperlink r:id="rId28" w:history="1">
        <w:r w:rsidR="00603CD0" w:rsidRPr="0044291A">
          <w:rPr>
            <w:rStyle w:val="Hyperlink"/>
            <w:sz w:val="20"/>
            <w:szCs w:val="20"/>
          </w:rPr>
          <w:t>https://dovjacobs.com/2014/03/10/the-icc-katanga-judgment-a-commentary-part-1-investigation-interpretation-and-the-crimes/</w:t>
        </w:r>
      </w:hyperlink>
      <w:r w:rsidR="00603CD0">
        <w:rPr>
          <w:sz w:val="20"/>
          <w:szCs w:val="20"/>
        </w:rPr>
        <w:t xml:space="preserve"> last accessed 10 May 20</w:t>
      </w:r>
      <w:r w:rsidR="00C164B9">
        <w:rPr>
          <w:sz w:val="20"/>
          <w:szCs w:val="20"/>
        </w:rPr>
        <w:t>20.</w:t>
      </w:r>
    </w:p>
  </w:footnote>
  <w:footnote w:id="356">
    <w:p w14:paraId="6913C4E6" w14:textId="5F65D47C" w:rsidR="00C310AB" w:rsidRPr="00E76EA2" w:rsidRDefault="00C310AB" w:rsidP="00C164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C164B9">
        <w:rPr>
          <w:sz w:val="20"/>
          <w:szCs w:val="20"/>
        </w:rPr>
        <w:t>.</w:t>
      </w:r>
    </w:p>
  </w:footnote>
  <w:footnote w:id="357">
    <w:p w14:paraId="36758E89" w14:textId="77777777" w:rsidR="00C310AB" w:rsidRPr="00E76EA2" w:rsidRDefault="00C310AB" w:rsidP="00C164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Kevin Jon Keller, “A Stick to Hit the Accused </w:t>
      </w:r>
      <w:proofErr w:type="spellStart"/>
      <w:r w:rsidRPr="00E76EA2">
        <w:rPr>
          <w:sz w:val="20"/>
          <w:szCs w:val="20"/>
        </w:rPr>
        <w:t>With’:The</w:t>
      </w:r>
      <w:proofErr w:type="spellEnd"/>
      <w:r w:rsidRPr="00E76EA2">
        <w:rPr>
          <w:sz w:val="20"/>
          <w:szCs w:val="20"/>
        </w:rPr>
        <w:t xml:space="preserve"> Legal Characterisation of Facts under Regulation 55’ in </w:t>
      </w:r>
      <w:proofErr w:type="spellStart"/>
      <w:r w:rsidRPr="00E76EA2">
        <w:rPr>
          <w:sz w:val="20"/>
          <w:szCs w:val="20"/>
        </w:rPr>
        <w:t>Reason’In</w:t>
      </w:r>
      <w:proofErr w:type="spellEnd"/>
      <w:r w:rsidRPr="00E76EA2">
        <w:rPr>
          <w:sz w:val="20"/>
          <w:szCs w:val="20"/>
        </w:rPr>
        <w:t xml:space="preserve"> Carsten </w:t>
      </w:r>
      <w:proofErr w:type="spellStart"/>
      <w:r w:rsidRPr="00E76EA2">
        <w:rPr>
          <w:sz w:val="20"/>
          <w:szCs w:val="20"/>
        </w:rPr>
        <w:t>Stahn</w:t>
      </w:r>
      <w:proofErr w:type="spellEnd"/>
      <w:r w:rsidRPr="00E76EA2">
        <w:rPr>
          <w:sz w:val="20"/>
          <w:szCs w:val="20"/>
        </w:rPr>
        <w:t xml:space="preserve"> (ed) </w:t>
      </w:r>
      <w:r w:rsidRPr="00E76EA2">
        <w:rPr>
          <w:i/>
          <w:sz w:val="20"/>
          <w:szCs w:val="20"/>
        </w:rPr>
        <w:t>The Law and Practice of the International Criminal Court</w:t>
      </w:r>
      <w:r w:rsidRPr="00E76EA2">
        <w:rPr>
          <w:sz w:val="20"/>
          <w:szCs w:val="20"/>
        </w:rPr>
        <w:t xml:space="preserve"> (Oxford University Press 2015)982</w:t>
      </w:r>
    </w:p>
  </w:footnote>
  <w:footnote w:id="358">
    <w:p w14:paraId="56E9F596" w14:textId="77777777" w:rsidR="00C310AB" w:rsidRPr="00E76EA2" w:rsidRDefault="00C310AB" w:rsidP="00C164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;Rome Statute of the International Criminal Court, U.N.Doc. A/CONF.183/9 1998, Art.52(1)</w:t>
      </w:r>
    </w:p>
  </w:footnote>
  <w:footnote w:id="359">
    <w:p w14:paraId="687F50D5" w14:textId="77777777" w:rsidR="00C310AB" w:rsidRPr="00E76EA2" w:rsidRDefault="00C310AB" w:rsidP="0066633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International Criminal Court ,Regulations of the Court, Reg.55,ICC-BD/01-01-04, adopted 26 May 2004.</w:t>
      </w:r>
    </w:p>
  </w:footnote>
  <w:footnote w:id="360">
    <w:p w14:paraId="774CF74F" w14:textId="77777777" w:rsidR="00C310AB" w:rsidRPr="00E76EA2" w:rsidRDefault="00C310AB" w:rsidP="0066633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Regulations of the Court, Reg. 55; Regulations of the Court, Official documents of the International Criminal Court, accessible at &lt; </w:t>
      </w:r>
      <w:hyperlink r:id="rId29" w:history="1">
        <w:r w:rsidRPr="00E76EA2">
          <w:rPr>
            <w:rStyle w:val="Hyperlink"/>
            <w:rFonts w:eastAsiaTheme="majorEastAsia"/>
            <w:sz w:val="20"/>
            <w:szCs w:val="20"/>
          </w:rPr>
          <w:t>https://www.icc-cpi.int/NR/rdonlyres/DF5E9E76-F99C-410A-85F4-01C4A2CE300C/0/ICCBD010207ENG.pdf</w:t>
        </w:r>
        <w:r w:rsidRPr="00E76EA2">
          <w:rPr>
            <w:rStyle w:val="Hyperlink"/>
            <w:sz w:val="20"/>
            <w:szCs w:val="20"/>
          </w:rPr>
          <w:t>&gt;last</w:t>
        </w:r>
      </w:hyperlink>
      <w:r w:rsidRPr="00E76EA2">
        <w:rPr>
          <w:sz w:val="20"/>
          <w:szCs w:val="20"/>
        </w:rPr>
        <w:t xml:space="preserve"> accessed 13 January 2020.</w:t>
      </w:r>
    </w:p>
  </w:footnote>
  <w:footnote w:id="361">
    <w:p w14:paraId="5EB87C2C" w14:textId="1410F635" w:rsidR="00C310AB" w:rsidRPr="00E76EA2" w:rsidRDefault="00C310AB" w:rsidP="0066633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C62C62">
        <w:rPr>
          <w:sz w:val="20"/>
          <w:szCs w:val="20"/>
        </w:rPr>
        <w:t>.</w:t>
      </w:r>
    </w:p>
  </w:footnote>
  <w:footnote w:id="362">
    <w:p w14:paraId="6680822B" w14:textId="77777777" w:rsidR="00C310AB" w:rsidRPr="00E76EA2" w:rsidRDefault="00C310AB" w:rsidP="0066633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363">
    <w:p w14:paraId="6B0E91D2" w14:textId="77777777" w:rsidR="00C310AB" w:rsidRPr="00E76EA2" w:rsidRDefault="00C310AB" w:rsidP="0066633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Dov</w:t>
      </w:r>
      <w:proofErr w:type="spellEnd"/>
      <w:r w:rsidRPr="00E76EA2">
        <w:rPr>
          <w:sz w:val="20"/>
          <w:szCs w:val="20"/>
        </w:rPr>
        <w:t xml:space="preserve"> Jacobs, Opinion Juris, ‘Lubanga Decision Roundtable :Lubanga, Sexual Violence and the Legal Re-Characterisation of facts. Accessible at </w:t>
      </w:r>
      <w:hyperlink r:id="rId30" w:history="1">
        <w:r w:rsidRPr="00E76EA2">
          <w:rPr>
            <w:rStyle w:val="Hyperlink"/>
            <w:rFonts w:eastAsiaTheme="majorEastAsia"/>
            <w:sz w:val="20"/>
            <w:szCs w:val="20"/>
          </w:rPr>
          <w:t>http://opiniojuris.org/2012/03/18/lubanga-decision-roundtable-lubanga-sexual-violence-and-the-legal-re-characterization-of-facts/</w:t>
        </w:r>
      </w:hyperlink>
      <w:r w:rsidRPr="00E76EA2">
        <w:rPr>
          <w:sz w:val="20"/>
          <w:szCs w:val="20"/>
        </w:rPr>
        <w:t xml:space="preserve"> &gt; last accessed 13 January 2020.</w:t>
      </w:r>
    </w:p>
  </w:footnote>
  <w:footnote w:id="364">
    <w:p w14:paraId="28FD1C34" w14:textId="78FA2E8E" w:rsidR="00C310AB" w:rsidRPr="00E76EA2" w:rsidRDefault="00C310AB" w:rsidP="008F69F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The Women Initiatives for Gender Justice, </w:t>
      </w:r>
      <w:proofErr w:type="spellStart"/>
      <w:r w:rsidRPr="00E76EA2">
        <w:rPr>
          <w:sz w:val="20"/>
          <w:szCs w:val="20"/>
        </w:rPr>
        <w:t>Reflection:Gender</w:t>
      </w:r>
      <w:proofErr w:type="spellEnd"/>
      <w:r w:rsidRPr="00E76EA2">
        <w:rPr>
          <w:sz w:val="20"/>
          <w:szCs w:val="20"/>
        </w:rPr>
        <w:t xml:space="preserve"> Issues and Child </w:t>
      </w:r>
      <w:proofErr w:type="spellStart"/>
      <w:r w:rsidRPr="00E76EA2">
        <w:rPr>
          <w:sz w:val="20"/>
          <w:szCs w:val="20"/>
        </w:rPr>
        <w:t>Soldiers,The</w:t>
      </w:r>
      <w:proofErr w:type="spellEnd"/>
      <w:r w:rsidRPr="00E76EA2">
        <w:rPr>
          <w:sz w:val="20"/>
          <w:szCs w:val="20"/>
        </w:rPr>
        <w:t xml:space="preserve"> Case of Prosecutor v Thomas </w:t>
      </w:r>
      <w:proofErr w:type="spellStart"/>
      <w:r w:rsidRPr="00E76EA2">
        <w:rPr>
          <w:sz w:val="20"/>
          <w:szCs w:val="20"/>
        </w:rPr>
        <w:t>Dyilo</w:t>
      </w:r>
      <w:proofErr w:type="spellEnd"/>
      <w:r w:rsidRPr="00E76EA2">
        <w:rPr>
          <w:sz w:val="20"/>
          <w:szCs w:val="20"/>
        </w:rPr>
        <w:t xml:space="preserve"> Lubanga,25 August 2011P.2-3; The Women Initiatives for Gender Justice&lt;</w:t>
      </w:r>
      <w:r w:rsidRPr="00E76EA2">
        <w:rPr>
          <w:color w:val="0000FF"/>
          <w:sz w:val="20"/>
          <w:szCs w:val="20"/>
        </w:rPr>
        <w:t>http://www.iccwomen.org/documents/Prosecutor_Letter_August_2006_Redacted.pdf</w:t>
      </w:r>
      <w:r w:rsidRPr="00E76EA2">
        <w:rPr>
          <w:sz w:val="20"/>
          <w:szCs w:val="20"/>
        </w:rPr>
        <w:t>&gt;. ; ICC-01/04-01/06-403. See also Legal Filings submitted by the Women’s Initiatives for Gender Justice to the International Criminal Court, available at &lt;</w:t>
      </w:r>
      <w:r w:rsidRPr="00E76EA2">
        <w:rPr>
          <w:color w:val="0000FF"/>
          <w:sz w:val="20"/>
          <w:szCs w:val="20"/>
        </w:rPr>
        <w:t>http://www.iccwomen.org/publications/articles/docs/LegalFilings-web-2-10.pdf</w:t>
      </w:r>
      <w:r w:rsidRPr="00E76EA2">
        <w:rPr>
          <w:sz w:val="20"/>
          <w:szCs w:val="20"/>
        </w:rPr>
        <w:t>&gt;.</w:t>
      </w:r>
      <w:r w:rsidR="008F69FD">
        <w:rPr>
          <w:sz w:val="20"/>
          <w:szCs w:val="20"/>
        </w:rPr>
        <w:t xml:space="preserve"> last accessed 20 May 2020.</w:t>
      </w:r>
    </w:p>
    <w:p w14:paraId="112FB48F" w14:textId="77777777" w:rsidR="00C310AB" w:rsidRPr="00E76EA2" w:rsidRDefault="00C310AB" w:rsidP="008F69FD">
      <w:pPr>
        <w:pStyle w:val="NoSpacing1"/>
        <w:spacing w:line="276" w:lineRule="auto"/>
        <w:jc w:val="both"/>
        <w:rPr>
          <w:sz w:val="20"/>
          <w:szCs w:val="20"/>
        </w:rPr>
      </w:pPr>
    </w:p>
    <w:p w14:paraId="6E2E983B" w14:textId="77777777" w:rsidR="00C310AB" w:rsidRPr="00E76EA2" w:rsidRDefault="00C310AB" w:rsidP="008F69FD">
      <w:pPr>
        <w:pStyle w:val="NoSpacing1"/>
        <w:spacing w:line="276" w:lineRule="auto"/>
        <w:jc w:val="both"/>
        <w:rPr>
          <w:sz w:val="20"/>
          <w:szCs w:val="20"/>
          <w:lang w:val="en-US"/>
        </w:rPr>
      </w:pPr>
    </w:p>
  </w:footnote>
  <w:footnote w:id="365">
    <w:p w14:paraId="0C92F7D0" w14:textId="77777777" w:rsidR="00C310AB" w:rsidRPr="00E76EA2" w:rsidRDefault="00C310AB" w:rsidP="008F69F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Pascal Kambale,  ‘The ICC and Lubanga :Missed Opportunities ‘ SSRC </w:t>
      </w:r>
      <w:proofErr w:type="spellStart"/>
      <w:r w:rsidRPr="00E76EA2">
        <w:rPr>
          <w:sz w:val="20"/>
          <w:szCs w:val="20"/>
          <w:lang w:val="en-US"/>
        </w:rPr>
        <w:t>Forums:African</w:t>
      </w:r>
      <w:proofErr w:type="spellEnd"/>
      <w:r w:rsidRPr="00E76EA2">
        <w:rPr>
          <w:sz w:val="20"/>
          <w:szCs w:val="20"/>
          <w:lang w:val="en-US"/>
        </w:rPr>
        <w:t xml:space="preserve"> Futures, 16 March 2012, available at </w:t>
      </w:r>
      <w:hyperlink r:id="rId31" w:history="1">
        <w:r w:rsidRPr="00E76EA2">
          <w:rPr>
            <w:rStyle w:val="Hyperlink"/>
            <w:sz w:val="20"/>
            <w:szCs w:val="20"/>
            <w:lang w:val="en-US"/>
          </w:rPr>
          <w:t xml:space="preserve">http://forums.ssrc.org/african-futures/2012/03/16/african-futures-icc-missed-opportunities/ </w:t>
        </w:r>
      </w:hyperlink>
      <w:r w:rsidRPr="00E76EA2">
        <w:rPr>
          <w:sz w:val="20"/>
          <w:szCs w:val="20"/>
          <w:lang w:val="en-US"/>
        </w:rPr>
        <w:t xml:space="preserve"> last accessed 16 March 2019.</w:t>
      </w:r>
    </w:p>
  </w:footnote>
  <w:footnote w:id="366">
    <w:p w14:paraId="25FF817F" w14:textId="014D6628"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00F8220D">
        <w:rPr>
          <w:sz w:val="20"/>
          <w:szCs w:val="20"/>
        </w:rPr>
        <w:t xml:space="preserve">Women’s Rights and Human Rights </w:t>
      </w:r>
      <w:proofErr w:type="spellStart"/>
      <w:r w:rsidR="00F8220D">
        <w:rPr>
          <w:sz w:val="20"/>
          <w:szCs w:val="20"/>
        </w:rPr>
        <w:t>NGOs</w:t>
      </w:r>
      <w:r w:rsidR="0099709F">
        <w:rPr>
          <w:sz w:val="20"/>
          <w:szCs w:val="20"/>
        </w:rPr>
        <w:t>,</w:t>
      </w:r>
      <w:r w:rsidRPr="00E76EA2">
        <w:rPr>
          <w:sz w:val="20"/>
          <w:szCs w:val="20"/>
          <w:shd w:val="clear" w:color="auto" w:fill="FFFFFF"/>
        </w:rPr>
        <w:t>“Obtaining</w:t>
      </w:r>
      <w:proofErr w:type="spellEnd"/>
      <w:r w:rsidRPr="00E76EA2">
        <w:rPr>
          <w:sz w:val="20"/>
          <w:szCs w:val="20"/>
          <w:shd w:val="clear" w:color="auto" w:fill="FFFFFF"/>
        </w:rPr>
        <w:t xml:space="preserve"> further charges in the opening case against Thomas Lubanga”, </w:t>
      </w:r>
      <w:r w:rsidRPr="00E76EA2">
        <w:rPr>
          <w:i/>
          <w:iCs/>
          <w:sz w:val="20"/>
          <w:szCs w:val="20"/>
        </w:rPr>
        <w:t>Statement by women’s rights and human rights NGOs of the DRC on the prosecutions by the ICC</w:t>
      </w:r>
      <w:r w:rsidRPr="00E76EA2">
        <w:rPr>
          <w:sz w:val="20"/>
          <w:szCs w:val="20"/>
          <w:shd w:val="clear" w:color="auto" w:fill="FFFFFF"/>
        </w:rPr>
        <w:t>, Beni, September 16, 2006 (on file with the author)</w:t>
      </w:r>
    </w:p>
  </w:footnote>
  <w:footnote w:id="367">
    <w:p w14:paraId="5617AB32" w14:textId="77777777"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Congolese Women’s Campaign against Sexual Violence in the Democratic Republic of Congo</w:t>
      </w:r>
    </w:p>
  </w:footnote>
  <w:footnote w:id="368">
    <w:p w14:paraId="650F70A2" w14:textId="69C20BA5"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Decision on the Confirmation of the Charges, Case No.ICC-01/04-01/06, 29 January 2007</w:t>
      </w:r>
      <w:r w:rsidR="00C62C62">
        <w:rPr>
          <w:sz w:val="20"/>
          <w:szCs w:val="20"/>
        </w:rPr>
        <w:t>.</w:t>
      </w:r>
    </w:p>
  </w:footnote>
  <w:footnote w:id="369">
    <w:p w14:paraId="1C60DE08" w14:textId="77777777"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Press Release, ICC-otp-20040623-59-En, 23 June 2004 </w:t>
      </w:r>
      <w:hyperlink r:id="rId32" w:history="1">
        <w:r w:rsidRPr="00E76EA2">
          <w:rPr>
            <w:rStyle w:val="Hyperlink"/>
            <w:sz w:val="20"/>
            <w:szCs w:val="20"/>
          </w:rPr>
          <w:t>http://www.icc-cpi.int/pressrelease_details&amp;=en.html</w:t>
        </w:r>
      </w:hyperlink>
      <w:r w:rsidRPr="00E76EA2">
        <w:rPr>
          <w:sz w:val="20"/>
          <w:szCs w:val="20"/>
        </w:rPr>
        <w:t>.</w:t>
      </w:r>
    </w:p>
  </w:footnote>
  <w:footnote w:id="370">
    <w:p w14:paraId="4B3290F4" w14:textId="77777777"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Women Initiatives for Gender Justice , </w:t>
      </w:r>
      <w:hyperlink r:id="rId33" w:history="1">
        <w:r w:rsidRPr="00E76EA2">
          <w:rPr>
            <w:rStyle w:val="Hyperlink"/>
            <w:sz w:val="20"/>
            <w:szCs w:val="20"/>
          </w:rPr>
          <w:t>http://www.iccwomen.org/documents/Prosecutor _Letter_August_2006_Redacted.pdf</w:t>
        </w:r>
      </w:hyperlink>
      <w:r w:rsidRPr="00E76EA2">
        <w:rPr>
          <w:sz w:val="20"/>
          <w:szCs w:val="20"/>
        </w:rPr>
        <w:t xml:space="preserve">;Address Prosecutor Luiz Moreno Ocampo, Third Session of the Assembly of State Parties to the Rome Statute of the International Criminal Court, The Hague , August 2006,6Septmeber 2004 </w:t>
      </w:r>
      <w:hyperlink r:id="rId34" w:history="1">
        <w:r w:rsidRPr="00E76EA2">
          <w:rPr>
            <w:rStyle w:val="Hyperlink"/>
            <w:sz w:val="20"/>
            <w:szCs w:val="20"/>
          </w:rPr>
          <w:t>http://www.icc-cpi.int/library/asp/LMO_20040906_eN.PDF(stating</w:t>
        </w:r>
      </w:hyperlink>
      <w:r w:rsidRPr="00E76EA2">
        <w:rPr>
          <w:sz w:val="20"/>
          <w:szCs w:val="20"/>
        </w:rPr>
        <w:t xml:space="preserve"> that “available information suggest that rape and other crimes of sexual violence , torture ,child conscription , and forced displacement continue to take place” in the DRC).</w:t>
      </w:r>
    </w:p>
  </w:footnote>
  <w:footnote w:id="371">
    <w:p w14:paraId="6DEFB562" w14:textId="0FFD2A44"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Women Initiatives for Gender Justice,</w:t>
      </w:r>
      <w:r w:rsidR="0099709F">
        <w:rPr>
          <w:sz w:val="20"/>
          <w:szCs w:val="20"/>
        </w:rPr>
        <w:t xml:space="preserve"> available at</w:t>
      </w:r>
      <w:r w:rsidRPr="00E76EA2">
        <w:rPr>
          <w:sz w:val="20"/>
          <w:szCs w:val="20"/>
        </w:rPr>
        <w:t xml:space="preserve"> </w:t>
      </w:r>
      <w:hyperlink r:id="rId35" w:history="1">
        <w:r w:rsidRPr="00E76EA2">
          <w:rPr>
            <w:rStyle w:val="Hyperlink"/>
            <w:sz w:val="20"/>
            <w:szCs w:val="20"/>
          </w:rPr>
          <w:t>http://www.iccwomen.org/documents/Prosecutor _Letter_August_2006_Redacted.pdf</w:t>
        </w:r>
      </w:hyperlink>
      <w:r w:rsidRPr="00E76EA2">
        <w:rPr>
          <w:sz w:val="20"/>
          <w:szCs w:val="20"/>
        </w:rPr>
        <w:t>&gt;.p.2.</w:t>
      </w:r>
      <w:r w:rsidR="0099709F">
        <w:rPr>
          <w:sz w:val="20"/>
          <w:szCs w:val="20"/>
        </w:rPr>
        <w:t>last accessed 11 January 2020.</w:t>
      </w:r>
    </w:p>
  </w:footnote>
  <w:footnote w:id="372">
    <w:p w14:paraId="61CBA608" w14:textId="77777777"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Ibid,para</w:t>
      </w:r>
      <w:proofErr w:type="spellEnd"/>
      <w:r w:rsidRPr="00E76EA2">
        <w:rPr>
          <w:sz w:val="20"/>
          <w:szCs w:val="20"/>
        </w:rPr>
        <w:t xml:space="preserve"> 41.</w:t>
      </w:r>
    </w:p>
  </w:footnote>
  <w:footnote w:id="373">
    <w:p w14:paraId="5CAD69F4" w14:textId="7E4B3DED"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xml:space="preserve"> , Decision giving notice to the parties and participants that the legal characterisation of the facts may be subject to change in accordance with Regulation 55(2) of the Regulations of the Court, ICC-01/04-01/06-2049,14 July 2009;Prosecutor </w:t>
      </w:r>
      <w:proofErr w:type="spellStart"/>
      <w:r w:rsidRPr="00E76EA2">
        <w:rPr>
          <w:sz w:val="20"/>
          <w:szCs w:val="20"/>
        </w:rPr>
        <w:t>v.Thomas</w:t>
      </w:r>
      <w:proofErr w:type="spellEnd"/>
      <w:r w:rsidRPr="00E76EA2">
        <w:rPr>
          <w:sz w:val="20"/>
          <w:szCs w:val="20"/>
        </w:rPr>
        <w:t xml:space="preserve"> </w:t>
      </w:r>
      <w:proofErr w:type="spellStart"/>
      <w:r w:rsidRPr="00E76EA2">
        <w:rPr>
          <w:sz w:val="20"/>
          <w:szCs w:val="20"/>
        </w:rPr>
        <w:t>Lubanag</w:t>
      </w:r>
      <w:proofErr w:type="spellEnd"/>
      <w:r w:rsidRPr="00E76EA2">
        <w:rPr>
          <w:sz w:val="20"/>
          <w:szCs w:val="20"/>
        </w:rPr>
        <w:t xml:space="preserve"> </w:t>
      </w:r>
      <w:proofErr w:type="spellStart"/>
      <w:r w:rsidRPr="00E76EA2">
        <w:rPr>
          <w:sz w:val="20"/>
          <w:szCs w:val="20"/>
        </w:rPr>
        <w:t>Dyilo</w:t>
      </w:r>
      <w:proofErr w:type="spellEnd"/>
      <w:r w:rsidRPr="00E76EA2">
        <w:rPr>
          <w:sz w:val="20"/>
          <w:szCs w:val="20"/>
        </w:rPr>
        <w:t xml:space="preserve">, Joint Application of the Legal Representatives of the Victims </w:t>
      </w:r>
      <w:proofErr w:type="spellStart"/>
      <w:r w:rsidRPr="00E76EA2">
        <w:rPr>
          <w:sz w:val="20"/>
          <w:szCs w:val="20"/>
        </w:rPr>
        <w:t>fro</w:t>
      </w:r>
      <w:proofErr w:type="spellEnd"/>
      <w:r w:rsidRPr="00E76EA2">
        <w:rPr>
          <w:sz w:val="20"/>
          <w:szCs w:val="20"/>
        </w:rPr>
        <w:t xml:space="preserve"> the </w:t>
      </w:r>
      <w:proofErr w:type="spellStart"/>
      <w:r w:rsidRPr="00E76EA2">
        <w:rPr>
          <w:sz w:val="20"/>
          <w:szCs w:val="20"/>
        </w:rPr>
        <w:t>Implementaion</w:t>
      </w:r>
      <w:proofErr w:type="spellEnd"/>
      <w:r w:rsidRPr="00E76EA2">
        <w:rPr>
          <w:sz w:val="20"/>
          <w:szCs w:val="20"/>
        </w:rPr>
        <w:t xml:space="preserve"> of the Procedure Under Regulation 55 of the Regulations of the Court, Trail Chamber 1,22 May 2009,ICC-01/04-01/06-1891-tENG,5</w:t>
      </w:r>
      <w:r w:rsidR="0099709F">
        <w:rPr>
          <w:sz w:val="20"/>
          <w:szCs w:val="20"/>
        </w:rPr>
        <w:t>.</w:t>
      </w:r>
    </w:p>
  </w:footnote>
  <w:footnote w:id="374">
    <w:p w14:paraId="03C6A8CF" w14:textId="2793BB63"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162, par.27</w:t>
      </w:r>
      <w:r w:rsidR="0099709F">
        <w:rPr>
          <w:sz w:val="20"/>
          <w:szCs w:val="20"/>
        </w:rPr>
        <w:t>.</w:t>
      </w:r>
    </w:p>
  </w:footnote>
  <w:footnote w:id="375">
    <w:p w14:paraId="7746C7A4" w14:textId="5445A237"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192,para.28-3</w:t>
      </w:r>
      <w:r w:rsidR="0099709F">
        <w:rPr>
          <w:sz w:val="20"/>
          <w:szCs w:val="20"/>
        </w:rPr>
        <w:t>.</w:t>
      </w:r>
      <w:r w:rsidRPr="00E76EA2">
        <w:rPr>
          <w:sz w:val="20"/>
          <w:szCs w:val="20"/>
        </w:rPr>
        <w:t>1</w:t>
      </w:r>
      <w:r w:rsidR="00C62C62">
        <w:rPr>
          <w:sz w:val="20"/>
          <w:szCs w:val="20"/>
        </w:rPr>
        <w:t>.</w:t>
      </w:r>
    </w:p>
  </w:footnote>
  <w:footnote w:id="376">
    <w:p w14:paraId="7165D27D" w14:textId="460A4CFE"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Ibid,para-27-32.</w:t>
      </w:r>
    </w:p>
  </w:footnote>
  <w:footnote w:id="377">
    <w:p w14:paraId="6A49059C" w14:textId="0E6CF9B1"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Minority Opinion of Judge Adrian Fulford, Prosecutor </w:t>
      </w:r>
      <w:proofErr w:type="spellStart"/>
      <w:r w:rsidRPr="00E76EA2">
        <w:rPr>
          <w:sz w:val="20"/>
          <w:szCs w:val="20"/>
        </w:rPr>
        <w:t>v.Lubanga</w:t>
      </w:r>
      <w:proofErr w:type="spellEnd"/>
      <w:r w:rsidRPr="00E76EA2">
        <w:rPr>
          <w:sz w:val="20"/>
          <w:szCs w:val="20"/>
        </w:rPr>
        <w:t>, Notice to the Parties  and Participants that the Legal Characterisation of Facts may be subject to Change in Accordance with Regulation 55(2) of the Regulations of the Court, ICC-01/04-01/06,Paras.7,10,12,15,16</w:t>
      </w:r>
      <w:r w:rsidR="00C62C62">
        <w:rPr>
          <w:sz w:val="20"/>
          <w:szCs w:val="20"/>
        </w:rPr>
        <w:t>.</w:t>
      </w:r>
    </w:p>
  </w:footnote>
  <w:footnote w:id="378">
    <w:p w14:paraId="0E6929C9" w14:textId="77777777" w:rsidR="00C310AB" w:rsidRPr="00E76EA2" w:rsidRDefault="00C310AB" w:rsidP="0099709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Dyilo,Decision</w:t>
      </w:r>
      <w:proofErr w:type="spellEnd"/>
      <w:r w:rsidRPr="00E76EA2">
        <w:rPr>
          <w:sz w:val="20"/>
          <w:szCs w:val="20"/>
        </w:rPr>
        <w:t xml:space="preserve"> issuing a second corrigendum to the “Minority opinion on the ‘Decision giving notice to the parties and participants that the legal characterisation of facts may be subject to change in accordance with Regulation 55(2) of the Regulations of the </w:t>
      </w:r>
      <w:proofErr w:type="spellStart"/>
      <w:r w:rsidRPr="00E76EA2">
        <w:rPr>
          <w:sz w:val="20"/>
          <w:szCs w:val="20"/>
        </w:rPr>
        <w:t>Court’Trial</w:t>
      </w:r>
      <w:proofErr w:type="spellEnd"/>
      <w:r w:rsidRPr="00E76EA2">
        <w:rPr>
          <w:sz w:val="20"/>
          <w:szCs w:val="20"/>
        </w:rPr>
        <w:t xml:space="preserve"> Chamber 17 July 2009” ICC-01/04-01/06-2069-Anx-1,31 July 2009.</w:t>
      </w:r>
    </w:p>
  </w:footnote>
  <w:footnote w:id="379">
    <w:p w14:paraId="7374BE03" w14:textId="05B3A963"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Dissenting Opinion of Judge Fulford</w:t>
      </w:r>
      <w:r w:rsidR="00C62C62">
        <w:rPr>
          <w:sz w:val="20"/>
          <w:szCs w:val="20"/>
        </w:rPr>
        <w:t>.</w:t>
      </w:r>
    </w:p>
  </w:footnote>
  <w:footnote w:id="380">
    <w:p w14:paraId="04A05F28" w14:textId="4650E721"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Dissenting opinion  of Judge Fulford ‘Decision Giving Notice to the parties that the Legal characterisation of facts may </w:t>
      </w:r>
      <w:proofErr w:type="spellStart"/>
      <w:r w:rsidRPr="00E76EA2">
        <w:rPr>
          <w:sz w:val="20"/>
          <w:szCs w:val="20"/>
        </w:rPr>
        <w:t>bee</w:t>
      </w:r>
      <w:proofErr w:type="spellEnd"/>
      <w:r w:rsidRPr="00E76EA2">
        <w:rPr>
          <w:sz w:val="20"/>
          <w:szCs w:val="20"/>
        </w:rPr>
        <w:t xml:space="preserve"> subject to change in accordance with Regulation 55(2) of the Regulations of the Court,’, ICC-01/04-01/06-2054, trial Chamber 1, ICC,14 July 2009.</w:t>
      </w:r>
    </w:p>
  </w:footnote>
  <w:footnote w:id="381">
    <w:p w14:paraId="176F2A98" w14:textId="77777777"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382">
    <w:p w14:paraId="1EC1D161" w14:textId="77777777"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Defence Appeal against the Decision of 14 July 2009, “Decision giving notice to the parties and participants that the Legal Characterisation of the facts may be subject to change in accordance with Regulation 55(2) of the Regulations of the Court, ICC-01/04-01/06-2112, 10 September 2009.</w:t>
      </w:r>
    </w:p>
  </w:footnote>
  <w:footnote w:id="383">
    <w:p w14:paraId="0C8A26A5" w14:textId="3D9CE9FE"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para.35</w:t>
      </w:r>
      <w:r w:rsidR="00C62C62">
        <w:rPr>
          <w:sz w:val="20"/>
          <w:szCs w:val="20"/>
        </w:rPr>
        <w:t>.</w:t>
      </w:r>
    </w:p>
  </w:footnote>
  <w:footnote w:id="384">
    <w:p w14:paraId="2AF94875" w14:textId="77777777"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Thomas Lubanga, Prosecution’ s Document in support of Appeal against the “Decision giving notice to the parties and participants that the legal characterisation of the facts may be subject to change in accordance with Regulations of the Court”, 14 </w:t>
      </w:r>
      <w:proofErr w:type="spellStart"/>
      <w:r w:rsidRPr="00E76EA2">
        <w:rPr>
          <w:sz w:val="20"/>
          <w:szCs w:val="20"/>
        </w:rPr>
        <w:t>Septemebr</w:t>
      </w:r>
      <w:proofErr w:type="spellEnd"/>
      <w:r w:rsidRPr="00E76EA2">
        <w:rPr>
          <w:sz w:val="20"/>
          <w:szCs w:val="20"/>
        </w:rPr>
        <w:t xml:space="preserve"> 2009.</w:t>
      </w:r>
    </w:p>
  </w:footnote>
  <w:footnote w:id="385">
    <w:p w14:paraId="385D730B" w14:textId="77777777"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v.Thomas</w:t>
      </w:r>
      <w:proofErr w:type="spellEnd"/>
      <w:r w:rsidRPr="00E76EA2">
        <w:rPr>
          <w:sz w:val="20"/>
          <w:szCs w:val="20"/>
        </w:rPr>
        <w:t xml:space="preserve"> Lubanga., Judgment on the appeals of Mr Lubanga </w:t>
      </w:r>
      <w:proofErr w:type="spellStart"/>
      <w:r w:rsidRPr="00E76EA2">
        <w:rPr>
          <w:sz w:val="20"/>
          <w:szCs w:val="20"/>
        </w:rPr>
        <w:t>Dyilo</w:t>
      </w:r>
      <w:proofErr w:type="spellEnd"/>
      <w:r w:rsidRPr="00E76EA2">
        <w:rPr>
          <w:sz w:val="20"/>
          <w:szCs w:val="20"/>
        </w:rPr>
        <w:t xml:space="preserve"> and Prosecutor against the Decision of Trial Chamber I, ICC-01/04-01/06-2205,ICC Appeals Chamber ,8 December 2009.</w:t>
      </w:r>
    </w:p>
  </w:footnote>
  <w:footnote w:id="386">
    <w:p w14:paraId="74132BDC" w14:textId="77777777"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v.Thomas</w:t>
      </w:r>
      <w:proofErr w:type="spellEnd"/>
      <w:r w:rsidRPr="00E76EA2">
        <w:rPr>
          <w:sz w:val="20"/>
          <w:szCs w:val="20"/>
        </w:rPr>
        <w:t xml:space="preserve"> Lubanga., Judgment on the appeals of Mr Lubanga </w:t>
      </w:r>
      <w:proofErr w:type="spellStart"/>
      <w:r w:rsidRPr="00E76EA2">
        <w:rPr>
          <w:sz w:val="20"/>
          <w:szCs w:val="20"/>
        </w:rPr>
        <w:t>Dyilo</w:t>
      </w:r>
      <w:proofErr w:type="spellEnd"/>
      <w:r w:rsidRPr="00E76EA2">
        <w:rPr>
          <w:sz w:val="20"/>
          <w:szCs w:val="20"/>
        </w:rPr>
        <w:t xml:space="preserve"> and Prosecutor against the Decision of Trial Chamber I, ICC-01/04-01/06-2205,ICC Appeals Chamber ,8 December 2009.</w:t>
      </w:r>
    </w:p>
  </w:footnote>
  <w:footnote w:id="387">
    <w:p w14:paraId="1E867FF9" w14:textId="5875E346"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C62C62">
        <w:rPr>
          <w:sz w:val="20"/>
          <w:szCs w:val="20"/>
        </w:rPr>
        <w:t>.</w:t>
      </w:r>
    </w:p>
  </w:footnote>
  <w:footnote w:id="388">
    <w:p w14:paraId="28E84069" w14:textId="77777777"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389">
    <w:p w14:paraId="70FBC486" w14:textId="47C98EE3" w:rsidR="00C310AB" w:rsidRPr="00E76EA2" w:rsidRDefault="00C310AB" w:rsidP="00937C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Judgment on the Appeals of Mr Lubanga </w:t>
      </w:r>
      <w:proofErr w:type="spellStart"/>
      <w:r w:rsidRPr="00E76EA2">
        <w:rPr>
          <w:sz w:val="20"/>
          <w:szCs w:val="20"/>
        </w:rPr>
        <w:t>Dyilo</w:t>
      </w:r>
      <w:proofErr w:type="spellEnd"/>
      <w:r w:rsidRPr="00E76EA2">
        <w:rPr>
          <w:sz w:val="20"/>
          <w:szCs w:val="20"/>
        </w:rPr>
        <w:t xml:space="preserve"> and the </w:t>
      </w:r>
      <w:proofErr w:type="spellStart"/>
      <w:r w:rsidRPr="00E76EA2">
        <w:rPr>
          <w:sz w:val="20"/>
          <w:szCs w:val="20"/>
        </w:rPr>
        <w:t>Prosecutoragainst</w:t>
      </w:r>
      <w:proofErr w:type="spellEnd"/>
      <w:r w:rsidRPr="00E76EA2">
        <w:rPr>
          <w:sz w:val="20"/>
          <w:szCs w:val="20"/>
        </w:rPr>
        <w:t xml:space="preserve"> the </w:t>
      </w:r>
      <w:proofErr w:type="spellStart"/>
      <w:r w:rsidRPr="00E76EA2">
        <w:rPr>
          <w:sz w:val="20"/>
          <w:szCs w:val="20"/>
        </w:rPr>
        <w:t>Decisison</w:t>
      </w:r>
      <w:proofErr w:type="spellEnd"/>
      <w:r w:rsidRPr="00E76EA2">
        <w:rPr>
          <w:sz w:val="20"/>
          <w:szCs w:val="20"/>
        </w:rPr>
        <w:t xml:space="preserve"> of Trial Chamber 1 of 14 July 2009, “Decision giving notice to the parties and </w:t>
      </w:r>
      <w:proofErr w:type="spellStart"/>
      <w:r w:rsidRPr="00E76EA2">
        <w:rPr>
          <w:sz w:val="20"/>
          <w:szCs w:val="20"/>
        </w:rPr>
        <w:t>partcipants</w:t>
      </w:r>
      <w:proofErr w:type="spellEnd"/>
      <w:r w:rsidRPr="00E76EA2">
        <w:rPr>
          <w:sz w:val="20"/>
          <w:szCs w:val="20"/>
        </w:rPr>
        <w:t xml:space="preserve"> that the legal characterisation of the facts may be subject to change in accordance with Regulation 55(20 of the Regulations of the Court”,para.94</w:t>
      </w:r>
      <w:r w:rsidR="00C62C62">
        <w:rPr>
          <w:sz w:val="20"/>
          <w:szCs w:val="20"/>
        </w:rPr>
        <w:t>.</w:t>
      </w:r>
    </w:p>
  </w:footnote>
  <w:footnote w:id="390">
    <w:p w14:paraId="05AF345B" w14:textId="7783FE87"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Kevin Jon Heller, </w:t>
      </w:r>
      <w:proofErr w:type="spellStart"/>
      <w:r w:rsidRPr="00E76EA2">
        <w:rPr>
          <w:sz w:val="20"/>
          <w:szCs w:val="20"/>
        </w:rPr>
        <w:t>Opinio</w:t>
      </w:r>
      <w:proofErr w:type="spellEnd"/>
      <w:r w:rsidRPr="00E76EA2">
        <w:rPr>
          <w:sz w:val="20"/>
          <w:szCs w:val="20"/>
        </w:rPr>
        <w:t xml:space="preserve"> Juris, Lubanga Decision Roundtable: Lubanga, Sexual Violence and the Legal Re-Characterisation of Facts”  18 March 2012 </w:t>
      </w:r>
      <w:hyperlink r:id="rId36" w:history="1">
        <w:r w:rsidR="00C62C62" w:rsidRPr="00BE40CB">
          <w:rPr>
            <w:rStyle w:val="Hyperlink"/>
            <w:sz w:val="20"/>
            <w:szCs w:val="20"/>
          </w:rPr>
          <w:t>http://opiniojuris.org/2012/03/18/lubanga-decision -roundtable-lubanga-sexual-violence-and-thelegal-recharacteristaion-of -facts/</w:t>
        </w:r>
      </w:hyperlink>
      <w:r w:rsidR="00C62C62">
        <w:rPr>
          <w:sz w:val="20"/>
          <w:szCs w:val="20"/>
        </w:rPr>
        <w:t xml:space="preserve"> last accessed 16 May 2020. </w:t>
      </w:r>
    </w:p>
  </w:footnote>
  <w:footnote w:id="391">
    <w:p w14:paraId="2D783B49" w14:textId="77777777"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392">
    <w:p w14:paraId="78872A25" w14:textId="77777777"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393">
    <w:p w14:paraId="717ABA8B" w14:textId="00501F6B"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Lewis Powell, “Stare Decisis and Judicial Restraint” (1990) 47(2)</w:t>
      </w:r>
      <w:r w:rsidRPr="00E76EA2">
        <w:rPr>
          <w:i/>
          <w:iCs/>
          <w:sz w:val="20"/>
          <w:szCs w:val="20"/>
        </w:rPr>
        <w:t>Washington and Lee Law Review 28</w:t>
      </w:r>
      <w:r w:rsidRPr="00E76EA2">
        <w:rPr>
          <w:sz w:val="20"/>
          <w:szCs w:val="20"/>
        </w:rPr>
        <w:t>1; Aileen Kavanagh, “Judicial Restraint in the Pursuit of Justice”(2010) 60(1)</w:t>
      </w:r>
      <w:r w:rsidRPr="00E76EA2">
        <w:rPr>
          <w:i/>
          <w:iCs/>
          <w:sz w:val="20"/>
          <w:szCs w:val="20"/>
        </w:rPr>
        <w:t>The University of Toronto Law Journal</w:t>
      </w:r>
      <w:r w:rsidRPr="00E76EA2">
        <w:rPr>
          <w:sz w:val="20"/>
          <w:szCs w:val="20"/>
        </w:rPr>
        <w:t>, 23-40.</w:t>
      </w:r>
    </w:p>
  </w:footnote>
  <w:footnote w:id="394">
    <w:p w14:paraId="52B3EE3E" w14:textId="41417DE1"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Maimon</w:t>
      </w:r>
      <w:proofErr w:type="spellEnd"/>
      <w:r w:rsidRPr="00E76EA2">
        <w:rPr>
          <w:sz w:val="20"/>
          <w:szCs w:val="20"/>
        </w:rPr>
        <w:t xml:space="preserve"> Schwarzschild, ‘Judicial Activism Judicial Independence and Judicial Hubris: The Case of International Courts’. Luis  Pereira Coutinho, Massimo La Torre, Steven Smith (eds),  </w:t>
      </w:r>
      <w:r w:rsidRPr="00C62C62">
        <w:rPr>
          <w:i/>
          <w:iCs/>
          <w:sz w:val="20"/>
          <w:szCs w:val="20"/>
        </w:rPr>
        <w:t xml:space="preserve">Judicial Activism </w:t>
      </w:r>
      <w:r w:rsidR="00C62C62" w:rsidRPr="00C62C62">
        <w:rPr>
          <w:i/>
          <w:iCs/>
          <w:sz w:val="20"/>
          <w:szCs w:val="20"/>
        </w:rPr>
        <w:t>:An Interdisciplinary Approach to American and European Experience</w:t>
      </w:r>
      <w:r w:rsidR="00C62C62">
        <w:rPr>
          <w:sz w:val="20"/>
          <w:szCs w:val="20"/>
        </w:rPr>
        <w:t>s</w:t>
      </w:r>
      <w:r w:rsidRPr="00E76EA2">
        <w:rPr>
          <w:sz w:val="20"/>
          <w:szCs w:val="20"/>
        </w:rPr>
        <w:t>, (</w:t>
      </w:r>
      <w:r w:rsidR="00C62C62">
        <w:rPr>
          <w:sz w:val="20"/>
          <w:szCs w:val="20"/>
        </w:rPr>
        <w:t xml:space="preserve">Springer </w:t>
      </w:r>
      <w:r w:rsidRPr="00E76EA2">
        <w:rPr>
          <w:sz w:val="20"/>
          <w:szCs w:val="20"/>
        </w:rPr>
        <w:t xml:space="preserve">2015) 44  </w:t>
      </w:r>
    </w:p>
  </w:footnote>
  <w:footnote w:id="395">
    <w:p w14:paraId="1380AC2C" w14:textId="1DC88A50"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Fuad </w:t>
      </w:r>
      <w:proofErr w:type="spellStart"/>
      <w:r w:rsidRPr="00E76EA2">
        <w:rPr>
          <w:sz w:val="20"/>
          <w:szCs w:val="20"/>
        </w:rPr>
        <w:t>Zarbiyev</w:t>
      </w:r>
      <w:proofErr w:type="spellEnd"/>
      <w:r w:rsidRPr="00E76EA2">
        <w:rPr>
          <w:sz w:val="20"/>
          <w:szCs w:val="20"/>
        </w:rPr>
        <w:t xml:space="preserve">, ‘Judicial Activism in International Law: A Conceptual Framework for Analysis(2012)3(20 </w:t>
      </w:r>
      <w:r w:rsidRPr="00E76EA2">
        <w:rPr>
          <w:i/>
          <w:iCs/>
          <w:sz w:val="20"/>
          <w:szCs w:val="20"/>
        </w:rPr>
        <w:t>Journal of International Dispute Settlement</w:t>
      </w:r>
      <w:r w:rsidRPr="00E76EA2">
        <w:rPr>
          <w:sz w:val="20"/>
          <w:szCs w:val="20"/>
        </w:rPr>
        <w:t xml:space="preserve"> ,247-278;Lord Walker, How far should judges develop the common law(2014) 3(1) </w:t>
      </w:r>
      <w:r w:rsidRPr="00E76EA2">
        <w:rPr>
          <w:i/>
          <w:iCs/>
          <w:sz w:val="20"/>
          <w:szCs w:val="20"/>
        </w:rPr>
        <w:t>Cambridge Journal of International and comparative law,</w:t>
      </w:r>
      <w:r w:rsidRPr="00E76EA2">
        <w:rPr>
          <w:sz w:val="20"/>
          <w:szCs w:val="20"/>
        </w:rPr>
        <w:t>124-135</w:t>
      </w:r>
      <w:r w:rsidRPr="00E76EA2">
        <w:rPr>
          <w:i/>
          <w:iCs/>
          <w:sz w:val="20"/>
          <w:szCs w:val="20"/>
        </w:rPr>
        <w:t xml:space="preserve"> </w:t>
      </w:r>
      <w:r w:rsidRPr="00E76EA2">
        <w:rPr>
          <w:sz w:val="20"/>
          <w:szCs w:val="20"/>
        </w:rPr>
        <w:t>Ibid; Roe v Wade, 410 U.S 113,93Supreme Court 705;Brown v Board of Education, 347 U.S 483</w:t>
      </w:r>
      <w:r w:rsidR="00C62C62">
        <w:rPr>
          <w:sz w:val="20"/>
          <w:szCs w:val="20"/>
        </w:rPr>
        <w:t>.</w:t>
      </w:r>
    </w:p>
  </w:footnote>
  <w:footnote w:id="396">
    <w:p w14:paraId="6C4C3805" w14:textId="07F6971D"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 Woodford Howard, “Role Perceptions and Behaviour in Three </w:t>
      </w:r>
      <w:proofErr w:type="spellStart"/>
      <w:r w:rsidRPr="00E76EA2">
        <w:rPr>
          <w:sz w:val="20"/>
          <w:szCs w:val="20"/>
        </w:rPr>
        <w:t>U.S.Courts</w:t>
      </w:r>
      <w:proofErr w:type="spellEnd"/>
      <w:r w:rsidRPr="00E76EA2">
        <w:rPr>
          <w:sz w:val="20"/>
          <w:szCs w:val="20"/>
        </w:rPr>
        <w:t xml:space="preserve"> of Appeals”(1977) 39(4)</w:t>
      </w:r>
      <w:r w:rsidRPr="00E76EA2">
        <w:rPr>
          <w:i/>
          <w:iCs/>
          <w:sz w:val="20"/>
          <w:szCs w:val="20"/>
        </w:rPr>
        <w:t xml:space="preserve">Journal of Politics </w:t>
      </w:r>
      <w:r w:rsidR="00C62C62">
        <w:rPr>
          <w:sz w:val="20"/>
          <w:szCs w:val="20"/>
        </w:rPr>
        <w:t>p</w:t>
      </w:r>
      <w:r w:rsidRPr="00E76EA2">
        <w:rPr>
          <w:sz w:val="20"/>
          <w:szCs w:val="20"/>
        </w:rPr>
        <w:t>.916</w:t>
      </w:r>
    </w:p>
  </w:footnote>
  <w:footnote w:id="397">
    <w:p w14:paraId="4E5558C1" w14:textId="6692C87B" w:rsidR="00C310AB" w:rsidRPr="00E76EA2" w:rsidRDefault="00C310AB" w:rsidP="00887A1E">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James Gibson, “The Role Concept in Judicial Research”(1981) 3(3) </w:t>
      </w:r>
      <w:r w:rsidRPr="00E76EA2">
        <w:rPr>
          <w:i/>
          <w:iCs/>
          <w:sz w:val="20"/>
          <w:szCs w:val="20"/>
        </w:rPr>
        <w:t xml:space="preserve">Law and </w:t>
      </w:r>
      <w:r w:rsidRPr="00E76EA2">
        <w:rPr>
          <w:sz w:val="20"/>
          <w:szCs w:val="20"/>
        </w:rPr>
        <w:t>Policy, 291-311.</w:t>
      </w:r>
    </w:p>
  </w:footnote>
  <w:footnote w:id="398">
    <w:p w14:paraId="39DBAC9E" w14:textId="1A0FE25E" w:rsidR="00C310AB" w:rsidRPr="00E76EA2" w:rsidRDefault="00C310AB" w:rsidP="00887A1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John </w:t>
      </w:r>
      <w:proofErr w:type="spellStart"/>
      <w:r w:rsidRPr="00E76EA2">
        <w:rPr>
          <w:sz w:val="20"/>
          <w:szCs w:val="20"/>
        </w:rPr>
        <w:t>Scheb</w:t>
      </w:r>
      <w:proofErr w:type="spellEnd"/>
      <w:r w:rsidRPr="00E76EA2">
        <w:rPr>
          <w:sz w:val="20"/>
          <w:szCs w:val="20"/>
        </w:rPr>
        <w:t xml:space="preserve"> , Thomas </w:t>
      </w:r>
      <w:proofErr w:type="spellStart"/>
      <w:r w:rsidRPr="00E76EA2">
        <w:rPr>
          <w:sz w:val="20"/>
          <w:szCs w:val="20"/>
        </w:rPr>
        <w:t>Ungs</w:t>
      </w:r>
      <w:proofErr w:type="spellEnd"/>
      <w:r w:rsidRPr="00E76EA2">
        <w:rPr>
          <w:sz w:val="20"/>
          <w:szCs w:val="20"/>
        </w:rPr>
        <w:t xml:space="preserve"> and Allison Hayes, Judicial Role Orientations, Attitudes and Decision </w:t>
      </w:r>
      <w:proofErr w:type="spellStart"/>
      <w:r w:rsidRPr="00E76EA2">
        <w:rPr>
          <w:sz w:val="20"/>
          <w:szCs w:val="20"/>
        </w:rPr>
        <w:t>Making:A</w:t>
      </w:r>
      <w:proofErr w:type="spellEnd"/>
      <w:r w:rsidRPr="00E76EA2">
        <w:rPr>
          <w:sz w:val="20"/>
          <w:szCs w:val="20"/>
        </w:rPr>
        <w:t xml:space="preserve"> Research Note(1989)42(3) </w:t>
      </w:r>
      <w:r w:rsidRPr="00E76EA2">
        <w:rPr>
          <w:i/>
          <w:iCs/>
          <w:sz w:val="20"/>
          <w:szCs w:val="20"/>
        </w:rPr>
        <w:t>Western Political Quarterly</w:t>
      </w:r>
      <w:r w:rsidRPr="00E76EA2">
        <w:rPr>
          <w:sz w:val="20"/>
          <w:szCs w:val="20"/>
        </w:rPr>
        <w:t xml:space="preserve">, 427-435, </w:t>
      </w:r>
      <w:r w:rsidR="00C62C62">
        <w:rPr>
          <w:sz w:val="20"/>
          <w:szCs w:val="20"/>
        </w:rPr>
        <w:t>p</w:t>
      </w:r>
      <w:r w:rsidRPr="00E76EA2">
        <w:rPr>
          <w:sz w:val="20"/>
          <w:szCs w:val="20"/>
        </w:rPr>
        <w:t>427.</w:t>
      </w:r>
    </w:p>
  </w:footnote>
  <w:footnote w:id="399">
    <w:p w14:paraId="7468CA58" w14:textId="50105226"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Germain Katanga, Case No.ICC-01/04-01/07, Decision on the Implementation of Regulation 55 of the Regulations of the Court and severing the Charges Against the Accused Persons.</w:t>
      </w:r>
    </w:p>
  </w:footnote>
  <w:footnote w:id="400">
    <w:p w14:paraId="73278A60" w14:textId="77777777"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01">
    <w:p w14:paraId="7E3AB714" w14:textId="2EB24D01"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02">
    <w:p w14:paraId="4EF4812E" w14:textId="77777777"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Kevin Jon Heller, “Another Terrible Day for the OTP” accessible at &lt;</w:t>
      </w:r>
      <w:hyperlink r:id="rId37" w:history="1">
        <w:r w:rsidRPr="00E76EA2">
          <w:rPr>
            <w:rStyle w:val="Hyperlink"/>
            <w:rFonts w:eastAsiaTheme="majorEastAsia"/>
            <w:sz w:val="20"/>
            <w:szCs w:val="20"/>
          </w:rPr>
          <w:t>http://opiniojuris.org/2014/03/08/another-terrible-day-otp/</w:t>
        </w:r>
      </w:hyperlink>
      <w:r w:rsidRPr="00E76EA2">
        <w:rPr>
          <w:sz w:val="20"/>
          <w:szCs w:val="20"/>
        </w:rPr>
        <w:t>&gt; last accessed 12 December 2019</w:t>
      </w:r>
    </w:p>
  </w:footnote>
  <w:footnote w:id="403">
    <w:p w14:paraId="150CA8BE" w14:textId="77777777"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Dov</w:t>
      </w:r>
      <w:proofErr w:type="spellEnd"/>
      <w:r w:rsidRPr="00E76EA2">
        <w:rPr>
          <w:sz w:val="20"/>
          <w:szCs w:val="20"/>
        </w:rPr>
        <w:t xml:space="preserve"> Jacobs , “The ICC Katanga Judgment :A commentary  (part 1)Investigation, Interpretation and the Crimes “ </w:t>
      </w:r>
    </w:p>
  </w:footnote>
  <w:footnote w:id="404">
    <w:p w14:paraId="21B22B23" w14:textId="08870B11"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Sophie Rigney, “The Words Don’t Fit You: Re-characterisation of the Charges, Trial Fairness, and Katanga “ [2014] 15(2) </w:t>
      </w:r>
      <w:r w:rsidRPr="00E76EA2">
        <w:rPr>
          <w:i/>
          <w:sz w:val="20"/>
          <w:szCs w:val="20"/>
        </w:rPr>
        <w:t>Melbourne Journal of International Law</w:t>
      </w:r>
      <w:r w:rsidRPr="00E76EA2">
        <w:rPr>
          <w:sz w:val="20"/>
          <w:szCs w:val="20"/>
        </w:rPr>
        <w:t xml:space="preserve"> ,</w:t>
      </w:r>
      <w:r w:rsidR="00C62C62">
        <w:rPr>
          <w:sz w:val="20"/>
          <w:szCs w:val="20"/>
        </w:rPr>
        <w:t>p</w:t>
      </w:r>
      <w:r w:rsidRPr="00E76EA2">
        <w:rPr>
          <w:sz w:val="20"/>
          <w:szCs w:val="20"/>
        </w:rPr>
        <w:t xml:space="preserve"> 515</w:t>
      </w:r>
    </w:p>
  </w:footnote>
  <w:footnote w:id="405">
    <w:p w14:paraId="4B2D9456" w14:textId="77777777"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06">
    <w:p w14:paraId="60E918C1" w14:textId="648C8CC5"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Dov</w:t>
      </w:r>
      <w:proofErr w:type="spellEnd"/>
      <w:r w:rsidRPr="00E76EA2">
        <w:rPr>
          <w:sz w:val="20"/>
          <w:szCs w:val="20"/>
        </w:rPr>
        <w:t xml:space="preserve"> Jacobs, The ICC Katanga Judgement: A Commentary Investigation, Interpretation and the Crimes 10 March 2014, </w:t>
      </w:r>
      <w:hyperlink r:id="rId38" w:history="1">
        <w:r w:rsidR="00C62C62" w:rsidRPr="00BE40CB">
          <w:rPr>
            <w:rStyle w:val="Hyperlink"/>
            <w:sz w:val="20"/>
            <w:szCs w:val="20"/>
          </w:rPr>
          <w:t>https://dovjacobs.com/2014/03/10/the-icc-katanga-judgment-a-commentary-part-1-investigation-interpretation-and-the-crimes/</w:t>
        </w:r>
      </w:hyperlink>
      <w:r w:rsidR="00C62C62">
        <w:rPr>
          <w:sz w:val="20"/>
          <w:szCs w:val="20"/>
        </w:rPr>
        <w:t xml:space="preserve"> last accessed 27 September 2020.</w:t>
      </w:r>
    </w:p>
  </w:footnote>
  <w:footnote w:id="407">
    <w:p w14:paraId="34F5B7A3" w14:textId="25E6798D" w:rsidR="00C310AB" w:rsidRPr="00E76EA2" w:rsidRDefault="00C310AB" w:rsidP="007779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Nancy Combs, </w:t>
      </w:r>
      <w:r w:rsidRPr="00E76EA2">
        <w:rPr>
          <w:i/>
          <w:sz w:val="20"/>
          <w:szCs w:val="20"/>
        </w:rPr>
        <w:t>Fact-finding without facts</w:t>
      </w:r>
      <w:r w:rsidRPr="00E76EA2">
        <w:rPr>
          <w:sz w:val="20"/>
          <w:szCs w:val="20"/>
        </w:rPr>
        <w:t xml:space="preserve"> (Cambridge University Press 2010)351;</w:t>
      </w:r>
    </w:p>
    <w:p w14:paraId="69678212" w14:textId="660697CF" w:rsidR="00C310AB" w:rsidRPr="00E76EA2" w:rsidRDefault="00C310AB" w:rsidP="007779D4">
      <w:pPr>
        <w:pStyle w:val="NoSpacing1"/>
        <w:spacing w:line="276" w:lineRule="auto"/>
        <w:jc w:val="both"/>
        <w:rPr>
          <w:sz w:val="20"/>
          <w:szCs w:val="20"/>
        </w:rPr>
      </w:pPr>
      <w:r w:rsidRPr="00E76EA2">
        <w:rPr>
          <w:sz w:val="20"/>
          <w:szCs w:val="20"/>
        </w:rPr>
        <w:t xml:space="preserve">Simon De Smet,   ‘Standard of Proof at the ICC-Beyond Reasonable Doubt or Beyond Reason’ In Carsten </w:t>
      </w:r>
      <w:proofErr w:type="spellStart"/>
      <w:r w:rsidRPr="00E76EA2">
        <w:rPr>
          <w:sz w:val="20"/>
          <w:szCs w:val="20"/>
        </w:rPr>
        <w:t>Stahn</w:t>
      </w:r>
      <w:proofErr w:type="spellEnd"/>
      <w:r w:rsidRPr="00E76EA2">
        <w:rPr>
          <w:sz w:val="20"/>
          <w:szCs w:val="20"/>
        </w:rPr>
        <w:t xml:space="preserve"> (ed) </w:t>
      </w:r>
      <w:r w:rsidRPr="00E76EA2">
        <w:rPr>
          <w:i/>
          <w:sz w:val="20"/>
          <w:szCs w:val="20"/>
        </w:rPr>
        <w:t>The Law and Practice of the International Criminal Court</w:t>
      </w:r>
      <w:r w:rsidRPr="00E76EA2">
        <w:rPr>
          <w:sz w:val="20"/>
          <w:szCs w:val="20"/>
        </w:rPr>
        <w:t xml:space="preserve"> (Oxford University Press 2015)885.</w:t>
      </w:r>
    </w:p>
    <w:p w14:paraId="42F5E433" w14:textId="77777777" w:rsidR="00C310AB" w:rsidRPr="00E76EA2" w:rsidRDefault="00C310AB" w:rsidP="007779D4">
      <w:pPr>
        <w:pStyle w:val="NoSpacing1"/>
        <w:spacing w:line="276" w:lineRule="auto"/>
        <w:jc w:val="both"/>
        <w:rPr>
          <w:sz w:val="20"/>
          <w:szCs w:val="20"/>
        </w:rPr>
      </w:pPr>
    </w:p>
  </w:footnote>
  <w:footnote w:id="408">
    <w:p w14:paraId="6E405570" w14:textId="63C13450"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Dissenting Opinion of Judge </w:t>
      </w:r>
      <w:proofErr w:type="spellStart"/>
      <w:r w:rsidRPr="00E76EA2">
        <w:rPr>
          <w:sz w:val="20"/>
          <w:szCs w:val="20"/>
        </w:rPr>
        <w:t>Wyngaert</w:t>
      </w:r>
      <w:proofErr w:type="spellEnd"/>
      <w:r w:rsidRPr="00E76EA2">
        <w:rPr>
          <w:sz w:val="20"/>
          <w:szCs w:val="20"/>
        </w:rPr>
        <w:t>.</w:t>
      </w:r>
    </w:p>
  </w:footnote>
  <w:footnote w:id="409">
    <w:p w14:paraId="351A8C85"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w:t>
      </w:r>
    </w:p>
  </w:footnote>
  <w:footnote w:id="410">
    <w:p w14:paraId="568D9445"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 .</w:t>
      </w:r>
    </w:p>
  </w:footnote>
  <w:footnote w:id="411">
    <w:p w14:paraId="107DFFA0" w14:textId="6125A59B" w:rsidR="00C310AB" w:rsidRPr="00E76EA2" w:rsidRDefault="00C310AB" w:rsidP="000376AC">
      <w:pPr>
        <w:pStyle w:val="NoSpacing1"/>
        <w:spacing w:line="276" w:lineRule="auto"/>
        <w:jc w:val="both"/>
        <w:rPr>
          <w:sz w:val="20"/>
          <w:szCs w:val="20"/>
        </w:rPr>
      </w:pPr>
      <w:r w:rsidRPr="00E76EA2">
        <w:rPr>
          <w:rStyle w:val="FootnoteReference"/>
          <w:sz w:val="20"/>
          <w:szCs w:val="20"/>
        </w:rPr>
        <w:footnoteRef/>
      </w:r>
      <w:r w:rsidRPr="00E76EA2">
        <w:rPr>
          <w:sz w:val="20"/>
          <w:szCs w:val="20"/>
        </w:rPr>
        <w:t>Katanga’s Appeals Judgment.</w:t>
      </w:r>
    </w:p>
  </w:footnote>
  <w:footnote w:id="412">
    <w:p w14:paraId="20F64566" w14:textId="77777777" w:rsidR="00C310AB" w:rsidRPr="00E76EA2" w:rsidRDefault="00C310AB" w:rsidP="000376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,paras 25-58.</w:t>
      </w:r>
    </w:p>
  </w:footnote>
  <w:footnote w:id="413">
    <w:p w14:paraId="22D11121" w14:textId="77777777" w:rsidR="00C310AB" w:rsidRPr="00E76EA2" w:rsidRDefault="00C310AB" w:rsidP="000376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14">
    <w:p w14:paraId="498AE5DF" w14:textId="77777777" w:rsidR="00C310AB" w:rsidRPr="00E76EA2" w:rsidRDefault="00C310AB" w:rsidP="000376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15">
    <w:p w14:paraId="7C3BC8FC" w14:textId="5BCB87FC" w:rsidR="00C310AB" w:rsidRPr="00E76EA2" w:rsidRDefault="00C310AB" w:rsidP="000376A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Kevin Jon Heller, ‘‘A Stick to Hit the Accused </w:t>
      </w:r>
      <w:proofErr w:type="spellStart"/>
      <w:r w:rsidRPr="00E76EA2">
        <w:rPr>
          <w:sz w:val="20"/>
          <w:szCs w:val="20"/>
        </w:rPr>
        <w:t>With’:The</w:t>
      </w:r>
      <w:proofErr w:type="spellEnd"/>
      <w:r w:rsidRPr="00E76EA2">
        <w:rPr>
          <w:sz w:val="20"/>
          <w:szCs w:val="20"/>
        </w:rPr>
        <w:t xml:space="preserve"> Legal </w:t>
      </w:r>
      <w:proofErr w:type="spellStart"/>
      <w:r w:rsidRPr="00E76EA2">
        <w:rPr>
          <w:sz w:val="20"/>
          <w:szCs w:val="20"/>
        </w:rPr>
        <w:t>Recharacterisation</w:t>
      </w:r>
      <w:proofErr w:type="spellEnd"/>
      <w:r w:rsidRPr="00E76EA2">
        <w:rPr>
          <w:sz w:val="20"/>
          <w:szCs w:val="20"/>
        </w:rPr>
        <w:t xml:space="preserve">  of Facts under Regulation 55’ In  Carsten </w:t>
      </w:r>
      <w:proofErr w:type="spellStart"/>
      <w:r w:rsidRPr="00E76EA2">
        <w:rPr>
          <w:sz w:val="20"/>
          <w:szCs w:val="20"/>
        </w:rPr>
        <w:t>Stahn</w:t>
      </w:r>
      <w:proofErr w:type="spellEnd"/>
      <w:r w:rsidRPr="00E76EA2">
        <w:rPr>
          <w:sz w:val="20"/>
          <w:szCs w:val="20"/>
        </w:rPr>
        <w:t xml:space="preserve"> et al(eds) </w:t>
      </w:r>
      <w:r w:rsidRPr="00E76EA2">
        <w:rPr>
          <w:i/>
          <w:sz w:val="20"/>
          <w:szCs w:val="20"/>
        </w:rPr>
        <w:t xml:space="preserve">The Law and Practice of the International Criminal Court :A Critical Account of Challenges and Achievements </w:t>
      </w:r>
      <w:r w:rsidRPr="00E76EA2">
        <w:rPr>
          <w:sz w:val="20"/>
          <w:szCs w:val="20"/>
        </w:rPr>
        <w:t xml:space="preserve"> (Oxford University Press 2014).982-984</w:t>
      </w:r>
    </w:p>
  </w:footnote>
  <w:footnote w:id="416">
    <w:p w14:paraId="6C71E77E" w14:textId="7F015A0C" w:rsidR="00C310AB" w:rsidRPr="00E76EA2" w:rsidRDefault="00C310AB" w:rsidP="0076178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Sophie Rigney, “ ‘The Words Don't Fit You’: Re-characterisation of the Charges, </w:t>
      </w:r>
      <w:proofErr w:type="spellStart"/>
      <w:r w:rsidRPr="00E76EA2">
        <w:rPr>
          <w:sz w:val="20"/>
          <w:szCs w:val="20"/>
        </w:rPr>
        <w:t>Trial,Fairness</w:t>
      </w:r>
      <w:proofErr w:type="spellEnd"/>
      <w:r w:rsidRPr="00E76EA2">
        <w:rPr>
          <w:sz w:val="20"/>
          <w:szCs w:val="20"/>
        </w:rPr>
        <w:t>, and Katanga” (2014) 15 Melbourne Journal International Law,</w:t>
      </w:r>
      <w:r w:rsidR="00C62C62">
        <w:rPr>
          <w:sz w:val="20"/>
          <w:szCs w:val="20"/>
        </w:rPr>
        <w:t>p</w:t>
      </w:r>
      <w:r w:rsidRPr="00E76EA2">
        <w:rPr>
          <w:sz w:val="20"/>
          <w:szCs w:val="20"/>
        </w:rPr>
        <w:t>515</w:t>
      </w:r>
    </w:p>
  </w:footnote>
  <w:footnote w:id="417">
    <w:p w14:paraId="68CAC1CF" w14:textId="77777777" w:rsidR="00C310AB" w:rsidRPr="00E76EA2" w:rsidRDefault="00C310AB" w:rsidP="006D035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418">
    <w:p w14:paraId="29FA6ECC" w14:textId="6589D406" w:rsidR="00C310AB" w:rsidRPr="00E76EA2" w:rsidRDefault="00C310AB" w:rsidP="006D035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22 Article 66;Universal Declaration of Human Rights 1945, Article 10;Prosecutor v Katanga , Judgment in Pursuant to </w:t>
      </w:r>
      <w:proofErr w:type="spellStart"/>
      <w:r w:rsidRPr="00E76EA2">
        <w:rPr>
          <w:sz w:val="20"/>
          <w:szCs w:val="20"/>
        </w:rPr>
        <w:t>Artcile</w:t>
      </w:r>
      <w:proofErr w:type="spellEnd"/>
      <w:r w:rsidRPr="00E76EA2">
        <w:rPr>
          <w:sz w:val="20"/>
          <w:szCs w:val="20"/>
        </w:rPr>
        <w:t xml:space="preserve"> 74 of the Statute, ICC-01/04-01/07, 7 March 2014, para.52-53           </w:t>
      </w:r>
    </w:p>
  </w:footnote>
  <w:footnote w:id="419">
    <w:p w14:paraId="3D857A84" w14:textId="6343A782" w:rsidR="00C310AB" w:rsidRPr="00E76EA2" w:rsidRDefault="00C310AB" w:rsidP="006D035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United Nations Interregional Crime and Justice Research Institute, </w:t>
      </w:r>
      <w:r w:rsidRPr="00E76EA2">
        <w:rPr>
          <w:sz w:val="20"/>
          <w:szCs w:val="20"/>
        </w:rPr>
        <w:tab/>
        <w:t xml:space="preserve">Manual on International Criminal </w:t>
      </w:r>
      <w:proofErr w:type="spellStart"/>
      <w:r w:rsidRPr="00E76EA2">
        <w:rPr>
          <w:sz w:val="20"/>
          <w:szCs w:val="20"/>
        </w:rPr>
        <w:t>Defence:ADC-ICTY</w:t>
      </w:r>
      <w:proofErr w:type="spellEnd"/>
      <w:r w:rsidRPr="00E76EA2">
        <w:rPr>
          <w:sz w:val="20"/>
          <w:szCs w:val="20"/>
        </w:rPr>
        <w:t xml:space="preserve"> Developed Practices within the framework of the War Crimes Justice Project, available at </w:t>
      </w:r>
      <w:hyperlink r:id="rId39" w:history="1">
        <w:r w:rsidRPr="00E76EA2">
          <w:rPr>
            <w:rStyle w:val="Hyperlink"/>
            <w:sz w:val="20"/>
            <w:szCs w:val="20"/>
          </w:rPr>
          <w:t>https://ww.icty.org/x/file/About/Reports%20and520Publications/manual_developed_practices/ADC_ICTY_developed_practices_en.pdf</w:t>
        </w:r>
      </w:hyperlink>
      <w:r w:rsidRPr="00E76EA2">
        <w:rPr>
          <w:sz w:val="20"/>
          <w:szCs w:val="20"/>
        </w:rPr>
        <w:t xml:space="preserve">&gt; last accessed 10 August 2020, </w:t>
      </w:r>
      <w:r w:rsidR="00C62C62">
        <w:rPr>
          <w:sz w:val="20"/>
          <w:szCs w:val="20"/>
        </w:rPr>
        <w:t>p</w:t>
      </w:r>
      <w:r w:rsidRPr="00E76EA2">
        <w:rPr>
          <w:sz w:val="20"/>
          <w:szCs w:val="20"/>
        </w:rPr>
        <w:t>15,para.30</w:t>
      </w:r>
    </w:p>
  </w:footnote>
  <w:footnote w:id="420">
    <w:p w14:paraId="457A17E9" w14:textId="3CB7782B" w:rsidR="00C310AB" w:rsidRPr="00E76EA2" w:rsidRDefault="00C310AB" w:rsidP="00BA489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Richard Goldstone, “Acquittals by the International Criminal Court”(2019) accessible at &lt;</w:t>
      </w:r>
      <w:hyperlink r:id="rId40" w:history="1">
        <w:r w:rsidRPr="00E76EA2">
          <w:rPr>
            <w:rStyle w:val="Hyperlink"/>
            <w:rFonts w:eastAsiaTheme="majorEastAsia"/>
            <w:sz w:val="20"/>
            <w:szCs w:val="20"/>
          </w:rPr>
          <w:t>https://www.ejiltalk.org/acquittals-by-the-international-criminal-court/</w:t>
        </w:r>
      </w:hyperlink>
      <w:r w:rsidRPr="00E76EA2">
        <w:rPr>
          <w:sz w:val="20"/>
          <w:szCs w:val="20"/>
        </w:rPr>
        <w:t>&gt; last accessed at 10 January 2019.</w:t>
      </w:r>
    </w:p>
  </w:footnote>
  <w:footnote w:id="421">
    <w:p w14:paraId="7D99834C" w14:textId="1069796A" w:rsidR="00C310AB" w:rsidRPr="00E76EA2" w:rsidRDefault="00C310AB" w:rsidP="0012272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Dov</w:t>
      </w:r>
      <w:proofErr w:type="spellEnd"/>
      <w:r w:rsidRPr="00E76EA2">
        <w:rPr>
          <w:sz w:val="20"/>
          <w:szCs w:val="20"/>
        </w:rPr>
        <w:t xml:space="preserve"> Jacobs, The ICC Katanga Judgment: A Commentary: Investigation , Interpretation and the Crimes 10 March 2014, </w:t>
      </w:r>
      <w:r w:rsidR="001406C4">
        <w:rPr>
          <w:sz w:val="20"/>
          <w:szCs w:val="20"/>
        </w:rPr>
        <w:t xml:space="preserve">available at </w:t>
      </w:r>
      <w:hyperlink r:id="rId41" w:history="1">
        <w:r w:rsidR="001406C4" w:rsidRPr="0044291A">
          <w:rPr>
            <w:rStyle w:val="Hyperlink"/>
            <w:sz w:val="20"/>
            <w:szCs w:val="20"/>
          </w:rPr>
          <w:t>https://dovjacobs.com/2014/03/10/the-icc-katanga-judgment-a-commentary-part-1-investigation-interpretation-and-the-crimes/</w:t>
        </w:r>
      </w:hyperlink>
      <w:r w:rsidR="001406C4">
        <w:rPr>
          <w:sz w:val="20"/>
          <w:szCs w:val="20"/>
        </w:rPr>
        <w:t xml:space="preserve"> last accessed 11 June 2020.</w:t>
      </w:r>
    </w:p>
  </w:footnote>
  <w:footnote w:id="422">
    <w:p w14:paraId="054EEE14" w14:textId="1FFDCA0F" w:rsidR="00C310AB" w:rsidRPr="00E76EA2" w:rsidRDefault="00C310AB" w:rsidP="0012272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Alex Whiting, ‘The ICC’s Ends </w:t>
      </w:r>
      <w:proofErr w:type="spellStart"/>
      <w:r w:rsidRPr="00E76EA2">
        <w:rPr>
          <w:sz w:val="20"/>
          <w:szCs w:val="20"/>
        </w:rPr>
        <w:t>Days?Not</w:t>
      </w:r>
      <w:proofErr w:type="spellEnd"/>
      <w:r w:rsidRPr="00E76EA2">
        <w:rPr>
          <w:sz w:val="20"/>
          <w:szCs w:val="20"/>
        </w:rPr>
        <w:t xml:space="preserve"> so Fast, 20 March 2014  </w:t>
      </w:r>
      <w:r w:rsidR="001406C4">
        <w:rPr>
          <w:sz w:val="20"/>
          <w:szCs w:val="20"/>
        </w:rPr>
        <w:t xml:space="preserve">accessible at </w:t>
      </w:r>
      <w:hyperlink r:id="rId42" w:history="1">
        <w:r w:rsidR="00B34250">
          <w:rPr>
            <w:rStyle w:val="Hyperlink"/>
          </w:rPr>
          <w:t>Guest Post: The ICC’s End Days? Not So Fast | Spreading the Jam (dovjacobs.com)</w:t>
        </w:r>
      </w:hyperlink>
      <w:r w:rsidR="00B34250">
        <w:rPr>
          <w:sz w:val="20"/>
          <w:szCs w:val="20"/>
        </w:rPr>
        <w:t xml:space="preserve"> &gt; last accessed at </w:t>
      </w:r>
      <w:r w:rsidR="00A05374">
        <w:rPr>
          <w:sz w:val="20"/>
          <w:szCs w:val="20"/>
        </w:rPr>
        <w:t>24 August 2019.</w:t>
      </w:r>
    </w:p>
    <w:p w14:paraId="467398A5" w14:textId="2F66BD54" w:rsidR="00C310AB" w:rsidRPr="00E76EA2" w:rsidRDefault="00C310AB" w:rsidP="0012272D">
      <w:pPr>
        <w:pStyle w:val="NoSpacing1"/>
        <w:spacing w:line="276" w:lineRule="auto"/>
        <w:jc w:val="both"/>
        <w:rPr>
          <w:sz w:val="20"/>
          <w:szCs w:val="20"/>
        </w:rPr>
      </w:pPr>
    </w:p>
  </w:footnote>
  <w:footnote w:id="423">
    <w:p w14:paraId="3AC3D7B5" w14:textId="77777777"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15(3) and (6), Article 19(3),Article 53, Article 53(1) c</w:t>
      </w:r>
    </w:p>
  </w:footnote>
  <w:footnote w:id="424">
    <w:p w14:paraId="063706CF" w14:textId="77777777"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Preamble.</w:t>
      </w:r>
    </w:p>
  </w:footnote>
  <w:footnote w:id="425">
    <w:p w14:paraId="080CF4B1" w14:textId="44521E64"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61(4), Article 67,Article 69(4).</w:t>
      </w:r>
    </w:p>
  </w:footnote>
  <w:footnote w:id="426">
    <w:p w14:paraId="7413D455" w14:textId="77777777"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 Article 15;ICC Rules of Evidence and Procedure, Rule 50</w:t>
      </w:r>
    </w:p>
  </w:footnote>
  <w:footnote w:id="427">
    <w:p w14:paraId="37C5BD43" w14:textId="49952F8E"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15(3).</w:t>
      </w:r>
    </w:p>
  </w:footnote>
  <w:footnote w:id="428">
    <w:p w14:paraId="37FA7AE6" w14:textId="77777777"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Reg.50(1) of the ICC Regulations.</w:t>
      </w:r>
    </w:p>
  </w:footnote>
  <w:footnote w:id="429">
    <w:p w14:paraId="74EE3558" w14:textId="7A9EC73C"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58(1).</w:t>
      </w:r>
    </w:p>
  </w:footnote>
  <w:footnote w:id="430">
    <w:p w14:paraId="0A1EF04A" w14:textId="6F77CD94"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“Decision to on the Applications for Participation in the Proceedings of VPRS 1, VPRS 2, VPRS 3, VPRS 4, VPRS 5 and VPRS 6, ICC-01/04-101,17 January 2006,para 17</w:t>
      </w:r>
      <w:r w:rsidR="00A05374">
        <w:rPr>
          <w:sz w:val="20"/>
          <w:szCs w:val="20"/>
        </w:rPr>
        <w:t>.</w:t>
      </w:r>
    </w:p>
  </w:footnote>
  <w:footnote w:id="431">
    <w:p w14:paraId="234A714A" w14:textId="0A2AA0BB" w:rsidR="00C310AB" w:rsidRPr="00E76EA2" w:rsidRDefault="00C310AB" w:rsidP="00A053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Mary Finn,  “Effects of Victims’ Experiences with Prosecutors on Victim Empowerment and Re-Occurrence of Intimate Partner Violence, Final Report, Final Report , August 2003, accessible at </w:t>
      </w:r>
      <w:hyperlink r:id="rId43" w:history="1">
        <w:r w:rsidRPr="00E76EA2">
          <w:rPr>
            <w:rStyle w:val="Hyperlink"/>
            <w:sz w:val="20"/>
            <w:szCs w:val="20"/>
          </w:rPr>
          <w:t>https://www.ncjrs.gov/pdffiles1/nij/grants/202983.pdf</w:t>
        </w:r>
      </w:hyperlink>
      <w:r w:rsidRPr="00E76EA2">
        <w:rPr>
          <w:sz w:val="20"/>
          <w:szCs w:val="20"/>
        </w:rPr>
        <w:t xml:space="preserve"> last accessed 14 August 2020; People v Eubanks , 927 F.2d 310, California 1996</w:t>
      </w:r>
    </w:p>
  </w:footnote>
  <w:footnote w:id="432">
    <w:p w14:paraId="7A1C3087" w14:textId="1C35B3F1" w:rsidR="00C310AB" w:rsidRPr="00E76EA2" w:rsidRDefault="00C310AB" w:rsidP="001F76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People v Eubanks, 927 .P.2d 310, California  1997.</w:t>
      </w:r>
    </w:p>
  </w:footnote>
  <w:footnote w:id="433">
    <w:p w14:paraId="08713971" w14:textId="3EC6D2FC" w:rsidR="00C310AB" w:rsidRPr="00E76EA2" w:rsidRDefault="00C310AB" w:rsidP="001F76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John Spencer, ‘Adversarial v</w:t>
      </w:r>
      <w:r w:rsidR="00C62C62">
        <w:rPr>
          <w:sz w:val="20"/>
          <w:szCs w:val="20"/>
        </w:rPr>
        <w:t xml:space="preserve"> </w:t>
      </w:r>
      <w:r w:rsidRPr="00E76EA2">
        <w:rPr>
          <w:sz w:val="20"/>
          <w:szCs w:val="20"/>
        </w:rPr>
        <w:t>inquisitorial systems: is there still such a difference’(2016) 20(5) I</w:t>
      </w:r>
      <w:r w:rsidRPr="00E76EA2">
        <w:rPr>
          <w:i/>
          <w:sz w:val="20"/>
          <w:szCs w:val="20"/>
        </w:rPr>
        <w:t>nternational</w:t>
      </w:r>
      <w:r w:rsidRPr="00E76EA2">
        <w:rPr>
          <w:sz w:val="20"/>
          <w:szCs w:val="20"/>
        </w:rPr>
        <w:t xml:space="preserve">  </w:t>
      </w:r>
      <w:r w:rsidRPr="00E76EA2">
        <w:rPr>
          <w:i/>
          <w:sz w:val="20"/>
          <w:szCs w:val="20"/>
        </w:rPr>
        <w:t>Journal of Human Rights,</w:t>
      </w:r>
      <w:r w:rsidRPr="00E76EA2">
        <w:rPr>
          <w:sz w:val="20"/>
          <w:szCs w:val="20"/>
        </w:rPr>
        <w:t>601-616</w:t>
      </w:r>
    </w:p>
  </w:footnote>
  <w:footnote w:id="434">
    <w:p w14:paraId="1A45B80D" w14:textId="77777777" w:rsidR="00C310AB" w:rsidRPr="00E76EA2" w:rsidRDefault="00C310AB" w:rsidP="00E13BA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w:t>
      </w:r>
    </w:p>
  </w:footnote>
  <w:footnote w:id="435">
    <w:p w14:paraId="7FB28098" w14:textId="6C98E609" w:rsidR="00C310AB" w:rsidRPr="00E76EA2" w:rsidRDefault="00C310AB" w:rsidP="00E76EA2">
      <w:pPr>
        <w:pStyle w:val="NoSpacing1"/>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Democratic Republic of Congo, ICC-01.04-101-cORR, Pre-Trial Chamber 1, Decision on the Application for Participation in the Proceedings  of  VPRS 1,VPRS2,VPRS 3,VPRS4,VPRS 5and VPRS 6 January 17,2006,</w:t>
      </w:r>
      <w:r w:rsidR="00C62C62">
        <w:rPr>
          <w:sz w:val="20"/>
          <w:szCs w:val="20"/>
          <w:lang w:val="en-US"/>
        </w:rPr>
        <w:t>p</w:t>
      </w:r>
      <w:r w:rsidRPr="00E76EA2">
        <w:rPr>
          <w:sz w:val="20"/>
          <w:szCs w:val="20"/>
          <w:lang w:val="en-US"/>
        </w:rPr>
        <w:t>67</w:t>
      </w:r>
    </w:p>
  </w:footnote>
  <w:footnote w:id="436">
    <w:p w14:paraId="7DFC380F" w14:textId="77777777"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DRC Situation, ICC-01/04-24-Conf-EXP, Letter from </w:t>
      </w:r>
      <w:proofErr w:type="spellStart"/>
      <w:r w:rsidRPr="00E76EA2">
        <w:rPr>
          <w:sz w:val="20"/>
          <w:szCs w:val="20"/>
          <w:lang w:val="en-US"/>
        </w:rPr>
        <w:t>Mr.Sidiki</w:t>
      </w:r>
      <w:proofErr w:type="spellEnd"/>
      <w:r w:rsidRPr="00E76EA2">
        <w:rPr>
          <w:sz w:val="20"/>
          <w:szCs w:val="20"/>
          <w:lang w:val="en-US"/>
        </w:rPr>
        <w:t xml:space="preserve"> </w:t>
      </w:r>
      <w:proofErr w:type="spellStart"/>
      <w:r w:rsidRPr="00E76EA2">
        <w:rPr>
          <w:sz w:val="20"/>
          <w:szCs w:val="20"/>
          <w:lang w:val="en-US"/>
        </w:rPr>
        <w:t>Kaba</w:t>
      </w:r>
      <w:proofErr w:type="spellEnd"/>
      <w:r w:rsidRPr="00E76EA2">
        <w:rPr>
          <w:sz w:val="20"/>
          <w:szCs w:val="20"/>
          <w:lang w:val="en-US"/>
        </w:rPr>
        <w:t>, President of the International Federation for Human Rights (FIDH), June 14,2005</w:t>
      </w:r>
    </w:p>
  </w:footnote>
  <w:footnote w:id="437">
    <w:p w14:paraId="4FFF8691" w14:textId="0C315B37"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Situation in  Democratic Republic Of Congo, ICC-01/04-84-Conf, Prosecution’s Reply on the Applications for Participation , 01/04-1/</w:t>
      </w:r>
      <w:proofErr w:type="spellStart"/>
      <w:r w:rsidRPr="00E76EA2">
        <w:rPr>
          <w:sz w:val="20"/>
          <w:szCs w:val="20"/>
        </w:rPr>
        <w:t>dp</w:t>
      </w:r>
      <w:proofErr w:type="spellEnd"/>
      <w:r w:rsidRPr="00E76EA2">
        <w:rPr>
          <w:sz w:val="20"/>
          <w:szCs w:val="20"/>
        </w:rPr>
        <w:t xml:space="preserve"> to 01/04-6/</w:t>
      </w:r>
      <w:proofErr w:type="spellStart"/>
      <w:r w:rsidRPr="00E76EA2">
        <w:rPr>
          <w:sz w:val="20"/>
          <w:szCs w:val="20"/>
        </w:rPr>
        <w:t>dp</w:t>
      </w:r>
      <w:proofErr w:type="spellEnd"/>
      <w:r w:rsidRPr="00E76EA2">
        <w:rPr>
          <w:sz w:val="20"/>
          <w:szCs w:val="20"/>
        </w:rPr>
        <w:t xml:space="preserve"> ,Aug 15,2005. </w:t>
      </w:r>
    </w:p>
  </w:footnote>
  <w:footnote w:id="438">
    <w:p w14:paraId="18DA50E7" w14:textId="77777777"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Situation in the  Democratic Republic of Congo, </w:t>
      </w:r>
      <w:r w:rsidRPr="00E76EA2">
        <w:rPr>
          <w:sz w:val="20"/>
          <w:szCs w:val="20"/>
          <w:lang w:val="en-US"/>
        </w:rPr>
        <w:t>Defense Response to the Application for Participations of Victims in the Proceedings ,Aug, 11, 2005. ICC—01/04-81-Conf,Pre-Trial Chamber.</w:t>
      </w:r>
    </w:p>
  </w:footnote>
  <w:footnote w:id="439">
    <w:p w14:paraId="26693F50" w14:textId="0AAC30A1" w:rsidR="00C310AB" w:rsidRPr="00E76EA2" w:rsidRDefault="00C310AB" w:rsidP="00E76EA2">
      <w:pPr>
        <w:pStyle w:val="NoSpacing1"/>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440">
    <w:p w14:paraId="6BB8F205" w14:textId="13E0CA03"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w:t>
      </w:r>
    </w:p>
  </w:footnote>
  <w:footnote w:id="441">
    <w:p w14:paraId="7D52E4CA" w14:textId="287D7EBB"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lang w:val="en-US"/>
        </w:rPr>
        <w:t>Prosecution v Lubanga, Decision on the Arrang</w:t>
      </w:r>
      <w:r w:rsidR="0022485D">
        <w:rPr>
          <w:sz w:val="20"/>
          <w:szCs w:val="20"/>
          <w:lang w:val="en-US"/>
        </w:rPr>
        <w:t>e</w:t>
      </w:r>
      <w:r w:rsidRPr="00E76EA2">
        <w:rPr>
          <w:sz w:val="20"/>
          <w:szCs w:val="20"/>
          <w:lang w:val="en-US"/>
        </w:rPr>
        <w:t xml:space="preserve">ment for Participation of Victims a/0001/06, a/0002/06 and a/0003/06 at the Confirmation </w:t>
      </w:r>
      <w:proofErr w:type="spellStart"/>
      <w:r w:rsidRPr="00E76EA2">
        <w:rPr>
          <w:sz w:val="20"/>
          <w:szCs w:val="20"/>
          <w:lang w:val="en-US"/>
        </w:rPr>
        <w:t>Hearing,Pre</w:t>
      </w:r>
      <w:proofErr w:type="spellEnd"/>
      <w:r w:rsidRPr="00E76EA2">
        <w:rPr>
          <w:sz w:val="20"/>
          <w:szCs w:val="20"/>
          <w:lang w:val="en-US"/>
        </w:rPr>
        <w:t>-Trial Chamber 1, Case No. ICC-01/04-01/06,22 September 2006.</w:t>
      </w:r>
    </w:p>
  </w:footnote>
  <w:footnote w:id="442">
    <w:p w14:paraId="69368B57" w14:textId="495F8482" w:rsidR="00C310AB" w:rsidRPr="00E76EA2" w:rsidRDefault="00C310AB" w:rsidP="002248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Katanga and </w:t>
      </w:r>
      <w:proofErr w:type="spellStart"/>
      <w:r w:rsidRPr="00E76EA2">
        <w:rPr>
          <w:sz w:val="20"/>
          <w:szCs w:val="20"/>
        </w:rPr>
        <w:t>Ngudjolo,Decision</w:t>
      </w:r>
      <w:proofErr w:type="spellEnd"/>
      <w:r w:rsidRPr="00E76EA2">
        <w:rPr>
          <w:sz w:val="20"/>
          <w:szCs w:val="20"/>
        </w:rPr>
        <w:t xml:space="preserve"> on the Set of Procedural Rights attached to Procedural Status at the Pre-Trial Stage of the Case, Pre-Trial Chamber 1, 13 ,May 2008, ICC-01/04-01/07-474.</w:t>
      </w:r>
    </w:p>
  </w:footnote>
  <w:footnote w:id="443">
    <w:p w14:paraId="64838695" w14:textId="1ACA3183" w:rsidR="00C310AB" w:rsidRPr="00E76EA2" w:rsidRDefault="00C310AB" w:rsidP="002248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Situation the </w:t>
      </w:r>
      <w:proofErr w:type="spellStart"/>
      <w:r w:rsidRPr="00E76EA2">
        <w:rPr>
          <w:sz w:val="20"/>
          <w:szCs w:val="20"/>
        </w:rPr>
        <w:t>DRC,</w:t>
      </w:r>
      <w:r w:rsidR="00783046">
        <w:rPr>
          <w:sz w:val="20"/>
          <w:szCs w:val="20"/>
        </w:rPr>
        <w:t>Prosecutor</w:t>
      </w:r>
      <w:proofErr w:type="spellEnd"/>
      <w:r w:rsidR="00783046">
        <w:rPr>
          <w:sz w:val="20"/>
          <w:szCs w:val="20"/>
        </w:rPr>
        <w:t xml:space="preserve"> V Germain Katanga and </w:t>
      </w:r>
      <w:proofErr w:type="spellStart"/>
      <w:r w:rsidR="00783046">
        <w:rPr>
          <w:sz w:val="20"/>
          <w:szCs w:val="20"/>
        </w:rPr>
        <w:t>Ngujolo</w:t>
      </w:r>
      <w:proofErr w:type="spellEnd"/>
      <w:r w:rsidR="00783046">
        <w:rPr>
          <w:sz w:val="20"/>
          <w:szCs w:val="20"/>
        </w:rPr>
        <w:t xml:space="preserve"> Chui,</w:t>
      </w:r>
      <w:r w:rsidRPr="00E76EA2">
        <w:rPr>
          <w:sz w:val="20"/>
          <w:szCs w:val="20"/>
        </w:rPr>
        <w:t xml:space="preserve"> Confirmation of Charges</w:t>
      </w:r>
      <w:r w:rsidR="00783046">
        <w:rPr>
          <w:sz w:val="20"/>
          <w:szCs w:val="20"/>
        </w:rPr>
        <w:t>.</w:t>
      </w:r>
      <w:r w:rsidRPr="00E76EA2">
        <w:rPr>
          <w:sz w:val="20"/>
          <w:szCs w:val="20"/>
        </w:rPr>
        <w:t xml:space="preserve"> </w:t>
      </w:r>
    </w:p>
  </w:footnote>
  <w:footnote w:id="444">
    <w:p w14:paraId="18FE52A0" w14:textId="77777777" w:rsidR="00C310AB" w:rsidRPr="00E76EA2" w:rsidRDefault="00C310AB" w:rsidP="002248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45">
    <w:p w14:paraId="6FB48A7B" w14:textId="6D6CC7F3"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Prosecutor v Lubanga, Trial Chamber I’s Decision  on Victims’ Participation  of 18January 2008</w:t>
      </w:r>
    </w:p>
  </w:footnote>
  <w:footnote w:id="446">
    <w:p w14:paraId="7C318006" w14:textId="26186D95"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 Dissenting Opinion of Judge Rene </w:t>
      </w:r>
      <w:proofErr w:type="spellStart"/>
      <w:r w:rsidRPr="00E76EA2">
        <w:rPr>
          <w:sz w:val="20"/>
          <w:szCs w:val="20"/>
        </w:rPr>
        <w:t>Blattman</w:t>
      </w:r>
      <w:proofErr w:type="spellEnd"/>
      <w:r w:rsidRPr="00E76EA2">
        <w:rPr>
          <w:sz w:val="20"/>
          <w:szCs w:val="20"/>
        </w:rPr>
        <w:t>.</w:t>
      </w:r>
    </w:p>
  </w:footnote>
  <w:footnote w:id="447">
    <w:p w14:paraId="12096363" w14:textId="2E0E63DC"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Prosecutor v Lubanga ,Judgment on the Appeals of the Prosecutor and Defence  Against Trial Chamber I’s Decision  on Victims’ Participation  of 18 </w:t>
      </w:r>
      <w:proofErr w:type="spellStart"/>
      <w:r w:rsidRPr="00E76EA2">
        <w:rPr>
          <w:sz w:val="20"/>
          <w:szCs w:val="20"/>
        </w:rPr>
        <w:t>January,Appeal</w:t>
      </w:r>
      <w:proofErr w:type="spellEnd"/>
      <w:r w:rsidRPr="00E76EA2">
        <w:rPr>
          <w:sz w:val="20"/>
          <w:szCs w:val="20"/>
        </w:rPr>
        <w:t xml:space="preserve"> Chamber ,Case No,ICC-01/04-01/06 11July 2008,Appeal Chamber Decision </w:t>
      </w:r>
    </w:p>
  </w:footnote>
  <w:footnote w:id="448">
    <w:p w14:paraId="0D369486" w14:textId="77777777" w:rsidR="00C310AB" w:rsidRPr="00E76EA2" w:rsidRDefault="00C310AB" w:rsidP="002248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49">
    <w:p w14:paraId="01EC9E11" w14:textId="22E35A9F" w:rsidR="00C310AB" w:rsidRPr="00E76EA2" w:rsidRDefault="00C310AB" w:rsidP="002248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Prosecutor v Lubanga,</w:t>
      </w:r>
      <w:r w:rsidR="00783046">
        <w:rPr>
          <w:sz w:val="20"/>
          <w:szCs w:val="20"/>
        </w:rPr>
        <w:t xml:space="preserve"> </w:t>
      </w:r>
      <w:r w:rsidRPr="00E76EA2">
        <w:rPr>
          <w:sz w:val="20"/>
          <w:szCs w:val="20"/>
        </w:rPr>
        <w:t>Judgment on the Appeals of the Prosecutor and Defence  Against Trial Chamber I’s Decision  on Victims’ Participation  of 18</w:t>
      </w:r>
      <w:r w:rsidR="0022485D">
        <w:rPr>
          <w:sz w:val="20"/>
          <w:szCs w:val="20"/>
        </w:rPr>
        <w:t xml:space="preserve"> </w:t>
      </w:r>
      <w:r w:rsidRPr="00E76EA2">
        <w:rPr>
          <w:sz w:val="20"/>
          <w:szCs w:val="20"/>
        </w:rPr>
        <w:t xml:space="preserve">January 2008,Partly Dissenting Opinion of Judge Phillipe </w:t>
      </w:r>
      <w:proofErr w:type="spellStart"/>
      <w:r w:rsidRPr="00E76EA2">
        <w:rPr>
          <w:sz w:val="20"/>
          <w:szCs w:val="20"/>
        </w:rPr>
        <w:t>Kirsche</w:t>
      </w:r>
      <w:proofErr w:type="spellEnd"/>
      <w:r w:rsidRPr="00E76EA2">
        <w:rPr>
          <w:sz w:val="20"/>
          <w:szCs w:val="20"/>
        </w:rPr>
        <w:t xml:space="preserve"> , Appeal Chamber Case No.ICC-01/04-01/06,23July 2008,14-16.</w:t>
      </w:r>
    </w:p>
  </w:footnote>
  <w:footnote w:id="450">
    <w:p w14:paraId="6D78AD4B" w14:textId="7919B294"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Pr="00E76EA2">
        <w:rPr>
          <w:rStyle w:val="FootnoteReference"/>
          <w:sz w:val="20"/>
          <w:szCs w:val="20"/>
        </w:rPr>
        <w:footnoteRef/>
      </w:r>
      <w:r w:rsidRPr="00E76EA2">
        <w:rPr>
          <w:sz w:val="20"/>
          <w:szCs w:val="20"/>
        </w:rPr>
        <w:t xml:space="preserve"> Prosecutor v </w:t>
      </w:r>
      <w:proofErr w:type="spellStart"/>
      <w:r w:rsidRPr="00E76EA2">
        <w:rPr>
          <w:sz w:val="20"/>
          <w:szCs w:val="20"/>
        </w:rPr>
        <w:t>Lubanga,Judgment</w:t>
      </w:r>
      <w:proofErr w:type="spellEnd"/>
      <w:r w:rsidRPr="00E76EA2">
        <w:rPr>
          <w:sz w:val="20"/>
          <w:szCs w:val="20"/>
        </w:rPr>
        <w:t xml:space="preserve"> on the Appeals of the Prosecutor and Defence  Against Trial Chamber I’s Decision  on Victims’ Participation  of 18January 2008,11July 2008, Appeals Decision ,ICC-01/0401/06, Dissenting Opinion of Judge Pikis.</w:t>
      </w:r>
    </w:p>
  </w:footnote>
  <w:footnote w:id="451">
    <w:p w14:paraId="499CFC27" w14:textId="07185484"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w:t>
      </w:r>
      <w:proofErr w:type="spellStart"/>
      <w:r w:rsidRPr="00E76EA2">
        <w:rPr>
          <w:sz w:val="20"/>
          <w:szCs w:val="20"/>
        </w:rPr>
        <w:t>Congo,“Decision</w:t>
      </w:r>
      <w:proofErr w:type="spellEnd"/>
      <w:r w:rsidRPr="00E76EA2">
        <w:rPr>
          <w:sz w:val="20"/>
          <w:szCs w:val="20"/>
        </w:rPr>
        <w:t xml:space="preserve"> on the Requests of the OPCD on the  Production of Relevant </w:t>
      </w:r>
      <w:proofErr w:type="spellStart"/>
      <w:r w:rsidRPr="00E76EA2">
        <w:rPr>
          <w:sz w:val="20"/>
          <w:szCs w:val="20"/>
        </w:rPr>
        <w:t>Suppporting</w:t>
      </w:r>
      <w:proofErr w:type="spellEnd"/>
      <w:r w:rsidRPr="00E76EA2">
        <w:rPr>
          <w:sz w:val="20"/>
          <w:szCs w:val="20"/>
        </w:rPr>
        <w:t xml:space="preserve"> Documentation Pursuant to Regulation 86(2) (e) of the Regulations of the Court and on the Disclosure of Exculpatory Materials by the Prosecutor” of 7 December 2007, Pre-trial Chamber, ICC-01/04-417</w:t>
      </w:r>
      <w:r w:rsidR="00783046">
        <w:rPr>
          <w:sz w:val="20"/>
          <w:szCs w:val="20"/>
        </w:rPr>
        <w:t>.</w:t>
      </w:r>
    </w:p>
  </w:footnote>
  <w:footnote w:id="452">
    <w:p w14:paraId="26822FEC" w14:textId="77777777"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Democratic Republic of Congo, “Decision on the applications for participation in the proceedings of VPRS 1, VPRS 2, VPRS 3, VPRS 4, VPRS 5 and VPRS 6”  17 January 2006, ICC-01/04-101-Ten-Corr</w:t>
      </w:r>
    </w:p>
  </w:footnote>
  <w:footnote w:id="453">
    <w:p w14:paraId="6B753CB6" w14:textId="7B9E78D3"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A50CDC">
        <w:rPr>
          <w:sz w:val="20"/>
          <w:szCs w:val="20"/>
        </w:rPr>
        <w:t>.</w:t>
      </w:r>
    </w:p>
  </w:footnote>
  <w:footnote w:id="454">
    <w:p w14:paraId="0BA6F301" w14:textId="77777777"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55">
    <w:p w14:paraId="1EC51B99" w14:textId="77777777"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56">
    <w:p w14:paraId="0AC072D5" w14:textId="041F2EFA"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Judgment on victim participation in the investigation stage of the proceedings in the appeal of the OPCD against the decision of the Pre-Trial Chamber 1 of 7 December  2007  and in the  appeals of the OPCD and the Prosecutor against the decision of the Pre-Trial Chamber 1 of 24 December 2007, Appeals Chamber , 19 December 2008, ICC-01/04-556, p.6, para.7.</w:t>
      </w:r>
    </w:p>
  </w:footnote>
  <w:footnote w:id="457">
    <w:p w14:paraId="14021C57" w14:textId="06D91D72"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A50CDC">
        <w:rPr>
          <w:sz w:val="20"/>
          <w:szCs w:val="20"/>
        </w:rPr>
        <w:t>.</w:t>
      </w:r>
    </w:p>
  </w:footnote>
  <w:footnote w:id="458">
    <w:p w14:paraId="3005E99B" w14:textId="77777777"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p.25, paras 57,58 and 59.</w:t>
      </w:r>
    </w:p>
  </w:footnote>
  <w:footnote w:id="459">
    <w:p w14:paraId="31F5AEA3" w14:textId="77777777" w:rsidR="00C310AB" w:rsidRPr="00E76EA2" w:rsidRDefault="00C310AB" w:rsidP="00A50C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Ibid,p.22, para.52. </w:t>
      </w:r>
    </w:p>
  </w:footnote>
  <w:footnote w:id="460">
    <w:p w14:paraId="7C6C1ED9" w14:textId="08F32B39"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Decision on the Applications for </w:t>
      </w:r>
      <w:proofErr w:type="spellStart"/>
      <w:r w:rsidRPr="00E76EA2">
        <w:rPr>
          <w:sz w:val="20"/>
          <w:szCs w:val="20"/>
        </w:rPr>
        <w:t>Particpation</w:t>
      </w:r>
      <w:proofErr w:type="spellEnd"/>
      <w:r w:rsidRPr="00E76EA2">
        <w:rPr>
          <w:sz w:val="20"/>
          <w:szCs w:val="20"/>
        </w:rPr>
        <w:t xml:space="preserve"> in the Proceedings of VPRS 1, VPRS 2,VPRS 3,VPRS 4,VPRS5 </w:t>
      </w:r>
      <w:r w:rsidR="007D7DBC">
        <w:rPr>
          <w:sz w:val="20"/>
          <w:szCs w:val="20"/>
        </w:rPr>
        <w:t>and</w:t>
      </w:r>
      <w:r w:rsidRPr="00E76EA2">
        <w:rPr>
          <w:sz w:val="20"/>
          <w:szCs w:val="20"/>
        </w:rPr>
        <w:t xml:space="preserve"> VPRS 6, Pre-Trial Chamber 1, 17 January 2006.</w:t>
      </w:r>
    </w:p>
  </w:footnote>
  <w:footnote w:id="461">
    <w:p w14:paraId="5AE86929" w14:textId="77777777"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p.8,para.29.</w:t>
      </w:r>
    </w:p>
  </w:footnote>
  <w:footnote w:id="462">
    <w:p w14:paraId="21172D54" w14:textId="77777777"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para.52-53.</w:t>
      </w:r>
    </w:p>
  </w:footnote>
  <w:footnote w:id="463">
    <w:p w14:paraId="1132A46B" w14:textId="77777777"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64">
    <w:p w14:paraId="5EDA597D" w14:textId="77777777"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ICC-01/04-101-tEN-Corr ,Pre-Trial Chamber 1, </w:t>
      </w:r>
    </w:p>
  </w:footnote>
  <w:footnote w:id="465">
    <w:p w14:paraId="79A7E839" w14:textId="77777777"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xml:space="preserve">, The Oral Decision of Trial Chamber 1 on 18 January 2008 Trial 1, ICC-01/04-01/06.18 January 2008. </w:t>
      </w:r>
    </w:p>
  </w:footnote>
  <w:footnote w:id="466">
    <w:p w14:paraId="3984CE6A" w14:textId="5A9C830B"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Separate and Dissenting opinion of Judge Rene Blattman,ICC-01/04-01/06-119, 18</w:t>
      </w:r>
      <w:r w:rsidR="007D7DBC">
        <w:rPr>
          <w:sz w:val="20"/>
          <w:szCs w:val="20"/>
        </w:rPr>
        <w:t xml:space="preserve"> </w:t>
      </w:r>
      <w:r w:rsidRPr="00E76EA2">
        <w:rPr>
          <w:sz w:val="20"/>
          <w:szCs w:val="20"/>
        </w:rPr>
        <w:t>January 2008.</w:t>
      </w:r>
    </w:p>
  </w:footnote>
  <w:footnote w:id="467">
    <w:p w14:paraId="25DA13FC" w14:textId="77777777"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Judgment on the Appeals of the Prosecutor and the Defence against Trial Chamber I’s Decision on Victims’ Participation of 18 January 2008, ICC-01/04-01/06, 11July 2009,</w:t>
      </w:r>
    </w:p>
  </w:footnote>
  <w:footnote w:id="468">
    <w:p w14:paraId="3A3D7BB2" w14:textId="77777777" w:rsidR="00C310AB" w:rsidRPr="00E76EA2" w:rsidRDefault="00C310AB" w:rsidP="007D7DBC">
      <w:pPr>
        <w:pStyle w:val="NoSpacing1"/>
        <w:jc w:val="both"/>
        <w:rPr>
          <w:sz w:val="20"/>
          <w:szCs w:val="20"/>
        </w:rPr>
      </w:pPr>
      <w:r w:rsidRPr="00E76EA2">
        <w:rPr>
          <w:rStyle w:val="FootnoteReference"/>
          <w:sz w:val="20"/>
          <w:szCs w:val="20"/>
        </w:rPr>
        <w:footnoteRef/>
      </w:r>
      <w:r w:rsidRPr="00E76EA2">
        <w:rPr>
          <w:sz w:val="20"/>
          <w:szCs w:val="20"/>
        </w:rPr>
        <w:t xml:space="preserve"> Ibid.</w:t>
      </w:r>
    </w:p>
  </w:footnote>
  <w:footnote w:id="469">
    <w:p w14:paraId="63BF2AA3" w14:textId="4B6EFBC2" w:rsidR="00C310AB" w:rsidRPr="00E76EA2" w:rsidRDefault="00C310AB" w:rsidP="007D7DBC">
      <w:pPr>
        <w:pStyle w:val="NoSpacing1"/>
        <w:jc w:val="both"/>
        <w:rPr>
          <w:sz w:val="20"/>
          <w:szCs w:val="20"/>
        </w:rPr>
      </w:pPr>
      <w:r w:rsidRPr="00E76EA2">
        <w:rPr>
          <w:rStyle w:val="FootnoteReference"/>
          <w:sz w:val="20"/>
          <w:szCs w:val="20"/>
        </w:rPr>
        <w:footnoteRef/>
      </w:r>
      <w:r w:rsidRPr="00E76EA2">
        <w:rPr>
          <w:sz w:val="20"/>
          <w:szCs w:val="20"/>
        </w:rPr>
        <w:t xml:space="preserve"> Dissenting Opinion of Judge Pikis, Appeals Chamber Decision,11 July 2008</w:t>
      </w:r>
      <w:r w:rsidR="00783046">
        <w:rPr>
          <w:sz w:val="20"/>
          <w:szCs w:val="20"/>
        </w:rPr>
        <w:t>.</w:t>
      </w:r>
      <w:r w:rsidRPr="00E76EA2">
        <w:rPr>
          <w:sz w:val="20"/>
          <w:szCs w:val="20"/>
        </w:rPr>
        <w:t xml:space="preserve"> </w:t>
      </w:r>
    </w:p>
  </w:footnote>
  <w:footnote w:id="470">
    <w:p w14:paraId="37D39A4A" w14:textId="77777777" w:rsidR="00C310AB" w:rsidRPr="00E76EA2" w:rsidRDefault="00C310AB" w:rsidP="007D7DBC">
      <w:pPr>
        <w:pStyle w:val="NoSpacing1"/>
        <w:jc w:val="both"/>
        <w:rPr>
          <w:sz w:val="20"/>
          <w:szCs w:val="20"/>
        </w:rPr>
      </w:pPr>
      <w:r w:rsidRPr="00E76EA2">
        <w:rPr>
          <w:rStyle w:val="FootnoteReference"/>
          <w:sz w:val="20"/>
          <w:szCs w:val="20"/>
        </w:rPr>
        <w:footnoteRef/>
      </w:r>
      <w:r w:rsidRPr="00E76EA2">
        <w:rPr>
          <w:sz w:val="20"/>
          <w:szCs w:val="20"/>
        </w:rPr>
        <w:t xml:space="preserve"> Ibid , para.14.</w:t>
      </w:r>
    </w:p>
  </w:footnote>
  <w:footnote w:id="471">
    <w:p w14:paraId="02A7DA13" w14:textId="62C4CD6A" w:rsidR="00C310AB" w:rsidRPr="00E76EA2" w:rsidRDefault="00C310AB" w:rsidP="007D7DBC">
      <w:pPr>
        <w:pStyle w:val="NoSpacing1"/>
        <w:jc w:val="both"/>
        <w:rPr>
          <w:sz w:val="20"/>
          <w:szCs w:val="20"/>
        </w:rPr>
      </w:pPr>
      <w:r w:rsidRPr="00E76EA2">
        <w:rPr>
          <w:rStyle w:val="FootnoteReference"/>
          <w:sz w:val="20"/>
          <w:szCs w:val="20"/>
        </w:rPr>
        <w:footnoteRef/>
      </w:r>
      <w:r w:rsidRPr="00E76EA2">
        <w:rPr>
          <w:sz w:val="20"/>
          <w:szCs w:val="20"/>
        </w:rPr>
        <w:t xml:space="preserve">Carsten </w:t>
      </w:r>
      <w:proofErr w:type="spellStart"/>
      <w:r w:rsidRPr="00E76EA2">
        <w:rPr>
          <w:sz w:val="20"/>
          <w:szCs w:val="20"/>
        </w:rPr>
        <w:t>Stahn</w:t>
      </w:r>
      <w:proofErr w:type="spellEnd"/>
      <w:r w:rsidRPr="00E76EA2">
        <w:rPr>
          <w:sz w:val="20"/>
          <w:szCs w:val="20"/>
        </w:rPr>
        <w:t xml:space="preserve"> and Hector </w:t>
      </w:r>
      <w:proofErr w:type="spellStart"/>
      <w:r w:rsidRPr="00E76EA2">
        <w:rPr>
          <w:sz w:val="20"/>
          <w:szCs w:val="20"/>
        </w:rPr>
        <w:t>Olasolo</w:t>
      </w:r>
      <w:proofErr w:type="spellEnd"/>
      <w:r w:rsidRPr="00E76EA2">
        <w:rPr>
          <w:sz w:val="20"/>
          <w:szCs w:val="20"/>
        </w:rPr>
        <w:t xml:space="preserve">, ‘Participation of Victims in Pre-Trial Proceedings’(2006) 4 </w:t>
      </w:r>
      <w:r w:rsidRPr="00E76EA2">
        <w:rPr>
          <w:i/>
          <w:iCs/>
          <w:sz w:val="20"/>
          <w:szCs w:val="20"/>
        </w:rPr>
        <w:t>Journal of Criminal Justice</w:t>
      </w:r>
      <w:r w:rsidRPr="00E76EA2">
        <w:rPr>
          <w:sz w:val="20"/>
          <w:szCs w:val="20"/>
        </w:rPr>
        <w:t>,219-238.</w:t>
      </w:r>
    </w:p>
  </w:footnote>
  <w:footnote w:id="472">
    <w:p w14:paraId="55AECE19" w14:textId="247B7AC8"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473">
    <w:p w14:paraId="621E7E70" w14:textId="3683F435"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74">
    <w:p w14:paraId="2C349621" w14:textId="7BBD16F7" w:rsidR="00C310AB" w:rsidRPr="00E76EA2" w:rsidRDefault="00C310AB" w:rsidP="007D7DBC">
      <w:pPr>
        <w:pStyle w:val="NoSpacing1"/>
        <w:spacing w:line="276" w:lineRule="auto"/>
        <w:jc w:val="both"/>
        <w:rPr>
          <w:bCs/>
          <w:sz w:val="20"/>
          <w:szCs w:val="20"/>
        </w:rPr>
      </w:pPr>
      <w:r w:rsidRPr="00E76EA2">
        <w:rPr>
          <w:rStyle w:val="FootnoteReference"/>
          <w:sz w:val="20"/>
          <w:szCs w:val="20"/>
        </w:rPr>
        <w:footnoteRef/>
      </w:r>
      <w:r w:rsidRPr="00E76EA2">
        <w:rPr>
          <w:sz w:val="20"/>
          <w:szCs w:val="20"/>
        </w:rPr>
        <w:t xml:space="preserve"> Christine Chung, Victims’ Participation at the International Criminal Court: Are Concessions of the Court Clouding the Promise? 2008 6(3)</w:t>
      </w:r>
      <w:r w:rsidRPr="00E76EA2">
        <w:rPr>
          <w:b/>
          <w:sz w:val="20"/>
          <w:szCs w:val="20"/>
        </w:rPr>
        <w:t xml:space="preserve"> </w:t>
      </w:r>
      <w:proofErr w:type="spellStart"/>
      <w:r w:rsidRPr="00E76EA2">
        <w:rPr>
          <w:bCs/>
          <w:i/>
          <w:iCs/>
          <w:sz w:val="20"/>
          <w:szCs w:val="20"/>
        </w:rPr>
        <w:t>Northwestern</w:t>
      </w:r>
      <w:proofErr w:type="spellEnd"/>
      <w:r w:rsidRPr="00E76EA2">
        <w:rPr>
          <w:bCs/>
          <w:i/>
          <w:iCs/>
          <w:sz w:val="20"/>
          <w:szCs w:val="20"/>
        </w:rPr>
        <w:t xml:space="preserve"> Journal of International Human Rights</w:t>
      </w:r>
      <w:r w:rsidRPr="00E76EA2">
        <w:rPr>
          <w:bCs/>
          <w:sz w:val="20"/>
          <w:szCs w:val="20"/>
        </w:rPr>
        <w:t>,459-454,</w:t>
      </w:r>
      <w:r w:rsidR="00783046">
        <w:rPr>
          <w:bCs/>
          <w:sz w:val="20"/>
          <w:szCs w:val="20"/>
        </w:rPr>
        <w:t>p</w:t>
      </w:r>
      <w:r w:rsidRPr="00E76EA2">
        <w:rPr>
          <w:bCs/>
          <w:sz w:val="20"/>
          <w:szCs w:val="20"/>
        </w:rPr>
        <w:t>461</w:t>
      </w:r>
    </w:p>
  </w:footnote>
  <w:footnote w:id="475">
    <w:p w14:paraId="71AD353C" w14:textId="7D9BF2F6" w:rsidR="00C310AB" w:rsidRPr="00E76EA2" w:rsidRDefault="00C310AB" w:rsidP="007D7DB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76">
    <w:p w14:paraId="5BB3C915" w14:textId="77777777" w:rsidR="00C310AB" w:rsidRPr="00E76EA2" w:rsidRDefault="00C310AB" w:rsidP="0039610D">
      <w:pPr>
        <w:pStyle w:val="NoSpacing1"/>
        <w:spacing w:line="276" w:lineRule="auto"/>
        <w:rPr>
          <w:sz w:val="20"/>
          <w:szCs w:val="20"/>
        </w:rPr>
      </w:pPr>
      <w:r w:rsidRPr="00E76EA2">
        <w:rPr>
          <w:rStyle w:val="FootnoteReference"/>
          <w:sz w:val="20"/>
          <w:szCs w:val="20"/>
        </w:rPr>
        <w:footnoteRef/>
      </w:r>
      <w:r w:rsidRPr="00E76EA2">
        <w:rPr>
          <w:sz w:val="20"/>
          <w:szCs w:val="20"/>
        </w:rPr>
        <w:t xml:space="preserve"> Cecile </w:t>
      </w:r>
      <w:proofErr w:type="spellStart"/>
      <w:r w:rsidRPr="00E76EA2">
        <w:rPr>
          <w:sz w:val="20"/>
          <w:szCs w:val="20"/>
        </w:rPr>
        <w:t>Aptel</w:t>
      </w:r>
      <w:proofErr w:type="spellEnd"/>
      <w:r w:rsidRPr="00E76EA2">
        <w:rPr>
          <w:sz w:val="20"/>
          <w:szCs w:val="20"/>
        </w:rPr>
        <w:t xml:space="preserve">, ‘Prosecutorial Discretion at the ICC and Victims’ Right to Remedy: Narrowing the Impunity Gap (2012) 10(5) </w:t>
      </w:r>
      <w:r w:rsidRPr="00E76EA2">
        <w:rPr>
          <w:i/>
          <w:sz w:val="20"/>
          <w:szCs w:val="20"/>
        </w:rPr>
        <w:t xml:space="preserve">Journal of International Criminal Justice </w:t>
      </w:r>
      <w:r w:rsidRPr="00E76EA2">
        <w:rPr>
          <w:sz w:val="20"/>
          <w:szCs w:val="20"/>
        </w:rPr>
        <w:t>,1357-1375.</w:t>
      </w:r>
    </w:p>
    <w:p w14:paraId="1B360DFD" w14:textId="77777777" w:rsidR="00C310AB" w:rsidRPr="00E76EA2" w:rsidRDefault="00C310AB" w:rsidP="0039610D">
      <w:pPr>
        <w:pStyle w:val="NoSpacing1"/>
        <w:spacing w:line="276" w:lineRule="auto"/>
        <w:rPr>
          <w:sz w:val="20"/>
          <w:szCs w:val="20"/>
        </w:rPr>
      </w:pPr>
    </w:p>
  </w:footnote>
  <w:footnote w:id="477">
    <w:p w14:paraId="25F44917" w14:textId="1BD81C59" w:rsidR="00C310AB" w:rsidRPr="00E76EA2" w:rsidRDefault="00C310AB" w:rsidP="008D6F34">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Cecile </w:t>
      </w:r>
      <w:proofErr w:type="spellStart"/>
      <w:r w:rsidRPr="00E76EA2">
        <w:rPr>
          <w:sz w:val="20"/>
          <w:szCs w:val="20"/>
        </w:rPr>
        <w:t>Aptel</w:t>
      </w:r>
      <w:proofErr w:type="spellEnd"/>
      <w:r w:rsidRPr="00E76EA2">
        <w:rPr>
          <w:sz w:val="20"/>
          <w:szCs w:val="20"/>
        </w:rPr>
        <w:t>, “Prosecutorial Discretion at the ICC and Victims’ Right to Remedy(2012) 10(5)</w:t>
      </w:r>
      <w:r w:rsidRPr="00E76EA2">
        <w:rPr>
          <w:i/>
          <w:sz w:val="20"/>
          <w:szCs w:val="20"/>
        </w:rPr>
        <w:t xml:space="preserve"> Journal of International Criminal Justice,</w:t>
      </w:r>
      <w:r w:rsidRPr="00E76EA2">
        <w:rPr>
          <w:iCs/>
          <w:sz w:val="20"/>
          <w:szCs w:val="20"/>
        </w:rPr>
        <w:t>1357-1375</w:t>
      </w:r>
    </w:p>
  </w:footnote>
  <w:footnote w:id="478">
    <w:p w14:paraId="27A4B579" w14:textId="32482D8C" w:rsidR="00C310AB" w:rsidRPr="00E76EA2" w:rsidRDefault="00C310AB" w:rsidP="008D6F3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Judgment on the appeals of the Prosecutor and the Defence against Trial Chamber I’s Decision on Victims’ Participation of 18 January 2008, Trial Chamber 1, ICC-01/04-01/-6-1432, 11 July 2008, pars.53-65</w:t>
      </w:r>
    </w:p>
  </w:footnote>
  <w:footnote w:id="479">
    <w:p w14:paraId="5137AB96" w14:textId="0660926C" w:rsidR="00C310AB" w:rsidRPr="00E76EA2" w:rsidRDefault="00C310AB" w:rsidP="008D6F3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Germain Katanga and Mathieu </w:t>
      </w:r>
      <w:proofErr w:type="spellStart"/>
      <w:r w:rsidRPr="00E76EA2">
        <w:rPr>
          <w:sz w:val="20"/>
          <w:szCs w:val="20"/>
        </w:rPr>
        <w:t>Ngudjolo</w:t>
      </w:r>
      <w:proofErr w:type="spellEnd"/>
      <w:r w:rsidRPr="00E76EA2">
        <w:rPr>
          <w:sz w:val="20"/>
          <w:szCs w:val="20"/>
        </w:rPr>
        <w:t xml:space="preserve"> Chui, Decision on the Modalities of victim participation at Trial, ICC-01/04-01/07-1788-tENG, 22January 2010,p.16,paras 36 and 37; Prosecutor </w:t>
      </w:r>
      <w:proofErr w:type="spellStart"/>
      <w:r w:rsidRPr="00E76EA2">
        <w:rPr>
          <w:sz w:val="20"/>
          <w:szCs w:val="20"/>
        </w:rPr>
        <w:t>v.Lubanga</w:t>
      </w:r>
      <w:proofErr w:type="spellEnd"/>
      <w:r w:rsidRPr="00E76EA2">
        <w:rPr>
          <w:sz w:val="20"/>
          <w:szCs w:val="20"/>
        </w:rPr>
        <w:t>,  Appeal Chambers, ICC-01/04-01/06-568, 13</w:t>
      </w:r>
      <w:r w:rsidR="00783046">
        <w:rPr>
          <w:sz w:val="20"/>
          <w:szCs w:val="20"/>
          <w:vertAlign w:val="superscript"/>
        </w:rPr>
        <w:t xml:space="preserve"> </w:t>
      </w:r>
      <w:r w:rsidRPr="00E76EA2">
        <w:rPr>
          <w:sz w:val="20"/>
          <w:szCs w:val="20"/>
        </w:rPr>
        <w:t>October</w:t>
      </w:r>
      <w:r w:rsidR="00783046">
        <w:rPr>
          <w:sz w:val="20"/>
          <w:szCs w:val="20"/>
        </w:rPr>
        <w:t>,</w:t>
      </w:r>
      <w:r w:rsidRPr="00E76EA2">
        <w:rPr>
          <w:sz w:val="20"/>
          <w:szCs w:val="20"/>
        </w:rPr>
        <w:t xml:space="preserve"> 2006, para.52</w:t>
      </w:r>
    </w:p>
  </w:footnote>
  <w:footnote w:id="480">
    <w:p w14:paraId="566026AE" w14:textId="7202EF2C" w:rsidR="00C310AB" w:rsidRPr="00E76EA2" w:rsidRDefault="00C310AB" w:rsidP="008D6F3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81">
    <w:p w14:paraId="28D9CFDD" w14:textId="41DDFA33" w:rsidR="00C310AB" w:rsidRPr="00E76EA2" w:rsidRDefault="00C310AB" w:rsidP="008D6F3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Rome Statute 1998, article 68(3);</w:t>
      </w:r>
      <w:r w:rsidRPr="00E76EA2">
        <w:rPr>
          <w:rStyle w:val="FootnoteReference"/>
          <w:sz w:val="20"/>
          <w:szCs w:val="20"/>
        </w:rPr>
        <w:t xml:space="preserve"> </w:t>
      </w:r>
      <w:r w:rsidRPr="00E76EA2">
        <w:rPr>
          <w:sz w:val="20"/>
          <w:szCs w:val="20"/>
          <w:lang w:val="en-US"/>
        </w:rPr>
        <w:t>Lubanga, Decision of the Appeal Chamber on the Joint Application of Victims a/0001/06 to a/0003/06 and a/0105/06 concerning the Directions and Decision of the Appeals Chamber of 2 February 2007,ICC-01/04-01/06-925 13-06-2007 CB PT OA8,para.45.</w:t>
      </w:r>
    </w:p>
    <w:p w14:paraId="47080ECD" w14:textId="77777777" w:rsidR="00C310AB" w:rsidRPr="00E76EA2" w:rsidRDefault="00C310AB" w:rsidP="008D6F3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,para 28.</w:t>
      </w:r>
    </w:p>
    <w:p w14:paraId="1B2CAD2F" w14:textId="77777777" w:rsidR="00C310AB" w:rsidRPr="00E76EA2" w:rsidRDefault="00C310AB" w:rsidP="008D6F34">
      <w:pPr>
        <w:pStyle w:val="NoSpacing1"/>
        <w:spacing w:line="276" w:lineRule="auto"/>
        <w:jc w:val="both"/>
        <w:rPr>
          <w:sz w:val="20"/>
          <w:szCs w:val="20"/>
        </w:rPr>
      </w:pPr>
    </w:p>
  </w:footnote>
  <w:footnote w:id="482">
    <w:p w14:paraId="1BFCAE55" w14:textId="18223A18" w:rsidR="00C310AB" w:rsidRPr="00E76EA2" w:rsidRDefault="00C310AB" w:rsidP="00D31A6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Silvia </w:t>
      </w:r>
      <w:proofErr w:type="spellStart"/>
      <w:r w:rsidRPr="00E76EA2">
        <w:rPr>
          <w:sz w:val="20"/>
          <w:szCs w:val="20"/>
        </w:rPr>
        <w:t>Fernanadez</w:t>
      </w:r>
      <w:proofErr w:type="spellEnd"/>
      <w:r w:rsidRPr="00E76EA2">
        <w:rPr>
          <w:sz w:val="20"/>
          <w:szCs w:val="20"/>
        </w:rPr>
        <w:t xml:space="preserve"> de </w:t>
      </w:r>
      <w:proofErr w:type="spellStart"/>
      <w:r w:rsidRPr="00E76EA2">
        <w:rPr>
          <w:sz w:val="20"/>
          <w:szCs w:val="20"/>
        </w:rPr>
        <w:t>Gurmendi</w:t>
      </w:r>
      <w:proofErr w:type="spellEnd"/>
      <w:r w:rsidRPr="00E76EA2">
        <w:rPr>
          <w:sz w:val="20"/>
          <w:szCs w:val="20"/>
        </w:rPr>
        <w:t xml:space="preserve">, ‘The Role of the Prosecutor ‘ </w:t>
      </w:r>
      <w:r w:rsidR="004D26FC">
        <w:rPr>
          <w:sz w:val="20"/>
          <w:szCs w:val="20"/>
        </w:rPr>
        <w:t>I</w:t>
      </w:r>
      <w:r w:rsidRPr="00E76EA2">
        <w:rPr>
          <w:sz w:val="20"/>
          <w:szCs w:val="20"/>
        </w:rPr>
        <w:t xml:space="preserve">n Roy Lee(ed), </w:t>
      </w:r>
      <w:r w:rsidRPr="00E76EA2">
        <w:rPr>
          <w:i/>
          <w:sz w:val="20"/>
          <w:szCs w:val="20"/>
        </w:rPr>
        <w:t xml:space="preserve">The International Criminal </w:t>
      </w:r>
      <w:proofErr w:type="spellStart"/>
      <w:r w:rsidRPr="00E76EA2">
        <w:rPr>
          <w:i/>
          <w:sz w:val="20"/>
          <w:szCs w:val="20"/>
        </w:rPr>
        <w:t>Court:The</w:t>
      </w:r>
      <w:proofErr w:type="spellEnd"/>
      <w:r w:rsidRPr="00E76EA2">
        <w:rPr>
          <w:i/>
          <w:sz w:val="20"/>
          <w:szCs w:val="20"/>
        </w:rPr>
        <w:t xml:space="preserve"> Making of the Rome Statute-Issues, Negotiations and Results</w:t>
      </w:r>
      <w:r w:rsidRPr="00E76EA2">
        <w:rPr>
          <w:sz w:val="20"/>
          <w:szCs w:val="20"/>
        </w:rPr>
        <w:t xml:space="preserve"> (Kluwer Law International,199</w:t>
      </w:r>
      <w:r w:rsidR="008D6F34">
        <w:rPr>
          <w:sz w:val="20"/>
          <w:szCs w:val="20"/>
        </w:rPr>
        <w:t>4</w:t>
      </w:r>
      <w:r w:rsidRPr="00E76EA2">
        <w:rPr>
          <w:sz w:val="20"/>
          <w:szCs w:val="20"/>
        </w:rPr>
        <w:t>).175; Draft Statute for the International Criminal Court, arts</w:t>
      </w:r>
      <w:r w:rsidR="008D6F34">
        <w:rPr>
          <w:sz w:val="20"/>
          <w:szCs w:val="20"/>
        </w:rPr>
        <w:t xml:space="preserve"> </w:t>
      </w:r>
      <w:r w:rsidRPr="00E76EA2">
        <w:rPr>
          <w:sz w:val="20"/>
          <w:szCs w:val="20"/>
        </w:rPr>
        <w:t>21,23</w:t>
      </w:r>
      <w:r w:rsidR="008D6F34">
        <w:rPr>
          <w:sz w:val="20"/>
          <w:szCs w:val="20"/>
        </w:rPr>
        <w:t>.</w:t>
      </w:r>
      <w:r w:rsidRPr="00E76EA2">
        <w:rPr>
          <w:sz w:val="20"/>
          <w:szCs w:val="20"/>
        </w:rPr>
        <w:t xml:space="preserve"> </w:t>
      </w:r>
      <w:r w:rsidR="00D31A6B">
        <w:rPr>
          <w:sz w:val="20"/>
          <w:szCs w:val="20"/>
        </w:rPr>
        <w:t>&lt;</w:t>
      </w:r>
      <w:hyperlink w:history="1">
        <w:r w:rsidR="00D31A6B" w:rsidRPr="006308A2">
          <w:rPr>
            <w:rStyle w:val="Hyperlink"/>
            <w:sz w:val="20"/>
            <w:szCs w:val="20"/>
          </w:rPr>
          <w:t>https://untreaty .un.org/ilc/texts/instruments/English/draft%20articles/7_4_1994.pdf.</w:t>
        </w:r>
      </w:hyperlink>
      <w:r w:rsidRPr="00E76EA2">
        <w:rPr>
          <w:rStyle w:val="Hyperlink"/>
          <w:sz w:val="20"/>
          <w:szCs w:val="20"/>
        </w:rPr>
        <w:t xml:space="preserve"> ;</w:t>
      </w:r>
      <w:r w:rsidR="00D31A6B">
        <w:rPr>
          <w:rStyle w:val="Hyperlink"/>
          <w:sz w:val="20"/>
          <w:szCs w:val="20"/>
        </w:rPr>
        <w:t xml:space="preserve"> &gt;</w:t>
      </w:r>
      <w:r w:rsidRPr="00E76EA2">
        <w:rPr>
          <w:rStyle w:val="Hyperlink"/>
          <w:sz w:val="20"/>
          <w:szCs w:val="20"/>
        </w:rPr>
        <w:t xml:space="preserve">   </w:t>
      </w:r>
      <w:r w:rsidRPr="00E76EA2">
        <w:rPr>
          <w:sz w:val="20"/>
          <w:szCs w:val="20"/>
        </w:rPr>
        <w:t xml:space="preserve">Williams Pace and Mark </w:t>
      </w:r>
      <w:proofErr w:type="spellStart"/>
      <w:r w:rsidRPr="00E76EA2">
        <w:rPr>
          <w:sz w:val="20"/>
          <w:szCs w:val="20"/>
        </w:rPr>
        <w:t>Thieroff</w:t>
      </w:r>
      <w:proofErr w:type="spellEnd"/>
      <w:r w:rsidRPr="00E76EA2">
        <w:rPr>
          <w:sz w:val="20"/>
          <w:szCs w:val="20"/>
        </w:rPr>
        <w:t xml:space="preserve">, “Participation of Non-Governmental Organisations” Roy Lee(ed), The International Criminal </w:t>
      </w:r>
      <w:proofErr w:type="spellStart"/>
      <w:r w:rsidRPr="00E76EA2">
        <w:rPr>
          <w:sz w:val="20"/>
          <w:szCs w:val="20"/>
        </w:rPr>
        <w:t>Court:</w:t>
      </w:r>
      <w:r w:rsidRPr="00E76EA2">
        <w:rPr>
          <w:i/>
          <w:sz w:val="20"/>
          <w:szCs w:val="20"/>
        </w:rPr>
        <w:t>The</w:t>
      </w:r>
      <w:proofErr w:type="spellEnd"/>
      <w:r w:rsidRPr="00E76EA2">
        <w:rPr>
          <w:i/>
          <w:sz w:val="20"/>
          <w:szCs w:val="20"/>
        </w:rPr>
        <w:t xml:space="preserve"> Making of the Rome Statute :The Issues , Negotiations, Results </w:t>
      </w:r>
      <w:r w:rsidRPr="00E76EA2">
        <w:rPr>
          <w:sz w:val="20"/>
          <w:szCs w:val="20"/>
        </w:rPr>
        <w:t>(</w:t>
      </w:r>
      <w:r w:rsidR="00F13F42">
        <w:rPr>
          <w:sz w:val="20"/>
          <w:szCs w:val="20"/>
        </w:rPr>
        <w:t xml:space="preserve">Kluwer </w:t>
      </w:r>
      <w:r w:rsidR="00820DBC">
        <w:rPr>
          <w:sz w:val="20"/>
          <w:szCs w:val="20"/>
        </w:rPr>
        <w:t xml:space="preserve">Law </w:t>
      </w:r>
      <w:r w:rsidRPr="00E76EA2">
        <w:rPr>
          <w:sz w:val="20"/>
          <w:szCs w:val="20"/>
        </w:rPr>
        <w:t>1999)392-393.</w:t>
      </w:r>
    </w:p>
  </w:footnote>
  <w:footnote w:id="483">
    <w:p w14:paraId="47B8A694"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w:t>
      </w:r>
    </w:p>
  </w:footnote>
  <w:footnote w:id="484">
    <w:p w14:paraId="381622DA" w14:textId="0E63C2C4" w:rsidR="00C310AB" w:rsidRPr="00E76EA2" w:rsidRDefault="00C310AB" w:rsidP="000E385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Cecile </w:t>
      </w:r>
      <w:proofErr w:type="spellStart"/>
      <w:r w:rsidRPr="00E76EA2">
        <w:rPr>
          <w:sz w:val="20"/>
          <w:szCs w:val="20"/>
        </w:rPr>
        <w:t>Aptel</w:t>
      </w:r>
      <w:proofErr w:type="spellEnd"/>
      <w:r w:rsidRPr="00E76EA2">
        <w:rPr>
          <w:sz w:val="20"/>
          <w:szCs w:val="20"/>
        </w:rPr>
        <w:t>, “Prosecutorial Discretion at the ICC and Victims’ Right to Remedy(2012) 10(5)</w:t>
      </w:r>
      <w:r w:rsidRPr="00E76EA2">
        <w:rPr>
          <w:i/>
          <w:sz w:val="20"/>
          <w:szCs w:val="20"/>
        </w:rPr>
        <w:t xml:space="preserve"> Journal of International Criminal Justice</w:t>
      </w:r>
      <w:r w:rsidRPr="00E76EA2">
        <w:rPr>
          <w:sz w:val="20"/>
          <w:szCs w:val="20"/>
        </w:rPr>
        <w:t>,p.1358</w:t>
      </w:r>
    </w:p>
  </w:footnote>
  <w:footnote w:id="485">
    <w:p w14:paraId="1A14F21A" w14:textId="5301DE08" w:rsidR="00C310AB" w:rsidRPr="00E76EA2" w:rsidRDefault="00C310AB" w:rsidP="000E385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86">
    <w:p w14:paraId="02B28C92" w14:textId="77777777" w:rsidR="00C310AB" w:rsidRPr="00E76EA2" w:rsidRDefault="00C310AB" w:rsidP="000E385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14 and 15;Office of the Prosecutor, </w:t>
      </w:r>
      <w:r w:rsidRPr="00E76EA2">
        <w:rPr>
          <w:i/>
          <w:sz w:val="20"/>
          <w:szCs w:val="20"/>
        </w:rPr>
        <w:t>Prosecutorial Strategy</w:t>
      </w:r>
      <w:r w:rsidRPr="00E76EA2">
        <w:rPr>
          <w:sz w:val="20"/>
          <w:szCs w:val="20"/>
        </w:rPr>
        <w:t>, 2009-2012, 1 February 2010.22</w:t>
      </w:r>
    </w:p>
  </w:footnote>
  <w:footnote w:id="487">
    <w:p w14:paraId="7941DD0C" w14:textId="0312CD97" w:rsidR="00C310AB" w:rsidRPr="00E76EA2" w:rsidRDefault="00C310AB" w:rsidP="000E385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Rome Statute 1998, Article 74.</w:t>
      </w:r>
    </w:p>
    <w:p w14:paraId="6EC9FC88" w14:textId="77777777" w:rsidR="00C310AB" w:rsidRPr="00E76EA2" w:rsidRDefault="00C310AB" w:rsidP="000E3856">
      <w:pPr>
        <w:pStyle w:val="NoSpacing1"/>
        <w:spacing w:line="276" w:lineRule="auto"/>
        <w:jc w:val="both"/>
        <w:rPr>
          <w:sz w:val="20"/>
          <w:szCs w:val="20"/>
        </w:rPr>
      </w:pPr>
    </w:p>
    <w:p w14:paraId="55E9F241" w14:textId="77777777" w:rsidR="00C310AB" w:rsidRPr="00E76EA2" w:rsidRDefault="00C310AB" w:rsidP="000E3856">
      <w:pPr>
        <w:pStyle w:val="NoSpacing1"/>
        <w:spacing w:line="276" w:lineRule="auto"/>
        <w:jc w:val="both"/>
        <w:rPr>
          <w:sz w:val="20"/>
          <w:szCs w:val="20"/>
        </w:rPr>
      </w:pPr>
    </w:p>
  </w:footnote>
  <w:footnote w:id="488">
    <w:p w14:paraId="0AFF8367" w14:textId="77777777" w:rsidR="00C310AB" w:rsidRPr="00E76EA2" w:rsidRDefault="00C310AB" w:rsidP="00AD2D3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Jan </w:t>
      </w:r>
      <w:proofErr w:type="spellStart"/>
      <w:r w:rsidRPr="00E76EA2">
        <w:rPr>
          <w:sz w:val="20"/>
          <w:szCs w:val="20"/>
        </w:rPr>
        <w:t>Paulsson</w:t>
      </w:r>
      <w:proofErr w:type="spellEnd"/>
      <w:r w:rsidRPr="00E76EA2">
        <w:rPr>
          <w:sz w:val="20"/>
          <w:szCs w:val="20"/>
        </w:rPr>
        <w:t xml:space="preserve">, </w:t>
      </w:r>
      <w:r w:rsidRPr="00E76EA2">
        <w:rPr>
          <w:i/>
          <w:sz w:val="20"/>
          <w:szCs w:val="20"/>
        </w:rPr>
        <w:t>Denial of Justice in International Law</w:t>
      </w:r>
      <w:r w:rsidRPr="00E76EA2">
        <w:rPr>
          <w:sz w:val="20"/>
          <w:szCs w:val="20"/>
        </w:rPr>
        <w:t>(Cambridge University Press 2005)</w:t>
      </w:r>
    </w:p>
  </w:footnote>
  <w:footnote w:id="489">
    <w:p w14:paraId="0760CD74" w14:textId="77777777" w:rsidR="00C310AB" w:rsidRPr="00E76EA2" w:rsidRDefault="00C310AB" w:rsidP="00AD2D3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David </w:t>
      </w:r>
      <w:proofErr w:type="spellStart"/>
      <w:r w:rsidRPr="00E76EA2">
        <w:rPr>
          <w:sz w:val="20"/>
          <w:szCs w:val="20"/>
        </w:rPr>
        <w:t>Luban</w:t>
      </w:r>
      <w:proofErr w:type="spellEnd"/>
      <w:r w:rsidRPr="00E76EA2">
        <w:rPr>
          <w:sz w:val="20"/>
          <w:szCs w:val="20"/>
        </w:rPr>
        <w:t xml:space="preserve">, ‘Fairness to </w:t>
      </w:r>
      <w:proofErr w:type="spellStart"/>
      <w:r w:rsidRPr="00E76EA2">
        <w:rPr>
          <w:sz w:val="20"/>
          <w:szCs w:val="20"/>
        </w:rPr>
        <w:t>Rightness:Jurisdiction</w:t>
      </w:r>
      <w:proofErr w:type="spellEnd"/>
      <w:r w:rsidRPr="00E76EA2">
        <w:rPr>
          <w:sz w:val="20"/>
          <w:szCs w:val="20"/>
        </w:rPr>
        <w:t xml:space="preserve">, Legality, and the legitimacy of international criminal law’ in Samantha Besson &amp; John </w:t>
      </w:r>
      <w:proofErr w:type="spellStart"/>
      <w:r w:rsidRPr="00E76EA2">
        <w:rPr>
          <w:sz w:val="20"/>
          <w:szCs w:val="20"/>
        </w:rPr>
        <w:t>Taioulas</w:t>
      </w:r>
      <w:proofErr w:type="spellEnd"/>
      <w:r w:rsidRPr="00E76EA2">
        <w:rPr>
          <w:sz w:val="20"/>
          <w:szCs w:val="20"/>
        </w:rPr>
        <w:t xml:space="preserve"> (eds.), </w:t>
      </w:r>
      <w:r w:rsidRPr="00E76EA2">
        <w:rPr>
          <w:i/>
          <w:sz w:val="20"/>
          <w:szCs w:val="20"/>
        </w:rPr>
        <w:t xml:space="preserve">The Philosophy of International Law </w:t>
      </w:r>
      <w:r w:rsidRPr="00E76EA2">
        <w:rPr>
          <w:sz w:val="20"/>
          <w:szCs w:val="20"/>
        </w:rPr>
        <w:t>(Oxford University Press 2010 )</w:t>
      </w:r>
    </w:p>
  </w:footnote>
  <w:footnote w:id="490">
    <w:p w14:paraId="27B6961C" w14:textId="741B6FBA" w:rsidR="00C310AB" w:rsidRPr="00E76EA2" w:rsidRDefault="00C310AB" w:rsidP="00AD2D3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Carsten </w:t>
      </w:r>
      <w:proofErr w:type="spellStart"/>
      <w:r w:rsidRPr="00E76EA2">
        <w:rPr>
          <w:sz w:val="20"/>
          <w:szCs w:val="20"/>
        </w:rPr>
        <w:t>Stahn</w:t>
      </w:r>
      <w:proofErr w:type="spellEnd"/>
      <w:r w:rsidRPr="00E76EA2">
        <w:rPr>
          <w:sz w:val="20"/>
          <w:szCs w:val="20"/>
        </w:rPr>
        <w:t xml:space="preserve">,  ‘Between faith  and </w:t>
      </w:r>
      <w:proofErr w:type="spellStart"/>
      <w:r w:rsidRPr="00E76EA2">
        <w:rPr>
          <w:sz w:val="20"/>
          <w:szCs w:val="20"/>
        </w:rPr>
        <w:t>facts:By</w:t>
      </w:r>
      <w:proofErr w:type="spellEnd"/>
      <w:r w:rsidRPr="00E76EA2">
        <w:rPr>
          <w:sz w:val="20"/>
          <w:szCs w:val="20"/>
        </w:rPr>
        <w:t xml:space="preserve"> what standards should we assess International Criminal Justice?’ (2012) 25 </w:t>
      </w:r>
      <w:r w:rsidRPr="00E76EA2">
        <w:rPr>
          <w:i/>
          <w:sz w:val="20"/>
          <w:szCs w:val="20"/>
        </w:rPr>
        <w:t xml:space="preserve">Leiden Journal of International Law, </w:t>
      </w:r>
      <w:r w:rsidRPr="00E76EA2">
        <w:rPr>
          <w:sz w:val="20"/>
          <w:szCs w:val="20"/>
        </w:rPr>
        <w:t>251,267.</w:t>
      </w:r>
    </w:p>
  </w:footnote>
  <w:footnote w:id="491">
    <w:p w14:paraId="22A98824" w14:textId="6AA10AB8" w:rsidR="00C310AB" w:rsidRPr="00E76EA2" w:rsidRDefault="00C310AB" w:rsidP="00F95B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Laura </w:t>
      </w:r>
      <w:proofErr w:type="spellStart"/>
      <w:r w:rsidRPr="00E76EA2">
        <w:rPr>
          <w:sz w:val="20"/>
          <w:szCs w:val="20"/>
        </w:rPr>
        <w:t>Klamming</w:t>
      </w:r>
      <w:proofErr w:type="spellEnd"/>
      <w:r w:rsidRPr="00E76EA2">
        <w:rPr>
          <w:sz w:val="20"/>
          <w:szCs w:val="20"/>
        </w:rPr>
        <w:t xml:space="preserve"> and Ivo </w:t>
      </w:r>
      <w:proofErr w:type="spellStart"/>
      <w:r w:rsidRPr="00E76EA2">
        <w:rPr>
          <w:sz w:val="20"/>
          <w:szCs w:val="20"/>
        </w:rPr>
        <w:t>Giesen</w:t>
      </w:r>
      <w:proofErr w:type="spellEnd"/>
      <w:r w:rsidRPr="00E76EA2">
        <w:rPr>
          <w:sz w:val="20"/>
          <w:szCs w:val="20"/>
        </w:rPr>
        <w:t>, Access to Justice :Quality of the Procedure , Working Paper No.002/2008,2008</w:t>
      </w:r>
      <w:r w:rsidR="00D25589">
        <w:rPr>
          <w:sz w:val="20"/>
          <w:szCs w:val="20"/>
        </w:rPr>
        <w:t>.</w:t>
      </w:r>
    </w:p>
  </w:footnote>
  <w:footnote w:id="492">
    <w:p w14:paraId="5CD889FE" w14:textId="77777777" w:rsidR="00C310AB" w:rsidRPr="00E76EA2" w:rsidRDefault="00C310AB" w:rsidP="00F95B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Universal Declaration of Human Rights 1948, Article 10;International Covenant on Civil and Political Rights 1966, Article 14;Rome Statute 1998, Article 66, 67.</w:t>
      </w:r>
    </w:p>
  </w:footnote>
  <w:footnote w:id="493">
    <w:p w14:paraId="7A32C8F6" w14:textId="20538EC4" w:rsidR="00C310AB" w:rsidRPr="00E76EA2" w:rsidRDefault="00C310AB" w:rsidP="00F95B26">
      <w:pPr>
        <w:pStyle w:val="NoSpacing1"/>
        <w:spacing w:line="276" w:lineRule="auto"/>
        <w:jc w:val="both"/>
        <w:rPr>
          <w:sz w:val="20"/>
          <w:szCs w:val="20"/>
        </w:rPr>
      </w:pPr>
      <w:r w:rsidRPr="00E76EA2">
        <w:rPr>
          <w:rStyle w:val="FootnoteReference"/>
          <w:sz w:val="20"/>
          <w:szCs w:val="20"/>
        </w:rPr>
        <w:footnoteRef/>
      </w:r>
      <w:r w:rsidRPr="00E76EA2">
        <w:rPr>
          <w:sz w:val="20"/>
          <w:szCs w:val="20"/>
        </w:rPr>
        <w:t>Andrew</w:t>
      </w:r>
      <w:r w:rsidR="00DA4D9E">
        <w:rPr>
          <w:sz w:val="20"/>
          <w:szCs w:val="20"/>
        </w:rPr>
        <w:t xml:space="preserve"> </w:t>
      </w:r>
      <w:proofErr w:type="spellStart"/>
      <w:r w:rsidRPr="00E76EA2">
        <w:rPr>
          <w:sz w:val="20"/>
          <w:szCs w:val="20"/>
        </w:rPr>
        <w:t>Ashworth,</w:t>
      </w:r>
      <w:r w:rsidRPr="005307FC">
        <w:rPr>
          <w:i/>
          <w:iCs/>
          <w:sz w:val="20"/>
          <w:szCs w:val="20"/>
        </w:rPr>
        <w:t>The</w:t>
      </w:r>
      <w:proofErr w:type="spellEnd"/>
      <w:r w:rsidRPr="005307FC">
        <w:rPr>
          <w:i/>
          <w:iCs/>
          <w:sz w:val="20"/>
          <w:szCs w:val="20"/>
        </w:rPr>
        <w:t xml:space="preserve"> </w:t>
      </w:r>
      <w:r w:rsidR="005307FC">
        <w:rPr>
          <w:i/>
          <w:iCs/>
          <w:sz w:val="20"/>
          <w:szCs w:val="20"/>
        </w:rPr>
        <w:t>C</w:t>
      </w:r>
      <w:r w:rsidRPr="005307FC">
        <w:rPr>
          <w:i/>
          <w:iCs/>
          <w:sz w:val="20"/>
          <w:szCs w:val="20"/>
        </w:rPr>
        <w:t xml:space="preserve">riminal </w:t>
      </w:r>
      <w:proofErr w:type="spellStart"/>
      <w:r w:rsidRPr="005307FC">
        <w:rPr>
          <w:i/>
          <w:iCs/>
          <w:sz w:val="20"/>
          <w:szCs w:val="20"/>
        </w:rPr>
        <w:t>Process:An</w:t>
      </w:r>
      <w:proofErr w:type="spellEnd"/>
      <w:r w:rsidRPr="005307FC">
        <w:rPr>
          <w:i/>
          <w:iCs/>
          <w:sz w:val="20"/>
          <w:szCs w:val="20"/>
        </w:rPr>
        <w:t xml:space="preserve"> Evaluative Study</w:t>
      </w:r>
      <w:r w:rsidRPr="00E76EA2">
        <w:rPr>
          <w:sz w:val="20"/>
          <w:szCs w:val="20"/>
        </w:rPr>
        <w:t xml:space="preserve"> (2</w:t>
      </w:r>
      <w:r w:rsidRPr="00E76EA2">
        <w:rPr>
          <w:sz w:val="20"/>
          <w:szCs w:val="20"/>
          <w:vertAlign w:val="superscript"/>
        </w:rPr>
        <w:t>nd</w:t>
      </w:r>
      <w:r w:rsidRPr="00E76EA2">
        <w:rPr>
          <w:sz w:val="20"/>
          <w:szCs w:val="20"/>
        </w:rPr>
        <w:t xml:space="preserve"> </w:t>
      </w:r>
      <w:proofErr w:type="spellStart"/>
      <w:r w:rsidRPr="00E76EA2">
        <w:rPr>
          <w:sz w:val="20"/>
          <w:szCs w:val="20"/>
        </w:rPr>
        <w:t>edn</w:t>
      </w:r>
      <w:proofErr w:type="spellEnd"/>
      <w:r w:rsidRPr="00E76EA2">
        <w:rPr>
          <w:sz w:val="20"/>
          <w:szCs w:val="20"/>
        </w:rPr>
        <w:t>, Oxford University Press,1998)20</w:t>
      </w:r>
    </w:p>
  </w:footnote>
  <w:footnote w:id="494">
    <w:p w14:paraId="09547098" w14:textId="77777777" w:rsidR="00C310AB" w:rsidRPr="00E76EA2" w:rsidRDefault="00C310AB" w:rsidP="00F95B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95">
    <w:p w14:paraId="07702800" w14:textId="77777777" w:rsidR="00C310AB" w:rsidRPr="00E76EA2" w:rsidRDefault="00C310AB" w:rsidP="00F95B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496">
    <w:p w14:paraId="74BB44FD" w14:textId="08437AD4" w:rsidR="00C310AB" w:rsidRPr="00E76EA2" w:rsidRDefault="00C310AB" w:rsidP="00F95B26">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Ian Edwards, “An Ambiguous </w:t>
      </w:r>
      <w:proofErr w:type="spellStart"/>
      <w:r w:rsidRPr="00E76EA2">
        <w:rPr>
          <w:sz w:val="20"/>
          <w:szCs w:val="20"/>
        </w:rPr>
        <w:t>Participant:The</w:t>
      </w:r>
      <w:proofErr w:type="spellEnd"/>
      <w:r w:rsidRPr="00E76EA2">
        <w:rPr>
          <w:sz w:val="20"/>
          <w:szCs w:val="20"/>
        </w:rPr>
        <w:t xml:space="preserve"> Crime Victim and Criminal Justice Decision-Making” (2004)44(6)</w:t>
      </w:r>
      <w:r w:rsidRPr="00E76EA2">
        <w:rPr>
          <w:i/>
          <w:sz w:val="20"/>
          <w:szCs w:val="20"/>
        </w:rPr>
        <w:t xml:space="preserve">The British Journal of Criminology, </w:t>
      </w:r>
      <w:r w:rsidRPr="00E76EA2">
        <w:rPr>
          <w:iCs/>
          <w:sz w:val="20"/>
          <w:szCs w:val="20"/>
        </w:rPr>
        <w:t>967-982</w:t>
      </w:r>
    </w:p>
  </w:footnote>
  <w:footnote w:id="497">
    <w:p w14:paraId="4F529891" w14:textId="3F51C16E" w:rsidR="00C310AB" w:rsidRPr="00E76EA2" w:rsidRDefault="00C310AB" w:rsidP="00F95B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xml:space="preserve">, </w:t>
      </w:r>
      <w:r w:rsidRPr="00E76EA2">
        <w:rPr>
          <w:i/>
          <w:iCs/>
          <w:sz w:val="20"/>
          <w:szCs w:val="20"/>
        </w:rPr>
        <w:t xml:space="preserve">Victims’ Rights , Human Rights and Criminal </w:t>
      </w:r>
      <w:proofErr w:type="spellStart"/>
      <w:r w:rsidRPr="00E76EA2">
        <w:rPr>
          <w:i/>
          <w:iCs/>
          <w:sz w:val="20"/>
          <w:szCs w:val="20"/>
        </w:rPr>
        <w:t>Justice:Reconceiving</w:t>
      </w:r>
      <w:proofErr w:type="spellEnd"/>
      <w:r w:rsidRPr="00E76EA2">
        <w:rPr>
          <w:i/>
          <w:iCs/>
          <w:sz w:val="20"/>
          <w:szCs w:val="20"/>
        </w:rPr>
        <w:t xml:space="preserve"> the Role of Third Parties</w:t>
      </w:r>
      <w:r w:rsidRPr="00E76EA2">
        <w:rPr>
          <w:sz w:val="20"/>
          <w:szCs w:val="20"/>
        </w:rPr>
        <w:t xml:space="preserve"> (Hart Publishing  2008)26,27 and 28.</w:t>
      </w:r>
    </w:p>
  </w:footnote>
  <w:footnote w:id="498">
    <w:p w14:paraId="2EB3D9DA" w14:textId="38AEB2BC" w:rsidR="00C310AB" w:rsidRPr="00E76EA2" w:rsidRDefault="00C310AB" w:rsidP="00F95B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Christine Chung, ‘Victims’ Participation at the International Criminal </w:t>
      </w:r>
      <w:proofErr w:type="spellStart"/>
      <w:r w:rsidRPr="00E76EA2">
        <w:rPr>
          <w:sz w:val="20"/>
          <w:szCs w:val="20"/>
        </w:rPr>
        <w:t>Court:Are</w:t>
      </w:r>
      <w:proofErr w:type="spellEnd"/>
      <w:r w:rsidRPr="00E76EA2">
        <w:rPr>
          <w:sz w:val="20"/>
          <w:szCs w:val="20"/>
        </w:rPr>
        <w:t xml:space="preserve"> Concessions of the Court Clouding the Promise? (2008) 6(3) </w:t>
      </w:r>
      <w:proofErr w:type="spellStart"/>
      <w:r w:rsidRPr="00E76EA2">
        <w:rPr>
          <w:i/>
          <w:sz w:val="20"/>
          <w:szCs w:val="20"/>
        </w:rPr>
        <w:t>Northwestern</w:t>
      </w:r>
      <w:proofErr w:type="spellEnd"/>
      <w:r w:rsidRPr="00E76EA2">
        <w:rPr>
          <w:i/>
          <w:sz w:val="20"/>
          <w:szCs w:val="20"/>
        </w:rPr>
        <w:t xml:space="preserve"> Journal of International Human Rights </w:t>
      </w:r>
      <w:r w:rsidR="005307FC">
        <w:rPr>
          <w:sz w:val="20"/>
          <w:szCs w:val="20"/>
        </w:rPr>
        <w:t>p</w:t>
      </w:r>
      <w:r w:rsidRPr="00E76EA2">
        <w:rPr>
          <w:sz w:val="20"/>
          <w:szCs w:val="20"/>
        </w:rPr>
        <w:t>459,506.</w:t>
      </w:r>
    </w:p>
  </w:footnote>
  <w:footnote w:id="499">
    <w:p w14:paraId="44B95E9B" w14:textId="77777777" w:rsidR="00C310AB" w:rsidRPr="00E76EA2" w:rsidRDefault="00C310AB" w:rsidP="006E501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Decision on the Prosecutor’s Application for Leave to Appeal the Chamber ‘ Decision of 17 January 2006 on the Application in the Proceedings of VPRS 1, VPRS 2, VPRS 3, VPRS 4, VPRS 5 and VPRS 6, ICC-01/04-135-Teng, 31 March 2006, para.38.</w:t>
      </w:r>
    </w:p>
  </w:footnote>
  <w:footnote w:id="500">
    <w:p w14:paraId="664D70CC" w14:textId="3EBA46BF" w:rsidR="00C310AB" w:rsidRPr="00E76EA2" w:rsidRDefault="00C310AB" w:rsidP="006E501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Gregory.Gordon</w:t>
      </w:r>
      <w:proofErr w:type="spellEnd"/>
      <w:r w:rsidRPr="00E76EA2">
        <w:rPr>
          <w:sz w:val="20"/>
          <w:szCs w:val="20"/>
        </w:rPr>
        <w:t xml:space="preserve"> , “Toward an International Criminal Procedure” (2007) 45 </w:t>
      </w:r>
      <w:r w:rsidRPr="00E76EA2">
        <w:rPr>
          <w:i/>
          <w:iCs/>
          <w:sz w:val="20"/>
          <w:szCs w:val="20"/>
        </w:rPr>
        <w:t>Columbia Journal of Transnational Law</w:t>
      </w:r>
      <w:r w:rsidR="005307FC">
        <w:rPr>
          <w:i/>
          <w:iCs/>
          <w:sz w:val="20"/>
          <w:szCs w:val="20"/>
        </w:rPr>
        <w:t>,</w:t>
      </w:r>
      <w:r w:rsidR="005307FC">
        <w:rPr>
          <w:sz w:val="20"/>
          <w:szCs w:val="20"/>
        </w:rPr>
        <w:t>p</w:t>
      </w:r>
      <w:r w:rsidRPr="00E76EA2">
        <w:rPr>
          <w:sz w:val="20"/>
          <w:szCs w:val="20"/>
        </w:rPr>
        <w:t>635,637</w:t>
      </w:r>
    </w:p>
  </w:footnote>
  <w:footnote w:id="501">
    <w:p w14:paraId="63C9A140" w14:textId="36ECD600" w:rsidR="00C310AB" w:rsidRPr="00E76EA2" w:rsidRDefault="00C310AB" w:rsidP="006E501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Carsten </w:t>
      </w:r>
      <w:proofErr w:type="spellStart"/>
      <w:r w:rsidRPr="00E76EA2">
        <w:rPr>
          <w:sz w:val="20"/>
          <w:szCs w:val="20"/>
        </w:rPr>
        <w:t>Stahn</w:t>
      </w:r>
      <w:proofErr w:type="spellEnd"/>
      <w:r w:rsidRPr="00E76EA2">
        <w:rPr>
          <w:sz w:val="20"/>
          <w:szCs w:val="20"/>
        </w:rPr>
        <w:t>,</w:t>
      </w:r>
      <w:r w:rsidR="005307FC">
        <w:rPr>
          <w:sz w:val="20"/>
          <w:szCs w:val="20"/>
        </w:rPr>
        <w:t xml:space="preserve"> “</w:t>
      </w:r>
      <w:r w:rsidRPr="00E76EA2">
        <w:rPr>
          <w:sz w:val="20"/>
          <w:szCs w:val="20"/>
        </w:rPr>
        <w:t xml:space="preserve">International Criminal Justice Procedures” in Carsten </w:t>
      </w:r>
      <w:proofErr w:type="spellStart"/>
      <w:r w:rsidRPr="00E76EA2">
        <w:rPr>
          <w:sz w:val="20"/>
          <w:szCs w:val="20"/>
        </w:rPr>
        <w:t>Stahn</w:t>
      </w:r>
      <w:proofErr w:type="spellEnd"/>
      <w:r w:rsidRPr="00E76EA2">
        <w:rPr>
          <w:sz w:val="20"/>
          <w:szCs w:val="20"/>
        </w:rPr>
        <w:t xml:space="preserve"> (ed),</w:t>
      </w:r>
      <w:r w:rsidRPr="00E76EA2">
        <w:rPr>
          <w:i/>
          <w:iCs/>
          <w:sz w:val="20"/>
          <w:szCs w:val="20"/>
        </w:rPr>
        <w:t xml:space="preserve">A Critical Introduction to International Criminal Law </w:t>
      </w:r>
      <w:r w:rsidRPr="00E76EA2">
        <w:rPr>
          <w:sz w:val="20"/>
          <w:szCs w:val="20"/>
        </w:rPr>
        <w:t>(Cambridge University Press 2019) 269-380</w:t>
      </w:r>
    </w:p>
  </w:footnote>
  <w:footnote w:id="502">
    <w:p w14:paraId="6D42D12D" w14:textId="360F8326" w:rsidR="00C310AB" w:rsidRPr="00E76EA2" w:rsidRDefault="00C310AB" w:rsidP="002F7A92">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John Spencer, ‘Adversarial v inquisitorial systems: is there still such a difference(2016) 20(5) I</w:t>
      </w:r>
      <w:r w:rsidRPr="00E76EA2">
        <w:rPr>
          <w:i/>
          <w:sz w:val="20"/>
          <w:szCs w:val="20"/>
        </w:rPr>
        <w:t>nternational</w:t>
      </w:r>
      <w:r w:rsidRPr="00E76EA2">
        <w:rPr>
          <w:sz w:val="20"/>
          <w:szCs w:val="20"/>
        </w:rPr>
        <w:t xml:space="preserve">  </w:t>
      </w:r>
      <w:r w:rsidRPr="00E76EA2">
        <w:rPr>
          <w:i/>
          <w:sz w:val="20"/>
          <w:szCs w:val="20"/>
        </w:rPr>
        <w:t>Journal of Human Rights,</w:t>
      </w:r>
      <w:r w:rsidRPr="00E76EA2">
        <w:rPr>
          <w:sz w:val="20"/>
          <w:szCs w:val="20"/>
        </w:rPr>
        <w:t>601-616</w:t>
      </w:r>
    </w:p>
  </w:footnote>
  <w:footnote w:id="503">
    <w:p w14:paraId="375F9991" w14:textId="77777777"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Sex Offenders Act 2001, s.34;The Criminal Law (Rape)Act  1981</w:t>
      </w:r>
    </w:p>
  </w:footnote>
  <w:footnote w:id="504">
    <w:p w14:paraId="69933101" w14:textId="77777777"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Prosecution of Offences Act  1985, Section 6(1);</w:t>
      </w:r>
      <w:proofErr w:type="spellStart"/>
      <w:r w:rsidRPr="00E76EA2">
        <w:rPr>
          <w:sz w:val="20"/>
          <w:szCs w:val="20"/>
        </w:rPr>
        <w:t>Gouriet</w:t>
      </w:r>
      <w:proofErr w:type="spellEnd"/>
      <w:r w:rsidRPr="00E76EA2">
        <w:rPr>
          <w:sz w:val="20"/>
          <w:szCs w:val="20"/>
        </w:rPr>
        <w:t xml:space="preserve"> v Union of Post Office Workers [1978] ,UKHL 5,[1977] 3 ALL ER 70</w:t>
      </w:r>
    </w:p>
  </w:footnote>
  <w:footnote w:id="505">
    <w:p w14:paraId="4ECBF1B1" w14:textId="77777777"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Lord Wilberforce , </w:t>
      </w:r>
      <w:proofErr w:type="spellStart"/>
      <w:r w:rsidRPr="00E76EA2">
        <w:rPr>
          <w:sz w:val="20"/>
          <w:szCs w:val="20"/>
        </w:rPr>
        <w:t>Gouriet</w:t>
      </w:r>
      <w:proofErr w:type="spellEnd"/>
      <w:r w:rsidRPr="00E76EA2">
        <w:rPr>
          <w:sz w:val="20"/>
          <w:szCs w:val="20"/>
        </w:rPr>
        <w:t xml:space="preserve"> v Union of Post Office Workers, [1978] AC 435,UKHL 5,[1977] 3 ALL ER 70</w:t>
      </w:r>
    </w:p>
  </w:footnote>
  <w:footnote w:id="506">
    <w:p w14:paraId="0103F696" w14:textId="77777777"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07">
    <w:p w14:paraId="10177F75" w14:textId="635BB849"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Salvador </w:t>
      </w:r>
      <w:proofErr w:type="spellStart"/>
      <w:r w:rsidRPr="00E76EA2">
        <w:rPr>
          <w:sz w:val="20"/>
          <w:szCs w:val="20"/>
        </w:rPr>
        <w:t>Guerro</w:t>
      </w:r>
      <w:proofErr w:type="spellEnd"/>
      <w:r w:rsidRPr="00E76EA2">
        <w:rPr>
          <w:sz w:val="20"/>
          <w:szCs w:val="20"/>
        </w:rPr>
        <w:t xml:space="preserve"> </w:t>
      </w:r>
      <w:proofErr w:type="spellStart"/>
      <w:r w:rsidRPr="00E76EA2">
        <w:rPr>
          <w:sz w:val="20"/>
          <w:szCs w:val="20"/>
        </w:rPr>
        <w:t>Palomarres</w:t>
      </w:r>
      <w:proofErr w:type="spellEnd"/>
      <w:r w:rsidRPr="00E76EA2">
        <w:rPr>
          <w:sz w:val="20"/>
          <w:szCs w:val="20"/>
        </w:rPr>
        <w:t>, “Common and Civil Law Traditions on Victim Participation at the ICC”,(2014)4(2)</w:t>
      </w:r>
      <w:r w:rsidRPr="00E76EA2">
        <w:rPr>
          <w:i/>
          <w:iCs/>
          <w:sz w:val="20"/>
          <w:szCs w:val="20"/>
        </w:rPr>
        <w:t>International Journal of Procedural Law</w:t>
      </w:r>
      <w:r w:rsidRPr="00E76EA2">
        <w:rPr>
          <w:sz w:val="20"/>
          <w:szCs w:val="20"/>
        </w:rPr>
        <w:t xml:space="preserve">,217-235,231;Brianne McGonigle </w:t>
      </w:r>
      <w:proofErr w:type="spellStart"/>
      <w:r w:rsidRPr="00E76EA2">
        <w:rPr>
          <w:sz w:val="20"/>
          <w:szCs w:val="20"/>
        </w:rPr>
        <w:t>Leyh</w:t>
      </w:r>
      <w:proofErr w:type="spellEnd"/>
      <w:r w:rsidRPr="00E76EA2">
        <w:rPr>
          <w:sz w:val="20"/>
          <w:szCs w:val="20"/>
        </w:rPr>
        <w:t xml:space="preserve">, </w:t>
      </w:r>
      <w:r w:rsidRPr="005307FC">
        <w:rPr>
          <w:i/>
          <w:iCs/>
          <w:sz w:val="20"/>
          <w:szCs w:val="20"/>
        </w:rPr>
        <w:t xml:space="preserve">Procedural Justice ?Victim </w:t>
      </w:r>
      <w:proofErr w:type="spellStart"/>
      <w:r w:rsidRPr="005307FC">
        <w:rPr>
          <w:i/>
          <w:iCs/>
          <w:sz w:val="20"/>
          <w:szCs w:val="20"/>
        </w:rPr>
        <w:t>Particpation</w:t>
      </w:r>
      <w:proofErr w:type="spellEnd"/>
      <w:r w:rsidRPr="005307FC">
        <w:rPr>
          <w:i/>
          <w:iCs/>
          <w:sz w:val="20"/>
          <w:szCs w:val="20"/>
        </w:rPr>
        <w:t xml:space="preserve"> in International Criminal Proceedings</w:t>
      </w:r>
      <w:r w:rsidRPr="00E76EA2">
        <w:rPr>
          <w:sz w:val="20"/>
          <w:szCs w:val="20"/>
        </w:rPr>
        <w:t xml:space="preserve"> (Antwerp 2011).66</w:t>
      </w:r>
    </w:p>
  </w:footnote>
  <w:footnote w:id="508">
    <w:p w14:paraId="7081705D" w14:textId="77777777"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Ibid;State</w:t>
      </w:r>
      <w:proofErr w:type="spellEnd"/>
      <w:r w:rsidRPr="00E76EA2">
        <w:rPr>
          <w:sz w:val="20"/>
          <w:szCs w:val="20"/>
        </w:rPr>
        <w:t xml:space="preserve"> of West  Virginia </w:t>
      </w:r>
      <w:proofErr w:type="spellStart"/>
      <w:r w:rsidRPr="00E76EA2">
        <w:rPr>
          <w:sz w:val="20"/>
          <w:szCs w:val="20"/>
        </w:rPr>
        <w:t>v.Calvin</w:t>
      </w:r>
      <w:proofErr w:type="spellEnd"/>
      <w:r w:rsidRPr="00E76EA2">
        <w:rPr>
          <w:sz w:val="20"/>
          <w:szCs w:val="20"/>
        </w:rPr>
        <w:t xml:space="preserve"> Atkins,261 S.E.2d 55(1979), Supreme Court of Appeals of West Virginia.</w:t>
      </w:r>
    </w:p>
  </w:footnote>
  <w:footnote w:id="509">
    <w:p w14:paraId="30C0825B" w14:textId="77777777"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State of New Jersey v William Kinder,701 F.Supp.486(D.N.J.) December 15,1988</w:t>
      </w:r>
    </w:p>
  </w:footnote>
  <w:footnote w:id="510">
    <w:p w14:paraId="6455A1C4" w14:textId="73B80E6E"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Mike McConville and Geoffrey </w:t>
      </w:r>
      <w:proofErr w:type="spellStart"/>
      <w:r w:rsidRPr="00E76EA2">
        <w:rPr>
          <w:sz w:val="20"/>
          <w:szCs w:val="20"/>
        </w:rPr>
        <w:t>Wilson,</w:t>
      </w:r>
      <w:r w:rsidRPr="00E76EA2">
        <w:rPr>
          <w:i/>
          <w:sz w:val="20"/>
          <w:szCs w:val="20"/>
        </w:rPr>
        <w:t>The</w:t>
      </w:r>
      <w:proofErr w:type="spellEnd"/>
      <w:r w:rsidRPr="00E76EA2">
        <w:rPr>
          <w:i/>
          <w:sz w:val="20"/>
          <w:szCs w:val="20"/>
        </w:rPr>
        <w:t xml:space="preserve"> </w:t>
      </w:r>
      <w:r w:rsidRPr="00E76EA2">
        <w:rPr>
          <w:sz w:val="20"/>
          <w:szCs w:val="20"/>
        </w:rPr>
        <w:t>Handbook</w:t>
      </w:r>
      <w:r w:rsidRPr="00E76EA2">
        <w:rPr>
          <w:i/>
          <w:sz w:val="20"/>
          <w:szCs w:val="20"/>
        </w:rPr>
        <w:t xml:space="preserve"> of the Criminal Justice Process(</w:t>
      </w:r>
      <w:r w:rsidRPr="00E76EA2">
        <w:rPr>
          <w:sz w:val="20"/>
          <w:szCs w:val="20"/>
        </w:rPr>
        <w:t xml:space="preserve"> Oxford University Press2002);</w:t>
      </w:r>
      <w:r w:rsidR="005307FC">
        <w:rPr>
          <w:sz w:val="20"/>
          <w:szCs w:val="20"/>
        </w:rPr>
        <w:t xml:space="preserve"> </w:t>
      </w:r>
      <w:r w:rsidRPr="00E76EA2">
        <w:rPr>
          <w:sz w:val="20"/>
          <w:szCs w:val="20"/>
        </w:rPr>
        <w:t>J</w:t>
      </w:r>
      <w:r w:rsidR="005307FC">
        <w:rPr>
          <w:sz w:val="20"/>
          <w:szCs w:val="20"/>
        </w:rPr>
        <w:t xml:space="preserve">acqueline </w:t>
      </w:r>
      <w:proofErr w:type="spellStart"/>
      <w:r w:rsidRPr="00E76EA2">
        <w:rPr>
          <w:sz w:val="20"/>
          <w:szCs w:val="20"/>
        </w:rPr>
        <w:t>Hodgson,‘The</w:t>
      </w:r>
      <w:proofErr w:type="spellEnd"/>
      <w:r w:rsidRPr="00E76EA2">
        <w:rPr>
          <w:sz w:val="20"/>
          <w:szCs w:val="20"/>
        </w:rPr>
        <w:t xml:space="preserve"> Police,</w:t>
      </w:r>
      <w:r w:rsidR="005307FC">
        <w:rPr>
          <w:sz w:val="20"/>
          <w:szCs w:val="20"/>
        </w:rPr>
        <w:t xml:space="preserve"> </w:t>
      </w:r>
      <w:r w:rsidRPr="00E76EA2">
        <w:rPr>
          <w:sz w:val="20"/>
          <w:szCs w:val="20"/>
        </w:rPr>
        <w:t xml:space="preserve">the Prosecutor and the judge </w:t>
      </w:r>
      <w:proofErr w:type="spellStart"/>
      <w:r w:rsidRPr="00E76EA2">
        <w:rPr>
          <w:sz w:val="20"/>
          <w:szCs w:val="20"/>
        </w:rPr>
        <w:t>d’instruction:Judicial</w:t>
      </w:r>
      <w:proofErr w:type="spellEnd"/>
      <w:r w:rsidRPr="00E76EA2">
        <w:rPr>
          <w:sz w:val="20"/>
          <w:szCs w:val="20"/>
        </w:rPr>
        <w:t xml:space="preserve"> Supervision in France ,Theory and Practice’ (2001) 41(2)</w:t>
      </w:r>
      <w:r w:rsidRPr="00E76EA2">
        <w:rPr>
          <w:i/>
          <w:sz w:val="20"/>
          <w:szCs w:val="20"/>
        </w:rPr>
        <w:t>British Journal of Criminology</w:t>
      </w:r>
      <w:r w:rsidRPr="00E76EA2">
        <w:rPr>
          <w:sz w:val="20"/>
          <w:szCs w:val="20"/>
        </w:rPr>
        <w:t>342-361</w:t>
      </w:r>
    </w:p>
  </w:footnote>
  <w:footnote w:id="511">
    <w:p w14:paraId="442BCBB2" w14:textId="4DE97F4A" w:rsidR="00C310AB" w:rsidRPr="00E76EA2" w:rsidRDefault="00C310AB" w:rsidP="002F7A92">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Andrew Ashworth and M</w:t>
      </w:r>
      <w:r w:rsidR="003E1125">
        <w:rPr>
          <w:sz w:val="20"/>
          <w:szCs w:val="20"/>
        </w:rPr>
        <w:t xml:space="preserve">ike </w:t>
      </w:r>
      <w:r w:rsidRPr="00E76EA2">
        <w:rPr>
          <w:sz w:val="20"/>
          <w:szCs w:val="20"/>
        </w:rPr>
        <w:t xml:space="preserve">Redmayne </w:t>
      </w:r>
      <w:r w:rsidRPr="00E76EA2">
        <w:rPr>
          <w:i/>
          <w:sz w:val="20"/>
          <w:szCs w:val="20"/>
        </w:rPr>
        <w:t>The Criminal Process</w:t>
      </w:r>
      <w:r w:rsidRPr="00E76EA2">
        <w:rPr>
          <w:sz w:val="20"/>
          <w:szCs w:val="20"/>
        </w:rPr>
        <w:t xml:space="preserve"> (Oxford University Press 2005)</w:t>
      </w:r>
    </w:p>
  </w:footnote>
  <w:footnote w:id="512">
    <w:p w14:paraId="5F32504B" w14:textId="77777777" w:rsidR="00C310AB" w:rsidRPr="00E76EA2" w:rsidRDefault="00C310AB" w:rsidP="002F7A92">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‘Victims’ Rights in Criminal Trials :Prospects for Participation’</w:t>
      </w:r>
      <w:r w:rsidRPr="00E76EA2">
        <w:rPr>
          <w:sz w:val="20"/>
          <w:szCs w:val="20"/>
          <w:lang w:val="en-US"/>
        </w:rPr>
        <w:t xml:space="preserve">(2005) 32(2) </w:t>
      </w:r>
      <w:r w:rsidRPr="00E76EA2">
        <w:rPr>
          <w:i/>
          <w:sz w:val="20"/>
          <w:szCs w:val="20"/>
          <w:lang w:val="en-US"/>
        </w:rPr>
        <w:t>Journal of Law and Society</w:t>
      </w:r>
      <w:r w:rsidRPr="00E76EA2">
        <w:rPr>
          <w:sz w:val="20"/>
          <w:szCs w:val="20"/>
        </w:rPr>
        <w:t xml:space="preserve"> ,1-26.</w:t>
      </w:r>
    </w:p>
  </w:footnote>
  <w:footnote w:id="513">
    <w:p w14:paraId="283F24EA" w14:textId="77777777" w:rsidR="00C310AB" w:rsidRPr="00E76EA2" w:rsidRDefault="00C310AB" w:rsidP="002F7A9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14">
    <w:p w14:paraId="1977EC6B" w14:textId="7BF83084"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Jacqueline Hodgson, ‘The Police , the Prosecutor and the </w:t>
      </w:r>
      <w:proofErr w:type="spellStart"/>
      <w:r w:rsidRPr="00E76EA2">
        <w:rPr>
          <w:sz w:val="20"/>
          <w:szCs w:val="20"/>
        </w:rPr>
        <w:t>juge</w:t>
      </w:r>
      <w:proofErr w:type="spellEnd"/>
      <w:r w:rsidRPr="00E76EA2">
        <w:rPr>
          <w:sz w:val="20"/>
          <w:szCs w:val="20"/>
        </w:rPr>
        <w:t xml:space="preserve"> </w:t>
      </w:r>
      <w:proofErr w:type="spellStart"/>
      <w:r w:rsidRPr="00E76EA2">
        <w:rPr>
          <w:sz w:val="20"/>
          <w:szCs w:val="20"/>
        </w:rPr>
        <w:t>d’instruction:Judicial</w:t>
      </w:r>
      <w:proofErr w:type="spellEnd"/>
      <w:r w:rsidRPr="00E76EA2">
        <w:rPr>
          <w:sz w:val="20"/>
          <w:szCs w:val="20"/>
        </w:rPr>
        <w:t xml:space="preserve"> Supervision in France ,Theory and Practice’ (2001) 41(2)</w:t>
      </w:r>
      <w:r w:rsidRPr="00E76EA2">
        <w:rPr>
          <w:i/>
          <w:sz w:val="20"/>
          <w:szCs w:val="20"/>
        </w:rPr>
        <w:t>British Journal of Criminology</w:t>
      </w:r>
      <w:r w:rsidR="00FE2D57">
        <w:rPr>
          <w:i/>
          <w:sz w:val="20"/>
          <w:szCs w:val="20"/>
        </w:rPr>
        <w:t>,</w:t>
      </w:r>
      <w:r w:rsidRPr="00E76EA2">
        <w:rPr>
          <w:sz w:val="20"/>
          <w:szCs w:val="20"/>
        </w:rPr>
        <w:t>342-361</w:t>
      </w:r>
    </w:p>
  </w:footnote>
  <w:footnote w:id="515">
    <w:p w14:paraId="556F1926" w14:textId="40798E1F" w:rsidR="00C310AB" w:rsidRPr="00E76EA2" w:rsidRDefault="00C310AB" w:rsidP="005307F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Brianne</w:t>
      </w:r>
      <w:r w:rsidR="005307FC">
        <w:rPr>
          <w:sz w:val="20"/>
          <w:szCs w:val="20"/>
        </w:rPr>
        <w:t xml:space="preserve"> </w:t>
      </w:r>
      <w:r w:rsidRPr="00E76EA2">
        <w:rPr>
          <w:sz w:val="20"/>
          <w:szCs w:val="20"/>
          <w:lang w:val="en-US"/>
        </w:rPr>
        <w:t xml:space="preserve">McGonigle </w:t>
      </w:r>
      <w:proofErr w:type="spellStart"/>
      <w:r w:rsidRPr="00E76EA2">
        <w:rPr>
          <w:sz w:val="20"/>
          <w:szCs w:val="20"/>
          <w:lang w:val="en-US"/>
        </w:rPr>
        <w:t>Leyh</w:t>
      </w:r>
      <w:proofErr w:type="spellEnd"/>
      <w:r w:rsidRPr="00E76EA2">
        <w:rPr>
          <w:sz w:val="20"/>
          <w:szCs w:val="20"/>
          <w:lang w:val="en-US"/>
        </w:rPr>
        <w:t>, Victim Oriented Measures at International Criminal Institutions :Participation and its Pitfalls  (2012) 12</w:t>
      </w:r>
      <w:r w:rsidR="005307FC">
        <w:rPr>
          <w:sz w:val="20"/>
          <w:szCs w:val="20"/>
          <w:lang w:val="en-US"/>
        </w:rPr>
        <w:t xml:space="preserve"> </w:t>
      </w:r>
      <w:r w:rsidRPr="005307FC">
        <w:rPr>
          <w:i/>
          <w:iCs/>
          <w:sz w:val="20"/>
          <w:szCs w:val="20"/>
          <w:lang w:val="en-US"/>
        </w:rPr>
        <w:t>International Criminal Law Review</w:t>
      </w:r>
      <w:r w:rsidRPr="00E76EA2">
        <w:rPr>
          <w:sz w:val="20"/>
          <w:szCs w:val="20"/>
          <w:lang w:val="en-US"/>
        </w:rPr>
        <w:t>,375-435</w:t>
      </w:r>
    </w:p>
  </w:footnote>
  <w:footnote w:id="516">
    <w:p w14:paraId="2224ABF6" w14:textId="77777777" w:rsidR="00C310AB" w:rsidRPr="00E76EA2" w:rsidRDefault="00C310AB" w:rsidP="005307F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Kai Ambos, ‘International Criminal Procedure: adversarial, inquisitorial or mixed?( 3(1) International Criminal Law(2003)</w:t>
      </w:r>
    </w:p>
  </w:footnote>
  <w:footnote w:id="517">
    <w:p w14:paraId="73E5B815" w14:textId="77777777" w:rsidR="00C310AB" w:rsidRPr="00E76EA2" w:rsidRDefault="00C310AB" w:rsidP="00FE2D5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Ibid </w:t>
      </w:r>
    </w:p>
  </w:footnote>
  <w:footnote w:id="518">
    <w:p w14:paraId="4ED3F4EA" w14:textId="6F8ED0FF"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Jo-Anne </w:t>
      </w:r>
      <w:proofErr w:type="spellStart"/>
      <w:r w:rsidRPr="00E76EA2">
        <w:rPr>
          <w:sz w:val="20"/>
          <w:szCs w:val="20"/>
          <w:lang w:val="en-US"/>
        </w:rPr>
        <w:t>Wemmers</w:t>
      </w:r>
      <w:proofErr w:type="spellEnd"/>
      <w:r w:rsidRPr="00E76EA2">
        <w:rPr>
          <w:sz w:val="20"/>
          <w:szCs w:val="20"/>
          <w:lang w:val="en-US"/>
        </w:rPr>
        <w:t>, Ibid ;</w:t>
      </w:r>
      <w:r w:rsidRPr="00E76EA2">
        <w:rPr>
          <w:sz w:val="20"/>
          <w:szCs w:val="20"/>
        </w:rPr>
        <w:t xml:space="preserve"> John Spencer, ‘Adversarial </w:t>
      </w:r>
      <w:proofErr w:type="spellStart"/>
      <w:r w:rsidRPr="00E76EA2">
        <w:rPr>
          <w:sz w:val="20"/>
          <w:szCs w:val="20"/>
        </w:rPr>
        <w:t>v.inquisitorial</w:t>
      </w:r>
      <w:proofErr w:type="spellEnd"/>
      <w:r w:rsidRPr="00E76EA2">
        <w:rPr>
          <w:sz w:val="20"/>
          <w:szCs w:val="20"/>
        </w:rPr>
        <w:t xml:space="preserve"> systems: is there still such a difference(2016) 20(5) I</w:t>
      </w:r>
      <w:r w:rsidRPr="00E76EA2">
        <w:rPr>
          <w:i/>
          <w:sz w:val="20"/>
          <w:szCs w:val="20"/>
        </w:rPr>
        <w:t>nternational</w:t>
      </w:r>
      <w:r w:rsidRPr="00E76EA2">
        <w:rPr>
          <w:sz w:val="20"/>
          <w:szCs w:val="20"/>
        </w:rPr>
        <w:t xml:space="preserve">  </w:t>
      </w:r>
      <w:r w:rsidRPr="00E76EA2">
        <w:rPr>
          <w:i/>
          <w:sz w:val="20"/>
          <w:szCs w:val="20"/>
        </w:rPr>
        <w:t>Journal of Human Rights,</w:t>
      </w:r>
      <w:r w:rsidRPr="00E76EA2">
        <w:rPr>
          <w:sz w:val="20"/>
          <w:szCs w:val="20"/>
        </w:rPr>
        <w:t>601-616.</w:t>
      </w:r>
    </w:p>
  </w:footnote>
  <w:footnote w:id="519">
    <w:p w14:paraId="1A93B1E2" w14:textId="66234250"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Guido </w:t>
      </w:r>
      <w:proofErr w:type="spellStart"/>
      <w:r w:rsidRPr="00E76EA2">
        <w:rPr>
          <w:sz w:val="20"/>
          <w:szCs w:val="20"/>
        </w:rPr>
        <w:t>Aquaviva</w:t>
      </w:r>
      <w:proofErr w:type="spellEnd"/>
      <w:r w:rsidRPr="00E76EA2">
        <w:rPr>
          <w:sz w:val="20"/>
          <w:szCs w:val="20"/>
        </w:rPr>
        <w:t xml:space="preserve">, Nancy Combs, Mikaela Heikkila, Suzannah Linton, Sergey </w:t>
      </w:r>
      <w:proofErr w:type="spellStart"/>
      <w:r w:rsidRPr="00E76EA2">
        <w:rPr>
          <w:sz w:val="20"/>
          <w:szCs w:val="20"/>
        </w:rPr>
        <w:t>Vailiev</w:t>
      </w:r>
      <w:proofErr w:type="spellEnd"/>
      <w:r w:rsidRPr="00E76EA2">
        <w:rPr>
          <w:sz w:val="20"/>
          <w:szCs w:val="20"/>
        </w:rPr>
        <w:t xml:space="preserve"> “Trial Process” in  Goran </w:t>
      </w:r>
      <w:proofErr w:type="spellStart"/>
      <w:r w:rsidRPr="00E76EA2">
        <w:rPr>
          <w:sz w:val="20"/>
          <w:szCs w:val="20"/>
        </w:rPr>
        <w:t>Sluiter</w:t>
      </w:r>
      <w:proofErr w:type="spellEnd"/>
      <w:r w:rsidRPr="00E76EA2">
        <w:rPr>
          <w:sz w:val="20"/>
          <w:szCs w:val="20"/>
        </w:rPr>
        <w:t xml:space="preserve"> et </w:t>
      </w:r>
      <w:proofErr w:type="spellStart"/>
      <w:r w:rsidRPr="00E76EA2">
        <w:rPr>
          <w:sz w:val="20"/>
          <w:szCs w:val="20"/>
        </w:rPr>
        <w:t>al.,</w:t>
      </w:r>
      <w:r w:rsidRPr="00E76EA2">
        <w:rPr>
          <w:i/>
          <w:iCs/>
          <w:sz w:val="20"/>
          <w:szCs w:val="20"/>
        </w:rPr>
        <w:t>International</w:t>
      </w:r>
      <w:proofErr w:type="spellEnd"/>
      <w:r w:rsidRPr="00E76EA2">
        <w:rPr>
          <w:i/>
          <w:iCs/>
          <w:sz w:val="20"/>
          <w:szCs w:val="20"/>
        </w:rPr>
        <w:t xml:space="preserve"> Criminal </w:t>
      </w:r>
      <w:proofErr w:type="spellStart"/>
      <w:r w:rsidRPr="00E76EA2">
        <w:rPr>
          <w:i/>
          <w:iCs/>
          <w:sz w:val="20"/>
          <w:szCs w:val="20"/>
        </w:rPr>
        <w:t>Procedure:Rules</w:t>
      </w:r>
      <w:proofErr w:type="spellEnd"/>
      <w:r w:rsidRPr="00E76EA2">
        <w:rPr>
          <w:i/>
          <w:iCs/>
          <w:sz w:val="20"/>
          <w:szCs w:val="20"/>
        </w:rPr>
        <w:t xml:space="preserve"> and Principles” </w:t>
      </w:r>
      <w:r w:rsidRPr="00E76EA2">
        <w:rPr>
          <w:sz w:val="20"/>
          <w:szCs w:val="20"/>
        </w:rPr>
        <w:t>(Oxford University Press 2013)638-645</w:t>
      </w:r>
    </w:p>
  </w:footnote>
  <w:footnote w:id="520">
    <w:p w14:paraId="2F1BFBF3" w14:textId="77777777"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61.</w:t>
      </w:r>
    </w:p>
  </w:footnote>
  <w:footnote w:id="521">
    <w:p w14:paraId="5F9D72BD" w14:textId="77777777"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61(3).</w:t>
      </w:r>
    </w:p>
  </w:footnote>
  <w:footnote w:id="522">
    <w:p w14:paraId="3647B838" w14:textId="7116F870"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 Article 61;ICC RPE Rule 121(1)(2)(3);Article 60(3)</w:t>
      </w:r>
      <w:r w:rsidR="00FE2D57">
        <w:rPr>
          <w:sz w:val="20"/>
          <w:szCs w:val="20"/>
        </w:rPr>
        <w:t>.</w:t>
      </w:r>
    </w:p>
  </w:footnote>
  <w:footnote w:id="523">
    <w:p w14:paraId="787303F9" w14:textId="79CE429D"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w:t>
      </w:r>
      <w:proofErr w:type="spellStart"/>
      <w:r w:rsidRPr="00E76EA2">
        <w:rPr>
          <w:sz w:val="20"/>
          <w:szCs w:val="20"/>
        </w:rPr>
        <w:t>Congo,Prosecutor</w:t>
      </w:r>
      <w:proofErr w:type="spellEnd"/>
      <w:r w:rsidRPr="00E76EA2">
        <w:rPr>
          <w:sz w:val="20"/>
          <w:szCs w:val="20"/>
        </w:rPr>
        <w:t xml:space="preserve"> v Thomas </w:t>
      </w:r>
      <w:proofErr w:type="spellStart"/>
      <w:r w:rsidRPr="00E76EA2">
        <w:rPr>
          <w:sz w:val="20"/>
          <w:szCs w:val="20"/>
        </w:rPr>
        <w:t>Lubang</w:t>
      </w:r>
      <w:proofErr w:type="spellEnd"/>
      <w:r w:rsidRPr="00E76EA2">
        <w:rPr>
          <w:sz w:val="20"/>
          <w:szCs w:val="20"/>
        </w:rPr>
        <w:t xml:space="preserve"> </w:t>
      </w:r>
      <w:proofErr w:type="spellStart"/>
      <w:r w:rsidRPr="00E76EA2">
        <w:rPr>
          <w:sz w:val="20"/>
          <w:szCs w:val="20"/>
        </w:rPr>
        <w:t>Dyilo</w:t>
      </w:r>
      <w:proofErr w:type="spellEnd"/>
      <w:r w:rsidRPr="00E76EA2">
        <w:rPr>
          <w:sz w:val="20"/>
          <w:szCs w:val="20"/>
        </w:rPr>
        <w:t xml:space="preserve">, Decision on the final system of disclosure and the establishment of a </w:t>
      </w:r>
      <w:proofErr w:type="spellStart"/>
      <w:r w:rsidRPr="00E76EA2">
        <w:rPr>
          <w:sz w:val="20"/>
          <w:szCs w:val="20"/>
        </w:rPr>
        <w:t>timetable,Pre</w:t>
      </w:r>
      <w:proofErr w:type="spellEnd"/>
      <w:r w:rsidRPr="00E76EA2">
        <w:rPr>
          <w:sz w:val="20"/>
          <w:szCs w:val="20"/>
        </w:rPr>
        <w:t>-Trial Chamber 1,ICC-01/04-01/06-102</w:t>
      </w:r>
      <w:r w:rsidR="00FE2D57">
        <w:rPr>
          <w:sz w:val="20"/>
          <w:szCs w:val="20"/>
        </w:rPr>
        <w:t>.</w:t>
      </w:r>
    </w:p>
  </w:footnote>
  <w:footnote w:id="524">
    <w:p w14:paraId="6F6C5A2B" w14:textId="71B3D4B8" w:rsidR="00C310AB" w:rsidRPr="00E76EA2" w:rsidRDefault="00C310AB" w:rsidP="00FE2D57">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David </w:t>
      </w:r>
      <w:proofErr w:type="spellStart"/>
      <w:r w:rsidRPr="00E76EA2">
        <w:rPr>
          <w:sz w:val="20"/>
          <w:szCs w:val="20"/>
        </w:rPr>
        <w:t>Scheffer</w:t>
      </w:r>
      <w:proofErr w:type="spellEnd"/>
      <w:r w:rsidRPr="00E76EA2">
        <w:rPr>
          <w:sz w:val="20"/>
          <w:szCs w:val="20"/>
        </w:rPr>
        <w:t>, “A review of the Experiences of the Pre-Trial and Appeals Chambers of the International Criminal Court Regarding the Disclosure of Evidence” (2009) 21</w:t>
      </w:r>
      <w:r w:rsidRPr="00E76EA2">
        <w:rPr>
          <w:i/>
          <w:iCs/>
          <w:sz w:val="20"/>
          <w:szCs w:val="20"/>
        </w:rPr>
        <w:t xml:space="preserve">Leiden Journal of International Law </w:t>
      </w:r>
      <w:r w:rsidRPr="00E76EA2">
        <w:rPr>
          <w:sz w:val="20"/>
          <w:szCs w:val="20"/>
        </w:rPr>
        <w:t>; Maximo Langer, “</w:t>
      </w:r>
      <w:proofErr w:type="spellStart"/>
      <w:r w:rsidRPr="00E76EA2">
        <w:rPr>
          <w:sz w:val="20"/>
          <w:szCs w:val="20"/>
        </w:rPr>
        <w:t>Ther</w:t>
      </w:r>
      <w:proofErr w:type="spellEnd"/>
      <w:r w:rsidRPr="00E76EA2">
        <w:rPr>
          <w:sz w:val="20"/>
          <w:szCs w:val="20"/>
        </w:rPr>
        <w:t xml:space="preserve"> Rise of Managerial Judging in International Criminal Law”(2005) 53 </w:t>
      </w:r>
      <w:r w:rsidRPr="00E76EA2">
        <w:rPr>
          <w:i/>
          <w:iCs/>
          <w:sz w:val="20"/>
          <w:szCs w:val="20"/>
        </w:rPr>
        <w:t>American Journal of Comparative Law ,</w:t>
      </w:r>
      <w:r w:rsidRPr="005307FC">
        <w:rPr>
          <w:sz w:val="20"/>
          <w:szCs w:val="20"/>
        </w:rPr>
        <w:t>835</w:t>
      </w:r>
      <w:r w:rsidR="005307FC">
        <w:rPr>
          <w:i/>
          <w:iCs/>
          <w:sz w:val="20"/>
          <w:szCs w:val="20"/>
        </w:rPr>
        <w:t>.</w:t>
      </w:r>
    </w:p>
  </w:footnote>
  <w:footnote w:id="525">
    <w:p w14:paraId="2ACC276C" w14:textId="3E23C550"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Prosecutor v Thomas Lubanga, Decision on the Final System of Disclosure and the Establishment of A Timetable, Pre-Trial Chamber 1,  ICC-01/04-01/06-102,16 May 2006</w:t>
      </w:r>
    </w:p>
  </w:footnote>
  <w:footnote w:id="526">
    <w:p w14:paraId="75112130" w14:textId="77777777"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John Spencer, ‘Adversarial </w:t>
      </w:r>
      <w:proofErr w:type="spellStart"/>
      <w:r w:rsidRPr="00E76EA2">
        <w:rPr>
          <w:sz w:val="20"/>
          <w:szCs w:val="20"/>
        </w:rPr>
        <w:t>v.inquisitorial</w:t>
      </w:r>
      <w:proofErr w:type="spellEnd"/>
      <w:r w:rsidRPr="00E76EA2">
        <w:rPr>
          <w:sz w:val="20"/>
          <w:szCs w:val="20"/>
        </w:rPr>
        <w:t xml:space="preserve"> systems: is there still such a difference(2016) 20(5) I</w:t>
      </w:r>
      <w:r w:rsidRPr="00E76EA2">
        <w:rPr>
          <w:i/>
          <w:sz w:val="20"/>
          <w:szCs w:val="20"/>
        </w:rPr>
        <w:t>nternational</w:t>
      </w:r>
      <w:r w:rsidRPr="00E76EA2">
        <w:rPr>
          <w:sz w:val="20"/>
          <w:szCs w:val="20"/>
        </w:rPr>
        <w:t xml:space="preserve">  </w:t>
      </w:r>
      <w:r w:rsidRPr="00E76EA2">
        <w:rPr>
          <w:i/>
          <w:sz w:val="20"/>
          <w:szCs w:val="20"/>
        </w:rPr>
        <w:t>Journal of Human Rights,</w:t>
      </w:r>
      <w:r w:rsidRPr="00E76EA2">
        <w:rPr>
          <w:sz w:val="20"/>
          <w:szCs w:val="20"/>
        </w:rPr>
        <w:t>601-616.</w:t>
      </w:r>
    </w:p>
  </w:footnote>
  <w:footnote w:id="527">
    <w:p w14:paraId="2D332F2A" w14:textId="77777777"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Carsten </w:t>
      </w:r>
      <w:proofErr w:type="spellStart"/>
      <w:r w:rsidRPr="00E76EA2">
        <w:rPr>
          <w:sz w:val="20"/>
          <w:szCs w:val="20"/>
        </w:rPr>
        <w:t>Stahn</w:t>
      </w:r>
      <w:proofErr w:type="spellEnd"/>
      <w:r w:rsidRPr="00E76EA2">
        <w:rPr>
          <w:sz w:val="20"/>
          <w:szCs w:val="20"/>
        </w:rPr>
        <w:t xml:space="preserve">, “International Criminal Justice Procedure” in Carsten </w:t>
      </w:r>
      <w:proofErr w:type="spellStart"/>
      <w:r w:rsidRPr="00E76EA2">
        <w:rPr>
          <w:sz w:val="20"/>
          <w:szCs w:val="20"/>
        </w:rPr>
        <w:t>Stahn</w:t>
      </w:r>
      <w:proofErr w:type="spellEnd"/>
      <w:r w:rsidRPr="00E76EA2">
        <w:rPr>
          <w:sz w:val="20"/>
          <w:szCs w:val="20"/>
        </w:rPr>
        <w:t xml:space="preserve"> (ed) </w:t>
      </w:r>
      <w:r w:rsidRPr="00E76EA2">
        <w:rPr>
          <w:i/>
          <w:iCs/>
          <w:sz w:val="20"/>
          <w:szCs w:val="20"/>
        </w:rPr>
        <w:t>A Critical Introduction to International Criminal Law”</w:t>
      </w:r>
      <w:r w:rsidRPr="00E76EA2">
        <w:rPr>
          <w:sz w:val="20"/>
          <w:szCs w:val="20"/>
        </w:rPr>
        <w:t>(Cambridge University Press 2018)269-380.</w:t>
      </w:r>
    </w:p>
  </w:footnote>
  <w:footnote w:id="528">
    <w:p w14:paraId="34163B17" w14:textId="16A1FC55"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The decision of Pre-Trial Chamber 1entitled “Decision on the Defence Challenge to the Jurisdiction of the Court pursuant to article 19(2)(a) of the Statute” </w:t>
      </w:r>
    </w:p>
  </w:footnote>
  <w:footnote w:id="529">
    <w:p w14:paraId="3F02E9AD" w14:textId="349E35BF"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In the Case of The Prosecutor v Thomas Lubanga </w:t>
      </w:r>
      <w:proofErr w:type="spellStart"/>
      <w:r w:rsidRPr="00E76EA2">
        <w:rPr>
          <w:sz w:val="20"/>
          <w:szCs w:val="20"/>
        </w:rPr>
        <w:t>Dyilo</w:t>
      </w:r>
      <w:proofErr w:type="spellEnd"/>
      <w:r w:rsidRPr="00E76EA2">
        <w:rPr>
          <w:sz w:val="20"/>
          <w:szCs w:val="20"/>
        </w:rPr>
        <w:t xml:space="preserve">, Judgment on the Appeal of </w:t>
      </w:r>
      <w:proofErr w:type="spellStart"/>
      <w:r w:rsidRPr="00E76EA2">
        <w:rPr>
          <w:sz w:val="20"/>
          <w:szCs w:val="20"/>
        </w:rPr>
        <w:t>Mr.Thomas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xml:space="preserve"> against the Decision on the Defence Challenge to the Jurisdiction of the Court pursuant to article 19(2)(a) of the Statute of 3 October 2006, Appeals Chamber, ICC-01/04-01/06, 14 December 2006,para.19</w:t>
      </w:r>
      <w:r w:rsidR="005307FC">
        <w:rPr>
          <w:sz w:val="20"/>
          <w:szCs w:val="20"/>
        </w:rPr>
        <w:t>.</w:t>
      </w:r>
    </w:p>
  </w:footnote>
  <w:footnote w:id="530">
    <w:p w14:paraId="3A5E150C" w14:textId="5171110B"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Ibid,para.19(b).</w:t>
      </w:r>
    </w:p>
  </w:footnote>
  <w:footnote w:id="531">
    <w:p w14:paraId="775BDD1A" w14:textId="1AF498FF"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para.19</w:t>
      </w:r>
      <w:r w:rsidR="005307FC">
        <w:rPr>
          <w:sz w:val="20"/>
          <w:szCs w:val="20"/>
        </w:rPr>
        <w:t>.</w:t>
      </w:r>
    </w:p>
  </w:footnote>
  <w:footnote w:id="532">
    <w:p w14:paraId="31AFC4CC" w14:textId="73D7FC4C"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para.36.</w:t>
      </w:r>
    </w:p>
  </w:footnote>
  <w:footnote w:id="533">
    <w:p w14:paraId="47860645" w14:textId="2BBF77B0" w:rsidR="00C310AB" w:rsidRPr="00E76EA2" w:rsidRDefault="00C310AB" w:rsidP="00FE2D5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para.36;Articles 64(2), 67(1),68(1) and (5) of the Rome Statute.</w:t>
      </w:r>
    </w:p>
  </w:footnote>
  <w:footnote w:id="534">
    <w:p w14:paraId="5D3D67C2" w14:textId="6F827101" w:rsidR="00C310AB" w:rsidRPr="00E76EA2" w:rsidRDefault="00C310AB" w:rsidP="004210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the Congo. The Prosecutor v Thomas Lubanga </w:t>
      </w:r>
      <w:proofErr w:type="spellStart"/>
      <w:r w:rsidRPr="00E76EA2">
        <w:rPr>
          <w:sz w:val="20"/>
          <w:szCs w:val="20"/>
        </w:rPr>
        <w:t>Dyilo</w:t>
      </w:r>
      <w:proofErr w:type="spellEnd"/>
      <w:r w:rsidRPr="00E76EA2">
        <w:rPr>
          <w:sz w:val="20"/>
          <w:szCs w:val="20"/>
        </w:rPr>
        <w:t xml:space="preserve"> Decision on victims’ participation, ICC-01/04-01/06-1119,18 January 2008, Para 35.</w:t>
      </w:r>
    </w:p>
  </w:footnote>
  <w:footnote w:id="535">
    <w:p w14:paraId="253C06F1" w14:textId="7A36185D" w:rsidR="00C310AB" w:rsidRPr="00E76EA2" w:rsidRDefault="00C310AB" w:rsidP="004210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para.36. </w:t>
      </w:r>
    </w:p>
  </w:footnote>
  <w:footnote w:id="536">
    <w:p w14:paraId="44777B70" w14:textId="3480A253" w:rsidR="00C310AB" w:rsidRPr="00E76EA2" w:rsidRDefault="00C310AB" w:rsidP="004210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w:t>
      </w:r>
      <w:proofErr w:type="spellStart"/>
      <w:r w:rsidRPr="00E76EA2">
        <w:rPr>
          <w:sz w:val="20"/>
          <w:szCs w:val="20"/>
        </w:rPr>
        <w:t>Lubanga,Separate</w:t>
      </w:r>
      <w:proofErr w:type="spellEnd"/>
      <w:r w:rsidRPr="00E76EA2">
        <w:rPr>
          <w:sz w:val="20"/>
          <w:szCs w:val="20"/>
        </w:rPr>
        <w:t xml:space="preserve"> and Dissenting Opinion of Judge Rene </w:t>
      </w:r>
      <w:proofErr w:type="spellStart"/>
      <w:r w:rsidRPr="00E76EA2">
        <w:rPr>
          <w:sz w:val="20"/>
          <w:szCs w:val="20"/>
        </w:rPr>
        <w:t>Blattman</w:t>
      </w:r>
      <w:proofErr w:type="spellEnd"/>
      <w:r w:rsidRPr="00E76EA2">
        <w:rPr>
          <w:sz w:val="20"/>
          <w:szCs w:val="20"/>
        </w:rPr>
        <w:t>, ICC-01/04-01/06-1119, Trial Chamber 1, para 4-5</w:t>
      </w:r>
      <w:r w:rsidR="005307FC">
        <w:rPr>
          <w:sz w:val="20"/>
          <w:szCs w:val="20"/>
        </w:rPr>
        <w:t>.</w:t>
      </w:r>
    </w:p>
  </w:footnote>
  <w:footnote w:id="537">
    <w:p w14:paraId="635BC061" w14:textId="45E01DFF" w:rsidR="00C310AB" w:rsidRPr="00E76EA2" w:rsidRDefault="00C310AB" w:rsidP="004210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Lubanga, Judgment on the appeals of the Prosecutor  and the Defence against Trial Chamber I’ Decision on Victims Participation  of 18 January 2008, Appeals Chamber, 11 July 2008, para.33.</w:t>
      </w:r>
    </w:p>
  </w:footnote>
  <w:footnote w:id="538">
    <w:p w14:paraId="634478C6" w14:textId="41EBA34B" w:rsidR="00C310AB" w:rsidRPr="00E76EA2" w:rsidRDefault="00C310AB" w:rsidP="004210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Brianne McGonigle </w:t>
      </w:r>
      <w:proofErr w:type="spellStart"/>
      <w:r w:rsidRPr="00E76EA2">
        <w:rPr>
          <w:sz w:val="20"/>
          <w:szCs w:val="20"/>
        </w:rPr>
        <w:t>Leyh</w:t>
      </w:r>
      <w:proofErr w:type="spellEnd"/>
      <w:r w:rsidRPr="00E76EA2">
        <w:rPr>
          <w:sz w:val="20"/>
          <w:szCs w:val="20"/>
        </w:rPr>
        <w:t xml:space="preserve">, “ Pragmatism over </w:t>
      </w:r>
      <w:proofErr w:type="spellStart"/>
      <w:r w:rsidRPr="00E76EA2">
        <w:rPr>
          <w:sz w:val="20"/>
          <w:szCs w:val="20"/>
        </w:rPr>
        <w:t>Principles:The</w:t>
      </w:r>
      <w:proofErr w:type="spellEnd"/>
      <w:r w:rsidRPr="00E76EA2">
        <w:rPr>
          <w:sz w:val="20"/>
          <w:szCs w:val="20"/>
        </w:rPr>
        <w:t xml:space="preserve"> International Criminal Court and a Human Rights-Based Approach  to Judicial Interpretation” (2018)41(3)</w:t>
      </w:r>
      <w:r w:rsidRPr="00E76EA2">
        <w:rPr>
          <w:i/>
          <w:iCs/>
          <w:sz w:val="20"/>
          <w:szCs w:val="20"/>
        </w:rPr>
        <w:t xml:space="preserve">Fordham International Law Journal </w:t>
      </w:r>
      <w:r w:rsidRPr="00E76EA2">
        <w:rPr>
          <w:sz w:val="20"/>
          <w:szCs w:val="20"/>
        </w:rPr>
        <w:t>, 696--736</w:t>
      </w:r>
    </w:p>
  </w:footnote>
  <w:footnote w:id="539">
    <w:p w14:paraId="748F8D5E" w14:textId="6764631B" w:rsidR="00C310AB" w:rsidRPr="00E76EA2" w:rsidRDefault="00C310AB" w:rsidP="004210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5C3F1A">
        <w:rPr>
          <w:sz w:val="20"/>
          <w:szCs w:val="20"/>
        </w:rPr>
        <w:t>.</w:t>
      </w:r>
    </w:p>
  </w:footnote>
  <w:footnote w:id="540">
    <w:p w14:paraId="56DA9B60" w14:textId="2262C2F6" w:rsidR="00C310AB" w:rsidRPr="00E76EA2" w:rsidRDefault="00C310AB" w:rsidP="0042100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w:t>
      </w:r>
      <w:r w:rsidR="0042100D">
        <w:rPr>
          <w:sz w:val="20"/>
          <w:szCs w:val="20"/>
        </w:rPr>
        <w:t>id.</w:t>
      </w:r>
    </w:p>
  </w:footnote>
  <w:footnote w:id="541">
    <w:p w14:paraId="20E6033F" w14:textId="77777777" w:rsidR="00C310AB" w:rsidRPr="00E76EA2" w:rsidRDefault="00C310AB" w:rsidP="00CE370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Jonathan </w:t>
      </w:r>
      <w:proofErr w:type="spellStart"/>
      <w:r w:rsidRPr="00E76EA2">
        <w:rPr>
          <w:sz w:val="20"/>
          <w:szCs w:val="20"/>
          <w:lang w:val="en-US"/>
        </w:rPr>
        <w:t>Doak</w:t>
      </w:r>
      <w:proofErr w:type="spellEnd"/>
      <w:r w:rsidRPr="00E76EA2">
        <w:rPr>
          <w:sz w:val="20"/>
          <w:szCs w:val="20"/>
          <w:lang w:val="en-US"/>
        </w:rPr>
        <w:t>,</w:t>
      </w:r>
      <w:r w:rsidRPr="00E76EA2">
        <w:rPr>
          <w:sz w:val="20"/>
          <w:szCs w:val="20"/>
        </w:rPr>
        <w:t xml:space="preserve"> ‘Victims’ Rights in Criminal Trials  :Prospects for Participation’</w:t>
      </w:r>
      <w:r w:rsidRPr="00E76EA2">
        <w:rPr>
          <w:sz w:val="20"/>
          <w:szCs w:val="20"/>
          <w:lang w:val="en-US"/>
        </w:rPr>
        <w:t xml:space="preserve">(2005) 32(2) </w:t>
      </w:r>
      <w:r w:rsidRPr="00E76EA2">
        <w:rPr>
          <w:i/>
          <w:sz w:val="20"/>
          <w:szCs w:val="20"/>
          <w:lang w:val="en-US"/>
        </w:rPr>
        <w:t>Journal of Law and Society</w:t>
      </w:r>
      <w:r w:rsidRPr="00E76EA2">
        <w:rPr>
          <w:sz w:val="20"/>
          <w:szCs w:val="20"/>
        </w:rPr>
        <w:t xml:space="preserve"> ,1-26</w:t>
      </w:r>
      <w:r w:rsidRPr="00E76EA2">
        <w:rPr>
          <w:sz w:val="20"/>
          <w:szCs w:val="20"/>
          <w:lang w:val="en-US"/>
        </w:rPr>
        <w:t>.</w:t>
      </w:r>
    </w:p>
  </w:footnote>
  <w:footnote w:id="542">
    <w:p w14:paraId="33173D29" w14:textId="77777777" w:rsidR="00C310AB" w:rsidRPr="00E76EA2" w:rsidRDefault="00C310AB" w:rsidP="00CE370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Luke Moffett, ‘Elaborating Justice for victims of at the International Criminal </w:t>
      </w:r>
      <w:proofErr w:type="spellStart"/>
      <w:r w:rsidRPr="00E76EA2">
        <w:rPr>
          <w:sz w:val="20"/>
          <w:szCs w:val="20"/>
          <w:lang w:val="en-US"/>
        </w:rPr>
        <w:t>Court:Beyond</w:t>
      </w:r>
      <w:proofErr w:type="spellEnd"/>
      <w:r w:rsidRPr="00E76EA2">
        <w:rPr>
          <w:sz w:val="20"/>
          <w:szCs w:val="20"/>
          <w:lang w:val="en-US"/>
        </w:rPr>
        <w:t xml:space="preserve"> Rhetoric and the Hague (2015) 13(20 </w:t>
      </w:r>
      <w:r w:rsidRPr="00E76EA2">
        <w:rPr>
          <w:i/>
          <w:sz w:val="20"/>
          <w:szCs w:val="20"/>
          <w:lang w:val="en-US"/>
        </w:rPr>
        <w:t xml:space="preserve">Journal of International Criminal Justice </w:t>
      </w:r>
      <w:r w:rsidRPr="00E76EA2">
        <w:rPr>
          <w:sz w:val="20"/>
          <w:szCs w:val="20"/>
          <w:lang w:val="en-US"/>
        </w:rPr>
        <w:t>, 281-311.</w:t>
      </w:r>
    </w:p>
  </w:footnote>
  <w:footnote w:id="543">
    <w:p w14:paraId="1D922D5B" w14:textId="7B1265DE" w:rsidR="00C310AB" w:rsidRPr="00E76EA2" w:rsidRDefault="00C310AB" w:rsidP="00CE370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Luke Moffett, ‘Elaborating Justice for victims at the International Criminal Court(2015) 13(2</w:t>
      </w:r>
      <w:r w:rsidRPr="00CE3703">
        <w:rPr>
          <w:i/>
          <w:iCs/>
          <w:sz w:val="20"/>
          <w:szCs w:val="20"/>
          <w:lang w:val="en-US"/>
        </w:rPr>
        <w:t>) Journal of international Criminal Justice,</w:t>
      </w:r>
      <w:r w:rsidRPr="00E76EA2">
        <w:rPr>
          <w:sz w:val="20"/>
          <w:szCs w:val="20"/>
          <w:lang w:val="en-US"/>
        </w:rPr>
        <w:t>.281-311.</w:t>
      </w:r>
    </w:p>
  </w:footnote>
  <w:footnote w:id="544">
    <w:p w14:paraId="166F350E" w14:textId="26A8C736" w:rsidR="00C310AB" w:rsidRPr="00E76EA2" w:rsidRDefault="00C310AB" w:rsidP="00CE370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John Rawls, “A Theory of Justice</w:t>
      </w:r>
      <w:r w:rsidR="005307FC">
        <w:rPr>
          <w:sz w:val="20"/>
          <w:szCs w:val="20"/>
          <w:lang w:val="en-US"/>
        </w:rPr>
        <w:t>”</w:t>
      </w:r>
      <w:r w:rsidRPr="00E76EA2">
        <w:rPr>
          <w:sz w:val="20"/>
          <w:szCs w:val="20"/>
          <w:lang w:val="en-US"/>
        </w:rPr>
        <w:t xml:space="preserve"> (Cambridge, </w:t>
      </w:r>
      <w:proofErr w:type="spellStart"/>
      <w:r w:rsidRPr="00E76EA2">
        <w:rPr>
          <w:sz w:val="20"/>
          <w:szCs w:val="20"/>
          <w:lang w:val="en-US"/>
        </w:rPr>
        <w:t>Massachussets</w:t>
      </w:r>
      <w:proofErr w:type="spellEnd"/>
      <w:r w:rsidRPr="00E76EA2">
        <w:rPr>
          <w:sz w:val="20"/>
          <w:szCs w:val="20"/>
          <w:lang w:val="en-US"/>
        </w:rPr>
        <w:t>, Harvard University 1971)</w:t>
      </w:r>
    </w:p>
  </w:footnote>
  <w:footnote w:id="545">
    <w:p w14:paraId="66BD2225" w14:textId="69F00F86" w:rsidR="00C310AB" w:rsidRPr="005307FC" w:rsidRDefault="00C310AB" w:rsidP="00CE370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 ; John </w:t>
      </w:r>
      <w:proofErr w:type="spellStart"/>
      <w:r w:rsidRPr="00E76EA2">
        <w:rPr>
          <w:sz w:val="20"/>
          <w:szCs w:val="20"/>
        </w:rPr>
        <w:t>Thibuat,Laurens</w:t>
      </w:r>
      <w:proofErr w:type="spellEnd"/>
      <w:r w:rsidRPr="00E76EA2">
        <w:rPr>
          <w:sz w:val="20"/>
          <w:szCs w:val="20"/>
        </w:rPr>
        <w:t xml:space="preserve"> Walker, Stephen </w:t>
      </w:r>
      <w:proofErr w:type="spellStart"/>
      <w:r w:rsidRPr="00E76EA2">
        <w:rPr>
          <w:sz w:val="20"/>
          <w:szCs w:val="20"/>
        </w:rPr>
        <w:t>LaTour</w:t>
      </w:r>
      <w:proofErr w:type="spellEnd"/>
      <w:r w:rsidRPr="00E76EA2">
        <w:rPr>
          <w:sz w:val="20"/>
          <w:szCs w:val="20"/>
        </w:rPr>
        <w:t xml:space="preserve">, Pauline </w:t>
      </w:r>
      <w:proofErr w:type="spellStart"/>
      <w:r w:rsidRPr="00E76EA2">
        <w:rPr>
          <w:sz w:val="20"/>
          <w:szCs w:val="20"/>
        </w:rPr>
        <w:t>Houlden</w:t>
      </w:r>
      <w:proofErr w:type="spellEnd"/>
      <w:r w:rsidRPr="00E76EA2">
        <w:rPr>
          <w:sz w:val="20"/>
          <w:szCs w:val="20"/>
        </w:rPr>
        <w:t xml:space="preserve">, </w:t>
      </w:r>
      <w:r w:rsidRPr="00E76EA2">
        <w:rPr>
          <w:sz w:val="20"/>
          <w:szCs w:val="20"/>
          <w:lang w:val="en-US"/>
        </w:rPr>
        <w:t xml:space="preserve">Procedural Justice as Fairness  (1974)26 </w:t>
      </w:r>
      <w:r w:rsidRPr="005307FC">
        <w:rPr>
          <w:i/>
          <w:iCs/>
          <w:sz w:val="20"/>
          <w:szCs w:val="20"/>
          <w:lang w:val="en-US"/>
        </w:rPr>
        <w:t>Stanford Law Review</w:t>
      </w:r>
      <w:r w:rsidR="00CE3703">
        <w:rPr>
          <w:sz w:val="20"/>
          <w:szCs w:val="20"/>
          <w:lang w:val="en-US"/>
        </w:rPr>
        <w:t>,</w:t>
      </w:r>
      <w:r w:rsidRPr="00E76EA2">
        <w:rPr>
          <w:sz w:val="20"/>
          <w:szCs w:val="20"/>
          <w:lang w:val="en-US"/>
        </w:rPr>
        <w:t xml:space="preserve"> 1271-1272.</w:t>
      </w:r>
      <w:r w:rsidR="005307FC">
        <w:rPr>
          <w:sz w:val="20"/>
          <w:szCs w:val="20"/>
          <w:lang w:val="en-US"/>
        </w:rPr>
        <w:t>p.</w:t>
      </w:r>
      <w:r w:rsidR="00CE3703" w:rsidRPr="00CE3703">
        <w:rPr>
          <w:sz w:val="20"/>
          <w:szCs w:val="20"/>
          <w:lang w:val="en-US"/>
        </w:rPr>
        <w:t xml:space="preserve"> </w:t>
      </w:r>
      <w:r w:rsidR="00CE3703" w:rsidRPr="00E76EA2">
        <w:rPr>
          <w:sz w:val="20"/>
          <w:szCs w:val="20"/>
          <w:lang w:val="en-US"/>
        </w:rPr>
        <w:t>1271</w:t>
      </w:r>
      <w:r w:rsidR="005307FC">
        <w:rPr>
          <w:sz w:val="20"/>
          <w:szCs w:val="20"/>
          <w:lang w:val="en-US"/>
        </w:rPr>
        <w:t>.</w:t>
      </w:r>
    </w:p>
  </w:footnote>
  <w:footnote w:id="546">
    <w:p w14:paraId="00D3C08F" w14:textId="71AA4E9A" w:rsidR="00C310AB" w:rsidRPr="00E76EA2" w:rsidRDefault="00C310AB" w:rsidP="00CE370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Tom Tyler, ‘Procedural Justice, Legitimacy , and the Effective Rule of Law’, (2003) 30(1)</w:t>
      </w:r>
      <w:r w:rsidRPr="00E76EA2">
        <w:rPr>
          <w:i/>
          <w:sz w:val="20"/>
          <w:szCs w:val="20"/>
          <w:lang w:val="en-US"/>
        </w:rPr>
        <w:t xml:space="preserve">Crime and Justice </w:t>
      </w:r>
      <w:r w:rsidRPr="00E76EA2">
        <w:rPr>
          <w:sz w:val="20"/>
          <w:szCs w:val="20"/>
          <w:lang w:val="en-US"/>
        </w:rPr>
        <w:t>,p283-357.</w:t>
      </w:r>
    </w:p>
  </w:footnote>
  <w:footnote w:id="547">
    <w:p w14:paraId="568EDCA1" w14:textId="1749958C" w:rsidR="00C310AB" w:rsidRPr="00E76EA2" w:rsidRDefault="00C310AB" w:rsidP="00CE370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John Thibaut and Lauren Walker, ‘A Theory of Procedure :Psychological Analysis</w:t>
      </w:r>
      <w:r w:rsidR="005307FC">
        <w:rPr>
          <w:sz w:val="20"/>
          <w:szCs w:val="20"/>
          <w:lang w:val="en-US"/>
        </w:rPr>
        <w:t>’</w:t>
      </w:r>
      <w:r w:rsidRPr="00E76EA2">
        <w:rPr>
          <w:sz w:val="20"/>
          <w:szCs w:val="20"/>
          <w:lang w:val="en-US"/>
        </w:rPr>
        <w:t xml:space="preserve"> (Hillsdale 1975)</w:t>
      </w:r>
    </w:p>
  </w:footnote>
  <w:footnote w:id="548">
    <w:p w14:paraId="41B2EC8C" w14:textId="1F2EA2EB" w:rsidR="00C310AB" w:rsidRPr="00E76EA2" w:rsidRDefault="00C310AB" w:rsidP="00E96E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‘Procedural Justice and Policing: A Rush to Judgment(2017) 13(1)</w:t>
      </w:r>
      <w:r w:rsidRPr="00E76EA2">
        <w:rPr>
          <w:i/>
          <w:sz w:val="20"/>
          <w:szCs w:val="20"/>
        </w:rPr>
        <w:t>Annual Review of Law and Social Science</w:t>
      </w:r>
      <w:r w:rsidRPr="00E76EA2">
        <w:rPr>
          <w:sz w:val="20"/>
          <w:szCs w:val="20"/>
        </w:rPr>
        <w:t xml:space="preserve">, p.29-53; Tom Tyler, </w:t>
      </w:r>
      <w:r w:rsidRPr="005F16C5">
        <w:rPr>
          <w:i/>
          <w:iCs/>
          <w:sz w:val="20"/>
          <w:szCs w:val="20"/>
        </w:rPr>
        <w:t>Why Do People obey the Law</w:t>
      </w:r>
      <w:r w:rsidRPr="00E76EA2">
        <w:rPr>
          <w:sz w:val="20"/>
          <w:szCs w:val="20"/>
        </w:rPr>
        <w:t xml:space="preserve"> </w:t>
      </w:r>
      <w:r w:rsidR="00D14724">
        <w:rPr>
          <w:sz w:val="20"/>
          <w:szCs w:val="20"/>
        </w:rPr>
        <w:t>(</w:t>
      </w:r>
      <w:r w:rsidRPr="00E76EA2">
        <w:rPr>
          <w:sz w:val="20"/>
          <w:szCs w:val="20"/>
        </w:rPr>
        <w:t xml:space="preserve">Yale University Press </w:t>
      </w:r>
      <w:r w:rsidR="00A14CB4" w:rsidRPr="00E76EA2">
        <w:rPr>
          <w:sz w:val="20"/>
          <w:szCs w:val="20"/>
        </w:rPr>
        <w:t>1990)</w:t>
      </w:r>
    </w:p>
  </w:footnote>
  <w:footnote w:id="549">
    <w:p w14:paraId="082996EC" w14:textId="77777777" w:rsidR="00C310AB" w:rsidRPr="00E76EA2" w:rsidRDefault="00C310AB" w:rsidP="00E96E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50">
    <w:p w14:paraId="3E8F89F7" w14:textId="0F60AD95" w:rsidR="00C310AB" w:rsidRPr="00E76EA2" w:rsidRDefault="00C310AB" w:rsidP="00E96E6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Tom Tyler, ‘Procedural Justice and the Courts’ (2007) 44</w:t>
      </w:r>
      <w:r w:rsidRPr="00D14724">
        <w:rPr>
          <w:i/>
          <w:iCs/>
          <w:sz w:val="20"/>
          <w:szCs w:val="20"/>
        </w:rPr>
        <w:t>Court Review</w:t>
      </w:r>
      <w:r w:rsidRPr="00E76EA2">
        <w:rPr>
          <w:sz w:val="20"/>
          <w:szCs w:val="20"/>
        </w:rPr>
        <w:t>,p.30</w:t>
      </w:r>
    </w:p>
  </w:footnote>
  <w:footnote w:id="551">
    <w:p w14:paraId="23ACA558" w14:textId="77777777" w:rsidR="00C310AB" w:rsidRPr="00E76EA2" w:rsidRDefault="00C310AB" w:rsidP="00E96E6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Ibid </w:t>
      </w:r>
    </w:p>
  </w:footnote>
  <w:footnote w:id="552">
    <w:p w14:paraId="32068F45" w14:textId="33E972AD" w:rsidR="00C310AB" w:rsidRPr="00E76EA2" w:rsidRDefault="00C310AB" w:rsidP="00F726F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Tracy Booth, “Victim Impact Statements, Sentencing and Contemporary Standards of Fairness in the </w:t>
      </w:r>
      <w:proofErr w:type="spellStart"/>
      <w:r w:rsidRPr="00E76EA2">
        <w:rPr>
          <w:sz w:val="20"/>
          <w:szCs w:val="20"/>
        </w:rPr>
        <w:t>Courtroom,</w:t>
      </w:r>
      <w:r w:rsidR="00F726F3">
        <w:rPr>
          <w:sz w:val="20"/>
          <w:szCs w:val="20"/>
        </w:rPr>
        <w:t>I</w:t>
      </w:r>
      <w:r w:rsidRPr="00E76EA2">
        <w:rPr>
          <w:sz w:val="20"/>
          <w:szCs w:val="20"/>
        </w:rPr>
        <w:t>n</w:t>
      </w:r>
      <w:proofErr w:type="spellEnd"/>
      <w:r w:rsidRPr="00E76EA2">
        <w:rPr>
          <w:sz w:val="20"/>
          <w:szCs w:val="20"/>
        </w:rPr>
        <w:t xml:space="preserve"> Dean Wilson and Stuart Ross (eds) </w:t>
      </w:r>
      <w:r w:rsidRPr="00342C41">
        <w:rPr>
          <w:i/>
          <w:iCs/>
          <w:sz w:val="20"/>
          <w:szCs w:val="20"/>
        </w:rPr>
        <w:t xml:space="preserve">Crime, Victims and </w:t>
      </w:r>
      <w:proofErr w:type="spellStart"/>
      <w:r w:rsidRPr="00342C41">
        <w:rPr>
          <w:i/>
          <w:iCs/>
          <w:sz w:val="20"/>
          <w:szCs w:val="20"/>
        </w:rPr>
        <w:t>Policy</w:t>
      </w:r>
      <w:r w:rsidRPr="00E76EA2">
        <w:rPr>
          <w:sz w:val="20"/>
          <w:szCs w:val="20"/>
        </w:rPr>
        <w:t>,Palmgrave</w:t>
      </w:r>
      <w:proofErr w:type="spellEnd"/>
      <w:r w:rsidRPr="00E76EA2">
        <w:rPr>
          <w:sz w:val="20"/>
          <w:szCs w:val="20"/>
        </w:rPr>
        <w:t xml:space="preserve"> Studies in Victims and Victimology(Palgrave Macmillan</w:t>
      </w:r>
      <w:r w:rsidR="00F726F3">
        <w:rPr>
          <w:sz w:val="20"/>
          <w:szCs w:val="20"/>
        </w:rPr>
        <w:t xml:space="preserve">, </w:t>
      </w:r>
      <w:r w:rsidRPr="00E76EA2">
        <w:rPr>
          <w:sz w:val="20"/>
          <w:szCs w:val="20"/>
        </w:rPr>
        <w:t xml:space="preserve">2015)161-183;Joint Agency Guide to the Victim Personal </w:t>
      </w:r>
      <w:proofErr w:type="spellStart"/>
      <w:r w:rsidRPr="00E76EA2">
        <w:rPr>
          <w:sz w:val="20"/>
          <w:szCs w:val="20"/>
        </w:rPr>
        <w:t>Statement:A</w:t>
      </w:r>
      <w:proofErr w:type="spellEnd"/>
      <w:r w:rsidRPr="00E76EA2">
        <w:rPr>
          <w:sz w:val="20"/>
          <w:szCs w:val="20"/>
        </w:rPr>
        <w:t xml:space="preserve"> guide for all criminal justice practitioners, accessible at </w:t>
      </w:r>
      <w:hyperlink r:id="rId44" w:history="1">
        <w:r w:rsidRPr="00E76EA2">
          <w:rPr>
            <w:rStyle w:val="Hyperlink"/>
            <w:sz w:val="20"/>
            <w:szCs w:val="20"/>
          </w:rPr>
          <w:t>https://www.cps.gov.uk/sites/default/files/documents/legal_gidance/joint-agency-guide-victim-personal-statement_0.pdf</w:t>
        </w:r>
      </w:hyperlink>
      <w:r w:rsidRPr="00E76EA2">
        <w:rPr>
          <w:sz w:val="20"/>
          <w:szCs w:val="20"/>
        </w:rPr>
        <w:t xml:space="preserve"> last accessed 04 Sept</w:t>
      </w:r>
      <w:r w:rsidR="00F726F3">
        <w:rPr>
          <w:sz w:val="20"/>
          <w:szCs w:val="20"/>
        </w:rPr>
        <w:t>e</w:t>
      </w:r>
      <w:r w:rsidRPr="00E76EA2">
        <w:rPr>
          <w:sz w:val="20"/>
          <w:szCs w:val="20"/>
        </w:rPr>
        <w:t>mber 2020; Ray Paternoster and Jerome Deise “A Heavy Thumb on the Scale :The Effect of Victim Impact Evidence on Capital Decision Making(2011) 49(1) Criminology 129;Kerstin Braun, “Giving Victims a Voice :</w:t>
      </w:r>
      <w:r w:rsidR="00C86DBE">
        <w:rPr>
          <w:sz w:val="20"/>
          <w:szCs w:val="20"/>
        </w:rPr>
        <w:t xml:space="preserve"> </w:t>
      </w:r>
      <w:r w:rsidRPr="00E76EA2">
        <w:rPr>
          <w:sz w:val="20"/>
          <w:szCs w:val="20"/>
        </w:rPr>
        <w:t xml:space="preserve">On the Problems of Introducing Victim Impact </w:t>
      </w:r>
      <w:proofErr w:type="spellStart"/>
      <w:r w:rsidRPr="00E76EA2">
        <w:rPr>
          <w:sz w:val="20"/>
          <w:szCs w:val="20"/>
        </w:rPr>
        <w:t>Statementsin</w:t>
      </w:r>
      <w:proofErr w:type="spellEnd"/>
      <w:r w:rsidRPr="00E76EA2">
        <w:rPr>
          <w:sz w:val="20"/>
          <w:szCs w:val="20"/>
        </w:rPr>
        <w:t xml:space="preserve"> German Criminal Procedure(2013) 14(9)</w:t>
      </w:r>
      <w:r w:rsidRPr="00E76EA2">
        <w:rPr>
          <w:i/>
          <w:iCs/>
          <w:sz w:val="20"/>
          <w:szCs w:val="20"/>
        </w:rPr>
        <w:t>German Law Journal</w:t>
      </w:r>
      <w:r w:rsidRPr="00E76EA2">
        <w:rPr>
          <w:sz w:val="20"/>
          <w:szCs w:val="20"/>
        </w:rPr>
        <w:t xml:space="preserve"> ,1889-1908;Luke Moffett, Victim Personal </w:t>
      </w:r>
      <w:proofErr w:type="spellStart"/>
      <w:r w:rsidRPr="00E76EA2">
        <w:rPr>
          <w:sz w:val="20"/>
          <w:szCs w:val="20"/>
        </w:rPr>
        <w:t>Statementsin</w:t>
      </w:r>
      <w:proofErr w:type="spellEnd"/>
      <w:r w:rsidRPr="00E76EA2">
        <w:rPr>
          <w:sz w:val="20"/>
          <w:szCs w:val="20"/>
        </w:rPr>
        <w:t xml:space="preserve"> Managing Victims’ </w:t>
      </w:r>
      <w:proofErr w:type="spellStart"/>
      <w:r w:rsidRPr="00E76EA2">
        <w:rPr>
          <w:sz w:val="20"/>
          <w:szCs w:val="20"/>
        </w:rPr>
        <w:t>Vocies</w:t>
      </w:r>
      <w:proofErr w:type="spellEnd"/>
      <w:r w:rsidRPr="00E76EA2">
        <w:rPr>
          <w:sz w:val="20"/>
          <w:szCs w:val="20"/>
        </w:rPr>
        <w:t xml:space="preserve"> in Sentencing in Northern </w:t>
      </w:r>
      <w:proofErr w:type="spellStart"/>
      <w:r w:rsidRPr="00E76EA2">
        <w:rPr>
          <w:sz w:val="20"/>
          <w:szCs w:val="20"/>
        </w:rPr>
        <w:t>Ireland:Taking</w:t>
      </w:r>
      <w:proofErr w:type="spellEnd"/>
      <w:r w:rsidRPr="00E76EA2">
        <w:rPr>
          <w:sz w:val="20"/>
          <w:szCs w:val="20"/>
        </w:rPr>
        <w:t xml:space="preserve"> a more Procedural Justice Approach (2017)68(4) </w:t>
      </w:r>
      <w:r w:rsidRPr="00E76EA2">
        <w:rPr>
          <w:i/>
          <w:iCs/>
          <w:sz w:val="20"/>
          <w:szCs w:val="20"/>
        </w:rPr>
        <w:t>Northern Ireland Legal Quarterly</w:t>
      </w:r>
      <w:r w:rsidRPr="00E76EA2">
        <w:rPr>
          <w:sz w:val="20"/>
          <w:szCs w:val="20"/>
        </w:rPr>
        <w:t xml:space="preserve">, available at </w:t>
      </w:r>
      <w:hyperlink r:id="rId45" w:history="1">
        <w:r w:rsidRPr="00E76EA2">
          <w:rPr>
            <w:rStyle w:val="Hyperlink"/>
            <w:sz w:val="20"/>
            <w:szCs w:val="20"/>
          </w:rPr>
          <w:t>https://pureadmin.qub.ac.uk/ws/portalfiles/portal/137289940/Moffett_NILQ_Final_Special_Edition.pdf&gt;last</w:t>
        </w:r>
      </w:hyperlink>
      <w:r w:rsidRPr="00E76EA2">
        <w:rPr>
          <w:sz w:val="20"/>
          <w:szCs w:val="20"/>
        </w:rPr>
        <w:t xml:space="preserve"> accessed 04 September 2020.  </w:t>
      </w:r>
    </w:p>
  </w:footnote>
  <w:footnote w:id="553">
    <w:p w14:paraId="762CE68B" w14:textId="6385BC90" w:rsidR="00C310AB" w:rsidRPr="00E76EA2" w:rsidRDefault="00C310AB" w:rsidP="00F726F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Emily Haslam and Marie-</w:t>
      </w:r>
      <w:proofErr w:type="spellStart"/>
      <w:r w:rsidRPr="00E76EA2">
        <w:rPr>
          <w:sz w:val="20"/>
          <w:szCs w:val="20"/>
          <w:lang w:val="en-US"/>
        </w:rPr>
        <w:t>Bnendicte</w:t>
      </w:r>
      <w:proofErr w:type="spellEnd"/>
      <w:r w:rsidRPr="00E76EA2">
        <w:rPr>
          <w:sz w:val="20"/>
          <w:szCs w:val="20"/>
          <w:lang w:val="en-US"/>
        </w:rPr>
        <w:t xml:space="preserve"> </w:t>
      </w:r>
      <w:proofErr w:type="spellStart"/>
      <w:r w:rsidRPr="00E76EA2">
        <w:rPr>
          <w:sz w:val="20"/>
          <w:szCs w:val="20"/>
          <w:lang w:val="en-US"/>
        </w:rPr>
        <w:t>Dembour</w:t>
      </w:r>
      <w:proofErr w:type="spellEnd"/>
      <w:r w:rsidRPr="00E76EA2">
        <w:rPr>
          <w:sz w:val="20"/>
          <w:szCs w:val="20"/>
          <w:lang w:val="en-US"/>
        </w:rPr>
        <w:t>, Silencing Hearings? Victim-</w:t>
      </w:r>
      <w:proofErr w:type="spellStart"/>
      <w:r w:rsidRPr="00E76EA2">
        <w:rPr>
          <w:sz w:val="20"/>
          <w:szCs w:val="20"/>
          <w:lang w:val="en-US"/>
        </w:rPr>
        <w:t>Witnessses</w:t>
      </w:r>
      <w:proofErr w:type="spellEnd"/>
      <w:r w:rsidRPr="00E76EA2">
        <w:rPr>
          <w:sz w:val="20"/>
          <w:szCs w:val="20"/>
          <w:lang w:val="en-US"/>
        </w:rPr>
        <w:t xml:space="preserve"> at war Crimes Trials (2004) 15(1) </w:t>
      </w:r>
      <w:r w:rsidRPr="00342C41">
        <w:rPr>
          <w:i/>
          <w:iCs/>
          <w:sz w:val="20"/>
          <w:szCs w:val="20"/>
          <w:lang w:val="en-US"/>
        </w:rPr>
        <w:t>European Journal of International Law</w:t>
      </w:r>
      <w:r w:rsidRPr="00E76EA2">
        <w:rPr>
          <w:sz w:val="20"/>
          <w:szCs w:val="20"/>
          <w:lang w:val="en-US"/>
        </w:rPr>
        <w:t>,151-177.</w:t>
      </w:r>
    </w:p>
  </w:footnote>
  <w:footnote w:id="554">
    <w:p w14:paraId="339559B5" w14:textId="77777777" w:rsidR="00C310AB" w:rsidRPr="00E76EA2" w:rsidRDefault="00C310AB" w:rsidP="00F726F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w:t>
      </w:r>
    </w:p>
  </w:footnote>
  <w:footnote w:id="555">
    <w:p w14:paraId="039F4E4C" w14:textId="1E1B3471" w:rsidR="00C310AB" w:rsidRPr="00E76EA2" w:rsidRDefault="00C310AB" w:rsidP="005A62C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Human Rights </w:t>
      </w:r>
      <w:proofErr w:type="spellStart"/>
      <w:r w:rsidRPr="00E76EA2">
        <w:rPr>
          <w:sz w:val="20"/>
          <w:szCs w:val="20"/>
        </w:rPr>
        <w:t>Center</w:t>
      </w:r>
      <w:proofErr w:type="spellEnd"/>
      <w:r w:rsidRPr="00E76EA2">
        <w:rPr>
          <w:sz w:val="20"/>
          <w:szCs w:val="20"/>
        </w:rPr>
        <w:t xml:space="preserve">, </w:t>
      </w:r>
      <w:proofErr w:type="spellStart"/>
      <w:r w:rsidRPr="00E76EA2">
        <w:rPr>
          <w:sz w:val="20"/>
          <w:szCs w:val="20"/>
        </w:rPr>
        <w:t>UCBerkely</w:t>
      </w:r>
      <w:proofErr w:type="spellEnd"/>
      <w:r w:rsidRPr="00E76EA2">
        <w:rPr>
          <w:sz w:val="20"/>
          <w:szCs w:val="20"/>
        </w:rPr>
        <w:t xml:space="preserve"> School of Law</w:t>
      </w:r>
      <w:r w:rsidR="00A56747">
        <w:rPr>
          <w:sz w:val="20"/>
          <w:szCs w:val="20"/>
        </w:rPr>
        <w:t>, ‘</w:t>
      </w:r>
      <w:r w:rsidRPr="00E76EA2">
        <w:rPr>
          <w:sz w:val="20"/>
          <w:szCs w:val="20"/>
        </w:rPr>
        <w:t>The Victims’ Court? A Study of 622 Victim Participants at the International Criminal Court</w:t>
      </w:r>
      <w:r w:rsidR="00A56747">
        <w:rPr>
          <w:sz w:val="20"/>
          <w:szCs w:val="20"/>
        </w:rPr>
        <w:t>’</w:t>
      </w:r>
      <w:r w:rsidR="0044693C">
        <w:rPr>
          <w:sz w:val="20"/>
          <w:szCs w:val="20"/>
        </w:rPr>
        <w:t xml:space="preserve"> (2015)</w:t>
      </w:r>
      <w:r w:rsidRPr="00E76EA2">
        <w:rPr>
          <w:sz w:val="20"/>
          <w:szCs w:val="20"/>
        </w:rPr>
        <w:t xml:space="preserve"> </w:t>
      </w:r>
      <w:r w:rsidR="0044693C">
        <w:rPr>
          <w:sz w:val="20"/>
          <w:szCs w:val="20"/>
        </w:rPr>
        <w:t xml:space="preserve"> a</w:t>
      </w:r>
      <w:r w:rsidR="00BA58F7">
        <w:rPr>
          <w:sz w:val="20"/>
          <w:szCs w:val="20"/>
        </w:rPr>
        <w:t>vaila</w:t>
      </w:r>
      <w:r w:rsidR="0044693C">
        <w:rPr>
          <w:sz w:val="20"/>
          <w:szCs w:val="20"/>
        </w:rPr>
        <w:t xml:space="preserve">ble at </w:t>
      </w:r>
      <w:hyperlink r:id="rId46" w:history="1">
        <w:r w:rsidR="0044693C">
          <w:rPr>
            <w:rStyle w:val="Hyperlink"/>
          </w:rPr>
          <w:t>VP_report_2015_final_full2.pdf (berkeley.edu)</w:t>
        </w:r>
      </w:hyperlink>
      <w:r w:rsidR="0044693C" w:rsidRPr="00E76EA2">
        <w:rPr>
          <w:sz w:val="20"/>
          <w:szCs w:val="20"/>
        </w:rPr>
        <w:t xml:space="preserve"> </w:t>
      </w:r>
      <w:r w:rsidRPr="00E76EA2">
        <w:rPr>
          <w:sz w:val="20"/>
          <w:szCs w:val="20"/>
        </w:rPr>
        <w:t>1-86, 32.</w:t>
      </w:r>
    </w:p>
  </w:footnote>
  <w:footnote w:id="556">
    <w:p w14:paraId="118B6F69" w14:textId="77777777" w:rsidR="00C310AB" w:rsidRPr="00E76EA2" w:rsidRDefault="00C310AB" w:rsidP="005A62C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57">
    <w:p w14:paraId="2D3DD2A8" w14:textId="50C2C6A1" w:rsidR="00C310AB" w:rsidRPr="00E76EA2" w:rsidRDefault="00C310AB" w:rsidP="00A5674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Ian Edwards,  “An Ambiguous  </w:t>
      </w:r>
      <w:proofErr w:type="spellStart"/>
      <w:r w:rsidRPr="00E76EA2">
        <w:rPr>
          <w:sz w:val="20"/>
          <w:szCs w:val="20"/>
        </w:rPr>
        <w:t>Participant:The</w:t>
      </w:r>
      <w:proofErr w:type="spellEnd"/>
      <w:r w:rsidRPr="00E76EA2">
        <w:rPr>
          <w:sz w:val="20"/>
          <w:szCs w:val="20"/>
        </w:rPr>
        <w:t xml:space="preserve"> Crime and Criminal Justice Decision –Making </w:t>
      </w:r>
      <w:r w:rsidR="00A56747">
        <w:rPr>
          <w:sz w:val="20"/>
          <w:szCs w:val="20"/>
        </w:rPr>
        <w:t>(</w:t>
      </w:r>
      <w:r w:rsidRPr="00E76EA2">
        <w:rPr>
          <w:sz w:val="20"/>
          <w:szCs w:val="20"/>
        </w:rPr>
        <w:t xml:space="preserve">2004) 44 </w:t>
      </w:r>
      <w:r w:rsidRPr="00E76EA2">
        <w:rPr>
          <w:i/>
          <w:sz w:val="20"/>
          <w:szCs w:val="20"/>
        </w:rPr>
        <w:t>British</w:t>
      </w:r>
      <w:r w:rsidRPr="00E76EA2">
        <w:rPr>
          <w:sz w:val="20"/>
          <w:szCs w:val="20"/>
        </w:rPr>
        <w:t xml:space="preserve"> </w:t>
      </w:r>
      <w:r w:rsidRPr="00E76EA2">
        <w:rPr>
          <w:i/>
          <w:sz w:val="20"/>
          <w:szCs w:val="20"/>
        </w:rPr>
        <w:t>Journal of Criminology</w:t>
      </w:r>
      <w:r w:rsidRPr="00E76EA2">
        <w:rPr>
          <w:sz w:val="20"/>
          <w:szCs w:val="20"/>
        </w:rPr>
        <w:t xml:space="preserve">, 967,973; Jonathan </w:t>
      </w:r>
      <w:proofErr w:type="spellStart"/>
      <w:r w:rsidRPr="00E76EA2">
        <w:rPr>
          <w:sz w:val="20"/>
          <w:szCs w:val="20"/>
        </w:rPr>
        <w:t>Doak</w:t>
      </w:r>
      <w:proofErr w:type="spellEnd"/>
      <w:r w:rsidRPr="00E76EA2">
        <w:rPr>
          <w:sz w:val="20"/>
          <w:szCs w:val="20"/>
        </w:rPr>
        <w:t xml:space="preserve">, “Victims’ Rights in Criminal Trials :Prospects for Participation (2005) 32 </w:t>
      </w:r>
      <w:r w:rsidRPr="00E76EA2">
        <w:rPr>
          <w:i/>
          <w:sz w:val="20"/>
          <w:szCs w:val="20"/>
        </w:rPr>
        <w:t>Journal of Law and Society,</w:t>
      </w:r>
      <w:r w:rsidRPr="00A56747">
        <w:rPr>
          <w:iCs/>
          <w:sz w:val="20"/>
          <w:szCs w:val="20"/>
        </w:rPr>
        <w:t>294,295</w:t>
      </w:r>
      <w:r w:rsidRPr="00E76EA2">
        <w:rPr>
          <w:i/>
          <w:sz w:val="20"/>
          <w:szCs w:val="20"/>
        </w:rPr>
        <w:t>.</w:t>
      </w:r>
    </w:p>
  </w:footnote>
  <w:footnote w:id="558">
    <w:p w14:paraId="37C743C2" w14:textId="2479FCC4" w:rsidR="00C310AB" w:rsidRPr="00E76EA2" w:rsidRDefault="00C310AB" w:rsidP="00A5674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Tom Tyler,  ‘Procedural Justice and the Courts (1988) 44</w:t>
      </w:r>
      <w:r w:rsidR="00342C41">
        <w:rPr>
          <w:sz w:val="20"/>
          <w:szCs w:val="20"/>
          <w:lang w:val="en-US"/>
        </w:rPr>
        <w:t xml:space="preserve"> </w:t>
      </w:r>
      <w:r w:rsidR="00342C41" w:rsidRPr="00342C41">
        <w:rPr>
          <w:i/>
          <w:iCs/>
          <w:sz w:val="20"/>
          <w:szCs w:val="20"/>
          <w:lang w:val="en-US"/>
        </w:rPr>
        <w:t>Court</w:t>
      </w:r>
      <w:r w:rsidRPr="00342C41">
        <w:rPr>
          <w:i/>
          <w:iCs/>
          <w:sz w:val="20"/>
          <w:szCs w:val="20"/>
          <w:lang w:val="en-US"/>
        </w:rPr>
        <w:t xml:space="preserve"> Review</w:t>
      </w:r>
      <w:r w:rsidRPr="00E76EA2">
        <w:rPr>
          <w:sz w:val="20"/>
          <w:szCs w:val="20"/>
          <w:lang w:val="en-US"/>
        </w:rPr>
        <w:t xml:space="preserve"> 24.</w:t>
      </w:r>
    </w:p>
  </w:footnote>
  <w:footnote w:id="559">
    <w:p w14:paraId="7105454B" w14:textId="10FDF9DE" w:rsidR="00C310AB" w:rsidRPr="00E76EA2" w:rsidRDefault="00C310AB" w:rsidP="00A5674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60">
    <w:p w14:paraId="024CBB86" w14:textId="4AE662BB" w:rsidR="00C310AB" w:rsidRPr="00E76EA2" w:rsidRDefault="00C310AB" w:rsidP="00A5674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United Nations Charter 1945; Universal Declaration of Human Rights  1948;preamble of the Convention on the Elimination of all Forms of Discrimination against Women(CEDAW);Preamble of the Convention on the Rights of the Child 1989;</w:t>
      </w:r>
      <w:r w:rsidRPr="00E76EA2">
        <w:rPr>
          <w:sz w:val="20"/>
          <w:szCs w:val="20"/>
          <w:lang w:val="en-US"/>
        </w:rPr>
        <w:t xml:space="preserve"> United Nations Declaration of Basic Principles for Victims of Crime and Abuse, 1985, Preamble</w:t>
      </w:r>
    </w:p>
  </w:footnote>
  <w:footnote w:id="561">
    <w:p w14:paraId="727F4350" w14:textId="77777777" w:rsidR="00C310AB" w:rsidRPr="00E76EA2" w:rsidRDefault="00C310AB" w:rsidP="00A5674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United Nations Declaration of Basic Principles for Victims of Crime and Abuse, 1985, Preamble.</w:t>
      </w:r>
    </w:p>
  </w:footnote>
  <w:footnote w:id="562">
    <w:p w14:paraId="17464C1A" w14:textId="6E4D5F8B" w:rsidR="00C310AB" w:rsidRPr="00E76EA2" w:rsidRDefault="00C310AB" w:rsidP="00A5674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proofErr w:type="spellStart"/>
      <w:r w:rsidRPr="00E76EA2">
        <w:rPr>
          <w:sz w:val="20"/>
          <w:szCs w:val="20"/>
        </w:rPr>
        <w:t>Yaroslav</w:t>
      </w:r>
      <w:proofErr w:type="spellEnd"/>
      <w:r w:rsidRPr="00E76EA2">
        <w:rPr>
          <w:sz w:val="20"/>
          <w:szCs w:val="20"/>
        </w:rPr>
        <w:t xml:space="preserve"> </w:t>
      </w:r>
      <w:proofErr w:type="spellStart"/>
      <w:r w:rsidRPr="00E76EA2">
        <w:rPr>
          <w:sz w:val="20"/>
          <w:szCs w:val="20"/>
        </w:rPr>
        <w:t>Belousov</w:t>
      </w:r>
      <w:proofErr w:type="spellEnd"/>
      <w:r w:rsidRPr="00E76EA2">
        <w:rPr>
          <w:sz w:val="20"/>
          <w:szCs w:val="20"/>
        </w:rPr>
        <w:t xml:space="preserve"> v. Russia, Merits , Judgement [2016] ECHR 805; Jalloh v Germany, Judgment , Merits [2006]ECHR 721The European Convention on Human Rights 1950, Article 3,</w:t>
      </w:r>
    </w:p>
  </w:footnote>
  <w:footnote w:id="563">
    <w:p w14:paraId="7EE2349E" w14:textId="597EBF88" w:rsidR="00C310AB" w:rsidRPr="00E76EA2" w:rsidRDefault="00C310AB" w:rsidP="00A5674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Christopher McCrudden , ‘Human Dignity and Judicial Interpretation of Human Rights (2008) 19 </w:t>
      </w:r>
      <w:r w:rsidRPr="00342C41">
        <w:rPr>
          <w:i/>
          <w:iCs/>
          <w:sz w:val="20"/>
          <w:szCs w:val="20"/>
          <w:lang w:val="en-US"/>
        </w:rPr>
        <w:t>European Journal of International Law</w:t>
      </w:r>
      <w:r w:rsidRPr="00E76EA2">
        <w:rPr>
          <w:sz w:val="20"/>
          <w:szCs w:val="20"/>
          <w:lang w:val="en-US"/>
        </w:rPr>
        <w:t xml:space="preserve"> 655-724, 657; David Feldman, ‘Human Dignity as a Legal Value-Part II (2001) 61 Public Law, p.75; John Humphrey, ‘Human Rights and the United Nations: A Great Adventure’(1984) 40(3) </w:t>
      </w:r>
      <w:r w:rsidRPr="00342C41">
        <w:rPr>
          <w:i/>
          <w:iCs/>
          <w:sz w:val="20"/>
          <w:szCs w:val="20"/>
          <w:lang w:val="en-US"/>
        </w:rPr>
        <w:t>International Journal</w:t>
      </w:r>
      <w:r w:rsidRPr="00E76EA2">
        <w:rPr>
          <w:sz w:val="20"/>
          <w:szCs w:val="20"/>
          <w:lang w:val="en-US"/>
        </w:rPr>
        <w:t xml:space="preserve"> 44;</w:t>
      </w:r>
      <w:r w:rsidRPr="00E76EA2">
        <w:rPr>
          <w:sz w:val="20"/>
          <w:szCs w:val="20"/>
        </w:rPr>
        <w:t xml:space="preserve"> C-36/02,March 18,204, [2004] ECR1-09609, para.84;Airedale N.H.S v. Bland, 1 AC.789,826 (1993);Planned Parenthood of </w:t>
      </w:r>
      <w:proofErr w:type="spellStart"/>
      <w:r w:rsidRPr="00E76EA2">
        <w:rPr>
          <w:sz w:val="20"/>
          <w:szCs w:val="20"/>
        </w:rPr>
        <w:t>Southeastern</w:t>
      </w:r>
      <w:proofErr w:type="spellEnd"/>
      <w:r w:rsidRPr="00E76EA2">
        <w:rPr>
          <w:sz w:val="20"/>
          <w:szCs w:val="20"/>
        </w:rPr>
        <w:t xml:space="preserve"> Pennsylvania </w:t>
      </w:r>
      <w:proofErr w:type="spellStart"/>
      <w:r w:rsidRPr="00E76EA2">
        <w:rPr>
          <w:sz w:val="20"/>
          <w:szCs w:val="20"/>
        </w:rPr>
        <w:t>v.Casey</w:t>
      </w:r>
      <w:proofErr w:type="spellEnd"/>
      <w:r w:rsidRPr="00E76EA2">
        <w:rPr>
          <w:sz w:val="20"/>
          <w:szCs w:val="20"/>
        </w:rPr>
        <w:t xml:space="preserve"> .505US 833 (1992);Pretty </w:t>
      </w:r>
      <w:proofErr w:type="spellStart"/>
      <w:r w:rsidRPr="00E76EA2">
        <w:rPr>
          <w:sz w:val="20"/>
          <w:szCs w:val="20"/>
        </w:rPr>
        <w:t>v.United</w:t>
      </w:r>
      <w:proofErr w:type="spellEnd"/>
      <w:r w:rsidRPr="00E76EA2">
        <w:rPr>
          <w:sz w:val="20"/>
          <w:szCs w:val="20"/>
        </w:rPr>
        <w:t xml:space="preserve"> Kingdom, 35 EHRR(2002) 1.</w:t>
      </w:r>
    </w:p>
  </w:footnote>
  <w:footnote w:id="564">
    <w:p w14:paraId="470993EC" w14:textId="77777777" w:rsidR="00C310AB" w:rsidRPr="00E76EA2" w:rsidRDefault="00C310AB" w:rsidP="00A5674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565">
    <w:p w14:paraId="2B492324" w14:textId="2E3E4BF6" w:rsidR="00C310AB" w:rsidRPr="00E76EA2" w:rsidRDefault="00C310AB" w:rsidP="002F37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Human Rights UC Berkeley School of Law, The Victims’ Court? A Study of 622 Victim Participants at the International Criminal Court,</w:t>
      </w:r>
      <w:r w:rsidR="009A7F40">
        <w:rPr>
          <w:sz w:val="20"/>
          <w:szCs w:val="20"/>
        </w:rPr>
        <w:t>(2015)</w:t>
      </w:r>
      <w:r w:rsidRPr="00E76EA2">
        <w:rPr>
          <w:sz w:val="20"/>
          <w:szCs w:val="20"/>
        </w:rPr>
        <w:t xml:space="preserve"> 1-86, 35</w:t>
      </w:r>
      <w:r w:rsidR="009A7F40">
        <w:rPr>
          <w:sz w:val="20"/>
          <w:szCs w:val="20"/>
        </w:rPr>
        <w:t>;Ibid</w:t>
      </w:r>
    </w:p>
  </w:footnote>
  <w:footnote w:id="566">
    <w:p w14:paraId="2FD5EDAD" w14:textId="77777777" w:rsidR="00C310AB" w:rsidRPr="00E76EA2" w:rsidRDefault="00C310AB" w:rsidP="002F37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,page 35</w:t>
      </w:r>
    </w:p>
  </w:footnote>
  <w:footnote w:id="567">
    <w:p w14:paraId="7629F14E" w14:textId="4B2844B6" w:rsidR="00C310AB" w:rsidRPr="00E76EA2" w:rsidRDefault="00C310AB" w:rsidP="002F379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Brianne McGonigle. </w:t>
      </w:r>
      <w:r w:rsidR="002F3795">
        <w:rPr>
          <w:sz w:val="20"/>
          <w:szCs w:val="20"/>
        </w:rPr>
        <w:t>‘</w:t>
      </w:r>
      <w:r w:rsidRPr="00E76EA2">
        <w:rPr>
          <w:sz w:val="20"/>
          <w:szCs w:val="20"/>
        </w:rPr>
        <w:t>Bridging the Divides In International Criminal Proceedings :An Examination into the  Victim Participation Endeavor of the International Criminal Proceedings</w:t>
      </w:r>
      <w:r w:rsidR="002F3795">
        <w:rPr>
          <w:sz w:val="20"/>
          <w:szCs w:val="20"/>
        </w:rPr>
        <w:t>’</w:t>
      </w:r>
      <w:r w:rsidRPr="00E76EA2">
        <w:rPr>
          <w:sz w:val="20"/>
          <w:szCs w:val="20"/>
        </w:rPr>
        <w:t>.</w:t>
      </w:r>
    </w:p>
    <w:p w14:paraId="421B46FB" w14:textId="77777777" w:rsidR="00C310AB" w:rsidRPr="00E76EA2" w:rsidRDefault="00C310AB" w:rsidP="002F3795">
      <w:pPr>
        <w:pStyle w:val="NoSpacing1"/>
        <w:spacing w:line="276" w:lineRule="auto"/>
        <w:jc w:val="both"/>
        <w:rPr>
          <w:sz w:val="20"/>
          <w:szCs w:val="20"/>
          <w:lang w:val="en-US"/>
        </w:rPr>
      </w:pPr>
      <w:r w:rsidRPr="00E76EA2">
        <w:rPr>
          <w:sz w:val="20"/>
          <w:szCs w:val="20"/>
        </w:rPr>
        <w:t xml:space="preserve"> (2009) 21(63)</w:t>
      </w:r>
      <w:r w:rsidRPr="002F3795">
        <w:rPr>
          <w:i/>
          <w:iCs/>
          <w:sz w:val="20"/>
          <w:szCs w:val="20"/>
        </w:rPr>
        <w:t>Florida Journal of International Law</w:t>
      </w:r>
      <w:r w:rsidRPr="00E76EA2">
        <w:rPr>
          <w:sz w:val="20"/>
          <w:szCs w:val="20"/>
        </w:rPr>
        <w:t>,93-152.</w:t>
      </w:r>
    </w:p>
  </w:footnote>
  <w:footnote w:id="568">
    <w:p w14:paraId="2B7ED896" w14:textId="77777777" w:rsidR="00C310AB" w:rsidRPr="00E76EA2" w:rsidRDefault="00C310AB" w:rsidP="009A7F4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Jo-Anne </w:t>
      </w:r>
      <w:proofErr w:type="spellStart"/>
      <w:r w:rsidRPr="00E76EA2">
        <w:rPr>
          <w:sz w:val="20"/>
          <w:szCs w:val="20"/>
        </w:rPr>
        <w:t>Wemmers</w:t>
      </w:r>
      <w:proofErr w:type="spellEnd"/>
      <w:r w:rsidRPr="00E76EA2">
        <w:rPr>
          <w:sz w:val="20"/>
          <w:szCs w:val="20"/>
        </w:rPr>
        <w:t xml:space="preserve">, </w:t>
      </w:r>
      <w:r w:rsidRPr="00E76EA2">
        <w:rPr>
          <w:i/>
          <w:sz w:val="20"/>
          <w:szCs w:val="20"/>
        </w:rPr>
        <w:t>Victimology :A Canadian Perspective</w:t>
      </w:r>
      <w:r w:rsidRPr="00E76EA2">
        <w:rPr>
          <w:sz w:val="20"/>
          <w:szCs w:val="20"/>
        </w:rPr>
        <w:t xml:space="preserve">( University of Toronto Press 2017) ; </w:t>
      </w:r>
      <w:proofErr w:type="spellStart"/>
      <w:r w:rsidRPr="00E76EA2">
        <w:rPr>
          <w:sz w:val="20"/>
          <w:szCs w:val="20"/>
        </w:rPr>
        <w:t>Mattew</w:t>
      </w:r>
      <w:proofErr w:type="spellEnd"/>
      <w:r w:rsidRPr="00E76EA2">
        <w:rPr>
          <w:sz w:val="20"/>
          <w:szCs w:val="20"/>
        </w:rPr>
        <w:t xml:space="preserve"> Hall , </w:t>
      </w:r>
      <w:r w:rsidRPr="00E76EA2">
        <w:rPr>
          <w:i/>
          <w:sz w:val="20"/>
          <w:szCs w:val="20"/>
        </w:rPr>
        <w:t>Victims of Crime :Construction, Governance and Policy(</w:t>
      </w:r>
      <w:proofErr w:type="spellStart"/>
      <w:r w:rsidRPr="00E76EA2">
        <w:rPr>
          <w:sz w:val="20"/>
          <w:szCs w:val="20"/>
        </w:rPr>
        <w:t>Palmgrave</w:t>
      </w:r>
      <w:proofErr w:type="spellEnd"/>
      <w:r w:rsidRPr="00E76EA2">
        <w:rPr>
          <w:sz w:val="20"/>
          <w:szCs w:val="20"/>
        </w:rPr>
        <w:t xml:space="preserve"> McMillian 2017); Ezzat </w:t>
      </w:r>
      <w:proofErr w:type="spellStart"/>
      <w:r w:rsidRPr="00E76EA2">
        <w:rPr>
          <w:sz w:val="20"/>
          <w:szCs w:val="20"/>
        </w:rPr>
        <w:t>Ezzah</w:t>
      </w:r>
      <w:proofErr w:type="spellEnd"/>
      <w:r w:rsidRPr="00E76EA2">
        <w:rPr>
          <w:sz w:val="20"/>
          <w:szCs w:val="20"/>
        </w:rPr>
        <w:t xml:space="preserve">, ‘Victims and Victimology: The Facts and the Rhetoric (1989) </w:t>
      </w:r>
      <w:r w:rsidRPr="00E76EA2">
        <w:rPr>
          <w:i/>
          <w:sz w:val="20"/>
          <w:szCs w:val="20"/>
        </w:rPr>
        <w:t>International Review of Victimology</w:t>
      </w:r>
      <w:r w:rsidRPr="00E76EA2">
        <w:rPr>
          <w:sz w:val="20"/>
          <w:szCs w:val="20"/>
        </w:rPr>
        <w:t xml:space="preserve">,43-66.;Rob </w:t>
      </w:r>
      <w:proofErr w:type="spellStart"/>
      <w:r w:rsidRPr="00E76EA2">
        <w:rPr>
          <w:sz w:val="20"/>
          <w:szCs w:val="20"/>
        </w:rPr>
        <w:t>Mawby</w:t>
      </w:r>
      <w:proofErr w:type="spellEnd"/>
      <w:r w:rsidRPr="00E76EA2">
        <w:rPr>
          <w:sz w:val="20"/>
          <w:szCs w:val="20"/>
        </w:rPr>
        <w:t xml:space="preserve"> and Sandra </w:t>
      </w:r>
      <w:proofErr w:type="spellStart"/>
      <w:r w:rsidRPr="00E76EA2">
        <w:rPr>
          <w:sz w:val="20"/>
          <w:szCs w:val="20"/>
        </w:rPr>
        <w:t>Walkate</w:t>
      </w:r>
      <w:proofErr w:type="spellEnd"/>
      <w:r w:rsidRPr="00E76EA2">
        <w:rPr>
          <w:sz w:val="20"/>
          <w:szCs w:val="20"/>
        </w:rPr>
        <w:t xml:space="preserve">, </w:t>
      </w:r>
      <w:r w:rsidRPr="00E76EA2">
        <w:rPr>
          <w:i/>
          <w:sz w:val="20"/>
          <w:szCs w:val="20"/>
        </w:rPr>
        <w:t xml:space="preserve">Critical </w:t>
      </w:r>
      <w:proofErr w:type="spellStart"/>
      <w:r w:rsidRPr="00E76EA2">
        <w:rPr>
          <w:i/>
          <w:sz w:val="20"/>
          <w:szCs w:val="20"/>
        </w:rPr>
        <w:t>Victimology:International</w:t>
      </w:r>
      <w:proofErr w:type="spellEnd"/>
      <w:r w:rsidRPr="00E76EA2">
        <w:rPr>
          <w:i/>
          <w:sz w:val="20"/>
          <w:szCs w:val="20"/>
        </w:rPr>
        <w:t xml:space="preserve"> Perspectives</w:t>
      </w:r>
      <w:r w:rsidRPr="00E76EA2">
        <w:rPr>
          <w:sz w:val="20"/>
          <w:szCs w:val="20"/>
        </w:rPr>
        <w:t>( Sage 1994) 48-51</w:t>
      </w:r>
    </w:p>
  </w:footnote>
  <w:footnote w:id="569">
    <w:p w14:paraId="18870B59" w14:textId="77777777" w:rsidR="00C310AB" w:rsidRPr="00E76EA2" w:rsidRDefault="00C310AB" w:rsidP="00365B9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Pr="00E76EA2">
        <w:rPr>
          <w:sz w:val="20"/>
          <w:szCs w:val="20"/>
          <w:lang w:val="en-US"/>
        </w:rPr>
        <w:t xml:space="preserve">Luke Moffett, ‘Meaningful and Effective? Considering Victims’ Interests through Participation at the International Criminal Court’ (2015) 26 </w:t>
      </w:r>
      <w:r w:rsidRPr="00E76EA2">
        <w:rPr>
          <w:i/>
          <w:sz w:val="20"/>
          <w:szCs w:val="20"/>
          <w:lang w:val="en-US"/>
        </w:rPr>
        <w:t>Criminal Law Forum,</w:t>
      </w:r>
      <w:r w:rsidRPr="00E76EA2">
        <w:rPr>
          <w:sz w:val="20"/>
          <w:szCs w:val="20"/>
          <w:lang w:val="en-US"/>
        </w:rPr>
        <w:t xml:space="preserve">255-28, 257.;Luke Moffett, </w:t>
      </w:r>
      <w:r w:rsidRPr="00E76EA2">
        <w:rPr>
          <w:i/>
          <w:sz w:val="20"/>
          <w:szCs w:val="20"/>
          <w:lang w:val="en-US"/>
        </w:rPr>
        <w:t>Justice for Victims at the International Criminal Court</w:t>
      </w:r>
      <w:r w:rsidRPr="00E76EA2">
        <w:rPr>
          <w:sz w:val="20"/>
          <w:szCs w:val="20"/>
          <w:lang w:val="en-US"/>
        </w:rPr>
        <w:t xml:space="preserve"> ( First published 2014, Routledge 2014)31-35</w:t>
      </w:r>
    </w:p>
  </w:footnote>
  <w:footnote w:id="570">
    <w:p w14:paraId="0FCB0118" w14:textId="105BA825" w:rsidR="00C310AB" w:rsidRPr="00E76EA2" w:rsidRDefault="00C310AB" w:rsidP="00365B99">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Sherry </w:t>
      </w:r>
      <w:proofErr w:type="spellStart"/>
      <w:r w:rsidRPr="00E76EA2">
        <w:rPr>
          <w:sz w:val="20"/>
          <w:szCs w:val="20"/>
          <w:lang w:val="en-US"/>
        </w:rPr>
        <w:t>Arnstein</w:t>
      </w:r>
      <w:proofErr w:type="spellEnd"/>
      <w:r w:rsidRPr="00E76EA2">
        <w:rPr>
          <w:sz w:val="20"/>
          <w:szCs w:val="20"/>
          <w:lang w:val="en-US"/>
        </w:rPr>
        <w:t xml:space="preserve"> , ‘A Ladder of  Citizen Participation’(1969)  35(4)</w:t>
      </w:r>
      <w:r w:rsidRPr="00E76EA2">
        <w:rPr>
          <w:i/>
          <w:sz w:val="20"/>
          <w:szCs w:val="20"/>
          <w:lang w:val="en-US"/>
        </w:rPr>
        <w:t>Journal of the American Planning Association</w:t>
      </w:r>
      <w:r w:rsidRPr="00E76EA2">
        <w:rPr>
          <w:sz w:val="20"/>
          <w:szCs w:val="20"/>
          <w:lang w:val="en-US"/>
        </w:rPr>
        <w:t xml:space="preserve"> 216-224.</w:t>
      </w:r>
    </w:p>
  </w:footnote>
  <w:footnote w:id="571">
    <w:p w14:paraId="7C7550A1" w14:textId="3DDC4EF4" w:rsidR="00C310AB" w:rsidRPr="00E76EA2" w:rsidRDefault="00C310AB" w:rsidP="00365B99">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Jonathan </w:t>
      </w:r>
      <w:proofErr w:type="spellStart"/>
      <w:r w:rsidRPr="00E76EA2">
        <w:rPr>
          <w:sz w:val="20"/>
          <w:szCs w:val="20"/>
          <w:lang w:val="en-US"/>
        </w:rPr>
        <w:t>Doak</w:t>
      </w:r>
      <w:proofErr w:type="spellEnd"/>
      <w:r w:rsidRPr="00E76EA2">
        <w:rPr>
          <w:sz w:val="20"/>
          <w:szCs w:val="20"/>
          <w:lang w:val="en-US"/>
        </w:rPr>
        <w:t>,</w:t>
      </w:r>
      <w:r w:rsidRPr="00E76EA2">
        <w:rPr>
          <w:sz w:val="20"/>
          <w:szCs w:val="20"/>
        </w:rPr>
        <w:t xml:space="preserve"> ‘Victims’ Rights in Criminal Trials  :Prospects for Participation’</w:t>
      </w:r>
      <w:r w:rsidRPr="00E76EA2">
        <w:rPr>
          <w:sz w:val="20"/>
          <w:szCs w:val="20"/>
          <w:lang w:val="en-US"/>
        </w:rPr>
        <w:t xml:space="preserve">(2005) 32(2) </w:t>
      </w:r>
      <w:r w:rsidRPr="00E76EA2">
        <w:rPr>
          <w:i/>
          <w:sz w:val="20"/>
          <w:szCs w:val="20"/>
          <w:lang w:val="en-US"/>
        </w:rPr>
        <w:t>Journal of Law and Society</w:t>
      </w:r>
      <w:r w:rsidRPr="00E76EA2">
        <w:rPr>
          <w:sz w:val="20"/>
          <w:szCs w:val="20"/>
        </w:rPr>
        <w:t xml:space="preserve"> ,1-26</w:t>
      </w:r>
      <w:r w:rsidRPr="00E76EA2">
        <w:rPr>
          <w:sz w:val="20"/>
          <w:szCs w:val="20"/>
          <w:lang w:val="en-US"/>
        </w:rPr>
        <w:t>.</w:t>
      </w:r>
    </w:p>
  </w:footnote>
  <w:footnote w:id="572">
    <w:p w14:paraId="33581AED" w14:textId="003796F4" w:rsidR="00C310AB" w:rsidRPr="00E76EA2" w:rsidRDefault="00C310AB" w:rsidP="00365B9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(n 296).</w:t>
      </w:r>
    </w:p>
  </w:footnote>
  <w:footnote w:id="573">
    <w:p w14:paraId="10406AA7" w14:textId="2CDB4235" w:rsidR="00C310AB" w:rsidRPr="00E76EA2" w:rsidRDefault="00C310AB" w:rsidP="00365B9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n 296).</w:t>
      </w:r>
    </w:p>
  </w:footnote>
  <w:footnote w:id="574">
    <w:p w14:paraId="00398C2F" w14:textId="15E65869" w:rsidR="00C310AB" w:rsidRPr="00E76EA2" w:rsidRDefault="00C310AB" w:rsidP="003C5D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75">
    <w:p w14:paraId="13CC000F" w14:textId="40DA6DEA" w:rsidR="00C310AB" w:rsidRPr="00E76EA2" w:rsidRDefault="00C310AB" w:rsidP="003C5D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76">
    <w:p w14:paraId="7AD66996" w14:textId="57ACDDD7" w:rsidR="00C310AB" w:rsidRPr="00E76EA2" w:rsidRDefault="00C310AB" w:rsidP="003C5D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Ibid;Clauda</w:t>
      </w:r>
      <w:proofErr w:type="spellEnd"/>
      <w:r w:rsidRPr="00E76EA2">
        <w:rPr>
          <w:sz w:val="20"/>
          <w:szCs w:val="20"/>
        </w:rPr>
        <w:t xml:space="preserve"> </w:t>
      </w:r>
      <w:proofErr w:type="spellStart"/>
      <w:r w:rsidRPr="00E76EA2">
        <w:rPr>
          <w:sz w:val="20"/>
          <w:szCs w:val="20"/>
        </w:rPr>
        <w:t>Jorda</w:t>
      </w:r>
      <w:proofErr w:type="spellEnd"/>
      <w:r w:rsidRPr="00E76EA2">
        <w:rPr>
          <w:sz w:val="20"/>
          <w:szCs w:val="20"/>
        </w:rPr>
        <w:t xml:space="preserve"> and Jerome De </w:t>
      </w:r>
      <w:proofErr w:type="spellStart"/>
      <w:r w:rsidRPr="00E76EA2">
        <w:rPr>
          <w:sz w:val="20"/>
          <w:szCs w:val="20"/>
        </w:rPr>
        <w:t>Hemptine</w:t>
      </w:r>
      <w:proofErr w:type="spellEnd"/>
      <w:r w:rsidRPr="00E76EA2">
        <w:rPr>
          <w:sz w:val="20"/>
          <w:szCs w:val="20"/>
        </w:rPr>
        <w:t xml:space="preserve">,  “The status and role of the victim” in Antonio </w:t>
      </w:r>
      <w:proofErr w:type="spellStart"/>
      <w:r w:rsidRPr="00E76EA2">
        <w:rPr>
          <w:sz w:val="20"/>
          <w:szCs w:val="20"/>
        </w:rPr>
        <w:t>Cassesse</w:t>
      </w:r>
      <w:proofErr w:type="spellEnd"/>
      <w:r w:rsidRPr="00E76EA2">
        <w:rPr>
          <w:sz w:val="20"/>
          <w:szCs w:val="20"/>
        </w:rPr>
        <w:t>, Paola Gaeta, John Jones(eds)</w:t>
      </w:r>
      <w:r w:rsidRPr="00E76EA2">
        <w:rPr>
          <w:i/>
          <w:iCs/>
          <w:sz w:val="20"/>
          <w:szCs w:val="20"/>
        </w:rPr>
        <w:t xml:space="preserve">The Rome Statute of the International Criminal </w:t>
      </w:r>
      <w:proofErr w:type="spellStart"/>
      <w:r w:rsidRPr="00E76EA2">
        <w:rPr>
          <w:i/>
          <w:iCs/>
          <w:sz w:val="20"/>
          <w:szCs w:val="20"/>
        </w:rPr>
        <w:t>Court:A</w:t>
      </w:r>
      <w:proofErr w:type="spellEnd"/>
      <w:r w:rsidRPr="00E76EA2">
        <w:rPr>
          <w:i/>
          <w:iCs/>
          <w:sz w:val="20"/>
          <w:szCs w:val="20"/>
        </w:rPr>
        <w:t xml:space="preserve"> Commentary </w:t>
      </w:r>
      <w:r w:rsidRPr="00E76EA2">
        <w:rPr>
          <w:sz w:val="20"/>
          <w:szCs w:val="20"/>
        </w:rPr>
        <w:t>(Oxford University Press 2002)</w:t>
      </w:r>
    </w:p>
  </w:footnote>
  <w:footnote w:id="577">
    <w:p w14:paraId="564BD016" w14:textId="196AADD2" w:rsidR="00C310AB" w:rsidRPr="00E76EA2" w:rsidRDefault="00C310AB" w:rsidP="003C5D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Ashworth, “Punishment and </w:t>
      </w:r>
      <w:proofErr w:type="spellStart"/>
      <w:r w:rsidRPr="00E76EA2">
        <w:rPr>
          <w:sz w:val="20"/>
          <w:szCs w:val="20"/>
        </w:rPr>
        <w:t>Compensation:victims</w:t>
      </w:r>
      <w:proofErr w:type="spellEnd"/>
      <w:r w:rsidRPr="00E76EA2">
        <w:rPr>
          <w:sz w:val="20"/>
          <w:szCs w:val="20"/>
        </w:rPr>
        <w:t xml:space="preserve">, offenders and the state” (1986) 6(1) </w:t>
      </w:r>
      <w:r w:rsidRPr="00E76EA2">
        <w:rPr>
          <w:i/>
          <w:iCs/>
          <w:sz w:val="20"/>
          <w:szCs w:val="20"/>
        </w:rPr>
        <w:t>Oxford</w:t>
      </w:r>
      <w:r w:rsidRPr="00E76EA2">
        <w:rPr>
          <w:sz w:val="20"/>
          <w:szCs w:val="20"/>
        </w:rPr>
        <w:t xml:space="preserve"> </w:t>
      </w:r>
      <w:r w:rsidRPr="00E76EA2">
        <w:rPr>
          <w:i/>
          <w:iCs/>
          <w:sz w:val="20"/>
          <w:szCs w:val="20"/>
        </w:rPr>
        <w:t>Journal of Legal Studies</w:t>
      </w:r>
      <w:r w:rsidRPr="00E76EA2">
        <w:rPr>
          <w:sz w:val="20"/>
          <w:szCs w:val="20"/>
        </w:rPr>
        <w:t>,86-122</w:t>
      </w:r>
      <w:r w:rsidRPr="00E76EA2">
        <w:rPr>
          <w:i/>
          <w:iCs/>
          <w:sz w:val="20"/>
          <w:szCs w:val="20"/>
        </w:rPr>
        <w:t xml:space="preserve"> ;</w:t>
      </w:r>
      <w:r w:rsidRPr="00E76EA2">
        <w:rPr>
          <w:sz w:val="20"/>
          <w:szCs w:val="20"/>
        </w:rPr>
        <w:t xml:space="preserve">Andrew Ashworth, </w:t>
      </w:r>
      <w:r w:rsidRPr="00E76EA2">
        <w:rPr>
          <w:i/>
          <w:iCs/>
          <w:sz w:val="20"/>
          <w:szCs w:val="20"/>
        </w:rPr>
        <w:t>Sentencing and Criminal Justice</w:t>
      </w:r>
      <w:r w:rsidRPr="00E76EA2">
        <w:rPr>
          <w:sz w:val="20"/>
          <w:szCs w:val="20"/>
        </w:rPr>
        <w:t>( Fifth Edition 2010)71-103.</w:t>
      </w:r>
    </w:p>
  </w:footnote>
  <w:footnote w:id="578">
    <w:p w14:paraId="3F4390F3" w14:textId="3E79F6C4" w:rsidR="00C310AB" w:rsidRPr="00E76EA2" w:rsidRDefault="00C310AB" w:rsidP="003C5D14">
      <w:pPr>
        <w:pStyle w:val="NoSpacing1"/>
        <w:spacing w:line="276" w:lineRule="auto"/>
        <w:jc w:val="both"/>
        <w:rPr>
          <w:sz w:val="20"/>
          <w:szCs w:val="20"/>
        </w:rPr>
      </w:pPr>
      <w:r w:rsidRPr="00E76EA2">
        <w:rPr>
          <w:rStyle w:val="FootnoteReference"/>
          <w:sz w:val="20"/>
          <w:szCs w:val="20"/>
        </w:rPr>
        <w:footnoteRef/>
      </w:r>
      <w:r w:rsidRPr="00E76EA2">
        <w:rPr>
          <w:i/>
          <w:iCs/>
          <w:sz w:val="20"/>
          <w:szCs w:val="20"/>
        </w:rPr>
        <w:t>;</w:t>
      </w:r>
      <w:r w:rsidRPr="00E76EA2">
        <w:rPr>
          <w:sz w:val="20"/>
          <w:szCs w:val="20"/>
        </w:rPr>
        <w:t>Andrew Ashworth ,</w:t>
      </w:r>
      <w:r w:rsidRPr="00E76EA2">
        <w:rPr>
          <w:i/>
          <w:iCs/>
          <w:sz w:val="20"/>
          <w:szCs w:val="20"/>
        </w:rPr>
        <w:t xml:space="preserve">The Criminal </w:t>
      </w:r>
      <w:proofErr w:type="spellStart"/>
      <w:r w:rsidRPr="00E76EA2">
        <w:rPr>
          <w:i/>
          <w:iCs/>
          <w:sz w:val="20"/>
          <w:szCs w:val="20"/>
        </w:rPr>
        <w:t>Process:An</w:t>
      </w:r>
      <w:proofErr w:type="spellEnd"/>
      <w:r w:rsidRPr="00E76EA2">
        <w:rPr>
          <w:i/>
          <w:iCs/>
          <w:sz w:val="20"/>
          <w:szCs w:val="20"/>
        </w:rPr>
        <w:t xml:space="preserve"> Evaluative Study</w:t>
      </w:r>
      <w:r w:rsidRPr="00E76EA2">
        <w:rPr>
          <w:sz w:val="20"/>
          <w:szCs w:val="20"/>
        </w:rPr>
        <w:t>(Oxford University Press 5</w:t>
      </w:r>
      <w:r w:rsidRPr="00E76EA2">
        <w:rPr>
          <w:sz w:val="20"/>
          <w:szCs w:val="20"/>
          <w:vertAlign w:val="superscript"/>
        </w:rPr>
        <w:t>th</w:t>
      </w:r>
      <w:r w:rsidRPr="00E76EA2">
        <w:rPr>
          <w:sz w:val="20"/>
          <w:szCs w:val="20"/>
        </w:rPr>
        <w:t xml:space="preserve"> Edition) 1-55;Michael </w:t>
      </w:r>
      <w:proofErr w:type="spellStart"/>
      <w:r w:rsidRPr="00E76EA2">
        <w:rPr>
          <w:sz w:val="20"/>
          <w:szCs w:val="20"/>
        </w:rPr>
        <w:t>Cavadino</w:t>
      </w:r>
      <w:proofErr w:type="spellEnd"/>
      <w:r w:rsidRPr="00E76EA2">
        <w:rPr>
          <w:sz w:val="20"/>
          <w:szCs w:val="20"/>
        </w:rPr>
        <w:t>, James Dignan, “Reparation, Retribution and Rights” In, Andrew von Hirsh and Andrew Ashworth (eds)</w:t>
      </w:r>
      <w:r w:rsidRPr="00E76EA2">
        <w:rPr>
          <w:i/>
          <w:iCs/>
          <w:sz w:val="20"/>
          <w:szCs w:val="20"/>
        </w:rPr>
        <w:t>Principled Sentencing :Readings on Theory and Policy(</w:t>
      </w:r>
      <w:r w:rsidRPr="00E76EA2">
        <w:rPr>
          <w:sz w:val="20"/>
          <w:szCs w:val="20"/>
        </w:rPr>
        <w:t xml:space="preserve">Oxford Hart Publishing 2002) 348-358. </w:t>
      </w:r>
    </w:p>
  </w:footnote>
  <w:footnote w:id="579">
    <w:p w14:paraId="35B9DBDB" w14:textId="5E26C68B" w:rsidR="00C310AB" w:rsidRPr="00E76EA2" w:rsidRDefault="00C310AB" w:rsidP="003C5D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002E2760">
        <w:rPr>
          <w:sz w:val="20"/>
          <w:szCs w:val="20"/>
        </w:rPr>
        <w:t>Suprea</w:t>
      </w:r>
      <w:proofErr w:type="spellEnd"/>
      <w:r w:rsidR="002E2760">
        <w:rPr>
          <w:sz w:val="20"/>
          <w:szCs w:val="20"/>
        </w:rPr>
        <w:t xml:space="preserve"> 81</w:t>
      </w:r>
    </w:p>
  </w:footnote>
  <w:footnote w:id="580">
    <w:p w14:paraId="4B71AB88" w14:textId="0B61C9DD"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w:t>
      </w:r>
      <w:r w:rsidRPr="00E76EA2">
        <w:rPr>
          <w:sz w:val="20"/>
          <w:szCs w:val="20"/>
          <w:lang w:val="en-US"/>
        </w:rPr>
        <w:t xml:space="preserve"> </w:t>
      </w:r>
      <w:r w:rsidRPr="00E76EA2">
        <w:rPr>
          <w:sz w:val="20"/>
          <w:szCs w:val="20"/>
        </w:rPr>
        <w:t>‘Victims’ Rights in Criminal Trials  :Prospects for Participation’</w:t>
      </w:r>
      <w:r w:rsidRPr="00E76EA2">
        <w:rPr>
          <w:sz w:val="20"/>
          <w:szCs w:val="20"/>
          <w:lang w:val="en-US"/>
        </w:rPr>
        <w:t xml:space="preserve">(2005) 32(2) </w:t>
      </w:r>
      <w:r w:rsidRPr="00E76EA2">
        <w:rPr>
          <w:i/>
          <w:sz w:val="20"/>
          <w:szCs w:val="20"/>
          <w:lang w:val="en-US"/>
        </w:rPr>
        <w:t>Journal of Law and Society</w:t>
      </w:r>
      <w:r w:rsidRPr="00E76EA2">
        <w:rPr>
          <w:sz w:val="20"/>
          <w:szCs w:val="20"/>
        </w:rPr>
        <w:t xml:space="preserve"> ,1-26</w:t>
      </w:r>
      <w:r w:rsidRPr="00E76EA2">
        <w:rPr>
          <w:sz w:val="20"/>
          <w:szCs w:val="20"/>
          <w:lang w:val="en-US"/>
        </w:rPr>
        <w:t>.</w:t>
      </w:r>
      <w:r w:rsidRPr="00E76EA2">
        <w:rPr>
          <w:sz w:val="20"/>
          <w:szCs w:val="20"/>
        </w:rPr>
        <w:t xml:space="preserve">;Neil Walker and Mark Telford, </w:t>
      </w:r>
      <w:r w:rsidRPr="00E76EA2">
        <w:rPr>
          <w:i/>
          <w:iCs/>
          <w:sz w:val="20"/>
          <w:szCs w:val="20"/>
        </w:rPr>
        <w:t>Designing Criminal Justice :The System in Comparative Perspective ,</w:t>
      </w:r>
      <w:r w:rsidRPr="00E76EA2">
        <w:rPr>
          <w:sz w:val="20"/>
          <w:szCs w:val="20"/>
        </w:rPr>
        <w:t>Report 14, Review of the Criminal Justice System in Northern Ireland(2000) 10.</w:t>
      </w:r>
    </w:p>
  </w:footnote>
  <w:footnote w:id="581">
    <w:p w14:paraId="60DBAFA9" w14:textId="15A5CD39" w:rsidR="00C310AB" w:rsidRPr="00E76EA2" w:rsidRDefault="00C310AB" w:rsidP="009C0639">
      <w:pPr>
        <w:pStyle w:val="NoSpacing1"/>
        <w:spacing w:line="276" w:lineRule="auto"/>
        <w:rPr>
          <w:sz w:val="20"/>
          <w:szCs w:val="20"/>
          <w:lang w:val="en-US"/>
        </w:rPr>
      </w:pPr>
      <w:r w:rsidRPr="00E76EA2">
        <w:rPr>
          <w:rStyle w:val="FootnoteReference"/>
          <w:sz w:val="20"/>
          <w:szCs w:val="20"/>
        </w:rPr>
        <w:footnoteRef/>
      </w:r>
      <w:r w:rsidRPr="00E76EA2">
        <w:rPr>
          <w:sz w:val="20"/>
          <w:szCs w:val="20"/>
        </w:rPr>
        <w:t xml:space="preserve">  David Taylor, </w:t>
      </w:r>
      <w:r w:rsidRPr="00E76EA2">
        <w:rPr>
          <w:sz w:val="20"/>
          <w:szCs w:val="20"/>
          <w:lang w:val="en-US"/>
        </w:rPr>
        <w:t>Impunity Watch,  Victim participation in Transitional Justice Mechanism:</w:t>
      </w:r>
      <w:r w:rsidR="009C0639">
        <w:rPr>
          <w:sz w:val="20"/>
          <w:szCs w:val="20"/>
          <w:lang w:val="en-US"/>
        </w:rPr>
        <w:t xml:space="preserve"> </w:t>
      </w:r>
      <w:r w:rsidRPr="00E76EA2">
        <w:rPr>
          <w:sz w:val="20"/>
          <w:szCs w:val="20"/>
          <w:lang w:val="en-US"/>
        </w:rPr>
        <w:t xml:space="preserve">Real Power or Empty Ritual, </w:t>
      </w:r>
      <w:r w:rsidR="00342C41">
        <w:rPr>
          <w:sz w:val="20"/>
          <w:szCs w:val="20"/>
          <w:lang w:val="en-US"/>
        </w:rPr>
        <w:t>(</w:t>
      </w:r>
      <w:r w:rsidRPr="00E76EA2">
        <w:rPr>
          <w:sz w:val="20"/>
          <w:szCs w:val="20"/>
          <w:lang w:val="en-US"/>
        </w:rPr>
        <w:t>2014</w:t>
      </w:r>
      <w:r w:rsidR="00342C41">
        <w:rPr>
          <w:sz w:val="20"/>
          <w:szCs w:val="20"/>
          <w:lang w:val="en-US"/>
        </w:rPr>
        <w:t>)</w:t>
      </w:r>
      <w:r w:rsidR="009C0639">
        <w:rPr>
          <w:sz w:val="20"/>
          <w:szCs w:val="20"/>
          <w:lang w:val="en-US"/>
        </w:rPr>
        <w:t xml:space="preserve"> &lt;</w:t>
      </w:r>
      <w:hyperlink r:id="rId47" w:history="1">
        <w:r w:rsidR="009C0639">
          <w:rPr>
            <w:rStyle w:val="Hyperlink"/>
          </w:rPr>
          <w:t>DiscussionPaper_Victim_Participation_in_Transitional_Justice_2014_eng.pdf (impunitywatch.nl)</w:t>
        </w:r>
      </w:hyperlink>
      <w:r w:rsidR="009C0639">
        <w:t>&gt;</w:t>
      </w:r>
    </w:p>
  </w:footnote>
  <w:footnote w:id="582">
    <w:p w14:paraId="7E552BBB" w14:textId="56F94D81" w:rsidR="00C310AB" w:rsidRPr="00E76EA2" w:rsidRDefault="00C310AB" w:rsidP="009C0639">
      <w:pPr>
        <w:pStyle w:val="NoSpacing1"/>
        <w:spacing w:line="276" w:lineRule="auto"/>
        <w:rPr>
          <w:sz w:val="20"/>
          <w:szCs w:val="20"/>
        </w:rPr>
      </w:pPr>
      <w:r w:rsidRPr="00E76EA2">
        <w:rPr>
          <w:rStyle w:val="FootnoteReference"/>
          <w:sz w:val="20"/>
          <w:szCs w:val="20"/>
        </w:rPr>
        <w:footnoteRef/>
      </w:r>
      <w:r w:rsidRPr="00E76EA2">
        <w:rPr>
          <w:sz w:val="20"/>
          <w:szCs w:val="20"/>
        </w:rPr>
        <w:t xml:space="preserve"> Ibid</w:t>
      </w:r>
    </w:p>
  </w:footnote>
  <w:footnote w:id="583">
    <w:p w14:paraId="7450E16D" w14:textId="6AF49D03" w:rsidR="00C310AB" w:rsidRPr="00E76EA2" w:rsidRDefault="00C310AB" w:rsidP="00D9378B">
      <w:pPr>
        <w:pStyle w:val="NoSpacing1"/>
        <w:spacing w:line="276" w:lineRule="auto"/>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Ian Edwards, An Ambiguous </w:t>
      </w:r>
      <w:proofErr w:type="spellStart"/>
      <w:r w:rsidRPr="00E76EA2">
        <w:rPr>
          <w:sz w:val="20"/>
          <w:szCs w:val="20"/>
          <w:lang w:val="en-US"/>
        </w:rPr>
        <w:t>Participant:The</w:t>
      </w:r>
      <w:proofErr w:type="spellEnd"/>
      <w:r w:rsidRPr="00E76EA2">
        <w:rPr>
          <w:sz w:val="20"/>
          <w:szCs w:val="20"/>
          <w:lang w:val="en-US"/>
        </w:rPr>
        <w:t xml:space="preserve"> Crime Victim and Criminal Justice Decision-Making (2004) 44 </w:t>
      </w:r>
      <w:r w:rsidRPr="00E76EA2">
        <w:rPr>
          <w:i/>
          <w:sz w:val="20"/>
          <w:szCs w:val="20"/>
          <w:lang w:val="en-US"/>
        </w:rPr>
        <w:t>British Journal Of Criminology</w:t>
      </w:r>
      <w:r w:rsidRPr="00E76EA2">
        <w:rPr>
          <w:sz w:val="20"/>
          <w:szCs w:val="20"/>
          <w:lang w:val="en-US"/>
        </w:rPr>
        <w:t xml:space="preserve"> , 967-982.</w:t>
      </w:r>
    </w:p>
  </w:footnote>
  <w:footnote w:id="584">
    <w:p w14:paraId="5DE5090F" w14:textId="184B12CB" w:rsidR="00C310AB" w:rsidRPr="00E76EA2" w:rsidRDefault="00C310AB" w:rsidP="00D9378B">
      <w:pPr>
        <w:pStyle w:val="NoSpacing1"/>
        <w:spacing w:line="276" w:lineRule="auto"/>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Ian Edwards, An Ambiguous </w:t>
      </w:r>
      <w:proofErr w:type="spellStart"/>
      <w:r w:rsidRPr="00E76EA2">
        <w:rPr>
          <w:sz w:val="20"/>
          <w:szCs w:val="20"/>
          <w:lang w:val="en-US"/>
        </w:rPr>
        <w:t>Participant:The</w:t>
      </w:r>
      <w:proofErr w:type="spellEnd"/>
      <w:r w:rsidRPr="00E76EA2">
        <w:rPr>
          <w:sz w:val="20"/>
          <w:szCs w:val="20"/>
          <w:lang w:val="en-US"/>
        </w:rPr>
        <w:t xml:space="preserve"> Crime Victim and Criminal Justice Decision-Making (2004) 44 </w:t>
      </w:r>
      <w:r w:rsidRPr="00E76EA2">
        <w:rPr>
          <w:i/>
          <w:iCs/>
          <w:sz w:val="20"/>
          <w:szCs w:val="20"/>
          <w:lang w:val="en-US"/>
        </w:rPr>
        <w:t xml:space="preserve">British Journal Of Criminology </w:t>
      </w:r>
      <w:r w:rsidRPr="00E76EA2">
        <w:rPr>
          <w:sz w:val="20"/>
          <w:szCs w:val="20"/>
          <w:lang w:val="en-US"/>
        </w:rPr>
        <w:t>, 967-982.</w:t>
      </w:r>
    </w:p>
  </w:footnote>
  <w:footnote w:id="585">
    <w:p w14:paraId="36996508" w14:textId="77777777" w:rsidR="00C310AB" w:rsidRPr="00E76EA2" w:rsidRDefault="00C310AB" w:rsidP="00D9378B">
      <w:pPr>
        <w:pStyle w:val="NoSpacing1"/>
        <w:spacing w:line="276" w:lineRule="auto"/>
        <w:rPr>
          <w:sz w:val="20"/>
          <w:szCs w:val="20"/>
        </w:rPr>
      </w:pPr>
      <w:r w:rsidRPr="00E76EA2">
        <w:rPr>
          <w:rStyle w:val="FootnoteReference"/>
          <w:sz w:val="20"/>
          <w:szCs w:val="20"/>
        </w:rPr>
        <w:footnoteRef/>
      </w:r>
      <w:r w:rsidRPr="00E76EA2">
        <w:rPr>
          <w:sz w:val="20"/>
          <w:szCs w:val="20"/>
        </w:rPr>
        <w:t xml:space="preserve"> Ibid</w:t>
      </w:r>
    </w:p>
  </w:footnote>
  <w:footnote w:id="586">
    <w:p w14:paraId="7674C678" w14:textId="4A8974CD"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587">
    <w:p w14:paraId="7ED37122" w14:textId="01EF39AE" w:rsidR="00C310AB" w:rsidRPr="00E76EA2" w:rsidRDefault="00C310AB" w:rsidP="00D9378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Tom Tyler, What is Procedural Justice ?:Criteria used by Citizens to Assess the Fairness of Legal Procedures (1988) 22(1) Law and Society Review</w:t>
      </w:r>
      <w:r w:rsidR="00D9378B">
        <w:rPr>
          <w:sz w:val="20"/>
          <w:szCs w:val="20"/>
          <w:lang w:val="en-US"/>
        </w:rPr>
        <w:t>,</w:t>
      </w:r>
      <w:r w:rsidRPr="00E76EA2">
        <w:rPr>
          <w:sz w:val="20"/>
          <w:szCs w:val="20"/>
          <w:lang w:val="en-US"/>
        </w:rPr>
        <w:t>pp.103-136, p.</w:t>
      </w:r>
    </w:p>
  </w:footnote>
  <w:footnote w:id="588">
    <w:p w14:paraId="10A8154C" w14:textId="776449B1"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589">
    <w:p w14:paraId="1B45C679" w14:textId="5D6C129F"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68(3);ICC Rule 90;Rule 89.</w:t>
      </w:r>
    </w:p>
  </w:footnote>
  <w:footnote w:id="590">
    <w:p w14:paraId="5EDBDCD5" w14:textId="6EA98519"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Rule 89.</w:t>
      </w:r>
    </w:p>
  </w:footnote>
  <w:footnote w:id="591">
    <w:p w14:paraId="33B3BF28" w14:textId="78640BC9"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Rule 72.</w:t>
      </w:r>
    </w:p>
  </w:footnote>
  <w:footnote w:id="592">
    <w:p w14:paraId="11B92AF7" w14:textId="77777777"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 143,Rule 145.</w:t>
      </w:r>
    </w:p>
  </w:footnote>
  <w:footnote w:id="593">
    <w:p w14:paraId="07B1F982" w14:textId="77777777"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15(3).</w:t>
      </w:r>
    </w:p>
  </w:footnote>
  <w:footnote w:id="594">
    <w:p w14:paraId="51BDB768" w14:textId="77777777"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91(3)(a).</w:t>
      </w:r>
    </w:p>
  </w:footnote>
  <w:footnote w:id="595">
    <w:p w14:paraId="7632000C" w14:textId="77777777"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91(2)</w:t>
      </w:r>
    </w:p>
  </w:footnote>
  <w:footnote w:id="596">
    <w:p w14:paraId="7738C271" w14:textId="30BABA27" w:rsidR="00C310AB" w:rsidRPr="00E76EA2" w:rsidRDefault="00C310AB" w:rsidP="00D9378B">
      <w:pPr>
        <w:pStyle w:val="NoSpacing1"/>
        <w:spacing w:line="276" w:lineRule="auto"/>
        <w:jc w:val="both"/>
        <w:rPr>
          <w:sz w:val="20"/>
          <w:szCs w:val="20"/>
          <w:lang w:val="en-US"/>
        </w:rPr>
      </w:pPr>
      <w:r w:rsidRPr="00E76EA2">
        <w:rPr>
          <w:rStyle w:val="FootnoteReference"/>
          <w:sz w:val="20"/>
          <w:szCs w:val="20"/>
        </w:rPr>
        <w:footnoteRef/>
      </w:r>
      <w:r w:rsidRPr="00E76EA2">
        <w:rPr>
          <w:sz w:val="20"/>
          <w:szCs w:val="20"/>
          <w:lang w:val="en-US"/>
        </w:rPr>
        <w:t xml:space="preserve"> Ian Edwards, ‘An Ambiguous </w:t>
      </w:r>
      <w:proofErr w:type="spellStart"/>
      <w:r w:rsidRPr="00E76EA2">
        <w:rPr>
          <w:sz w:val="20"/>
          <w:szCs w:val="20"/>
          <w:lang w:val="en-US"/>
        </w:rPr>
        <w:t>Participant:The</w:t>
      </w:r>
      <w:proofErr w:type="spellEnd"/>
      <w:r w:rsidRPr="00E76EA2">
        <w:rPr>
          <w:sz w:val="20"/>
          <w:szCs w:val="20"/>
          <w:lang w:val="en-US"/>
        </w:rPr>
        <w:t xml:space="preserve"> Crime Victim and Criminal Justice Decision-Making, (2004) 44 </w:t>
      </w:r>
      <w:r w:rsidRPr="00E76EA2">
        <w:rPr>
          <w:i/>
          <w:iCs/>
          <w:sz w:val="20"/>
          <w:szCs w:val="20"/>
          <w:lang w:val="en-US"/>
        </w:rPr>
        <w:t>British Journal Of Criminology</w:t>
      </w:r>
      <w:r w:rsidRPr="00E76EA2">
        <w:rPr>
          <w:sz w:val="20"/>
          <w:szCs w:val="20"/>
          <w:lang w:val="en-US"/>
        </w:rPr>
        <w:t xml:space="preserve"> , 967-982.974.</w:t>
      </w:r>
    </w:p>
  </w:footnote>
  <w:footnote w:id="597">
    <w:p w14:paraId="278E4EE9" w14:textId="77777777" w:rsidR="00C310AB" w:rsidRPr="00E76EA2" w:rsidRDefault="00C310AB" w:rsidP="00D9378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Ibid,p.975</w:t>
      </w:r>
    </w:p>
  </w:footnote>
  <w:footnote w:id="598">
    <w:p w14:paraId="19761757" w14:textId="77777777" w:rsidR="00C310AB" w:rsidRPr="00E76EA2" w:rsidRDefault="00C310AB" w:rsidP="00D9378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Cambridge  Dictionary , &lt;www.dictionary.cambridge.org&gt;</w:t>
      </w:r>
    </w:p>
  </w:footnote>
  <w:footnote w:id="599">
    <w:p w14:paraId="626A1E26" w14:textId="77777777" w:rsidR="00C310AB" w:rsidRPr="00E76EA2" w:rsidRDefault="00C310AB" w:rsidP="00D9378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600">
    <w:p w14:paraId="1C1384D4" w14:textId="77777777" w:rsidR="00C310AB" w:rsidRPr="00E76EA2" w:rsidRDefault="00C310AB" w:rsidP="00D9378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Rome Statute , Article 68(3).</w:t>
      </w:r>
    </w:p>
  </w:footnote>
  <w:footnote w:id="601">
    <w:p w14:paraId="33DB7782" w14:textId="77777777" w:rsidR="00C310AB" w:rsidRPr="00E76EA2" w:rsidRDefault="00C310AB" w:rsidP="00D9378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Rome Statute 1998, Article 61</w:t>
      </w:r>
    </w:p>
  </w:footnote>
  <w:footnote w:id="602">
    <w:p w14:paraId="270AC4FE" w14:textId="5F87400F" w:rsidR="00C310AB" w:rsidRPr="00E76EA2" w:rsidRDefault="00C310AB" w:rsidP="00D9378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Women Initiatives for Gender Justice, Letter addressed to the Prosecutor, Luis Ocampo Moreno accessible at </w:t>
      </w:r>
      <w:hyperlink r:id="rId48" w:history="1">
        <w:r w:rsidRPr="00E76EA2">
          <w:rPr>
            <w:rStyle w:val="Hyperlink"/>
            <w:sz w:val="20"/>
            <w:szCs w:val="20"/>
          </w:rPr>
          <w:t>http://www.iccwomen.org/documents/Prosecutor_Letter_August_2006_Redacted.pdf;Women</w:t>
        </w:r>
      </w:hyperlink>
      <w:r w:rsidRPr="00E76EA2">
        <w:rPr>
          <w:sz w:val="20"/>
          <w:szCs w:val="20"/>
        </w:rPr>
        <w:t xml:space="preserve"> </w:t>
      </w:r>
      <w:r w:rsidR="00D9378B">
        <w:rPr>
          <w:sz w:val="20"/>
          <w:szCs w:val="20"/>
        </w:rPr>
        <w:t xml:space="preserve"> last accessed 12 February 2019</w:t>
      </w:r>
      <w:r w:rsidR="000614AD">
        <w:rPr>
          <w:sz w:val="20"/>
          <w:szCs w:val="20"/>
        </w:rPr>
        <w:t>;</w:t>
      </w:r>
      <w:r w:rsidRPr="00E76EA2">
        <w:rPr>
          <w:sz w:val="20"/>
          <w:szCs w:val="20"/>
        </w:rPr>
        <w:t xml:space="preserve">Situation in the Democratic Republic of Congo, The Prosecutor v Thomas Lubanga </w:t>
      </w:r>
      <w:proofErr w:type="spellStart"/>
      <w:r w:rsidRPr="00E76EA2">
        <w:rPr>
          <w:sz w:val="20"/>
          <w:szCs w:val="20"/>
        </w:rPr>
        <w:t>Dyilo,Women</w:t>
      </w:r>
      <w:proofErr w:type="spellEnd"/>
      <w:r w:rsidRPr="00E76EA2">
        <w:rPr>
          <w:sz w:val="20"/>
          <w:szCs w:val="20"/>
        </w:rPr>
        <w:t xml:space="preserve"> Initiatives for Gender Justice, Request for leave to participate as amicus curiae in Article 61 Confirmation of Charges proceedings.</w:t>
      </w:r>
    </w:p>
  </w:footnote>
  <w:footnote w:id="603">
    <w:p w14:paraId="46A68FBB" w14:textId="2073E670" w:rsidR="00C310AB" w:rsidRPr="00E76EA2" w:rsidRDefault="00C310AB" w:rsidP="006A77B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Nils Christie, </w:t>
      </w:r>
      <w:r w:rsidR="00250753">
        <w:rPr>
          <w:sz w:val="20"/>
          <w:szCs w:val="20"/>
          <w:lang w:val="en-US"/>
        </w:rPr>
        <w:t>‘</w:t>
      </w:r>
      <w:r w:rsidRPr="00E76EA2">
        <w:rPr>
          <w:sz w:val="20"/>
          <w:szCs w:val="20"/>
          <w:lang w:val="en-US"/>
        </w:rPr>
        <w:t>Conflicts as Property</w:t>
      </w:r>
      <w:r w:rsidR="00250753">
        <w:rPr>
          <w:sz w:val="20"/>
          <w:szCs w:val="20"/>
          <w:lang w:val="en-US"/>
        </w:rPr>
        <w:t>’</w:t>
      </w:r>
      <w:r w:rsidRPr="00E76EA2">
        <w:rPr>
          <w:sz w:val="20"/>
          <w:szCs w:val="20"/>
          <w:lang w:val="en-US"/>
        </w:rPr>
        <w:t>(1977) 17(1)</w:t>
      </w:r>
      <w:r w:rsidRPr="00E76EA2">
        <w:rPr>
          <w:i/>
          <w:sz w:val="20"/>
          <w:szCs w:val="20"/>
          <w:lang w:val="en-US"/>
        </w:rPr>
        <w:t>British Journal of Criminology</w:t>
      </w:r>
      <w:r w:rsidRPr="00E76EA2">
        <w:rPr>
          <w:sz w:val="20"/>
          <w:szCs w:val="20"/>
          <w:lang w:val="en-US"/>
        </w:rPr>
        <w:t xml:space="preserve">, 1-15; James Dignan, </w:t>
      </w:r>
      <w:r w:rsidRPr="00E76EA2">
        <w:rPr>
          <w:i/>
          <w:sz w:val="20"/>
          <w:szCs w:val="20"/>
          <w:lang w:val="en-US"/>
        </w:rPr>
        <w:t xml:space="preserve">Understanding Victims and Restorative Justice </w:t>
      </w:r>
      <w:r w:rsidRPr="00E76EA2">
        <w:rPr>
          <w:sz w:val="20"/>
          <w:szCs w:val="20"/>
          <w:lang w:val="en-US"/>
        </w:rPr>
        <w:t xml:space="preserve"> ( First published 2005, Open University Press,2005).</w:t>
      </w:r>
    </w:p>
  </w:footnote>
  <w:footnote w:id="604">
    <w:p w14:paraId="5188590D" w14:textId="7A55F278" w:rsidR="00C310AB" w:rsidRPr="00E76EA2" w:rsidRDefault="00C310AB" w:rsidP="006A77B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United Nations Declaration of Basic Principles</w:t>
      </w:r>
      <w:r w:rsidR="006A77B4">
        <w:rPr>
          <w:sz w:val="20"/>
          <w:szCs w:val="20"/>
          <w:lang w:val="en-US"/>
        </w:rPr>
        <w:t xml:space="preserve"> </w:t>
      </w:r>
      <w:proofErr w:type="spellStart"/>
      <w:r w:rsidR="006A77B4" w:rsidRPr="00E76EA2">
        <w:rPr>
          <w:sz w:val="20"/>
          <w:szCs w:val="20"/>
          <w:lang w:val="en-US"/>
        </w:rPr>
        <w:t>Principles</w:t>
      </w:r>
      <w:proofErr w:type="spellEnd"/>
      <w:r w:rsidR="006A77B4" w:rsidRPr="00E76EA2">
        <w:rPr>
          <w:sz w:val="20"/>
          <w:szCs w:val="20"/>
          <w:lang w:val="en-US"/>
        </w:rPr>
        <w:t xml:space="preserve"> of Justice for Victims of Crime and Abuse of Power </w:t>
      </w:r>
      <w:r w:rsidR="006A77B4">
        <w:rPr>
          <w:sz w:val="20"/>
          <w:szCs w:val="20"/>
          <w:lang w:val="en-US"/>
        </w:rPr>
        <w:t>1985.</w:t>
      </w:r>
    </w:p>
  </w:footnote>
  <w:footnote w:id="605">
    <w:p w14:paraId="76CD16FE" w14:textId="77777777" w:rsidR="00C310AB" w:rsidRPr="00E76EA2" w:rsidRDefault="00C310AB" w:rsidP="006A77B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United Nations Declaration of Basic Principles of Justice for Victims of Crime and Abuse of Power 1985,  Annex, Principle 6b.</w:t>
      </w:r>
    </w:p>
  </w:footnote>
  <w:footnote w:id="606">
    <w:p w14:paraId="34F81538" w14:textId="77777777" w:rsidR="00C310AB" w:rsidRPr="00E76EA2" w:rsidRDefault="00C310AB" w:rsidP="00250753">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w:t>
      </w:r>
    </w:p>
  </w:footnote>
  <w:footnote w:id="607">
    <w:p w14:paraId="031216B3" w14:textId="7777777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w:t>
      </w:r>
    </w:p>
  </w:footnote>
  <w:footnote w:id="608">
    <w:p w14:paraId="67FD701F" w14:textId="77777777" w:rsidR="00C310AB" w:rsidRPr="00E76EA2" w:rsidRDefault="00C310AB" w:rsidP="00E76EA2">
      <w:pPr>
        <w:pStyle w:val="NoSpacing1"/>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609">
    <w:p w14:paraId="5123A33F" w14:textId="7479895F"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Prosecution </w:t>
      </w:r>
      <w:proofErr w:type="spellStart"/>
      <w:r w:rsidRPr="00E76EA2">
        <w:rPr>
          <w:sz w:val="20"/>
          <w:szCs w:val="20"/>
        </w:rPr>
        <w:t>v.Lubanga</w:t>
      </w:r>
      <w:proofErr w:type="spellEnd"/>
      <w:r w:rsidRPr="00E76EA2">
        <w:rPr>
          <w:sz w:val="20"/>
          <w:szCs w:val="20"/>
        </w:rPr>
        <w:t>, Decision on Victims’ Participation, Trial Chamber 1, ICC-01/04-01/06-1119, 18 January 2008.</w:t>
      </w:r>
    </w:p>
  </w:footnote>
  <w:footnote w:id="610">
    <w:p w14:paraId="5F3A7B81" w14:textId="77777777"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Ibid.</w:t>
      </w:r>
    </w:p>
  </w:footnote>
  <w:footnote w:id="611">
    <w:p w14:paraId="61A0F8F9" w14:textId="77777777"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69(3).</w:t>
      </w:r>
    </w:p>
  </w:footnote>
  <w:footnote w:id="612">
    <w:p w14:paraId="777C64FC" w14:textId="78FCDA91"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 Prosecutor v</w:t>
      </w:r>
      <w:r w:rsidR="00D13C48">
        <w:rPr>
          <w:sz w:val="20"/>
          <w:szCs w:val="20"/>
        </w:rPr>
        <w:t xml:space="preserve"> </w:t>
      </w:r>
      <w:r w:rsidRPr="00E76EA2">
        <w:rPr>
          <w:sz w:val="20"/>
          <w:szCs w:val="20"/>
        </w:rPr>
        <w:t xml:space="preserve">Lubanga, ICC-01/04-01/06-1136, Application for Leave to Appeal , Trial Chamber 1,January 18, 2008. </w:t>
      </w:r>
    </w:p>
  </w:footnote>
  <w:footnote w:id="613">
    <w:p w14:paraId="7A3B1366" w14:textId="77777777"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14">
    <w:p w14:paraId="476439FF" w14:textId="77777777"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615">
    <w:p w14:paraId="6B11D4E9" w14:textId="1DAB56AB"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Judgment on Prosecutor ‘Appeals of the Prosecutor and the Defence against Trial Chamber 1’ Decision on Victims’ Participation of 18 January 2008, Appeals Chamber,11 July 2008, ICC-01/04-01/06</w:t>
      </w:r>
      <w:r w:rsidR="006A77B4">
        <w:rPr>
          <w:sz w:val="20"/>
          <w:szCs w:val="20"/>
        </w:rPr>
        <w:t>.</w:t>
      </w:r>
    </w:p>
  </w:footnote>
  <w:footnote w:id="616">
    <w:p w14:paraId="2621D05A" w14:textId="77777777"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17">
    <w:p w14:paraId="7A42E123" w14:textId="2BA5465F"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Prosecutor v Lubanga, Submission of the Prosecutor, Judgment on victim participation in the investigation stage of the proceedings in the appeal of the OPCD against the decision of Pre-Trial Chamber 1 of 7 December 2007 and the appeals of the OPCD and the Prosecutor against the decision of Pre-Trial Chamber 1 of  24 December 2007, Appeals Chamber ICC-01/04-556, 19 December 2008, </w:t>
      </w:r>
      <w:r w:rsidR="006A77B4">
        <w:rPr>
          <w:sz w:val="20"/>
          <w:szCs w:val="20"/>
        </w:rPr>
        <w:t>p</w:t>
      </w:r>
      <w:r w:rsidRPr="00E76EA2">
        <w:rPr>
          <w:sz w:val="20"/>
          <w:szCs w:val="20"/>
        </w:rPr>
        <w:t>.5, para.4</w:t>
      </w:r>
      <w:r w:rsidR="006A77B4">
        <w:rPr>
          <w:sz w:val="20"/>
          <w:szCs w:val="20"/>
        </w:rPr>
        <w:t>.</w:t>
      </w:r>
    </w:p>
  </w:footnote>
  <w:footnote w:id="618">
    <w:p w14:paraId="72C3F0C0" w14:textId="77777777" w:rsidR="00C310AB" w:rsidRPr="00E76EA2" w:rsidRDefault="00C310AB" w:rsidP="00D13C4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Ibid,p.11, para.22(b) and (c).</w:t>
      </w:r>
    </w:p>
  </w:footnote>
  <w:footnote w:id="619">
    <w:p w14:paraId="61F7EB76" w14:textId="7CD5404B" w:rsidR="00C310AB" w:rsidRPr="00E76EA2" w:rsidRDefault="00C310AB" w:rsidP="001A2C0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Ibid,p.19, para.43.</w:t>
      </w:r>
      <w:r w:rsidR="006A77B4">
        <w:rPr>
          <w:sz w:val="20"/>
          <w:szCs w:val="20"/>
        </w:rPr>
        <w:t>M</w:t>
      </w:r>
      <w:r w:rsidRPr="00E76EA2">
        <w:rPr>
          <w:sz w:val="20"/>
          <w:szCs w:val="20"/>
        </w:rPr>
        <w:t>erits.</w:t>
      </w:r>
    </w:p>
  </w:footnote>
  <w:footnote w:id="620">
    <w:p w14:paraId="7F10F57D" w14:textId="77777777" w:rsidR="00C310AB" w:rsidRPr="00E76EA2" w:rsidRDefault="00C310AB" w:rsidP="001A2C0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Ibid.p.19-20, para.44</w:t>
      </w:r>
    </w:p>
  </w:footnote>
  <w:footnote w:id="621">
    <w:p w14:paraId="40D23705" w14:textId="77777777" w:rsidR="00C310AB" w:rsidRPr="00E76EA2" w:rsidRDefault="00C310AB" w:rsidP="001A2C06">
      <w:pPr>
        <w:pStyle w:val="NoSpacing1"/>
        <w:jc w:val="both"/>
        <w:rPr>
          <w:sz w:val="20"/>
          <w:szCs w:val="20"/>
        </w:rPr>
      </w:pPr>
      <w:r w:rsidRPr="00E76EA2">
        <w:rPr>
          <w:rStyle w:val="FootnoteReference"/>
          <w:sz w:val="20"/>
          <w:szCs w:val="20"/>
        </w:rPr>
        <w:footnoteRef/>
      </w:r>
      <w:r w:rsidRPr="00E76EA2">
        <w:rPr>
          <w:sz w:val="20"/>
          <w:szCs w:val="20"/>
        </w:rPr>
        <w:t xml:space="preserve"> Ibid 153, Preamble.</w:t>
      </w:r>
    </w:p>
  </w:footnote>
  <w:footnote w:id="622">
    <w:p w14:paraId="5B958F2F" w14:textId="77777777" w:rsidR="00C310AB" w:rsidRPr="00E76EA2" w:rsidRDefault="00C310AB" w:rsidP="001A2C06">
      <w:pPr>
        <w:pStyle w:val="NoSpacing1"/>
        <w:jc w:val="both"/>
        <w:rPr>
          <w:sz w:val="20"/>
          <w:szCs w:val="20"/>
        </w:rPr>
      </w:pPr>
      <w:r w:rsidRPr="00E76EA2">
        <w:rPr>
          <w:rStyle w:val="FootnoteReference"/>
          <w:sz w:val="20"/>
          <w:szCs w:val="20"/>
        </w:rPr>
        <w:footnoteRef/>
      </w:r>
      <w:r w:rsidRPr="00E76EA2">
        <w:rPr>
          <w:sz w:val="20"/>
          <w:szCs w:val="20"/>
        </w:rPr>
        <w:t xml:space="preserve"> UN Declaration, Article 1;Jack </w:t>
      </w:r>
      <w:proofErr w:type="spellStart"/>
      <w:r w:rsidRPr="00E76EA2">
        <w:rPr>
          <w:sz w:val="20"/>
          <w:szCs w:val="20"/>
        </w:rPr>
        <w:t>Donnely</w:t>
      </w:r>
      <w:proofErr w:type="spellEnd"/>
      <w:r w:rsidRPr="00E76EA2">
        <w:rPr>
          <w:sz w:val="20"/>
          <w:szCs w:val="20"/>
        </w:rPr>
        <w:t xml:space="preserve">,  </w:t>
      </w:r>
      <w:proofErr w:type="spellStart"/>
      <w:r w:rsidRPr="00E76EA2">
        <w:rPr>
          <w:i/>
          <w:sz w:val="20"/>
          <w:szCs w:val="20"/>
        </w:rPr>
        <w:t>Univeral</w:t>
      </w:r>
      <w:proofErr w:type="spellEnd"/>
      <w:r w:rsidRPr="00E76EA2">
        <w:rPr>
          <w:i/>
          <w:sz w:val="20"/>
          <w:szCs w:val="20"/>
        </w:rPr>
        <w:t xml:space="preserve"> Declaration of Human Rights in Theory and Practice</w:t>
      </w:r>
      <w:r w:rsidRPr="00E76EA2">
        <w:rPr>
          <w:sz w:val="20"/>
          <w:szCs w:val="20"/>
        </w:rPr>
        <w:t xml:space="preserve"> (Cornell University Press 2014)</w:t>
      </w:r>
    </w:p>
  </w:footnote>
  <w:footnote w:id="623">
    <w:p w14:paraId="13A2EC26" w14:textId="77777777" w:rsidR="00C310AB" w:rsidRPr="00E76EA2" w:rsidRDefault="00C310AB" w:rsidP="001A2C06">
      <w:pPr>
        <w:pStyle w:val="NoSpacing1"/>
        <w:jc w:val="both"/>
        <w:rPr>
          <w:sz w:val="20"/>
          <w:szCs w:val="20"/>
        </w:rPr>
      </w:pPr>
      <w:r w:rsidRPr="00E76EA2">
        <w:rPr>
          <w:rStyle w:val="FootnoteReference"/>
          <w:sz w:val="20"/>
          <w:szCs w:val="20"/>
        </w:rPr>
        <w:footnoteRef/>
      </w:r>
      <w:r w:rsidRPr="00E76EA2">
        <w:rPr>
          <w:sz w:val="20"/>
          <w:szCs w:val="20"/>
        </w:rPr>
        <w:t xml:space="preserve"> Universal Declaration of Human Rights 1948, Article 6,</w:t>
      </w:r>
    </w:p>
  </w:footnote>
  <w:footnote w:id="624">
    <w:p w14:paraId="6C4A1AC2" w14:textId="4CC0513C" w:rsidR="00C310AB" w:rsidRPr="00E76EA2" w:rsidRDefault="00C310AB" w:rsidP="001A2C06">
      <w:pPr>
        <w:pStyle w:val="NoSpacing1"/>
        <w:jc w:val="both"/>
        <w:rPr>
          <w:sz w:val="20"/>
          <w:szCs w:val="20"/>
        </w:rPr>
      </w:pPr>
      <w:r w:rsidRPr="00E76EA2">
        <w:rPr>
          <w:rStyle w:val="FootnoteReference"/>
          <w:sz w:val="20"/>
          <w:szCs w:val="20"/>
        </w:rPr>
        <w:footnoteRef/>
      </w:r>
      <w:r w:rsidRPr="00E76EA2">
        <w:rPr>
          <w:sz w:val="20"/>
          <w:szCs w:val="20"/>
        </w:rPr>
        <w:t xml:space="preserve"> Ibid. </w:t>
      </w:r>
    </w:p>
  </w:footnote>
  <w:footnote w:id="625">
    <w:p w14:paraId="71F18414" w14:textId="471953A3" w:rsidR="00C310AB" w:rsidRPr="00E76EA2" w:rsidRDefault="00C310AB" w:rsidP="001A2C06">
      <w:pPr>
        <w:pStyle w:val="NoSpacing1"/>
        <w:jc w:val="both"/>
        <w:rPr>
          <w:sz w:val="20"/>
          <w:szCs w:val="20"/>
        </w:rPr>
      </w:pPr>
      <w:r w:rsidRPr="00E76EA2">
        <w:rPr>
          <w:rStyle w:val="FootnoteReference"/>
          <w:sz w:val="20"/>
          <w:szCs w:val="20"/>
        </w:rPr>
        <w:footnoteRef/>
      </w:r>
      <w:r w:rsidRPr="00E76EA2">
        <w:rPr>
          <w:sz w:val="20"/>
          <w:szCs w:val="20"/>
        </w:rPr>
        <w:t xml:space="preserve"> Rome Statute, article 54;ICC Rules, Rule 16(2)(b).</w:t>
      </w:r>
    </w:p>
  </w:footnote>
  <w:footnote w:id="626">
    <w:p w14:paraId="5964D9FE" w14:textId="77777777" w:rsidR="00C310AB" w:rsidRPr="00E76EA2" w:rsidRDefault="00C310AB" w:rsidP="001A2C06">
      <w:pPr>
        <w:pStyle w:val="NoSpacing1"/>
        <w:jc w:val="both"/>
        <w:rPr>
          <w:sz w:val="20"/>
          <w:szCs w:val="20"/>
        </w:rPr>
      </w:pPr>
      <w:r w:rsidRPr="00E76EA2">
        <w:rPr>
          <w:rStyle w:val="FootnoteReference"/>
          <w:sz w:val="20"/>
          <w:szCs w:val="20"/>
        </w:rPr>
        <w:footnoteRef/>
      </w:r>
      <w:r w:rsidRPr="00E76EA2">
        <w:rPr>
          <w:sz w:val="20"/>
          <w:szCs w:val="20"/>
        </w:rPr>
        <w:t xml:space="preserve"> ICC Rules, Rule 121(10) and Rule.131.</w:t>
      </w:r>
    </w:p>
  </w:footnote>
  <w:footnote w:id="627">
    <w:p w14:paraId="0D0BC051" w14:textId="1D044009" w:rsidR="00C310AB" w:rsidRPr="00E76EA2" w:rsidRDefault="00C310AB" w:rsidP="001A2C06">
      <w:pPr>
        <w:pStyle w:val="NoSpacing1"/>
        <w:jc w:val="both"/>
        <w:rPr>
          <w:sz w:val="20"/>
          <w:szCs w:val="20"/>
        </w:rPr>
      </w:pPr>
      <w:r w:rsidRPr="00E76EA2">
        <w:rPr>
          <w:rStyle w:val="FootnoteReference"/>
          <w:sz w:val="20"/>
          <w:szCs w:val="20"/>
        </w:rPr>
        <w:footnoteRef/>
      </w:r>
      <w:r w:rsidRPr="00E76EA2">
        <w:rPr>
          <w:sz w:val="20"/>
          <w:szCs w:val="20"/>
        </w:rPr>
        <w:t xml:space="preserve"> ICC Rule 90.</w:t>
      </w:r>
    </w:p>
  </w:footnote>
  <w:footnote w:id="628">
    <w:p w14:paraId="16DD8B24" w14:textId="77777777" w:rsidR="00C310AB" w:rsidRPr="00E76EA2" w:rsidRDefault="00C310AB" w:rsidP="00C366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.82(4).</w:t>
      </w:r>
    </w:p>
  </w:footnote>
  <w:footnote w:id="629">
    <w:p w14:paraId="4C2FA1E5" w14:textId="31B6BBBB" w:rsidR="00C310AB" w:rsidRPr="00E76EA2" w:rsidRDefault="00C310AB" w:rsidP="00C366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Mugambi</w:t>
      </w:r>
      <w:proofErr w:type="spellEnd"/>
      <w:r w:rsidRPr="00E76EA2">
        <w:rPr>
          <w:sz w:val="20"/>
          <w:szCs w:val="20"/>
        </w:rPr>
        <w:t xml:space="preserve"> </w:t>
      </w:r>
      <w:proofErr w:type="spellStart"/>
      <w:r w:rsidRPr="00E76EA2">
        <w:rPr>
          <w:sz w:val="20"/>
          <w:szCs w:val="20"/>
        </w:rPr>
        <w:t>Jouet</w:t>
      </w:r>
      <w:proofErr w:type="spellEnd"/>
      <w:r w:rsidRPr="00E76EA2">
        <w:rPr>
          <w:sz w:val="20"/>
          <w:szCs w:val="20"/>
        </w:rPr>
        <w:t xml:space="preserve">, Reconciling the Conflicting Rights of Victims and Defendants at the International Criminal Court (2007) 26 St </w:t>
      </w:r>
      <w:proofErr w:type="spellStart"/>
      <w:r w:rsidRPr="00E76EA2">
        <w:rPr>
          <w:sz w:val="20"/>
          <w:szCs w:val="20"/>
        </w:rPr>
        <w:t>Lousi</w:t>
      </w:r>
      <w:proofErr w:type="spellEnd"/>
      <w:r w:rsidRPr="00E76EA2">
        <w:rPr>
          <w:sz w:val="20"/>
          <w:szCs w:val="20"/>
        </w:rPr>
        <w:t xml:space="preserve"> University Law Review , 253-254, </w:t>
      </w:r>
      <w:r w:rsidR="006A77B4">
        <w:rPr>
          <w:sz w:val="20"/>
          <w:szCs w:val="20"/>
        </w:rPr>
        <w:t>p</w:t>
      </w:r>
      <w:r w:rsidRPr="00E76EA2">
        <w:rPr>
          <w:sz w:val="20"/>
          <w:szCs w:val="20"/>
        </w:rPr>
        <w:t>249</w:t>
      </w:r>
    </w:p>
  </w:footnote>
  <w:footnote w:id="630">
    <w:p w14:paraId="5A62A269" w14:textId="6A2B2619" w:rsidR="00C310AB" w:rsidRPr="00E76EA2" w:rsidRDefault="00C310AB" w:rsidP="00C36626">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proofErr w:type="spellStart"/>
      <w:r w:rsidRPr="00E76EA2">
        <w:rPr>
          <w:sz w:val="20"/>
          <w:szCs w:val="20"/>
          <w:lang w:val="en-US"/>
        </w:rPr>
        <w:t>Racquel</w:t>
      </w:r>
      <w:proofErr w:type="spellEnd"/>
      <w:r w:rsidRPr="00E76EA2">
        <w:rPr>
          <w:sz w:val="20"/>
          <w:szCs w:val="20"/>
          <w:lang w:val="en-US"/>
        </w:rPr>
        <w:t xml:space="preserve"> Aldana-Pindell, In Vindication of Justiciable Victims’ Rights to Truth and Justice for State-Sponsored Crimes, (2002)</w:t>
      </w:r>
      <w:r w:rsidRPr="006A77B4">
        <w:rPr>
          <w:i/>
          <w:iCs/>
          <w:sz w:val="20"/>
          <w:szCs w:val="20"/>
          <w:lang w:val="en-US"/>
        </w:rPr>
        <w:t>Vander</w:t>
      </w:r>
      <w:r w:rsidR="006A77B4" w:rsidRPr="006A77B4">
        <w:rPr>
          <w:i/>
          <w:iCs/>
          <w:sz w:val="20"/>
          <w:szCs w:val="20"/>
          <w:lang w:val="en-US"/>
        </w:rPr>
        <w:t>bilt</w:t>
      </w:r>
      <w:r w:rsidRPr="006A77B4">
        <w:rPr>
          <w:i/>
          <w:iCs/>
          <w:sz w:val="20"/>
          <w:szCs w:val="20"/>
          <w:lang w:val="en-US"/>
        </w:rPr>
        <w:t xml:space="preserve"> Journal of Transnational Law</w:t>
      </w:r>
      <w:r w:rsidRPr="00E76EA2">
        <w:rPr>
          <w:sz w:val="20"/>
          <w:szCs w:val="20"/>
          <w:lang w:val="en-US"/>
        </w:rPr>
        <w:t xml:space="preserve"> ,1399, 1413</w:t>
      </w:r>
    </w:p>
  </w:footnote>
  <w:footnote w:id="631">
    <w:p w14:paraId="14FD7648" w14:textId="77777777" w:rsidR="00C310AB" w:rsidRPr="00E76EA2" w:rsidRDefault="00C310AB" w:rsidP="006131E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Rome Statute,</w:t>
      </w:r>
      <w:r w:rsidRPr="00E76EA2">
        <w:rPr>
          <w:sz w:val="20"/>
          <w:szCs w:val="20"/>
          <w:lang w:val="en-US"/>
        </w:rPr>
        <w:t>Article 68(3) .</w:t>
      </w:r>
    </w:p>
  </w:footnote>
  <w:footnote w:id="632">
    <w:p w14:paraId="5AAF5D5B" w14:textId="36595139" w:rsidR="00C310AB" w:rsidRPr="00E76EA2" w:rsidRDefault="00C310AB" w:rsidP="006131EB">
      <w:pPr>
        <w:pStyle w:val="NoSpacing1"/>
        <w:spacing w:line="276" w:lineRule="auto"/>
        <w:jc w:val="both"/>
        <w:rPr>
          <w:sz w:val="20"/>
          <w:szCs w:val="20"/>
          <w:lang w:val="en-US"/>
        </w:rPr>
      </w:pPr>
      <w:r w:rsidRPr="00E76EA2">
        <w:rPr>
          <w:rStyle w:val="FootnoteReference"/>
          <w:sz w:val="20"/>
          <w:szCs w:val="20"/>
        </w:rPr>
        <w:footnoteRef/>
      </w:r>
      <w:r w:rsidRPr="00E76EA2">
        <w:rPr>
          <w:sz w:val="20"/>
          <w:szCs w:val="20"/>
          <w:lang w:val="en-US"/>
        </w:rPr>
        <w:t xml:space="preserve">Mark Findlay and Ralph </w:t>
      </w:r>
      <w:proofErr w:type="spellStart"/>
      <w:r w:rsidRPr="00E76EA2">
        <w:rPr>
          <w:sz w:val="20"/>
          <w:szCs w:val="20"/>
          <w:lang w:val="en-US"/>
        </w:rPr>
        <w:t>Henham</w:t>
      </w:r>
      <w:proofErr w:type="spellEnd"/>
      <w:r w:rsidRPr="00E76EA2">
        <w:rPr>
          <w:sz w:val="20"/>
          <w:szCs w:val="20"/>
          <w:lang w:val="en-US"/>
        </w:rPr>
        <w:t xml:space="preserve">, Transforming International Criminal </w:t>
      </w:r>
      <w:proofErr w:type="spellStart"/>
      <w:r w:rsidRPr="00E76EA2">
        <w:rPr>
          <w:sz w:val="20"/>
          <w:szCs w:val="20"/>
          <w:lang w:val="en-US"/>
        </w:rPr>
        <w:t>Justice:Retributive</w:t>
      </w:r>
      <w:proofErr w:type="spellEnd"/>
      <w:r w:rsidRPr="00E76EA2">
        <w:rPr>
          <w:sz w:val="20"/>
          <w:szCs w:val="20"/>
          <w:lang w:val="en-US"/>
        </w:rPr>
        <w:t xml:space="preserve"> and Restorative justice (First Published 2005, </w:t>
      </w:r>
      <w:proofErr w:type="spellStart"/>
      <w:r w:rsidRPr="00E76EA2">
        <w:rPr>
          <w:sz w:val="20"/>
          <w:szCs w:val="20"/>
          <w:lang w:val="en-US"/>
        </w:rPr>
        <w:t>Wilan</w:t>
      </w:r>
      <w:proofErr w:type="spellEnd"/>
      <w:r w:rsidRPr="00E76EA2">
        <w:rPr>
          <w:sz w:val="20"/>
          <w:szCs w:val="20"/>
          <w:lang w:val="en-US"/>
        </w:rPr>
        <w:t xml:space="preserve"> Publishing 2005)86.</w:t>
      </w:r>
    </w:p>
  </w:footnote>
  <w:footnote w:id="633">
    <w:p w14:paraId="149D448D" w14:textId="61AB007B" w:rsidR="00C310AB" w:rsidRPr="00E76EA2" w:rsidRDefault="00C310AB" w:rsidP="006131E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Andrew Ashworth</w:t>
      </w:r>
      <w:r w:rsidRPr="00E76EA2">
        <w:rPr>
          <w:sz w:val="20"/>
          <w:szCs w:val="20"/>
          <w:lang w:val="en-US"/>
        </w:rPr>
        <w:t xml:space="preserve">, ‘Victims’ Rights, Defendants’ Rights and Criminal Procedure’ </w:t>
      </w:r>
      <w:r w:rsidRPr="00E76EA2">
        <w:rPr>
          <w:i/>
          <w:sz w:val="20"/>
          <w:szCs w:val="20"/>
          <w:lang w:val="en-US"/>
        </w:rPr>
        <w:t>Integrating A Victim Perspective Within Criminal Justice</w:t>
      </w:r>
      <w:r w:rsidRPr="00E76EA2">
        <w:rPr>
          <w:sz w:val="20"/>
          <w:szCs w:val="20"/>
          <w:lang w:val="en-US"/>
        </w:rPr>
        <w:t xml:space="preserve"> in Adam Crawford and Jo Goody ed(First published 2000, Routledge 2016) </w:t>
      </w:r>
    </w:p>
  </w:footnote>
  <w:footnote w:id="634">
    <w:p w14:paraId="705B9C8D" w14:textId="77777777" w:rsidR="00C310AB" w:rsidRPr="00E76EA2" w:rsidRDefault="00C310AB" w:rsidP="006131E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635">
    <w:p w14:paraId="0591CA6F" w14:textId="14617443" w:rsidR="00C310AB" w:rsidRPr="00E76EA2" w:rsidRDefault="00C310AB" w:rsidP="006131EB">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Mikaela Heikkila, </w:t>
      </w:r>
      <w:r w:rsidRPr="00E76EA2">
        <w:rPr>
          <w:i/>
          <w:sz w:val="20"/>
          <w:szCs w:val="20"/>
          <w:lang w:val="en-US"/>
        </w:rPr>
        <w:t xml:space="preserve">International Criminal Tribunals and Victims of </w:t>
      </w:r>
      <w:proofErr w:type="spellStart"/>
      <w:r w:rsidRPr="00E76EA2">
        <w:rPr>
          <w:i/>
          <w:sz w:val="20"/>
          <w:szCs w:val="20"/>
          <w:lang w:val="en-US"/>
        </w:rPr>
        <w:t>Crime:A</w:t>
      </w:r>
      <w:proofErr w:type="spellEnd"/>
      <w:r w:rsidRPr="00E76EA2">
        <w:rPr>
          <w:i/>
          <w:sz w:val="20"/>
          <w:szCs w:val="20"/>
          <w:lang w:val="en-US"/>
        </w:rPr>
        <w:t xml:space="preserve"> Study of the Status of Victims Before International Criminal Tribunals and of Factors Affecting this Status</w:t>
      </w:r>
      <w:r w:rsidRPr="00E76EA2">
        <w:rPr>
          <w:sz w:val="20"/>
          <w:szCs w:val="20"/>
          <w:lang w:val="en-US"/>
        </w:rPr>
        <w:t xml:space="preserve"> (Institute for Human Rights, Abo </w:t>
      </w:r>
      <w:proofErr w:type="spellStart"/>
      <w:r w:rsidRPr="00E76EA2">
        <w:rPr>
          <w:sz w:val="20"/>
          <w:szCs w:val="20"/>
          <w:lang w:val="en-US"/>
        </w:rPr>
        <w:t>Akademi</w:t>
      </w:r>
      <w:proofErr w:type="spellEnd"/>
      <w:r w:rsidRPr="00E76EA2">
        <w:rPr>
          <w:sz w:val="20"/>
          <w:szCs w:val="20"/>
          <w:lang w:val="en-US"/>
        </w:rPr>
        <w:t xml:space="preserve"> University, 2004)</w:t>
      </w:r>
      <w:r w:rsidR="006A77B4">
        <w:rPr>
          <w:sz w:val="20"/>
          <w:szCs w:val="20"/>
          <w:lang w:val="en-US"/>
        </w:rPr>
        <w:t>.</w:t>
      </w:r>
      <w:r w:rsidRPr="00E76EA2">
        <w:rPr>
          <w:sz w:val="20"/>
          <w:szCs w:val="20"/>
          <w:lang w:val="en-US"/>
        </w:rPr>
        <w:t xml:space="preserve"> </w:t>
      </w:r>
    </w:p>
  </w:footnote>
  <w:footnote w:id="636">
    <w:p w14:paraId="450FA584" w14:textId="79B5E662" w:rsidR="00C310AB" w:rsidRPr="00E76EA2" w:rsidRDefault="00C310AB" w:rsidP="00641F98">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Jonathan </w:t>
      </w:r>
      <w:proofErr w:type="spellStart"/>
      <w:r w:rsidRPr="00E76EA2">
        <w:rPr>
          <w:sz w:val="20"/>
          <w:szCs w:val="20"/>
          <w:lang w:val="en-US"/>
        </w:rPr>
        <w:t>Doak</w:t>
      </w:r>
      <w:proofErr w:type="spellEnd"/>
      <w:r w:rsidRPr="00E76EA2">
        <w:rPr>
          <w:sz w:val="20"/>
          <w:szCs w:val="20"/>
          <w:lang w:val="en-US"/>
        </w:rPr>
        <w:t xml:space="preserve">, </w:t>
      </w:r>
      <w:r w:rsidRPr="00E76EA2">
        <w:rPr>
          <w:i/>
          <w:sz w:val="20"/>
          <w:szCs w:val="20"/>
          <w:lang w:val="en-US"/>
        </w:rPr>
        <w:t>Victims’ Rights, Human Rights and Criminal Justice: Reconceiving the Role of Third Parties</w:t>
      </w:r>
      <w:r w:rsidRPr="00E76EA2">
        <w:rPr>
          <w:sz w:val="20"/>
          <w:szCs w:val="20"/>
          <w:lang w:val="en-US"/>
        </w:rPr>
        <w:t xml:space="preserve"> (Hart Publishing 2008)</w:t>
      </w:r>
      <w:r w:rsidR="006A77B4">
        <w:rPr>
          <w:sz w:val="20"/>
          <w:szCs w:val="20"/>
          <w:lang w:val="en-US"/>
        </w:rPr>
        <w:t>.</w:t>
      </w:r>
    </w:p>
  </w:footnote>
  <w:footnote w:id="637">
    <w:p w14:paraId="044DA4B4" w14:textId="525438B5" w:rsidR="00C310AB" w:rsidRPr="00E76EA2" w:rsidRDefault="00C310AB" w:rsidP="00641F9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v.Lubanga</w:t>
      </w:r>
      <w:proofErr w:type="spellEnd"/>
      <w:r w:rsidRPr="00E76EA2">
        <w:rPr>
          <w:sz w:val="20"/>
          <w:szCs w:val="20"/>
        </w:rPr>
        <w:t>, ICC-01/04-01/06-462-tEN,p.7</w:t>
      </w:r>
      <w:r w:rsidR="006A77B4">
        <w:rPr>
          <w:sz w:val="20"/>
          <w:szCs w:val="20"/>
        </w:rPr>
        <w:t>.</w:t>
      </w:r>
    </w:p>
  </w:footnote>
  <w:footnote w:id="638">
    <w:p w14:paraId="31B44883" w14:textId="04106261"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ICC-01/04-01/06-462-IEN, p 8 See also Decision on the Schedule and Conduct of the Confirmation Hearing, ICC-01/0401/06-678, p 7</w:t>
      </w:r>
      <w:r w:rsidR="006A77B4">
        <w:rPr>
          <w:sz w:val="20"/>
          <w:szCs w:val="20"/>
        </w:rPr>
        <w:t>.</w:t>
      </w:r>
    </w:p>
  </w:footnote>
  <w:footnote w:id="639">
    <w:p w14:paraId="6C4E8920" w14:textId="039AE8ED" w:rsidR="00C310AB" w:rsidRPr="00E76EA2" w:rsidRDefault="00C310AB" w:rsidP="0086037C">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ICC-01/04-01/07-433</w:t>
      </w:r>
      <w:r w:rsidR="006A77B4">
        <w:rPr>
          <w:sz w:val="20"/>
          <w:szCs w:val="20"/>
          <w:lang w:val="fr-FR"/>
        </w:rPr>
        <w:t>.</w:t>
      </w:r>
    </w:p>
  </w:footnote>
  <w:footnote w:id="640">
    <w:p w14:paraId="1BEF9207" w14:textId="68E67CB9" w:rsidR="00C310AB" w:rsidRPr="00E76EA2" w:rsidRDefault="00C310AB" w:rsidP="0086037C">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ICC-01/04-01/07-433</w:t>
      </w:r>
      <w:r w:rsidR="006A77B4">
        <w:rPr>
          <w:sz w:val="20"/>
          <w:szCs w:val="20"/>
          <w:lang w:val="fr-FR"/>
        </w:rPr>
        <w:t>.</w:t>
      </w:r>
    </w:p>
  </w:footnote>
  <w:footnote w:id="641">
    <w:p w14:paraId="50C1E4B1" w14:textId="77777777" w:rsidR="00C310AB" w:rsidRPr="00E76EA2" w:rsidRDefault="00C310AB" w:rsidP="0086037C">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ICC-01/04-01/07-433, paras 22-23.</w:t>
      </w:r>
    </w:p>
  </w:footnote>
  <w:footnote w:id="642">
    <w:p w14:paraId="396F4573" w14:textId="77777777" w:rsidR="00C310AB" w:rsidRPr="00E76EA2" w:rsidRDefault="00C310AB" w:rsidP="0086037C">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ICC-01/04-01/07-433, para.22.</w:t>
      </w:r>
    </w:p>
  </w:footnote>
  <w:footnote w:id="643">
    <w:p w14:paraId="7CC81CDF" w14:textId="77777777"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ICC-01/04-01/07-400.</w:t>
      </w:r>
    </w:p>
  </w:footnote>
  <w:footnote w:id="644">
    <w:p w14:paraId="24089DE2" w14:textId="09D98290"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ICC-01/04-01/07 ,13 May 2008,</w:t>
      </w:r>
      <w:r w:rsidR="006A77B4">
        <w:rPr>
          <w:sz w:val="20"/>
          <w:szCs w:val="20"/>
        </w:rPr>
        <w:t>p</w:t>
      </w:r>
      <w:r w:rsidRPr="00E76EA2">
        <w:rPr>
          <w:sz w:val="20"/>
          <w:szCs w:val="20"/>
        </w:rPr>
        <w:t>61,</w:t>
      </w:r>
    </w:p>
  </w:footnote>
  <w:footnote w:id="645">
    <w:p w14:paraId="799DBF24" w14:textId="5FBCACEF"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The Prosecutor V. Germain Katanga and Mathieu </w:t>
      </w:r>
      <w:proofErr w:type="spellStart"/>
      <w:r w:rsidRPr="00E76EA2">
        <w:rPr>
          <w:sz w:val="20"/>
          <w:szCs w:val="20"/>
        </w:rPr>
        <w:t>Ngudjolo</w:t>
      </w:r>
      <w:proofErr w:type="spellEnd"/>
      <w:r w:rsidRPr="00E76EA2">
        <w:rPr>
          <w:sz w:val="20"/>
          <w:szCs w:val="20"/>
        </w:rPr>
        <w:t>, Decision on the Set of Procedural Rights Attached to Procedural Status of Victim at the Pre-Trial Stage of the Case Pre-trial Chamber 1, p.61</w:t>
      </w:r>
      <w:r w:rsidR="0086037C">
        <w:rPr>
          <w:sz w:val="20"/>
          <w:szCs w:val="20"/>
        </w:rPr>
        <w:t>.</w:t>
      </w:r>
    </w:p>
  </w:footnote>
  <w:footnote w:id="646">
    <w:p w14:paraId="33BAB254" w14:textId="6D4BC0FC"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the Congo, The Prosecutor v Germain Katanga and Mathieu </w:t>
      </w:r>
      <w:proofErr w:type="spellStart"/>
      <w:r w:rsidRPr="00E76EA2">
        <w:rPr>
          <w:sz w:val="20"/>
          <w:szCs w:val="20"/>
        </w:rPr>
        <w:t>Ngudjolo</w:t>
      </w:r>
      <w:proofErr w:type="spellEnd"/>
      <w:r w:rsidRPr="00E76EA2">
        <w:rPr>
          <w:sz w:val="20"/>
          <w:szCs w:val="20"/>
        </w:rPr>
        <w:t xml:space="preserve"> Chui, </w:t>
      </w:r>
      <w:proofErr w:type="spellStart"/>
      <w:r w:rsidRPr="00E76EA2">
        <w:rPr>
          <w:sz w:val="20"/>
          <w:szCs w:val="20"/>
        </w:rPr>
        <w:t>Decisison</w:t>
      </w:r>
      <w:proofErr w:type="spellEnd"/>
      <w:r w:rsidRPr="00E76EA2">
        <w:rPr>
          <w:sz w:val="20"/>
          <w:szCs w:val="20"/>
        </w:rPr>
        <w:t xml:space="preserve"> on the Set of Procedural Rights attached to Procedural Status of Victim at the Pre-Trial Stage of the Case, Pre-Trial Chamber,13 May 200</w:t>
      </w:r>
      <w:r w:rsidR="006A77B4">
        <w:rPr>
          <w:sz w:val="20"/>
          <w:szCs w:val="20"/>
        </w:rPr>
        <w:t xml:space="preserve"> </w:t>
      </w:r>
      <w:r w:rsidRPr="00E76EA2">
        <w:rPr>
          <w:sz w:val="20"/>
          <w:szCs w:val="20"/>
        </w:rPr>
        <w:t>8p.50, Para.147.</w:t>
      </w:r>
    </w:p>
  </w:footnote>
  <w:footnote w:id="647">
    <w:p w14:paraId="1C5809DF" w14:textId="5B93CEED"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Separate and Dissenting Opinion of Judge Rene </w:t>
      </w:r>
      <w:proofErr w:type="spellStart"/>
      <w:r w:rsidRPr="00E76EA2">
        <w:rPr>
          <w:sz w:val="20"/>
          <w:szCs w:val="20"/>
        </w:rPr>
        <w:t>Blattman</w:t>
      </w:r>
      <w:proofErr w:type="spellEnd"/>
      <w:r w:rsidRPr="00E76EA2">
        <w:rPr>
          <w:sz w:val="20"/>
          <w:szCs w:val="20"/>
        </w:rPr>
        <w:t>, Decision on Victim Participation, 18 January 2008,p.54,</w:t>
      </w:r>
      <w:r w:rsidR="006A77B4">
        <w:rPr>
          <w:sz w:val="20"/>
          <w:szCs w:val="20"/>
        </w:rPr>
        <w:t xml:space="preserve"> </w:t>
      </w:r>
      <w:r w:rsidRPr="00E76EA2">
        <w:rPr>
          <w:sz w:val="20"/>
          <w:szCs w:val="20"/>
        </w:rPr>
        <w:t>para13.</w:t>
      </w:r>
    </w:p>
  </w:footnote>
  <w:footnote w:id="648">
    <w:p w14:paraId="787F832E" w14:textId="78727F8A"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Ibid,para.14</w:t>
      </w:r>
      <w:r w:rsidR="006A77B4">
        <w:rPr>
          <w:sz w:val="20"/>
          <w:szCs w:val="20"/>
        </w:rPr>
        <w:t>.</w:t>
      </w:r>
    </w:p>
  </w:footnote>
  <w:footnote w:id="649">
    <w:p w14:paraId="4ED86D60" w14:textId="50764A1D"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Jonathan </w:t>
      </w:r>
      <w:proofErr w:type="spellStart"/>
      <w:r w:rsidRPr="00E76EA2">
        <w:rPr>
          <w:sz w:val="20"/>
          <w:szCs w:val="20"/>
        </w:rPr>
        <w:t>Doak</w:t>
      </w:r>
      <w:proofErr w:type="spellEnd"/>
      <w:r w:rsidRPr="00E76EA2">
        <w:rPr>
          <w:sz w:val="20"/>
          <w:szCs w:val="20"/>
        </w:rPr>
        <w:t xml:space="preserve">, </w:t>
      </w:r>
      <w:r w:rsidRPr="00E76EA2">
        <w:rPr>
          <w:i/>
          <w:sz w:val="20"/>
          <w:szCs w:val="20"/>
        </w:rPr>
        <w:t xml:space="preserve">Victims’ Rights, Human Rights and Criminal Justice :Reconceiving the Role of Third Parties </w:t>
      </w:r>
      <w:r w:rsidRPr="00E76EA2">
        <w:rPr>
          <w:sz w:val="20"/>
          <w:szCs w:val="20"/>
        </w:rPr>
        <w:t>(Hart Publishing 2008)</w:t>
      </w:r>
      <w:r w:rsidR="006A77B4">
        <w:rPr>
          <w:sz w:val="20"/>
          <w:szCs w:val="20"/>
        </w:rPr>
        <w:t>.</w:t>
      </w:r>
    </w:p>
  </w:footnote>
  <w:footnote w:id="650">
    <w:p w14:paraId="5FE8EAD8" w14:textId="77777777"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51">
    <w:p w14:paraId="3D18FB87" w14:textId="65062994" w:rsidR="00C310AB" w:rsidRPr="00E76EA2" w:rsidRDefault="00C310AB" w:rsidP="008603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w:t>
      </w:r>
      <w:proofErr w:type="spellStart"/>
      <w:r w:rsidRPr="00E76EA2">
        <w:rPr>
          <w:sz w:val="20"/>
          <w:szCs w:val="20"/>
        </w:rPr>
        <w:t>Congo,The</w:t>
      </w:r>
      <w:proofErr w:type="spellEnd"/>
      <w:r w:rsidRPr="00E76EA2">
        <w:rPr>
          <w:sz w:val="20"/>
          <w:szCs w:val="20"/>
        </w:rPr>
        <w:t xml:space="preserve"> Prosecutor v Thomas Lubanga </w:t>
      </w:r>
      <w:proofErr w:type="spellStart"/>
      <w:r w:rsidRPr="00E76EA2">
        <w:rPr>
          <w:sz w:val="20"/>
          <w:szCs w:val="20"/>
        </w:rPr>
        <w:t>Dyilo</w:t>
      </w:r>
      <w:proofErr w:type="spellEnd"/>
      <w:r w:rsidRPr="00E76EA2">
        <w:rPr>
          <w:sz w:val="20"/>
          <w:szCs w:val="20"/>
        </w:rPr>
        <w:t>, Submissions of Victims a/0001/06 to a/0003/06 for the hearing of October 2007,ICC-01/04-01/06-992-tENG, Trial Chamber,  19 October 2007,p.20</w:t>
      </w:r>
      <w:r w:rsidR="006A77B4">
        <w:rPr>
          <w:sz w:val="20"/>
          <w:szCs w:val="20"/>
        </w:rPr>
        <w:t>.</w:t>
      </w:r>
    </w:p>
  </w:footnote>
  <w:footnote w:id="652">
    <w:p w14:paraId="0E1D8DFE" w14:textId="3875F3F3" w:rsidR="00C310AB" w:rsidRPr="00E76EA2" w:rsidRDefault="00C310AB" w:rsidP="009D169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 The Prosecutor v Thomas Lubanga </w:t>
      </w:r>
      <w:proofErr w:type="spellStart"/>
      <w:r w:rsidRPr="00E76EA2">
        <w:rPr>
          <w:sz w:val="20"/>
          <w:szCs w:val="20"/>
        </w:rPr>
        <w:t>Dyilo</w:t>
      </w:r>
      <w:proofErr w:type="spellEnd"/>
      <w:r w:rsidRPr="00E76EA2">
        <w:rPr>
          <w:sz w:val="20"/>
          <w:szCs w:val="20"/>
        </w:rPr>
        <w:t>, Submissions of Victims a/0001/06 to a/0003/06 for the hearing of October 2007,ICC-01/04-01/06-992-tENG, Trial Chamber,  19 October 2007,p.21</w:t>
      </w:r>
      <w:r w:rsidR="006A77B4">
        <w:rPr>
          <w:sz w:val="20"/>
          <w:szCs w:val="20"/>
        </w:rPr>
        <w:t>.</w:t>
      </w:r>
    </w:p>
  </w:footnote>
  <w:footnote w:id="653">
    <w:p w14:paraId="05863AB0" w14:textId="201C7B4F" w:rsidR="00C310AB" w:rsidRPr="00E76EA2" w:rsidRDefault="00C310AB" w:rsidP="009D1697">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Dmytro </w:t>
      </w:r>
      <w:proofErr w:type="spellStart"/>
      <w:r w:rsidRPr="00E76EA2">
        <w:rPr>
          <w:sz w:val="20"/>
          <w:szCs w:val="20"/>
        </w:rPr>
        <w:t>Suprun</w:t>
      </w:r>
      <w:proofErr w:type="spellEnd"/>
      <w:r w:rsidRPr="00E76EA2">
        <w:rPr>
          <w:sz w:val="20"/>
          <w:szCs w:val="20"/>
        </w:rPr>
        <w:t xml:space="preserve">, ‘Legal Representatives of Victims before the </w:t>
      </w:r>
      <w:proofErr w:type="spellStart"/>
      <w:r w:rsidRPr="00E76EA2">
        <w:rPr>
          <w:sz w:val="20"/>
          <w:szCs w:val="20"/>
        </w:rPr>
        <w:t>ICC:Developments</w:t>
      </w:r>
      <w:proofErr w:type="spellEnd"/>
      <w:r w:rsidRPr="00E76EA2">
        <w:rPr>
          <w:sz w:val="20"/>
          <w:szCs w:val="20"/>
        </w:rPr>
        <w:t xml:space="preserve"> ,Challenges and Perspectives. (2016) 16 </w:t>
      </w:r>
      <w:r w:rsidRPr="00E76EA2">
        <w:rPr>
          <w:i/>
          <w:sz w:val="20"/>
          <w:szCs w:val="20"/>
        </w:rPr>
        <w:t>International Criminal Law Review</w:t>
      </w:r>
      <w:r w:rsidR="006A77B4">
        <w:rPr>
          <w:i/>
          <w:sz w:val="20"/>
          <w:szCs w:val="20"/>
        </w:rPr>
        <w:t xml:space="preserve"> </w:t>
      </w:r>
      <w:r w:rsidRPr="006A77B4">
        <w:rPr>
          <w:iCs/>
          <w:sz w:val="20"/>
          <w:szCs w:val="20"/>
        </w:rPr>
        <w:t>972-994.</w:t>
      </w:r>
    </w:p>
  </w:footnote>
  <w:footnote w:id="654">
    <w:p w14:paraId="098619BA" w14:textId="7A3EEE31" w:rsidR="00C310AB" w:rsidRPr="00E76EA2" w:rsidRDefault="00C310AB" w:rsidP="009D169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Uganda, Prosecutor V. </w:t>
      </w:r>
      <w:proofErr w:type="spellStart"/>
      <w:r w:rsidRPr="00E76EA2">
        <w:rPr>
          <w:sz w:val="20"/>
          <w:szCs w:val="20"/>
        </w:rPr>
        <w:t>Kony</w:t>
      </w:r>
      <w:proofErr w:type="spellEnd"/>
      <w:r w:rsidRPr="00E76EA2">
        <w:rPr>
          <w:sz w:val="20"/>
          <w:szCs w:val="20"/>
        </w:rPr>
        <w:t>, Decision on Legal Representation, Appointment of Counsel for the Defence , Protective Measures and Time-Limit for Submission of Observations on Application for Participation, a/0010/06, a/0064/06 to a/00070/06, a/0081/06 to a/0104/06 and a/01111/06 to a/0127/06.; ICC Rules of Procedure and Evidence , Rule 89.</w:t>
      </w:r>
    </w:p>
  </w:footnote>
  <w:footnote w:id="655">
    <w:p w14:paraId="7895B95A" w14:textId="7FB34ADB" w:rsidR="00C310AB" w:rsidRPr="00E76EA2" w:rsidRDefault="00C310AB" w:rsidP="009D169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of Evidence and Procedure, Rule 91</w:t>
      </w:r>
      <w:r w:rsidR="006A77B4">
        <w:rPr>
          <w:sz w:val="20"/>
          <w:szCs w:val="20"/>
        </w:rPr>
        <w:t>.</w:t>
      </w:r>
    </w:p>
  </w:footnote>
  <w:footnote w:id="656">
    <w:p w14:paraId="22F4A829" w14:textId="77777777" w:rsidR="00C310AB" w:rsidRPr="00E76EA2" w:rsidRDefault="00C310AB" w:rsidP="009D169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Rule 90.</w:t>
      </w:r>
    </w:p>
  </w:footnote>
  <w:footnote w:id="657">
    <w:p w14:paraId="1EE3E71E" w14:textId="77777777" w:rsidR="00C310AB" w:rsidRPr="00E76EA2" w:rsidRDefault="00C310AB" w:rsidP="009D169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ICC Rules of Evidence and Procedure,</w:t>
      </w:r>
      <w:r w:rsidRPr="00E76EA2">
        <w:rPr>
          <w:sz w:val="20"/>
          <w:szCs w:val="20"/>
          <w:lang w:val="en-US"/>
        </w:rPr>
        <w:t>Rule 90(1)</w:t>
      </w:r>
    </w:p>
  </w:footnote>
  <w:footnote w:id="658">
    <w:p w14:paraId="2826228C" w14:textId="4FBAD60F" w:rsidR="00C310AB" w:rsidRPr="00E76EA2" w:rsidRDefault="00C310AB" w:rsidP="009D169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Rule 90(2)</w:t>
      </w:r>
      <w:r w:rsidR="009D1697">
        <w:rPr>
          <w:sz w:val="20"/>
          <w:szCs w:val="20"/>
        </w:rPr>
        <w:t>.</w:t>
      </w:r>
    </w:p>
  </w:footnote>
  <w:footnote w:id="659">
    <w:p w14:paraId="030C07B5" w14:textId="50AE80A9" w:rsidR="00C310AB" w:rsidRPr="00E76EA2" w:rsidRDefault="00C310AB" w:rsidP="009D169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Rule 91(3)(a.)</w:t>
      </w:r>
    </w:p>
  </w:footnote>
  <w:footnote w:id="660">
    <w:p w14:paraId="7F906C76" w14:textId="77777777" w:rsidR="00C310AB" w:rsidRPr="00E76EA2" w:rsidRDefault="00C310AB" w:rsidP="009D169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Rule 91(3).</w:t>
      </w:r>
    </w:p>
  </w:footnote>
  <w:footnote w:id="661">
    <w:p w14:paraId="629DF689" w14:textId="1C4BA680" w:rsidR="00C310AB" w:rsidRPr="00E76EA2" w:rsidRDefault="00C310AB" w:rsidP="009D169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David </w:t>
      </w:r>
      <w:proofErr w:type="spellStart"/>
      <w:r w:rsidRPr="00E76EA2">
        <w:rPr>
          <w:sz w:val="20"/>
          <w:szCs w:val="20"/>
          <w:lang w:val="en-US"/>
        </w:rPr>
        <w:t>Donat-Catin</w:t>
      </w:r>
      <w:proofErr w:type="spellEnd"/>
      <w:r w:rsidRPr="00E76EA2">
        <w:rPr>
          <w:sz w:val="20"/>
          <w:szCs w:val="20"/>
          <w:lang w:val="en-US"/>
        </w:rPr>
        <w:t xml:space="preserve">, Article 68, in Otto </w:t>
      </w:r>
      <w:proofErr w:type="spellStart"/>
      <w:r w:rsidRPr="00E76EA2">
        <w:rPr>
          <w:sz w:val="20"/>
          <w:szCs w:val="20"/>
          <w:lang w:val="en-US"/>
        </w:rPr>
        <w:t>Triffterer</w:t>
      </w:r>
      <w:proofErr w:type="spellEnd"/>
      <w:r w:rsidRPr="00E76EA2">
        <w:rPr>
          <w:sz w:val="20"/>
          <w:szCs w:val="20"/>
          <w:lang w:val="en-US"/>
        </w:rPr>
        <w:t>( ed) Commentary on the Rome Statute of the International Criminal Court (2008) 1275,1291</w:t>
      </w:r>
      <w:r w:rsidR="006A77B4">
        <w:rPr>
          <w:sz w:val="20"/>
          <w:szCs w:val="20"/>
          <w:lang w:val="en-US"/>
        </w:rPr>
        <w:t>.</w:t>
      </w:r>
    </w:p>
  </w:footnote>
  <w:footnote w:id="662">
    <w:p w14:paraId="6107C680" w14:textId="1D3F488E" w:rsidR="00C310AB" w:rsidRPr="00E76EA2" w:rsidRDefault="00C310AB" w:rsidP="009D169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Gerard </w:t>
      </w:r>
      <w:proofErr w:type="spellStart"/>
      <w:r w:rsidRPr="00E76EA2">
        <w:rPr>
          <w:sz w:val="20"/>
          <w:szCs w:val="20"/>
          <w:lang w:val="en-US"/>
        </w:rPr>
        <w:t>Mekjian</w:t>
      </w:r>
      <w:proofErr w:type="spellEnd"/>
      <w:r w:rsidRPr="00E76EA2">
        <w:rPr>
          <w:sz w:val="20"/>
          <w:szCs w:val="20"/>
          <w:lang w:val="en-US"/>
        </w:rPr>
        <w:t xml:space="preserve"> and </w:t>
      </w:r>
      <w:proofErr w:type="spellStart"/>
      <w:r w:rsidRPr="00E76EA2">
        <w:rPr>
          <w:sz w:val="20"/>
          <w:szCs w:val="20"/>
          <w:lang w:val="en-US"/>
        </w:rPr>
        <w:t>Mattew</w:t>
      </w:r>
      <w:proofErr w:type="spellEnd"/>
      <w:r w:rsidRPr="00E76EA2">
        <w:rPr>
          <w:sz w:val="20"/>
          <w:szCs w:val="20"/>
          <w:lang w:val="en-US"/>
        </w:rPr>
        <w:t xml:space="preserve"> Varughese, Hearing the Victims’ s </w:t>
      </w:r>
      <w:proofErr w:type="spellStart"/>
      <w:r w:rsidRPr="00E76EA2">
        <w:rPr>
          <w:sz w:val="20"/>
          <w:szCs w:val="20"/>
          <w:lang w:val="en-US"/>
        </w:rPr>
        <w:t>Voice:Analysis</w:t>
      </w:r>
      <w:proofErr w:type="spellEnd"/>
      <w:r w:rsidRPr="00E76EA2">
        <w:rPr>
          <w:sz w:val="20"/>
          <w:szCs w:val="20"/>
          <w:lang w:val="en-US"/>
        </w:rPr>
        <w:t xml:space="preserve"> of Victims’ Advocate Participation in the Trial Proceedings of the International Criminal Court,(2005) 17 </w:t>
      </w:r>
      <w:r w:rsidRPr="006A77B4">
        <w:rPr>
          <w:i/>
          <w:iCs/>
          <w:sz w:val="20"/>
          <w:szCs w:val="20"/>
          <w:lang w:val="en-US"/>
        </w:rPr>
        <w:t>Pace International Law Review</w:t>
      </w:r>
      <w:r w:rsidRPr="00E76EA2">
        <w:rPr>
          <w:sz w:val="20"/>
          <w:szCs w:val="20"/>
          <w:lang w:val="en-US"/>
        </w:rPr>
        <w:t xml:space="preserve"> 1, 20.</w:t>
      </w:r>
    </w:p>
  </w:footnote>
  <w:footnote w:id="663">
    <w:p w14:paraId="02570973" w14:textId="6A9A764C"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Margeret</w:t>
      </w:r>
      <w:proofErr w:type="spellEnd"/>
      <w:r w:rsidRPr="00E76EA2">
        <w:rPr>
          <w:sz w:val="20"/>
          <w:szCs w:val="20"/>
        </w:rPr>
        <w:t xml:space="preserve"> Gavin and David </w:t>
      </w:r>
      <w:proofErr w:type="spellStart"/>
      <w:r w:rsidRPr="00E76EA2">
        <w:rPr>
          <w:sz w:val="20"/>
          <w:szCs w:val="20"/>
        </w:rPr>
        <w:t>Beloof</w:t>
      </w:r>
      <w:proofErr w:type="spellEnd"/>
      <w:r w:rsidRPr="00E76EA2">
        <w:rPr>
          <w:sz w:val="20"/>
          <w:szCs w:val="20"/>
        </w:rPr>
        <w:t xml:space="preserve">,  Crime Victims Agency,(2015)  13(1) </w:t>
      </w:r>
      <w:r w:rsidRPr="006A77B4">
        <w:rPr>
          <w:i/>
          <w:iCs/>
          <w:sz w:val="20"/>
          <w:szCs w:val="20"/>
        </w:rPr>
        <w:t>Ohio State Journal of Criminal Law,</w:t>
      </w:r>
      <w:r w:rsidRPr="00E76EA2">
        <w:rPr>
          <w:sz w:val="20"/>
          <w:szCs w:val="20"/>
        </w:rPr>
        <w:t xml:space="preserve"> </w:t>
      </w:r>
      <w:r w:rsidR="006A77B4">
        <w:rPr>
          <w:sz w:val="20"/>
          <w:szCs w:val="20"/>
        </w:rPr>
        <w:t>p</w:t>
      </w:r>
      <w:r w:rsidRPr="00E76EA2">
        <w:rPr>
          <w:sz w:val="20"/>
          <w:szCs w:val="20"/>
        </w:rPr>
        <w:t xml:space="preserve">.68 </w:t>
      </w:r>
    </w:p>
  </w:footnote>
  <w:footnote w:id="664">
    <w:p w14:paraId="6012384C" w14:textId="77777777"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65">
    <w:p w14:paraId="3606AC4E" w14:textId="51E5144B"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66">
    <w:p w14:paraId="390CFE02" w14:textId="77777777"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67">
    <w:p w14:paraId="42796C1E" w14:textId="4E334E57"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Lauren Bennet, </w:t>
      </w:r>
      <w:r w:rsidR="006A77B4">
        <w:rPr>
          <w:sz w:val="20"/>
          <w:szCs w:val="20"/>
        </w:rPr>
        <w:t>‘</w:t>
      </w:r>
      <w:r w:rsidRPr="00E76EA2">
        <w:rPr>
          <w:sz w:val="20"/>
          <w:szCs w:val="20"/>
        </w:rPr>
        <w:t>Systemic Obstacles to the Criminal Prosecution of a Battering Partner: A Victim Perspective</w:t>
      </w:r>
      <w:r w:rsidR="006A77B4">
        <w:rPr>
          <w:sz w:val="20"/>
          <w:szCs w:val="20"/>
        </w:rPr>
        <w:t>’</w:t>
      </w:r>
      <w:r w:rsidRPr="00E76EA2">
        <w:rPr>
          <w:sz w:val="20"/>
          <w:szCs w:val="20"/>
        </w:rPr>
        <w:t xml:space="preserve"> (1999) 14J</w:t>
      </w:r>
      <w:r w:rsidRPr="00E76EA2">
        <w:rPr>
          <w:i/>
          <w:sz w:val="20"/>
          <w:szCs w:val="20"/>
        </w:rPr>
        <w:t xml:space="preserve">ournal of Interpersonal Violence </w:t>
      </w:r>
      <w:r w:rsidRPr="00E76EA2">
        <w:rPr>
          <w:sz w:val="20"/>
          <w:szCs w:val="20"/>
        </w:rPr>
        <w:t>,761.</w:t>
      </w:r>
    </w:p>
  </w:footnote>
  <w:footnote w:id="668">
    <w:p w14:paraId="03AE0B4B" w14:textId="42553043"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 The Prosecutor v Thomas Lubanga </w:t>
      </w:r>
      <w:proofErr w:type="spellStart"/>
      <w:r w:rsidRPr="00E76EA2">
        <w:rPr>
          <w:sz w:val="20"/>
          <w:szCs w:val="20"/>
        </w:rPr>
        <w:t>Dyilo</w:t>
      </w:r>
      <w:proofErr w:type="spellEnd"/>
      <w:r w:rsidRPr="00E76EA2">
        <w:rPr>
          <w:sz w:val="20"/>
          <w:szCs w:val="20"/>
        </w:rPr>
        <w:t>, Submissions of Victims a/0001/06 to a/0003/06 for the hearing of October 2007,ICC-01/04-01/06-992-tENG, Trial Chamber,  19 October 2007,p.7,</w:t>
      </w:r>
      <w:r w:rsidR="006A77B4">
        <w:rPr>
          <w:sz w:val="20"/>
          <w:szCs w:val="20"/>
        </w:rPr>
        <w:t>p</w:t>
      </w:r>
      <w:r w:rsidRPr="00E76EA2">
        <w:rPr>
          <w:sz w:val="20"/>
          <w:szCs w:val="20"/>
        </w:rPr>
        <w:t>ara. 27.</w:t>
      </w:r>
    </w:p>
  </w:footnote>
  <w:footnote w:id="669">
    <w:p w14:paraId="6220628A" w14:textId="3AE91624"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Situation in the Democratic Republic Of </w:t>
      </w:r>
      <w:proofErr w:type="spellStart"/>
      <w:r w:rsidRPr="00E76EA2">
        <w:rPr>
          <w:sz w:val="20"/>
          <w:szCs w:val="20"/>
        </w:rPr>
        <w:t>Congo,The</w:t>
      </w:r>
      <w:proofErr w:type="spellEnd"/>
      <w:r w:rsidRPr="00E76EA2">
        <w:rPr>
          <w:sz w:val="20"/>
          <w:szCs w:val="20"/>
        </w:rPr>
        <w:t xml:space="preserve"> Prosecutor v Thomas Lubanga </w:t>
      </w:r>
      <w:proofErr w:type="spellStart"/>
      <w:r w:rsidRPr="00E76EA2">
        <w:rPr>
          <w:sz w:val="20"/>
          <w:szCs w:val="20"/>
        </w:rPr>
        <w:t>Dyilo</w:t>
      </w:r>
      <w:proofErr w:type="spellEnd"/>
      <w:r w:rsidRPr="00E76EA2">
        <w:rPr>
          <w:sz w:val="20"/>
          <w:szCs w:val="20"/>
        </w:rPr>
        <w:t>, Submissions of Victims a/0001/06 to a/0003/06 for the hearing of October 2007,ICC-01/04-01/06-992-tENG, Trial Chamber,  19 October 2007,p.7,</w:t>
      </w:r>
      <w:r w:rsidR="006A77B4">
        <w:rPr>
          <w:sz w:val="20"/>
          <w:szCs w:val="20"/>
        </w:rPr>
        <w:t>p</w:t>
      </w:r>
      <w:r w:rsidRPr="00E76EA2">
        <w:rPr>
          <w:sz w:val="20"/>
          <w:szCs w:val="20"/>
        </w:rPr>
        <w:t>ara.28</w:t>
      </w:r>
    </w:p>
  </w:footnote>
  <w:footnote w:id="670">
    <w:p w14:paraId="4D016A45" w14:textId="708E2957"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Phil Clark</w:t>
      </w:r>
      <w:r w:rsidRPr="00A875B4">
        <w:rPr>
          <w:i/>
          <w:iCs/>
          <w:sz w:val="20"/>
          <w:szCs w:val="20"/>
        </w:rPr>
        <w:t>, Distant Justice</w:t>
      </w:r>
      <w:r w:rsidRPr="00E76EA2">
        <w:rPr>
          <w:sz w:val="20"/>
          <w:szCs w:val="20"/>
        </w:rPr>
        <w:t xml:space="preserve">: </w:t>
      </w:r>
      <w:r w:rsidRPr="00E76EA2">
        <w:rPr>
          <w:i/>
          <w:iCs/>
          <w:sz w:val="20"/>
          <w:szCs w:val="20"/>
        </w:rPr>
        <w:t>The Impact  of the International Criminal Court on African Politics</w:t>
      </w:r>
      <w:r w:rsidRPr="00E76EA2">
        <w:rPr>
          <w:sz w:val="20"/>
          <w:szCs w:val="20"/>
        </w:rPr>
        <w:t>, (Cambridge University Press 2018)45,46</w:t>
      </w:r>
    </w:p>
  </w:footnote>
  <w:footnote w:id="671">
    <w:p w14:paraId="2F62C6D0" w14:textId="20198B33" w:rsidR="00C310AB" w:rsidRPr="00E76EA2" w:rsidRDefault="00C310AB" w:rsidP="006D754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The Prosecutor v Thomas Lubanga </w:t>
      </w:r>
      <w:proofErr w:type="spellStart"/>
      <w:r w:rsidRPr="00E76EA2">
        <w:rPr>
          <w:sz w:val="20"/>
          <w:szCs w:val="20"/>
        </w:rPr>
        <w:t>Dyilo</w:t>
      </w:r>
      <w:proofErr w:type="spellEnd"/>
      <w:r w:rsidRPr="00E76EA2">
        <w:rPr>
          <w:sz w:val="20"/>
          <w:szCs w:val="20"/>
        </w:rPr>
        <w:t xml:space="preserve">, Judgement pursuant to Article 74 of the Statute, Trial Chamber,14 March 2012, ICC-01/04-01/06-2842, </w:t>
      </w:r>
      <w:r w:rsidR="006A77B4">
        <w:rPr>
          <w:sz w:val="20"/>
          <w:szCs w:val="20"/>
        </w:rPr>
        <w:t>p</w:t>
      </w:r>
      <w:r w:rsidRPr="00E76EA2">
        <w:rPr>
          <w:sz w:val="20"/>
          <w:szCs w:val="20"/>
        </w:rPr>
        <w:t>.82, para.167-205.</w:t>
      </w:r>
    </w:p>
  </w:footnote>
  <w:footnote w:id="672">
    <w:p w14:paraId="197AE76F" w14:textId="076F702F" w:rsidR="00C310AB" w:rsidRPr="00E76EA2" w:rsidRDefault="00C310AB" w:rsidP="00A875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Judgment pursuant to Article 74;Lubanga </w:t>
      </w:r>
      <w:proofErr w:type="spellStart"/>
      <w:r w:rsidRPr="00E76EA2">
        <w:rPr>
          <w:sz w:val="20"/>
          <w:szCs w:val="20"/>
        </w:rPr>
        <w:t>sentencing;The</w:t>
      </w:r>
      <w:proofErr w:type="spellEnd"/>
      <w:r w:rsidRPr="00E76EA2">
        <w:rPr>
          <w:sz w:val="20"/>
          <w:szCs w:val="20"/>
        </w:rPr>
        <w:t xml:space="preserve"> Prosecutor v Lubanga ;The Prosecutor v Katanga.</w:t>
      </w:r>
    </w:p>
  </w:footnote>
  <w:footnote w:id="673">
    <w:p w14:paraId="47358920" w14:textId="63C6B1C0" w:rsidR="00C310AB" w:rsidRPr="00E76EA2" w:rsidRDefault="00C310AB" w:rsidP="00A875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r w:rsidR="00A875B4">
        <w:rPr>
          <w:sz w:val="20"/>
          <w:szCs w:val="20"/>
        </w:rPr>
        <w:t>v</w:t>
      </w:r>
      <w:r w:rsidRPr="00E76EA2">
        <w:rPr>
          <w:sz w:val="20"/>
          <w:szCs w:val="20"/>
        </w:rPr>
        <w:t xml:space="preserve"> Katanga and </w:t>
      </w:r>
      <w:proofErr w:type="spellStart"/>
      <w:r w:rsidRPr="00E76EA2">
        <w:rPr>
          <w:sz w:val="20"/>
          <w:szCs w:val="20"/>
        </w:rPr>
        <w:t>Ngudjolo</w:t>
      </w:r>
      <w:proofErr w:type="spellEnd"/>
      <w:r w:rsidRPr="00E76EA2">
        <w:rPr>
          <w:sz w:val="20"/>
          <w:szCs w:val="20"/>
        </w:rPr>
        <w:t xml:space="preserve"> Chui, Order on the Organisation of Common legal representatives , 22</w:t>
      </w:r>
      <w:r w:rsidR="006A77B4">
        <w:rPr>
          <w:sz w:val="20"/>
          <w:szCs w:val="20"/>
        </w:rPr>
        <w:t xml:space="preserve"> </w:t>
      </w:r>
      <w:r w:rsidRPr="00E76EA2">
        <w:rPr>
          <w:sz w:val="20"/>
          <w:szCs w:val="20"/>
        </w:rPr>
        <w:t>July</w:t>
      </w:r>
      <w:r w:rsidR="006A77B4">
        <w:rPr>
          <w:sz w:val="20"/>
          <w:szCs w:val="20"/>
        </w:rPr>
        <w:t>,</w:t>
      </w:r>
      <w:r w:rsidRPr="00E76EA2">
        <w:rPr>
          <w:sz w:val="20"/>
          <w:szCs w:val="20"/>
        </w:rPr>
        <w:t xml:space="preserve"> 2009, ICC-01/04-01/07, para.11.</w:t>
      </w:r>
    </w:p>
  </w:footnote>
  <w:footnote w:id="674">
    <w:p w14:paraId="6BDA5C60" w14:textId="77777777" w:rsidR="00C310AB" w:rsidRPr="00E76EA2" w:rsidRDefault="00C310AB" w:rsidP="00FF7322">
      <w:pPr>
        <w:pStyle w:val="NoSpacing1"/>
        <w:spacing w:line="276" w:lineRule="auto"/>
        <w:jc w:val="both"/>
        <w:rPr>
          <w:color w:val="201F1E"/>
          <w:sz w:val="20"/>
          <w:szCs w:val="20"/>
        </w:rPr>
      </w:pPr>
      <w:r w:rsidRPr="00E76EA2">
        <w:rPr>
          <w:rStyle w:val="FootnoteReference"/>
          <w:sz w:val="20"/>
          <w:szCs w:val="20"/>
        </w:rPr>
        <w:footnoteRef/>
      </w:r>
      <w:r w:rsidRPr="00E76EA2">
        <w:rPr>
          <w:sz w:val="20"/>
          <w:szCs w:val="20"/>
        </w:rPr>
        <w:t xml:space="preserve"> Human Rights Watch, ‘Who will Stand for Us? Victims  Legal Representation at the ICC in the </w:t>
      </w:r>
      <w:proofErr w:type="spellStart"/>
      <w:r w:rsidRPr="00E76EA2">
        <w:rPr>
          <w:sz w:val="20"/>
          <w:szCs w:val="20"/>
        </w:rPr>
        <w:t>Ongwen</w:t>
      </w:r>
      <w:proofErr w:type="spellEnd"/>
      <w:r w:rsidRPr="00E76EA2">
        <w:rPr>
          <w:sz w:val="20"/>
          <w:szCs w:val="20"/>
        </w:rPr>
        <w:t xml:space="preserve"> Case and Beyond, August 29, 2017  &lt;</w:t>
      </w:r>
    </w:p>
    <w:p w14:paraId="3316C137" w14:textId="77777777" w:rsidR="00C310AB" w:rsidRPr="00E76EA2" w:rsidRDefault="00BD7B40" w:rsidP="00FF7322">
      <w:pPr>
        <w:pStyle w:val="NoSpacing1"/>
        <w:spacing w:line="276" w:lineRule="auto"/>
        <w:jc w:val="both"/>
        <w:rPr>
          <w:color w:val="201F1E"/>
          <w:sz w:val="20"/>
          <w:szCs w:val="20"/>
        </w:rPr>
      </w:pPr>
      <w:hyperlink r:id="rId49" w:tgtFrame="_blank" w:history="1">
        <w:r w:rsidR="00C310AB" w:rsidRPr="00E76EA2">
          <w:rPr>
            <w:color w:val="0000FF"/>
            <w:sz w:val="20"/>
            <w:szCs w:val="20"/>
            <w:u w:val="single"/>
          </w:rPr>
          <w:t>https://www.hrw.org/report/2017/08/29/who-will-stand-us/victims-legal-representation-icc-ongwen-case-and-beyond</w:t>
        </w:r>
      </w:hyperlink>
      <w:r w:rsidR="00C310AB" w:rsidRPr="00E76EA2">
        <w:rPr>
          <w:color w:val="201F1E"/>
          <w:sz w:val="20"/>
          <w:szCs w:val="20"/>
        </w:rPr>
        <w:t>&gt; last accessed 22 May 2019.</w:t>
      </w:r>
    </w:p>
    <w:p w14:paraId="0AFF3C04" w14:textId="77777777" w:rsidR="00C310AB" w:rsidRPr="00E76EA2" w:rsidRDefault="00C310AB" w:rsidP="00FF7322">
      <w:pPr>
        <w:pStyle w:val="NoSpacing1"/>
        <w:spacing w:line="276" w:lineRule="auto"/>
        <w:jc w:val="both"/>
        <w:rPr>
          <w:sz w:val="20"/>
          <w:szCs w:val="20"/>
        </w:rPr>
      </w:pPr>
      <w:r w:rsidRPr="00E76EA2">
        <w:rPr>
          <w:sz w:val="20"/>
          <w:szCs w:val="20"/>
        </w:rPr>
        <w:t>; Regulation 80, Regulations of the Court.</w:t>
      </w:r>
    </w:p>
  </w:footnote>
  <w:footnote w:id="675">
    <w:p w14:paraId="3B5558FD" w14:textId="296FBB5F" w:rsidR="00C310AB" w:rsidRPr="00E76EA2" w:rsidRDefault="00C310AB" w:rsidP="00FF732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Situation in the Democratic Republic of </w:t>
      </w:r>
      <w:proofErr w:type="spellStart"/>
      <w:r w:rsidRPr="00E76EA2">
        <w:rPr>
          <w:sz w:val="20"/>
          <w:szCs w:val="20"/>
        </w:rPr>
        <w:t>Congo,The</w:t>
      </w:r>
      <w:proofErr w:type="spellEnd"/>
      <w:r w:rsidRPr="00E76EA2">
        <w:rPr>
          <w:sz w:val="20"/>
          <w:szCs w:val="20"/>
        </w:rPr>
        <w:t xml:space="preserve"> Prosecutor v Thomas Lubanga </w:t>
      </w:r>
      <w:proofErr w:type="spellStart"/>
      <w:r w:rsidRPr="00E76EA2">
        <w:rPr>
          <w:sz w:val="20"/>
          <w:szCs w:val="20"/>
        </w:rPr>
        <w:t>Dyilo</w:t>
      </w:r>
      <w:proofErr w:type="spellEnd"/>
      <w:r w:rsidRPr="00E76EA2">
        <w:rPr>
          <w:sz w:val="20"/>
          <w:szCs w:val="20"/>
        </w:rPr>
        <w:t>, Submissions of Victims a/0001/06 to a/0003/06 for the hearing of October 2007,ICC-01/04-01/06-992-tENG, Trial Chamber,  19 October 2007p.6,para.19.</w:t>
      </w:r>
    </w:p>
  </w:footnote>
  <w:footnote w:id="676">
    <w:p w14:paraId="7CAE218B" w14:textId="589E0CA8" w:rsidR="00C310AB" w:rsidRPr="00E76EA2" w:rsidRDefault="00C310AB" w:rsidP="00FF21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Rachel </w:t>
      </w:r>
      <w:proofErr w:type="spellStart"/>
      <w:r w:rsidRPr="00E76EA2">
        <w:rPr>
          <w:sz w:val="20"/>
          <w:szCs w:val="20"/>
        </w:rPr>
        <w:t>Killean</w:t>
      </w:r>
      <w:proofErr w:type="spellEnd"/>
      <w:r w:rsidRPr="00E76EA2">
        <w:rPr>
          <w:sz w:val="20"/>
          <w:szCs w:val="20"/>
        </w:rPr>
        <w:t xml:space="preserve"> and Luke Moffett, “Victim Legal Representation before the ICC and ECCC (2017) 15(4) </w:t>
      </w:r>
      <w:r w:rsidRPr="00E76EA2">
        <w:rPr>
          <w:i/>
          <w:sz w:val="20"/>
          <w:szCs w:val="20"/>
        </w:rPr>
        <w:t>Journal of International Criminal Justice</w:t>
      </w:r>
      <w:r w:rsidRPr="00E76EA2">
        <w:rPr>
          <w:sz w:val="20"/>
          <w:szCs w:val="20"/>
        </w:rPr>
        <w:t xml:space="preserve"> , 713-740,p.</w:t>
      </w:r>
      <w:r w:rsidR="006A77B4">
        <w:rPr>
          <w:sz w:val="20"/>
          <w:szCs w:val="20"/>
        </w:rPr>
        <w:t>7</w:t>
      </w:r>
      <w:r w:rsidRPr="00E76EA2">
        <w:rPr>
          <w:sz w:val="20"/>
          <w:szCs w:val="20"/>
        </w:rPr>
        <w:t>32.</w:t>
      </w:r>
    </w:p>
  </w:footnote>
  <w:footnote w:id="677">
    <w:p w14:paraId="3F49C543" w14:textId="77777777" w:rsidR="00C310AB" w:rsidRPr="00E76EA2" w:rsidRDefault="00C310AB" w:rsidP="00FF21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678">
    <w:p w14:paraId="21F5196B" w14:textId="756911CF" w:rsidR="00C310AB" w:rsidRPr="00E76EA2" w:rsidRDefault="00C310AB" w:rsidP="00FF21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79">
    <w:p w14:paraId="7768B8C0" w14:textId="39CC392A" w:rsidR="00C310AB" w:rsidRPr="00E76EA2" w:rsidRDefault="00C310AB" w:rsidP="00FF21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Separate Opinion of Judge Song, paragraph 10   ICC-01/04-01/06-925</w:t>
      </w:r>
    </w:p>
  </w:footnote>
  <w:footnote w:id="680">
    <w:p w14:paraId="254F0B07" w14:textId="71972069" w:rsidR="00C310AB" w:rsidRPr="00E76EA2" w:rsidRDefault="00C310AB" w:rsidP="00FF21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Redress, Representing Victims before the ICC: Recommendation on the Legal Representation System accessible  &lt;https:redress.org/wp-content/uploads/2017/12/1504represntingvictims.pdf&gt;  last accessed 14 September 2020.</w:t>
      </w:r>
    </w:p>
  </w:footnote>
  <w:footnote w:id="681">
    <w:p w14:paraId="0C21673F" w14:textId="77777777" w:rsidR="00C310AB" w:rsidRPr="00E76EA2" w:rsidRDefault="00C310AB" w:rsidP="00FF21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682">
    <w:p w14:paraId="0B0FA94C" w14:textId="035756D5" w:rsidR="00C310AB" w:rsidRPr="00E76EA2" w:rsidRDefault="00C310AB" w:rsidP="00FF21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83">
    <w:p w14:paraId="78828F6F" w14:textId="77777777" w:rsidR="00C310AB" w:rsidRPr="00E76EA2" w:rsidRDefault="00C310AB" w:rsidP="002105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v.Katanga</w:t>
      </w:r>
      <w:proofErr w:type="spellEnd"/>
      <w:r w:rsidRPr="00E76EA2">
        <w:rPr>
          <w:sz w:val="20"/>
          <w:szCs w:val="20"/>
        </w:rPr>
        <w:t>, ICC-01/04-374 , 17August 2007p.20, para.45-48</w:t>
      </w:r>
    </w:p>
  </w:footnote>
  <w:footnote w:id="684">
    <w:p w14:paraId="43C59454" w14:textId="0607366C" w:rsidR="00C310AB" w:rsidRPr="00E76EA2" w:rsidRDefault="00C310AB" w:rsidP="002105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Decision on the Requests of the Legal Representatives of Applicants on Application process for victims’ participation and legal representation , ICC-01/04-374, 17 August,</w:t>
      </w:r>
      <w:r w:rsidR="00695A69">
        <w:rPr>
          <w:sz w:val="20"/>
          <w:szCs w:val="20"/>
        </w:rPr>
        <w:t>p</w:t>
      </w:r>
      <w:r w:rsidRPr="00E76EA2">
        <w:rPr>
          <w:sz w:val="20"/>
          <w:szCs w:val="20"/>
        </w:rPr>
        <w:t>.21,para.47</w:t>
      </w:r>
    </w:p>
  </w:footnote>
  <w:footnote w:id="685">
    <w:p w14:paraId="0DD82FDD" w14:textId="77777777" w:rsidR="00C310AB" w:rsidRPr="00E76EA2" w:rsidRDefault="00C310AB" w:rsidP="002105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p.24</w:t>
      </w:r>
    </w:p>
  </w:footnote>
  <w:footnote w:id="686">
    <w:p w14:paraId="39B0E07E" w14:textId="77777777" w:rsidR="00C310AB" w:rsidRPr="00E76EA2" w:rsidRDefault="00C310AB" w:rsidP="002105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p.24</w:t>
      </w:r>
    </w:p>
  </w:footnote>
  <w:footnote w:id="687">
    <w:p w14:paraId="51A105E2" w14:textId="77777777" w:rsidR="00C310AB" w:rsidRPr="00E76EA2" w:rsidRDefault="00C310AB" w:rsidP="002105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Susana </w:t>
      </w:r>
      <w:proofErr w:type="spellStart"/>
      <w:r w:rsidRPr="00E76EA2">
        <w:rPr>
          <w:sz w:val="20"/>
          <w:szCs w:val="20"/>
        </w:rPr>
        <w:t>SaCouto</w:t>
      </w:r>
      <w:proofErr w:type="spellEnd"/>
      <w:r w:rsidRPr="00E76EA2">
        <w:rPr>
          <w:sz w:val="20"/>
          <w:szCs w:val="20"/>
        </w:rPr>
        <w:t xml:space="preserve"> and Katherine Cleary Thompson, “Regulation 55 and the Rights of the Accused at the International Criminal Court” (2014)  21(1)</w:t>
      </w:r>
      <w:r w:rsidRPr="00E76EA2">
        <w:rPr>
          <w:i/>
          <w:sz w:val="20"/>
          <w:szCs w:val="20"/>
        </w:rPr>
        <w:t xml:space="preserve">Human Rights Brief </w:t>
      </w:r>
      <w:r w:rsidRPr="00E76EA2">
        <w:rPr>
          <w:sz w:val="20"/>
          <w:szCs w:val="20"/>
        </w:rPr>
        <w:t xml:space="preserve">p1-8,p.8.Accessible at </w:t>
      </w:r>
      <w:hyperlink r:id="rId50" w:history="1">
        <w:r w:rsidRPr="00E76EA2">
          <w:rPr>
            <w:rStyle w:val="Hyperlink"/>
            <w:sz w:val="20"/>
            <w:szCs w:val="20"/>
          </w:rPr>
          <w:t>http://digitalcommons.wcl.american.edu/hrbrief/vol21/iss1/4</w:t>
        </w:r>
      </w:hyperlink>
      <w:r w:rsidRPr="00E76EA2">
        <w:rPr>
          <w:sz w:val="20"/>
          <w:szCs w:val="20"/>
        </w:rPr>
        <w:t xml:space="preserve"> last accessed 03 January 2020.</w:t>
      </w:r>
    </w:p>
  </w:footnote>
  <w:footnote w:id="688">
    <w:p w14:paraId="296B8D37" w14:textId="56E0D3A3" w:rsidR="00C310AB" w:rsidRPr="00E76EA2" w:rsidRDefault="00C310AB" w:rsidP="002105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Thomas Lubanga </w:t>
      </w:r>
      <w:proofErr w:type="spellStart"/>
      <w:r w:rsidRPr="00E76EA2">
        <w:rPr>
          <w:sz w:val="20"/>
          <w:szCs w:val="20"/>
        </w:rPr>
        <w:t>Dyilo</w:t>
      </w:r>
      <w:proofErr w:type="spellEnd"/>
      <w:r w:rsidRPr="00E76EA2">
        <w:rPr>
          <w:sz w:val="20"/>
          <w:szCs w:val="20"/>
        </w:rPr>
        <w:t xml:space="preserve">, Redacted version of the Corrigendum of the Decision on the applications by 15 victims to the participate in the </w:t>
      </w:r>
      <w:proofErr w:type="spellStart"/>
      <w:r w:rsidRPr="00E76EA2">
        <w:rPr>
          <w:sz w:val="20"/>
          <w:szCs w:val="20"/>
        </w:rPr>
        <w:t>proceedings,Trial</w:t>
      </w:r>
      <w:proofErr w:type="spellEnd"/>
      <w:r w:rsidRPr="00E76EA2">
        <w:rPr>
          <w:sz w:val="20"/>
          <w:szCs w:val="20"/>
        </w:rPr>
        <w:t xml:space="preserve"> Chamber 1,  ICC-01/04-01/06-2659-Corr-Red , 08 February 2011,p.15,</w:t>
      </w:r>
      <w:r w:rsidR="006A77B4">
        <w:rPr>
          <w:sz w:val="20"/>
          <w:szCs w:val="20"/>
        </w:rPr>
        <w:t>p</w:t>
      </w:r>
      <w:r w:rsidRPr="00E76EA2">
        <w:rPr>
          <w:sz w:val="20"/>
          <w:szCs w:val="20"/>
        </w:rPr>
        <w:t>ara.41</w:t>
      </w:r>
    </w:p>
  </w:footnote>
  <w:footnote w:id="689">
    <w:p w14:paraId="1E152FDA" w14:textId="7411877D" w:rsidR="00C310AB" w:rsidRPr="00E76EA2" w:rsidRDefault="00C310AB" w:rsidP="004B2D2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Thomas Lubanga </w:t>
      </w:r>
      <w:proofErr w:type="spellStart"/>
      <w:r w:rsidRPr="00E76EA2">
        <w:rPr>
          <w:sz w:val="20"/>
          <w:szCs w:val="20"/>
        </w:rPr>
        <w:t>Dyilo</w:t>
      </w:r>
      <w:proofErr w:type="spellEnd"/>
      <w:r w:rsidRPr="00E76EA2">
        <w:rPr>
          <w:sz w:val="20"/>
          <w:szCs w:val="20"/>
        </w:rPr>
        <w:t xml:space="preserve">, Judgment pursuant to Article 74 of the Statute, Trial Chamber I Decision, ICC-01/04-01/06-2842, 14 March 2012,p.19 para.15;Situation in the Democratic Republic of Congo, The Prosecutor v Thomas Lubanga </w:t>
      </w:r>
      <w:proofErr w:type="spellStart"/>
      <w:r w:rsidRPr="00E76EA2">
        <w:rPr>
          <w:sz w:val="20"/>
          <w:szCs w:val="20"/>
        </w:rPr>
        <w:t>Dyilo</w:t>
      </w:r>
      <w:proofErr w:type="spellEnd"/>
      <w:r w:rsidRPr="00E76EA2">
        <w:rPr>
          <w:sz w:val="20"/>
          <w:szCs w:val="20"/>
        </w:rPr>
        <w:t xml:space="preserve">, Summary of the “Judgment pursuant to Article 74 of the </w:t>
      </w:r>
      <w:proofErr w:type="spellStart"/>
      <w:r w:rsidRPr="00E76EA2">
        <w:rPr>
          <w:sz w:val="20"/>
          <w:szCs w:val="20"/>
        </w:rPr>
        <w:t>Statute,Trial</w:t>
      </w:r>
      <w:proofErr w:type="spellEnd"/>
      <w:r w:rsidRPr="00E76EA2">
        <w:rPr>
          <w:sz w:val="20"/>
          <w:szCs w:val="20"/>
        </w:rPr>
        <w:t xml:space="preserve"> Chamber 1, ICC-01/04-01/06-2843, 14 March 2012p.6,para.11</w:t>
      </w:r>
    </w:p>
  </w:footnote>
  <w:footnote w:id="690">
    <w:p w14:paraId="2DD992DE" w14:textId="77777777" w:rsidR="00C310AB" w:rsidRPr="00E76EA2" w:rsidRDefault="00C310AB" w:rsidP="004B2D2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91">
    <w:p w14:paraId="0EE40BDE" w14:textId="539C49E1" w:rsidR="00C310AB" w:rsidRPr="00E76EA2" w:rsidRDefault="00C310AB" w:rsidP="004B2D2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Katanga &amp; </w:t>
      </w:r>
      <w:proofErr w:type="spellStart"/>
      <w:r w:rsidRPr="00E76EA2">
        <w:rPr>
          <w:sz w:val="20"/>
          <w:szCs w:val="20"/>
        </w:rPr>
        <w:t>Ngudjolo</w:t>
      </w:r>
      <w:proofErr w:type="spellEnd"/>
      <w:r w:rsidRPr="00E76EA2">
        <w:rPr>
          <w:sz w:val="20"/>
          <w:szCs w:val="20"/>
        </w:rPr>
        <w:t xml:space="preserve"> , ICC-01/04-01/07-1328, Order on the Organisation of Common Legal Representation of Victims, 22 July 2009;International Criminal Court , Report of the Court on the Review of the System for Victims to Apply to </w:t>
      </w:r>
      <w:proofErr w:type="spellStart"/>
      <w:r w:rsidRPr="00E76EA2">
        <w:rPr>
          <w:sz w:val="20"/>
          <w:szCs w:val="20"/>
        </w:rPr>
        <w:t>Particpate</w:t>
      </w:r>
      <w:proofErr w:type="spellEnd"/>
      <w:r w:rsidRPr="00E76EA2">
        <w:rPr>
          <w:sz w:val="20"/>
          <w:szCs w:val="20"/>
        </w:rPr>
        <w:t xml:space="preserve"> in Proceedings in Proceedings , ICC-ASP/11/22, 5 November  2012, </w:t>
      </w:r>
      <w:r w:rsidR="006A77B4">
        <w:rPr>
          <w:sz w:val="20"/>
          <w:szCs w:val="20"/>
        </w:rPr>
        <w:t>p</w:t>
      </w:r>
      <w:r w:rsidRPr="00E76EA2">
        <w:rPr>
          <w:sz w:val="20"/>
          <w:szCs w:val="20"/>
        </w:rPr>
        <w:t>5,6 ; Ibid 205.</w:t>
      </w:r>
    </w:p>
  </w:footnote>
  <w:footnote w:id="692">
    <w:p w14:paraId="5DA8067C" w14:textId="77777777" w:rsidR="00C310AB" w:rsidRPr="00E76EA2" w:rsidRDefault="00C310AB" w:rsidP="004B2D2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Appeal Hearing of Prosecutor v Germain Katanga, ICC-01/04-01/07-t-349-ENG ET WT 08-03-2018 13/15 NB A3 A4 A5</w:t>
      </w:r>
    </w:p>
  </w:footnote>
  <w:footnote w:id="693">
    <w:p w14:paraId="120D9DCA" w14:textId="289E151A" w:rsidR="00C310AB" w:rsidRPr="00E76EA2" w:rsidRDefault="00C310AB" w:rsidP="004B2D2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lines 3-9 3-9</w:t>
      </w:r>
      <w:r w:rsidR="006A77B4">
        <w:rPr>
          <w:sz w:val="20"/>
          <w:szCs w:val="20"/>
        </w:rPr>
        <w:t>,p</w:t>
      </w:r>
      <w:r w:rsidRPr="00E76EA2">
        <w:rPr>
          <w:sz w:val="20"/>
          <w:szCs w:val="20"/>
        </w:rPr>
        <w:t>12</w:t>
      </w:r>
    </w:p>
  </w:footnote>
  <w:footnote w:id="694">
    <w:p w14:paraId="2F6B0096" w14:textId="77777777" w:rsidR="00C310AB" w:rsidRPr="00E76EA2" w:rsidRDefault="00C310AB" w:rsidP="00FF61B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p.13, lines 1 -3.</w:t>
      </w:r>
    </w:p>
  </w:footnote>
  <w:footnote w:id="695">
    <w:p w14:paraId="370248CB" w14:textId="77777777" w:rsidR="00C310AB" w:rsidRPr="00E76EA2" w:rsidRDefault="00C310AB" w:rsidP="00FF61B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96">
    <w:p w14:paraId="6DAF6677" w14:textId="77777777" w:rsidR="00C310AB" w:rsidRPr="00E76EA2" w:rsidRDefault="00C310AB" w:rsidP="0082596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Helen Fenwick, ‘Procedural Rights of Victims of Crime: Public or Private Ordering of the Criminal Justice Process? (1997) 60(3)</w:t>
      </w:r>
      <w:r w:rsidRPr="006A77B4">
        <w:rPr>
          <w:i/>
          <w:iCs/>
          <w:sz w:val="20"/>
          <w:szCs w:val="20"/>
          <w:lang w:val="en-US"/>
        </w:rPr>
        <w:t>The Modern Law Review</w:t>
      </w:r>
      <w:r w:rsidRPr="00E76EA2">
        <w:rPr>
          <w:sz w:val="20"/>
          <w:szCs w:val="20"/>
          <w:lang w:val="en-US"/>
        </w:rPr>
        <w:t>,317-333, 321.</w:t>
      </w:r>
    </w:p>
  </w:footnote>
  <w:footnote w:id="697">
    <w:p w14:paraId="4F248230" w14:textId="1FC5C5FD" w:rsidR="00C310AB" w:rsidRPr="00E76EA2" w:rsidRDefault="00C310AB" w:rsidP="008259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Human Rights </w:t>
      </w:r>
      <w:proofErr w:type="spellStart"/>
      <w:r w:rsidRPr="00E76EA2">
        <w:rPr>
          <w:sz w:val="20"/>
          <w:szCs w:val="20"/>
        </w:rPr>
        <w:t>Center</w:t>
      </w:r>
      <w:proofErr w:type="spellEnd"/>
      <w:r w:rsidRPr="00E76EA2">
        <w:rPr>
          <w:sz w:val="20"/>
          <w:szCs w:val="20"/>
        </w:rPr>
        <w:t xml:space="preserve">, UC Berkeley School of Law, The Victims </w:t>
      </w:r>
      <w:proofErr w:type="spellStart"/>
      <w:r w:rsidRPr="00E76EA2">
        <w:rPr>
          <w:sz w:val="20"/>
          <w:szCs w:val="20"/>
        </w:rPr>
        <w:t>Court?A</w:t>
      </w:r>
      <w:proofErr w:type="spellEnd"/>
      <w:r w:rsidRPr="00E76EA2">
        <w:rPr>
          <w:sz w:val="20"/>
          <w:szCs w:val="20"/>
        </w:rPr>
        <w:t xml:space="preserve"> Study of 622 Victim Participants  at the International Criminal Court 92015) accessible at  </w:t>
      </w:r>
      <w:hyperlink r:id="rId51" w:history="1">
        <w:r w:rsidRPr="00E76EA2">
          <w:rPr>
            <w:rStyle w:val="Hyperlink"/>
            <w:sz w:val="20"/>
            <w:szCs w:val="20"/>
          </w:rPr>
          <w:t>https://www.law.berkely.edu/wp-content/upload/2015/04/The-Victims-Court-Novemebr -2015,pdf</w:t>
        </w:r>
      </w:hyperlink>
      <w:r w:rsidRPr="00E76EA2">
        <w:rPr>
          <w:sz w:val="20"/>
          <w:szCs w:val="20"/>
        </w:rPr>
        <w:t xml:space="preserve"> last </w:t>
      </w:r>
      <w:proofErr w:type="spellStart"/>
      <w:r w:rsidRPr="00E76EA2">
        <w:rPr>
          <w:sz w:val="20"/>
          <w:szCs w:val="20"/>
        </w:rPr>
        <w:t>acessed</w:t>
      </w:r>
      <w:proofErr w:type="spellEnd"/>
      <w:r w:rsidRPr="00E76EA2">
        <w:rPr>
          <w:sz w:val="20"/>
          <w:szCs w:val="20"/>
        </w:rPr>
        <w:t xml:space="preserve"> 14 </w:t>
      </w:r>
      <w:proofErr w:type="spellStart"/>
      <w:r w:rsidRPr="00E76EA2">
        <w:rPr>
          <w:sz w:val="20"/>
          <w:szCs w:val="20"/>
        </w:rPr>
        <w:t>Sepetember</w:t>
      </w:r>
      <w:proofErr w:type="spellEnd"/>
      <w:r w:rsidRPr="00E76EA2">
        <w:rPr>
          <w:sz w:val="20"/>
          <w:szCs w:val="20"/>
        </w:rPr>
        <w:t xml:space="preserve"> 2020.</w:t>
      </w:r>
    </w:p>
  </w:footnote>
  <w:footnote w:id="698">
    <w:p w14:paraId="63D4E8BF" w14:textId="76D2C461" w:rsidR="00C310AB" w:rsidRPr="00E76EA2" w:rsidRDefault="00C310AB" w:rsidP="0082596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699">
    <w:p w14:paraId="5041D684" w14:textId="1AB14A51" w:rsidR="00C310AB" w:rsidRPr="00E76EA2" w:rsidRDefault="00C310AB" w:rsidP="002D28D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Women Initiatives for Gender Justice, Letter to the Prosecutor, accessible at </w:t>
      </w:r>
      <w:hyperlink r:id="rId52" w:history="1">
        <w:r w:rsidRPr="00E76EA2">
          <w:rPr>
            <w:rStyle w:val="Hyperlink"/>
            <w:sz w:val="20"/>
            <w:szCs w:val="20"/>
          </w:rPr>
          <w:t>http://www.iccwomen.org/documents/Prosecutro_Letter_August_2006_Redacted.pdf</w:t>
        </w:r>
      </w:hyperlink>
      <w:r w:rsidRPr="00E76EA2">
        <w:rPr>
          <w:sz w:val="20"/>
          <w:szCs w:val="20"/>
        </w:rPr>
        <w:t xml:space="preserve"> last accessible 14 </w:t>
      </w:r>
      <w:proofErr w:type="spellStart"/>
      <w:r w:rsidRPr="00E76EA2">
        <w:rPr>
          <w:sz w:val="20"/>
          <w:szCs w:val="20"/>
        </w:rPr>
        <w:t>Septmeber</w:t>
      </w:r>
      <w:proofErr w:type="spellEnd"/>
      <w:r w:rsidRPr="00E76EA2">
        <w:rPr>
          <w:sz w:val="20"/>
          <w:szCs w:val="20"/>
        </w:rPr>
        <w:t xml:space="preserve"> 2020.</w:t>
      </w:r>
    </w:p>
  </w:footnote>
  <w:footnote w:id="700">
    <w:p w14:paraId="7CFAD172" w14:textId="46B8F61F" w:rsidR="00C310AB" w:rsidRPr="00E76EA2" w:rsidRDefault="00C310AB" w:rsidP="002D28D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Ian Edwards, “An Ambiguous </w:t>
      </w:r>
      <w:proofErr w:type="spellStart"/>
      <w:r w:rsidRPr="00E76EA2">
        <w:rPr>
          <w:sz w:val="20"/>
          <w:szCs w:val="20"/>
        </w:rPr>
        <w:t>Participant:The</w:t>
      </w:r>
      <w:proofErr w:type="spellEnd"/>
      <w:r w:rsidRPr="00E76EA2">
        <w:rPr>
          <w:sz w:val="20"/>
          <w:szCs w:val="20"/>
        </w:rPr>
        <w:t xml:space="preserve"> Crime Victim and Criminal Justice Decision-Making” (2004) 44 British </w:t>
      </w:r>
      <w:proofErr w:type="spellStart"/>
      <w:r w:rsidRPr="00E76EA2">
        <w:rPr>
          <w:sz w:val="20"/>
          <w:szCs w:val="20"/>
        </w:rPr>
        <w:t>Juornal</w:t>
      </w:r>
      <w:proofErr w:type="spellEnd"/>
      <w:r w:rsidRPr="00E76EA2">
        <w:rPr>
          <w:sz w:val="20"/>
          <w:szCs w:val="20"/>
        </w:rPr>
        <w:t xml:space="preserve"> of Criminology 967-982;David Taylor, ‘Victim Participation in Transitional Justice </w:t>
      </w:r>
      <w:proofErr w:type="spellStart"/>
      <w:r w:rsidRPr="00E76EA2">
        <w:rPr>
          <w:sz w:val="20"/>
          <w:szCs w:val="20"/>
        </w:rPr>
        <w:t>Mechanism:Real</w:t>
      </w:r>
      <w:proofErr w:type="spellEnd"/>
      <w:r w:rsidRPr="00E76EA2">
        <w:rPr>
          <w:sz w:val="20"/>
          <w:szCs w:val="20"/>
        </w:rPr>
        <w:t xml:space="preserve"> Power or Empty Ritual ? (2014)Discussion Paper, Impunity Watch</w:t>
      </w:r>
      <w:r w:rsidR="006A77B4" w:rsidRPr="006A77B4">
        <w:rPr>
          <w:sz w:val="20"/>
          <w:szCs w:val="20"/>
          <w:lang w:val="en-US"/>
        </w:rPr>
        <w:t xml:space="preserve"> </w:t>
      </w:r>
      <w:r w:rsidR="006A77B4">
        <w:rPr>
          <w:sz w:val="20"/>
          <w:szCs w:val="20"/>
          <w:lang w:val="en-US"/>
        </w:rPr>
        <w:t>available at &lt;</w:t>
      </w:r>
      <w:hyperlink r:id="rId53" w:history="1">
        <w:r w:rsidR="006A77B4">
          <w:rPr>
            <w:rStyle w:val="Hyperlink"/>
          </w:rPr>
          <w:t>DiscussionPaper_Victim_Participation_in_Transitional_Justice_2014_eng.pdf (impunitywatch.nl)</w:t>
        </w:r>
      </w:hyperlink>
      <w:r w:rsidR="006A77B4">
        <w:t>&gt; last accessed 27 January, 2020.</w:t>
      </w:r>
    </w:p>
  </w:footnote>
  <w:footnote w:id="701">
    <w:p w14:paraId="3D420A1C" w14:textId="77777777" w:rsidR="00C310AB" w:rsidRPr="00E76EA2" w:rsidRDefault="00C310AB" w:rsidP="002D28D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702">
    <w:p w14:paraId="298AAC37" w14:textId="77777777" w:rsidR="00C310AB" w:rsidRPr="006A77B4" w:rsidRDefault="00C310AB" w:rsidP="006E30E0">
      <w:pPr>
        <w:pStyle w:val="NoSpacing1"/>
        <w:jc w:val="both"/>
        <w:rPr>
          <w:sz w:val="20"/>
          <w:szCs w:val="20"/>
        </w:rPr>
      </w:pPr>
      <w:r w:rsidRPr="006A77B4">
        <w:rPr>
          <w:rStyle w:val="FootnoteReference"/>
          <w:sz w:val="20"/>
          <w:szCs w:val="20"/>
        </w:rPr>
        <w:footnoteRef/>
      </w:r>
      <w:r w:rsidRPr="006A77B4">
        <w:rPr>
          <w:sz w:val="20"/>
          <w:szCs w:val="20"/>
        </w:rPr>
        <w:t xml:space="preserve"> Ibid.</w:t>
      </w:r>
    </w:p>
  </w:footnote>
  <w:footnote w:id="703">
    <w:p w14:paraId="47FD7DDE" w14:textId="6A34E990" w:rsidR="00C310AB" w:rsidRPr="006A77B4" w:rsidRDefault="00C310AB" w:rsidP="006E30E0">
      <w:pPr>
        <w:pStyle w:val="NoSpacing1"/>
        <w:jc w:val="both"/>
        <w:rPr>
          <w:iCs/>
          <w:sz w:val="20"/>
          <w:szCs w:val="20"/>
        </w:rPr>
      </w:pPr>
      <w:r w:rsidRPr="006A77B4">
        <w:rPr>
          <w:rStyle w:val="FootnoteReference"/>
          <w:sz w:val="20"/>
          <w:szCs w:val="20"/>
        </w:rPr>
        <w:footnoteRef/>
      </w:r>
      <w:r w:rsidRPr="006A77B4">
        <w:rPr>
          <w:sz w:val="20"/>
          <w:szCs w:val="20"/>
        </w:rPr>
        <w:t xml:space="preserve"> Patricia Lundy and Mark McGovern,  ‘Whose </w:t>
      </w:r>
      <w:proofErr w:type="spellStart"/>
      <w:r w:rsidRPr="006A77B4">
        <w:rPr>
          <w:sz w:val="20"/>
          <w:szCs w:val="20"/>
        </w:rPr>
        <w:t>Justice?Rethinking</w:t>
      </w:r>
      <w:proofErr w:type="spellEnd"/>
      <w:r w:rsidRPr="006A77B4">
        <w:rPr>
          <w:sz w:val="20"/>
          <w:szCs w:val="20"/>
        </w:rPr>
        <w:t xml:space="preserve"> Transitional Justice from the Bottom Up’ (2008)  35(2)</w:t>
      </w:r>
      <w:r w:rsidRPr="006A77B4">
        <w:rPr>
          <w:i/>
          <w:sz w:val="20"/>
          <w:szCs w:val="20"/>
        </w:rPr>
        <w:t xml:space="preserve">Journal of Law and Society </w:t>
      </w:r>
      <w:r w:rsidRPr="006A77B4">
        <w:rPr>
          <w:iCs/>
          <w:sz w:val="20"/>
          <w:szCs w:val="20"/>
        </w:rPr>
        <w:t>,279-283.</w:t>
      </w:r>
    </w:p>
  </w:footnote>
  <w:footnote w:id="704">
    <w:p w14:paraId="62D276DA" w14:textId="1F1366A5" w:rsidR="00C310AB" w:rsidRPr="006A77B4" w:rsidRDefault="00C310AB" w:rsidP="006E30E0">
      <w:pPr>
        <w:pStyle w:val="NoSpacing1"/>
        <w:jc w:val="both"/>
        <w:rPr>
          <w:sz w:val="20"/>
          <w:szCs w:val="20"/>
        </w:rPr>
      </w:pPr>
      <w:r w:rsidRPr="006A77B4">
        <w:rPr>
          <w:rStyle w:val="FootnoteReference"/>
          <w:sz w:val="20"/>
          <w:szCs w:val="20"/>
        </w:rPr>
        <w:footnoteRef/>
      </w:r>
      <w:r w:rsidRPr="006A77B4">
        <w:rPr>
          <w:sz w:val="20"/>
          <w:szCs w:val="20"/>
        </w:rPr>
        <w:t>Karen Kenny, ‘The Right to Participate in International Human Rights Fieldwork’, (2000) International Human Rights Network.</w:t>
      </w:r>
    </w:p>
  </w:footnote>
  <w:footnote w:id="705">
    <w:p w14:paraId="3F2674CB" w14:textId="7564E3D2" w:rsidR="00C310AB" w:rsidRPr="006A77B4" w:rsidRDefault="00C310AB" w:rsidP="006A77B4">
      <w:pPr>
        <w:pStyle w:val="NoSpacing1"/>
        <w:spacing w:line="276" w:lineRule="auto"/>
        <w:jc w:val="both"/>
        <w:rPr>
          <w:sz w:val="20"/>
          <w:szCs w:val="20"/>
        </w:rPr>
      </w:pPr>
      <w:r w:rsidRPr="006A77B4">
        <w:rPr>
          <w:rStyle w:val="FootnoteReference"/>
          <w:sz w:val="20"/>
          <w:szCs w:val="20"/>
        </w:rPr>
        <w:footnoteRef/>
      </w:r>
      <w:r w:rsidRPr="006A77B4">
        <w:rPr>
          <w:sz w:val="20"/>
          <w:szCs w:val="20"/>
        </w:rPr>
        <w:t xml:space="preserve">Impunity Watch, Discussion </w:t>
      </w:r>
      <w:proofErr w:type="spellStart"/>
      <w:r w:rsidRPr="006A77B4">
        <w:rPr>
          <w:sz w:val="20"/>
          <w:szCs w:val="20"/>
        </w:rPr>
        <w:t>Paper,”Victims</w:t>
      </w:r>
      <w:proofErr w:type="spellEnd"/>
      <w:r w:rsidRPr="006A77B4">
        <w:rPr>
          <w:sz w:val="20"/>
          <w:szCs w:val="20"/>
        </w:rPr>
        <w:t xml:space="preserve">’ Participation in Transitional Justice </w:t>
      </w:r>
      <w:proofErr w:type="spellStart"/>
      <w:r w:rsidRPr="006A77B4">
        <w:rPr>
          <w:sz w:val="20"/>
          <w:szCs w:val="20"/>
        </w:rPr>
        <w:t>Mechanisms:Real</w:t>
      </w:r>
      <w:proofErr w:type="spellEnd"/>
      <w:r w:rsidRPr="006A77B4">
        <w:rPr>
          <w:sz w:val="20"/>
          <w:szCs w:val="20"/>
        </w:rPr>
        <w:t xml:space="preserve"> Power</w:t>
      </w:r>
      <w:r w:rsidR="006A77B4">
        <w:rPr>
          <w:sz w:val="20"/>
          <w:szCs w:val="20"/>
        </w:rPr>
        <w:t xml:space="preserve"> </w:t>
      </w:r>
      <w:r w:rsidRPr="006A77B4">
        <w:rPr>
          <w:sz w:val="20"/>
          <w:szCs w:val="20"/>
        </w:rPr>
        <w:t>or Empty Ritual  (2014)24</w:t>
      </w:r>
      <w:r w:rsidR="006A77B4" w:rsidRPr="006A77B4">
        <w:rPr>
          <w:sz w:val="20"/>
          <w:szCs w:val="20"/>
        </w:rPr>
        <w:t xml:space="preserve"> available at </w:t>
      </w:r>
      <w:hyperlink r:id="rId54" w:history="1">
        <w:r w:rsidR="006A77B4" w:rsidRPr="006A77B4">
          <w:rPr>
            <w:rStyle w:val="Hyperlink"/>
            <w:sz w:val="20"/>
            <w:szCs w:val="20"/>
          </w:rPr>
          <w:t>DiscussionPaper_Victim_Participation_in_Transitional_Justice_2014_eng.pdf (impunitywatch.nl)</w:t>
        </w:r>
      </w:hyperlink>
      <w:r w:rsidR="006A77B4" w:rsidRPr="006A77B4">
        <w:rPr>
          <w:sz w:val="20"/>
          <w:szCs w:val="20"/>
        </w:rPr>
        <w:t>&gt; last accessed 12 March 2020.</w:t>
      </w:r>
    </w:p>
  </w:footnote>
  <w:footnote w:id="706">
    <w:p w14:paraId="415B634B" w14:textId="77777777" w:rsidR="00C310AB" w:rsidRPr="006A77B4" w:rsidRDefault="00C310AB" w:rsidP="006E30E0">
      <w:pPr>
        <w:pStyle w:val="NoSpacing1"/>
        <w:jc w:val="both"/>
        <w:rPr>
          <w:sz w:val="20"/>
          <w:szCs w:val="20"/>
        </w:rPr>
      </w:pPr>
      <w:r w:rsidRPr="006A77B4">
        <w:rPr>
          <w:rStyle w:val="FootnoteReference"/>
          <w:sz w:val="20"/>
          <w:szCs w:val="20"/>
        </w:rPr>
        <w:footnoteRef/>
      </w:r>
      <w:r w:rsidRPr="006A77B4">
        <w:rPr>
          <w:sz w:val="20"/>
          <w:szCs w:val="20"/>
        </w:rPr>
        <w:t>Ibid</w:t>
      </w:r>
    </w:p>
  </w:footnote>
  <w:footnote w:id="707">
    <w:p w14:paraId="69FCFC06" w14:textId="7F5BEED7" w:rsidR="00C310AB" w:rsidRPr="00E76EA2" w:rsidRDefault="00C310AB" w:rsidP="00BE546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Christine Chung,  ‘Victims’ Participation at the International Criminal </w:t>
      </w:r>
      <w:proofErr w:type="spellStart"/>
      <w:r w:rsidRPr="00E76EA2">
        <w:rPr>
          <w:sz w:val="20"/>
          <w:szCs w:val="20"/>
        </w:rPr>
        <w:t>Court:Are</w:t>
      </w:r>
      <w:proofErr w:type="spellEnd"/>
      <w:r w:rsidRPr="00E76EA2">
        <w:rPr>
          <w:sz w:val="20"/>
          <w:szCs w:val="20"/>
        </w:rPr>
        <w:t xml:space="preserve"> Concessions of the Court Clouding the Promise? (2008) 6 </w:t>
      </w:r>
      <w:proofErr w:type="spellStart"/>
      <w:r w:rsidRPr="00E76EA2">
        <w:rPr>
          <w:i/>
          <w:sz w:val="20"/>
          <w:szCs w:val="20"/>
        </w:rPr>
        <w:t>Northwestern</w:t>
      </w:r>
      <w:proofErr w:type="spellEnd"/>
      <w:r w:rsidRPr="00E76EA2">
        <w:rPr>
          <w:i/>
          <w:sz w:val="20"/>
          <w:szCs w:val="20"/>
        </w:rPr>
        <w:t xml:space="preserve"> Journal of Human Rights, 459 </w:t>
      </w:r>
      <w:r w:rsidR="00E24A0B">
        <w:rPr>
          <w:iCs/>
          <w:sz w:val="20"/>
          <w:szCs w:val="20"/>
        </w:rPr>
        <w:t xml:space="preserve"> available </w:t>
      </w:r>
      <w:r w:rsidR="00B5322B">
        <w:rPr>
          <w:iCs/>
          <w:sz w:val="20"/>
          <w:szCs w:val="20"/>
        </w:rPr>
        <w:t xml:space="preserve">at </w:t>
      </w:r>
      <w:r w:rsidR="006A77B4">
        <w:rPr>
          <w:iCs/>
          <w:sz w:val="20"/>
          <w:szCs w:val="20"/>
        </w:rPr>
        <w:t>&lt;</w:t>
      </w:r>
      <w:hyperlink r:id="rId55" w:history="1">
        <w:r w:rsidR="006A77B4" w:rsidRPr="00BE40CB">
          <w:rPr>
            <w:rStyle w:val="Hyperlink"/>
            <w:i/>
            <w:sz w:val="20"/>
            <w:szCs w:val="20"/>
          </w:rPr>
          <w:t>https://scholarlycommons.law.northwestern.edu/njihr/vol6/iss3/4</w:t>
        </w:r>
      </w:hyperlink>
      <w:r w:rsidR="006A77B4">
        <w:rPr>
          <w:rStyle w:val="Hyperlink"/>
          <w:i/>
          <w:sz w:val="20"/>
          <w:szCs w:val="20"/>
        </w:rPr>
        <w:t>&gt;</w:t>
      </w:r>
      <w:r w:rsidRPr="00E76EA2">
        <w:rPr>
          <w:i/>
          <w:sz w:val="20"/>
          <w:szCs w:val="20"/>
        </w:rPr>
        <w:t xml:space="preserve"> </w:t>
      </w:r>
      <w:r w:rsidRPr="00E76EA2">
        <w:rPr>
          <w:sz w:val="20"/>
          <w:szCs w:val="20"/>
        </w:rPr>
        <w:t xml:space="preserve"> Last accessed 09</w:t>
      </w:r>
      <w:r w:rsidR="00E24A0B">
        <w:rPr>
          <w:sz w:val="20"/>
          <w:szCs w:val="20"/>
        </w:rPr>
        <w:t xml:space="preserve"> </w:t>
      </w:r>
      <w:r w:rsidRPr="00E76EA2">
        <w:rPr>
          <w:sz w:val="20"/>
          <w:szCs w:val="20"/>
        </w:rPr>
        <w:t>December 2019,540,541</w:t>
      </w:r>
    </w:p>
  </w:footnote>
  <w:footnote w:id="708">
    <w:p w14:paraId="295D72D5" w14:textId="77777777" w:rsidR="00C310AB" w:rsidRPr="00E76EA2" w:rsidRDefault="00C310AB" w:rsidP="00BE546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09">
    <w:p w14:paraId="5D6EB37D" w14:textId="1082FD52"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Ian Edwards, , “An Ambiguous </w:t>
      </w:r>
      <w:proofErr w:type="spellStart"/>
      <w:r w:rsidRPr="00E76EA2">
        <w:rPr>
          <w:sz w:val="20"/>
          <w:szCs w:val="20"/>
        </w:rPr>
        <w:t>Participant:The</w:t>
      </w:r>
      <w:proofErr w:type="spellEnd"/>
      <w:r w:rsidRPr="00E76EA2">
        <w:rPr>
          <w:sz w:val="20"/>
          <w:szCs w:val="20"/>
        </w:rPr>
        <w:t xml:space="preserve"> Crime Victim and Criminal Justice Decision-Making” (2004) 44 </w:t>
      </w:r>
      <w:r w:rsidRPr="006A77B4">
        <w:rPr>
          <w:i/>
          <w:iCs/>
          <w:sz w:val="20"/>
          <w:szCs w:val="20"/>
        </w:rPr>
        <w:t>British Journal of Criminology</w:t>
      </w:r>
      <w:r w:rsidRPr="00E76EA2">
        <w:rPr>
          <w:sz w:val="20"/>
          <w:szCs w:val="20"/>
        </w:rPr>
        <w:t xml:space="preserve"> 967-982;David Taylor, ‘Victim Participation in Transitional Justice </w:t>
      </w:r>
      <w:proofErr w:type="spellStart"/>
      <w:r w:rsidRPr="00E76EA2">
        <w:rPr>
          <w:sz w:val="20"/>
          <w:szCs w:val="20"/>
        </w:rPr>
        <w:t>Mechanism:Real</w:t>
      </w:r>
      <w:proofErr w:type="spellEnd"/>
      <w:r w:rsidRPr="00E76EA2">
        <w:rPr>
          <w:sz w:val="20"/>
          <w:szCs w:val="20"/>
        </w:rPr>
        <w:t xml:space="preserve"> Power or Empty Ritual ? (2014)Discussion Paper, Impunity Watch,</w:t>
      </w:r>
      <w:r w:rsidR="006A77B4" w:rsidRPr="006A77B4">
        <w:t xml:space="preserve"> </w:t>
      </w:r>
      <w:r w:rsidR="006A77B4">
        <w:t>available at&lt;</w:t>
      </w:r>
      <w:hyperlink r:id="rId56" w:history="1">
        <w:r w:rsidR="006A77B4">
          <w:rPr>
            <w:rStyle w:val="Hyperlink"/>
          </w:rPr>
          <w:t>DiscussionPaper_Victim_Participation_in_Transitional_Justice_2014_eng.pdf (impunitywatch.nl)</w:t>
        </w:r>
      </w:hyperlink>
      <w:r w:rsidR="006A77B4" w:rsidRPr="00E76EA2">
        <w:rPr>
          <w:sz w:val="20"/>
          <w:szCs w:val="20"/>
        </w:rPr>
        <w:t xml:space="preserve"> </w:t>
      </w:r>
      <w:r w:rsidR="006A77B4">
        <w:rPr>
          <w:sz w:val="20"/>
          <w:szCs w:val="20"/>
        </w:rPr>
        <w:t>&gt;</w:t>
      </w:r>
      <w:r w:rsidRPr="00E76EA2">
        <w:rPr>
          <w:sz w:val="20"/>
          <w:szCs w:val="20"/>
        </w:rPr>
        <w:t>24-27.</w:t>
      </w:r>
    </w:p>
  </w:footnote>
  <w:footnote w:id="710">
    <w:p w14:paraId="3494DCD6" w14:textId="77777777"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11">
    <w:p w14:paraId="4DE8CB71" w14:textId="77777777" w:rsidR="00C310AB" w:rsidRPr="00E76EA2" w:rsidRDefault="00C310AB" w:rsidP="00875E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68(3);Lubanga case, Katanga Case.</w:t>
      </w:r>
    </w:p>
  </w:footnote>
  <w:footnote w:id="712">
    <w:p w14:paraId="76D195C0" w14:textId="1CDB8FD6" w:rsidR="00C310AB" w:rsidRPr="00E76EA2" w:rsidRDefault="00C310AB" w:rsidP="00875E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w:t>
      </w:r>
      <w:r w:rsidR="004E2495">
        <w:rPr>
          <w:sz w:val="20"/>
          <w:szCs w:val="20"/>
        </w:rPr>
        <w:t xml:space="preserve"> </w:t>
      </w:r>
      <w:r w:rsidRPr="00E76EA2">
        <w:rPr>
          <w:sz w:val="20"/>
          <w:szCs w:val="20"/>
        </w:rPr>
        <w:t>Lubanga, Decision of the Appeals Chamber on the Joint Application of Victims a/0001/06 to a/0003/06 and a/0105/06 concerning the “Directions and Decision of the Appeals Chamber  of 2 February 2007  Appeal</w:t>
      </w:r>
      <w:r w:rsidR="00875EA3">
        <w:rPr>
          <w:sz w:val="20"/>
          <w:szCs w:val="20"/>
        </w:rPr>
        <w:t>s</w:t>
      </w:r>
      <w:r w:rsidRPr="00E76EA2">
        <w:rPr>
          <w:sz w:val="20"/>
          <w:szCs w:val="20"/>
        </w:rPr>
        <w:t xml:space="preserve"> Chamber, June 2007,ICC-01/04-01/06-925</w:t>
      </w:r>
      <w:r w:rsidR="00875EA3">
        <w:rPr>
          <w:sz w:val="20"/>
          <w:szCs w:val="20"/>
        </w:rPr>
        <w:t>.</w:t>
      </w:r>
    </w:p>
  </w:footnote>
  <w:footnote w:id="713">
    <w:p w14:paraId="616ACF93" w14:textId="77777777" w:rsidR="00C310AB" w:rsidRPr="00E76EA2" w:rsidRDefault="00C310AB" w:rsidP="00875E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Ian Edwards, ‘An Ambiguous Participant :The Crime Victim and Criminal Justice Decision-Making’ (2004) 44(6) </w:t>
      </w:r>
      <w:r w:rsidRPr="00E76EA2">
        <w:rPr>
          <w:i/>
          <w:sz w:val="20"/>
          <w:szCs w:val="20"/>
        </w:rPr>
        <w:t>British Journal of Criminology</w:t>
      </w:r>
      <w:r w:rsidRPr="00E76EA2">
        <w:rPr>
          <w:sz w:val="20"/>
          <w:szCs w:val="20"/>
        </w:rPr>
        <w:t>, 967,973.</w:t>
      </w:r>
    </w:p>
  </w:footnote>
  <w:footnote w:id="714">
    <w:p w14:paraId="2D13328D" w14:textId="4187A73B" w:rsidR="00C310AB" w:rsidRPr="00E76EA2" w:rsidRDefault="00C310AB" w:rsidP="00875E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Thomas Lubanga </w:t>
      </w:r>
      <w:proofErr w:type="spellStart"/>
      <w:r w:rsidRPr="00E76EA2">
        <w:rPr>
          <w:sz w:val="20"/>
          <w:szCs w:val="20"/>
        </w:rPr>
        <w:t>Dyilo</w:t>
      </w:r>
      <w:proofErr w:type="spellEnd"/>
      <w:r w:rsidRPr="00E76EA2">
        <w:rPr>
          <w:sz w:val="20"/>
          <w:szCs w:val="20"/>
        </w:rPr>
        <w:t xml:space="preserve">, The Oral Decision of Trial Chamber 1 on 18 January 2008 Trial 1, ICC-01/04-01/06.18 January 2008. </w:t>
      </w:r>
    </w:p>
  </w:footnote>
  <w:footnote w:id="715">
    <w:p w14:paraId="548725A9" w14:textId="684F0461" w:rsidR="00C310AB" w:rsidRPr="00E76EA2" w:rsidRDefault="00C310AB" w:rsidP="00875E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Separate and Dissenting opinion of Judge Rene Blattman,ICC-01/04-01/06-119, 18</w:t>
      </w:r>
      <w:r w:rsidR="00875EA3">
        <w:rPr>
          <w:sz w:val="20"/>
          <w:szCs w:val="20"/>
        </w:rPr>
        <w:t xml:space="preserve"> </w:t>
      </w:r>
      <w:r w:rsidRPr="00E76EA2">
        <w:rPr>
          <w:sz w:val="20"/>
          <w:szCs w:val="20"/>
        </w:rPr>
        <w:t>January 2008.</w:t>
      </w:r>
    </w:p>
  </w:footnote>
  <w:footnote w:id="716">
    <w:p w14:paraId="5FBCA773" w14:textId="4AE8A300"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Thomas Lubanga </w:t>
      </w:r>
      <w:proofErr w:type="spellStart"/>
      <w:r w:rsidRPr="00E76EA2">
        <w:rPr>
          <w:sz w:val="20"/>
          <w:szCs w:val="20"/>
        </w:rPr>
        <w:t>Dyilo</w:t>
      </w:r>
      <w:proofErr w:type="spellEnd"/>
      <w:r w:rsidRPr="00E76EA2">
        <w:rPr>
          <w:sz w:val="20"/>
          <w:szCs w:val="20"/>
        </w:rPr>
        <w:t>, Decision on Victims’ Participation, 18</w:t>
      </w:r>
      <w:r w:rsidR="006A77B4">
        <w:rPr>
          <w:sz w:val="20"/>
          <w:szCs w:val="20"/>
        </w:rPr>
        <w:t xml:space="preserve"> </w:t>
      </w:r>
      <w:r w:rsidRPr="00E76EA2">
        <w:rPr>
          <w:sz w:val="20"/>
          <w:szCs w:val="20"/>
        </w:rPr>
        <w:t>January</w:t>
      </w:r>
      <w:r w:rsidR="006A77B4">
        <w:rPr>
          <w:sz w:val="20"/>
          <w:szCs w:val="20"/>
        </w:rPr>
        <w:t>,</w:t>
      </w:r>
      <w:r w:rsidRPr="00E76EA2">
        <w:rPr>
          <w:sz w:val="20"/>
          <w:szCs w:val="20"/>
        </w:rPr>
        <w:t xml:space="preserve"> 2008 , Trial Chamber 1, ICC-01/04-01/06-1119,para.93-95</w:t>
      </w:r>
      <w:r w:rsidR="006A77B4">
        <w:rPr>
          <w:sz w:val="20"/>
          <w:szCs w:val="20"/>
        </w:rPr>
        <w:t>.</w:t>
      </w:r>
    </w:p>
  </w:footnote>
  <w:footnote w:id="717">
    <w:p w14:paraId="6370C58F" w14:textId="77777777"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paras.93.</w:t>
      </w:r>
    </w:p>
  </w:footnote>
  <w:footnote w:id="718">
    <w:p w14:paraId="7857F688" w14:textId="0C276A10"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Paras 102</w:t>
      </w:r>
      <w:r w:rsidR="006A77B4">
        <w:rPr>
          <w:sz w:val="20"/>
          <w:szCs w:val="20"/>
        </w:rPr>
        <w:t>.</w:t>
      </w:r>
    </w:p>
  </w:footnote>
  <w:footnote w:id="719">
    <w:p w14:paraId="6199BBB6" w14:textId="61F199BD"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Judgment on the Appeals of the Prosecutor and the Defence against Trial Chamber I’s Decision on Victims’ Participation of 18 January 2008, ICC-01/04-01/06, 11</w:t>
      </w:r>
      <w:r w:rsidR="006A77B4">
        <w:rPr>
          <w:sz w:val="20"/>
          <w:szCs w:val="20"/>
        </w:rPr>
        <w:t xml:space="preserve"> </w:t>
      </w:r>
      <w:r w:rsidRPr="00E76EA2">
        <w:rPr>
          <w:sz w:val="20"/>
          <w:szCs w:val="20"/>
        </w:rPr>
        <w:t>July</w:t>
      </w:r>
      <w:r w:rsidR="006A77B4">
        <w:rPr>
          <w:sz w:val="20"/>
          <w:szCs w:val="20"/>
        </w:rPr>
        <w:t>,</w:t>
      </w:r>
      <w:r w:rsidRPr="00E76EA2">
        <w:rPr>
          <w:sz w:val="20"/>
          <w:szCs w:val="20"/>
        </w:rPr>
        <w:t xml:space="preserve"> 2009</w:t>
      </w:r>
    </w:p>
  </w:footnote>
  <w:footnote w:id="720">
    <w:p w14:paraId="61C31C24" w14:textId="77777777"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21">
    <w:p w14:paraId="151B87EB" w14:textId="5F1CA34E"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Dissenting Opinion of Judge Pikis, Appeals Chamber Decision,11 July 2008</w:t>
      </w:r>
      <w:r w:rsidR="006A77B4">
        <w:rPr>
          <w:sz w:val="20"/>
          <w:szCs w:val="20"/>
        </w:rPr>
        <w:t>.</w:t>
      </w:r>
      <w:r w:rsidRPr="00E76EA2">
        <w:rPr>
          <w:sz w:val="20"/>
          <w:szCs w:val="20"/>
        </w:rPr>
        <w:t xml:space="preserve"> </w:t>
      </w:r>
    </w:p>
  </w:footnote>
  <w:footnote w:id="722">
    <w:p w14:paraId="5C39F8FE" w14:textId="77777777"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para.14.</w:t>
      </w:r>
    </w:p>
  </w:footnote>
  <w:footnote w:id="723">
    <w:p w14:paraId="2B6F0586" w14:textId="4E26C416" w:rsidR="00C310AB" w:rsidRPr="00E76EA2" w:rsidRDefault="00C310AB" w:rsidP="004E24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v.Lubanga</w:t>
      </w:r>
      <w:proofErr w:type="spellEnd"/>
      <w:r w:rsidRPr="00E76EA2">
        <w:rPr>
          <w:sz w:val="20"/>
          <w:szCs w:val="20"/>
        </w:rPr>
        <w:t xml:space="preserve"> Transcripts , ICC-01/04-01/06-T-30, Transcripts of 9 November 2006, excerpts of Mr </w:t>
      </w:r>
      <w:proofErr w:type="spellStart"/>
      <w:r w:rsidRPr="00E76EA2">
        <w:rPr>
          <w:sz w:val="20"/>
          <w:szCs w:val="20"/>
        </w:rPr>
        <w:t>Mulenda</w:t>
      </w:r>
      <w:proofErr w:type="spellEnd"/>
      <w:r w:rsidRPr="00E76EA2">
        <w:rPr>
          <w:sz w:val="20"/>
          <w:szCs w:val="20"/>
        </w:rPr>
        <w:t xml:space="preserve"> ,LRV of victim a/0001/06,a/0002/06 and a/0003/06</w:t>
      </w:r>
    </w:p>
  </w:footnote>
  <w:footnote w:id="724">
    <w:p w14:paraId="6EFAE87F" w14:textId="59C2073F" w:rsidR="00C310AB" w:rsidRPr="00E76EA2" w:rsidRDefault="00C310AB" w:rsidP="007B36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Lubanga , Transcripts ,28</w:t>
      </w:r>
      <w:r w:rsidR="007B3690">
        <w:rPr>
          <w:sz w:val="20"/>
          <w:szCs w:val="20"/>
        </w:rPr>
        <w:t xml:space="preserve"> </w:t>
      </w:r>
      <w:r w:rsidRPr="00E76EA2">
        <w:rPr>
          <w:sz w:val="20"/>
          <w:szCs w:val="20"/>
        </w:rPr>
        <w:t>November</w:t>
      </w:r>
      <w:r w:rsidR="006A77B4">
        <w:rPr>
          <w:sz w:val="20"/>
          <w:szCs w:val="20"/>
        </w:rPr>
        <w:t>,</w:t>
      </w:r>
      <w:r w:rsidRPr="00E76EA2">
        <w:rPr>
          <w:sz w:val="20"/>
          <w:szCs w:val="20"/>
        </w:rPr>
        <w:t xml:space="preserve"> 2006, p.45</w:t>
      </w:r>
    </w:p>
  </w:footnote>
  <w:footnote w:id="725">
    <w:p w14:paraId="1C60E0ED" w14:textId="6611F9C9" w:rsidR="00C310AB" w:rsidRPr="00E76EA2" w:rsidRDefault="00C310AB" w:rsidP="007B36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Edwards</w:t>
      </w:r>
      <w:r w:rsidR="007B3690">
        <w:rPr>
          <w:sz w:val="20"/>
          <w:szCs w:val="20"/>
        </w:rPr>
        <w:t>, 226</w:t>
      </w:r>
    </w:p>
  </w:footnote>
  <w:footnote w:id="726">
    <w:p w14:paraId="4BA1ADFA" w14:textId="77777777" w:rsidR="00C310AB" w:rsidRPr="00E76EA2" w:rsidRDefault="00C310AB" w:rsidP="007B369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27">
    <w:p w14:paraId="149C2D69" w14:textId="29098904"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Rule 89(1) and R.93.</w:t>
      </w:r>
    </w:p>
  </w:footnote>
  <w:footnote w:id="728">
    <w:p w14:paraId="4686C39A"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Jerome </w:t>
      </w:r>
      <w:proofErr w:type="spellStart"/>
      <w:r w:rsidRPr="00E76EA2">
        <w:rPr>
          <w:sz w:val="20"/>
          <w:szCs w:val="20"/>
        </w:rPr>
        <w:t>Hemptine</w:t>
      </w:r>
      <w:proofErr w:type="spellEnd"/>
      <w:r w:rsidRPr="00E76EA2">
        <w:rPr>
          <w:sz w:val="20"/>
          <w:szCs w:val="20"/>
        </w:rPr>
        <w:t xml:space="preserve">, ‘Challenges Raised by Victims’ Participation in the Proceedings of the Special Tribunal for Lebanon  (2010) </w:t>
      </w:r>
      <w:r w:rsidRPr="00E76EA2">
        <w:rPr>
          <w:i/>
          <w:sz w:val="20"/>
          <w:szCs w:val="20"/>
        </w:rPr>
        <w:t>Journal of International Criminal Justice</w:t>
      </w:r>
      <w:r w:rsidRPr="00E76EA2">
        <w:rPr>
          <w:sz w:val="20"/>
          <w:szCs w:val="20"/>
        </w:rPr>
        <w:t xml:space="preserve"> 8, 165-179</w:t>
      </w:r>
    </w:p>
  </w:footnote>
  <w:footnote w:id="729">
    <w:p w14:paraId="3B0AB619" w14:textId="4922D78C"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007B3690">
        <w:rPr>
          <w:sz w:val="20"/>
          <w:szCs w:val="20"/>
        </w:rPr>
        <w:t>Supra,</w:t>
      </w:r>
      <w:r w:rsidRPr="00E76EA2">
        <w:rPr>
          <w:sz w:val="20"/>
          <w:szCs w:val="20"/>
        </w:rPr>
        <w:t xml:space="preserve"> Edwards, </w:t>
      </w:r>
      <w:r w:rsidR="007B3690">
        <w:rPr>
          <w:sz w:val="20"/>
          <w:szCs w:val="20"/>
        </w:rPr>
        <w:t>226</w:t>
      </w:r>
      <w:r w:rsidR="00961ECD">
        <w:rPr>
          <w:sz w:val="20"/>
          <w:szCs w:val="20"/>
        </w:rPr>
        <w:t>.</w:t>
      </w:r>
    </w:p>
  </w:footnote>
  <w:footnote w:id="730">
    <w:p w14:paraId="24F8BE0B" w14:textId="58B3F518"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David Taylor,  “Victim participation in transitional justice mechanisms: real power or empty ritual” (2014) Discussion paper of Impunity watch, p.1-42</w:t>
      </w:r>
      <w:r w:rsidR="00961ECD">
        <w:rPr>
          <w:sz w:val="20"/>
          <w:szCs w:val="20"/>
        </w:rPr>
        <w:t>.</w:t>
      </w:r>
    </w:p>
  </w:footnote>
  <w:footnote w:id="731">
    <w:p w14:paraId="759F611E" w14:textId="0ACE6E64"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Wendy Lambourne, ‘Transitional Justice and Peacebuilding after Mass Violence, (2009) 3(1) </w:t>
      </w:r>
      <w:r w:rsidRPr="00E76EA2">
        <w:rPr>
          <w:i/>
          <w:sz w:val="20"/>
          <w:szCs w:val="20"/>
        </w:rPr>
        <w:t>International Journal of Transitional Justice</w:t>
      </w:r>
      <w:r w:rsidRPr="00E76EA2">
        <w:rPr>
          <w:sz w:val="20"/>
          <w:szCs w:val="20"/>
        </w:rPr>
        <w:t>, 28-48</w:t>
      </w:r>
      <w:r w:rsidR="00961ECD">
        <w:rPr>
          <w:sz w:val="20"/>
          <w:szCs w:val="20"/>
        </w:rPr>
        <w:t>.</w:t>
      </w:r>
    </w:p>
  </w:footnote>
  <w:footnote w:id="732">
    <w:p w14:paraId="5C50518C" w14:textId="580F294E"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Germain Katanga and Mathieu </w:t>
      </w:r>
      <w:proofErr w:type="spellStart"/>
      <w:r w:rsidRPr="00E76EA2">
        <w:rPr>
          <w:sz w:val="20"/>
          <w:szCs w:val="20"/>
        </w:rPr>
        <w:t>Ngudjolo</w:t>
      </w:r>
      <w:proofErr w:type="spellEnd"/>
      <w:r w:rsidRPr="00E76EA2">
        <w:rPr>
          <w:sz w:val="20"/>
          <w:szCs w:val="20"/>
        </w:rPr>
        <w:t xml:space="preserve"> Chui,  22 January 2010, Trial Chamber II,ICC-01/04-01/07-1788-tENG  P.23,ara.58</w:t>
      </w:r>
      <w:r w:rsidR="00961ECD">
        <w:rPr>
          <w:sz w:val="20"/>
          <w:szCs w:val="20"/>
        </w:rPr>
        <w:t>.</w:t>
      </w:r>
    </w:p>
  </w:footnote>
  <w:footnote w:id="733">
    <w:p w14:paraId="10553DBB" w14:textId="51FBEBD9"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the Congo, Prosecutor v. Lubanga, Concurring Opinion of Judge Pikis, Decision of the Appeals Chamber on Joint Application of Victims a/0001/06 to a/0009/06 and a/01015/05, Directions and Decision of the Appeal Chamber, February 2,2007. ICC-01/04-01/06 OA8</w:t>
      </w:r>
      <w:r w:rsidR="00961ECD">
        <w:rPr>
          <w:sz w:val="20"/>
          <w:szCs w:val="20"/>
        </w:rPr>
        <w:t>.</w:t>
      </w:r>
    </w:p>
  </w:footnote>
  <w:footnote w:id="734">
    <w:p w14:paraId="312DE88E" w14:textId="65CF2D71"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Katanga and </w:t>
      </w:r>
      <w:proofErr w:type="spellStart"/>
      <w:r w:rsidRPr="00E76EA2">
        <w:rPr>
          <w:sz w:val="20"/>
          <w:szCs w:val="20"/>
        </w:rPr>
        <w:t>Ngudjolo</w:t>
      </w:r>
      <w:proofErr w:type="spellEnd"/>
      <w:r w:rsidRPr="00E76EA2">
        <w:rPr>
          <w:sz w:val="20"/>
          <w:szCs w:val="20"/>
        </w:rPr>
        <w:t>, , ICC-01/04-01/07-1788-tENG, 22 January 2010, para. 110;Prosecutor v Lubanga, No.ICC-01/04-01/06-1119, 18 January 2008, para.133-134</w:t>
      </w:r>
      <w:r w:rsidR="00961ECD">
        <w:rPr>
          <w:sz w:val="20"/>
          <w:szCs w:val="20"/>
        </w:rPr>
        <w:t>.</w:t>
      </w:r>
    </w:p>
  </w:footnote>
  <w:footnote w:id="735">
    <w:p w14:paraId="493F5D36" w14:textId="360A9454"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Germain Katanga and Mathieu </w:t>
      </w:r>
      <w:proofErr w:type="spellStart"/>
      <w:r w:rsidRPr="00E76EA2">
        <w:rPr>
          <w:sz w:val="20"/>
          <w:szCs w:val="20"/>
        </w:rPr>
        <w:t>Ngudjolo</w:t>
      </w:r>
      <w:proofErr w:type="spellEnd"/>
      <w:r w:rsidRPr="00E76EA2">
        <w:rPr>
          <w:sz w:val="20"/>
          <w:szCs w:val="20"/>
        </w:rPr>
        <w:t xml:space="preserve"> Chui,  Trial Chamber II,ICC-01/04-01/07-17-1788-tENG , 22 January 2010,p 27, para.74</w:t>
      </w:r>
      <w:r w:rsidR="00961ECD">
        <w:rPr>
          <w:sz w:val="20"/>
          <w:szCs w:val="20"/>
        </w:rPr>
        <w:t>.</w:t>
      </w:r>
    </w:p>
  </w:footnote>
  <w:footnote w:id="736">
    <w:p w14:paraId="1EE7C15A"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w:t>
      </w:r>
      <w:proofErr w:type="spellStart"/>
      <w:r w:rsidRPr="00E76EA2">
        <w:rPr>
          <w:sz w:val="20"/>
          <w:szCs w:val="20"/>
        </w:rPr>
        <w:t>Dyilo</w:t>
      </w:r>
      <w:proofErr w:type="spellEnd"/>
      <w:r w:rsidRPr="00E76EA2">
        <w:rPr>
          <w:sz w:val="20"/>
          <w:szCs w:val="20"/>
        </w:rPr>
        <w:t xml:space="preserve">, "Decision of the Appeals Chamber on the Joint Application of Victims a/0001/06 to a/0003/06 and a/0105/06 concerning the 'Directions and Decision of the Appeals Chamber' of 2 February 2007" 13 June 2007 (ICC-01/04-01/06-925), Separate Opinion of Judge </w:t>
      </w:r>
      <w:proofErr w:type="spellStart"/>
      <w:r w:rsidRPr="00E76EA2">
        <w:rPr>
          <w:sz w:val="20"/>
          <w:szCs w:val="20"/>
        </w:rPr>
        <w:t>Georghios</w:t>
      </w:r>
      <w:proofErr w:type="spellEnd"/>
      <w:r w:rsidRPr="00E76EA2">
        <w:rPr>
          <w:sz w:val="20"/>
          <w:szCs w:val="20"/>
        </w:rPr>
        <w:t xml:space="preserve"> M. Pikis.</w:t>
      </w:r>
    </w:p>
  </w:footnote>
  <w:footnote w:id="737">
    <w:p w14:paraId="3BF16047"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Judge Pikis, Dissenting Opinion, p.42, para.15.</w:t>
      </w:r>
    </w:p>
  </w:footnote>
  <w:footnote w:id="738">
    <w:p w14:paraId="543B1A8A" w14:textId="1385649A"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w:t>
      </w:r>
      <w:proofErr w:type="spellStart"/>
      <w:r w:rsidRPr="00E76EA2">
        <w:rPr>
          <w:sz w:val="20"/>
          <w:szCs w:val="20"/>
        </w:rPr>
        <w:t>Congo,Status</w:t>
      </w:r>
      <w:proofErr w:type="spellEnd"/>
      <w:r w:rsidRPr="00E76EA2">
        <w:rPr>
          <w:sz w:val="20"/>
          <w:szCs w:val="20"/>
        </w:rPr>
        <w:t xml:space="preserve"> Conference (Open Session), ICC-01/04-01/06-t-101-ENG , 12 January 2009,P43,lines 15-25</w:t>
      </w:r>
      <w:r w:rsidR="00961ECD">
        <w:rPr>
          <w:sz w:val="20"/>
          <w:szCs w:val="20"/>
        </w:rPr>
        <w:t>.</w:t>
      </w:r>
    </w:p>
  </w:footnote>
  <w:footnote w:id="739">
    <w:p w14:paraId="7A760129"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Status Conference (Open Session), ICC-01/04-01/06-t-101-ENG , 12 January 2009,</w:t>
      </w:r>
    </w:p>
  </w:footnote>
  <w:footnote w:id="740">
    <w:p w14:paraId="1C178AB7"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41">
    <w:p w14:paraId="4E315C08" w14:textId="618D742D"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Decision on the request by victims a/0225/06, a/0229/06 and a/0270/07 to express their views and concerns in person and to present evidence during the trial, ICC-01/04-01/06-2032-Anx.,para.26</w:t>
      </w:r>
    </w:p>
  </w:footnote>
  <w:footnote w:id="742">
    <w:p w14:paraId="56A478AB"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43">
    <w:p w14:paraId="7EB6292F"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44">
    <w:p w14:paraId="44F48319" w14:textId="5C4A4251"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Thomas Lubanga </w:t>
      </w:r>
      <w:proofErr w:type="spellStart"/>
      <w:r w:rsidRPr="00E76EA2">
        <w:rPr>
          <w:sz w:val="20"/>
          <w:szCs w:val="20"/>
        </w:rPr>
        <w:t>Dyilo</w:t>
      </w:r>
      <w:proofErr w:type="spellEnd"/>
      <w:r w:rsidRPr="00E76EA2">
        <w:rPr>
          <w:sz w:val="20"/>
          <w:szCs w:val="20"/>
        </w:rPr>
        <w:t xml:space="preserve"> , Separate and Dissenting Opinion of Judge Rene </w:t>
      </w:r>
      <w:proofErr w:type="spellStart"/>
      <w:r w:rsidRPr="00E76EA2">
        <w:rPr>
          <w:sz w:val="20"/>
          <w:szCs w:val="20"/>
        </w:rPr>
        <w:t>Blattman</w:t>
      </w:r>
      <w:proofErr w:type="spellEnd"/>
      <w:r w:rsidRPr="00E76EA2">
        <w:rPr>
          <w:sz w:val="20"/>
          <w:szCs w:val="20"/>
        </w:rPr>
        <w:t xml:space="preserve"> to Decision on victim participation, Trial Chamber I, ICC-01/04-01/06-1119  18 January 2008, para 13.</w:t>
      </w:r>
    </w:p>
  </w:footnote>
  <w:footnote w:id="745">
    <w:p w14:paraId="6348DB4F" w14:textId="35D68EAE"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Ibid </w:t>
      </w:r>
      <w:r w:rsidR="00961ECD">
        <w:rPr>
          <w:sz w:val="20"/>
          <w:szCs w:val="20"/>
        </w:rPr>
        <w:t>,</w:t>
      </w:r>
      <w:r w:rsidR="006A77B4">
        <w:rPr>
          <w:sz w:val="20"/>
          <w:szCs w:val="20"/>
        </w:rPr>
        <w:t>p</w:t>
      </w:r>
      <w:r w:rsidRPr="00E76EA2">
        <w:rPr>
          <w:sz w:val="20"/>
          <w:szCs w:val="20"/>
        </w:rPr>
        <w:t>ara.14</w:t>
      </w:r>
    </w:p>
  </w:footnote>
  <w:footnote w:id="746">
    <w:p w14:paraId="61EEE443" w14:textId="45A4EF90"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Ian Edwards; ‘An Ambiguous </w:t>
      </w:r>
      <w:proofErr w:type="spellStart"/>
      <w:r w:rsidRPr="00E76EA2">
        <w:rPr>
          <w:sz w:val="20"/>
          <w:szCs w:val="20"/>
        </w:rPr>
        <w:t>Participant:The</w:t>
      </w:r>
      <w:proofErr w:type="spellEnd"/>
      <w:r w:rsidRPr="00E76EA2">
        <w:rPr>
          <w:sz w:val="20"/>
          <w:szCs w:val="20"/>
        </w:rPr>
        <w:t xml:space="preserve"> Crime Victim and Criminal Justice Decision-Making,(2004) 44(6) </w:t>
      </w:r>
      <w:r w:rsidRPr="00E76EA2">
        <w:rPr>
          <w:i/>
          <w:sz w:val="20"/>
          <w:szCs w:val="20"/>
        </w:rPr>
        <w:t>British Journal of Criminology,</w:t>
      </w:r>
      <w:r w:rsidRPr="00E76EA2">
        <w:rPr>
          <w:sz w:val="20"/>
          <w:szCs w:val="20"/>
        </w:rPr>
        <w:t xml:space="preserve"> 967-982; Impunity Watch, Discussion Paper, ‘Victim Participation in Transitional Justice </w:t>
      </w:r>
      <w:proofErr w:type="spellStart"/>
      <w:r w:rsidRPr="00E76EA2">
        <w:rPr>
          <w:sz w:val="20"/>
          <w:szCs w:val="20"/>
        </w:rPr>
        <w:t>Mechanisms:Real</w:t>
      </w:r>
      <w:proofErr w:type="spellEnd"/>
      <w:r w:rsidRPr="00E76EA2">
        <w:rPr>
          <w:sz w:val="20"/>
          <w:szCs w:val="20"/>
        </w:rPr>
        <w:t xml:space="preserve"> Power or Empty Ritual,(2014) Oak Foundation,1-42,25</w:t>
      </w:r>
    </w:p>
  </w:footnote>
  <w:footnote w:id="747">
    <w:p w14:paraId="24B7BF13" w14:textId="77777777" w:rsidR="00C310AB" w:rsidRPr="00E76EA2" w:rsidRDefault="00C310AB" w:rsidP="00961EC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Ibid </w:t>
      </w:r>
    </w:p>
  </w:footnote>
  <w:footnote w:id="748">
    <w:p w14:paraId="3EAE2CEF" w14:textId="5C17418C" w:rsidR="00C310AB" w:rsidRPr="00E76EA2" w:rsidRDefault="00C310AB" w:rsidP="001A2E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Impunity Watch, Discussion Paper, ‘Victim Participation in Transitional Justice </w:t>
      </w:r>
      <w:proofErr w:type="spellStart"/>
      <w:r w:rsidRPr="00E76EA2">
        <w:rPr>
          <w:sz w:val="20"/>
          <w:szCs w:val="20"/>
        </w:rPr>
        <w:t>Mechanisms:Real</w:t>
      </w:r>
      <w:proofErr w:type="spellEnd"/>
      <w:r w:rsidRPr="00E76EA2">
        <w:rPr>
          <w:sz w:val="20"/>
          <w:szCs w:val="20"/>
        </w:rPr>
        <w:t xml:space="preserve"> Power or Empty Ritual,(2014) Oak Foundation,p.1-42.,25</w:t>
      </w:r>
    </w:p>
  </w:footnote>
  <w:footnote w:id="749">
    <w:p w14:paraId="3AFE9727" w14:textId="5B4D5A70" w:rsidR="00C310AB" w:rsidRPr="00E76EA2" w:rsidRDefault="00C310AB" w:rsidP="001A2E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Impunity Watch, Discussion Paper, ‘Victim Participation in Transitional Justice </w:t>
      </w:r>
      <w:proofErr w:type="spellStart"/>
      <w:r w:rsidRPr="00E76EA2">
        <w:rPr>
          <w:sz w:val="20"/>
          <w:szCs w:val="20"/>
        </w:rPr>
        <w:t>Mechanisms:Real</w:t>
      </w:r>
      <w:proofErr w:type="spellEnd"/>
      <w:r w:rsidRPr="00E76EA2">
        <w:rPr>
          <w:sz w:val="20"/>
          <w:szCs w:val="20"/>
        </w:rPr>
        <w:t xml:space="preserve"> Power or Empty Ritual,(2014)</w:t>
      </w:r>
      <w:r w:rsidR="006A77B4">
        <w:rPr>
          <w:sz w:val="20"/>
          <w:szCs w:val="20"/>
        </w:rPr>
        <w:t xml:space="preserve">Impunity Watch </w:t>
      </w:r>
      <w:r w:rsidRPr="00E76EA2">
        <w:rPr>
          <w:sz w:val="20"/>
          <w:szCs w:val="20"/>
        </w:rPr>
        <w:t>,p.1-42.</w:t>
      </w:r>
    </w:p>
  </w:footnote>
  <w:footnote w:id="750">
    <w:p w14:paraId="53F99433" w14:textId="22A7029C" w:rsidR="00C310AB" w:rsidRPr="00E76EA2" w:rsidRDefault="00C310AB" w:rsidP="001A2E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Vladimir </w:t>
      </w:r>
      <w:proofErr w:type="spellStart"/>
      <w:r w:rsidRPr="00E76EA2">
        <w:rPr>
          <w:sz w:val="20"/>
          <w:szCs w:val="20"/>
        </w:rPr>
        <w:t>Tochilovsky</w:t>
      </w:r>
      <w:proofErr w:type="spellEnd"/>
      <w:r w:rsidRPr="00E76EA2">
        <w:rPr>
          <w:sz w:val="20"/>
          <w:szCs w:val="20"/>
        </w:rPr>
        <w:t xml:space="preserve">, “Victims’ Procedural Rights at </w:t>
      </w:r>
      <w:proofErr w:type="spellStart"/>
      <w:r w:rsidRPr="00E76EA2">
        <w:rPr>
          <w:sz w:val="20"/>
          <w:szCs w:val="20"/>
        </w:rPr>
        <w:t>Trial:Approach</w:t>
      </w:r>
      <w:proofErr w:type="spellEnd"/>
      <w:r w:rsidRPr="00E76EA2">
        <w:rPr>
          <w:sz w:val="20"/>
          <w:szCs w:val="20"/>
        </w:rPr>
        <w:t xml:space="preserve"> of Continental Europe and the International Tribunal for the Former Yugoslavia” </w:t>
      </w:r>
      <w:r w:rsidR="001A2E0B">
        <w:rPr>
          <w:sz w:val="20"/>
          <w:szCs w:val="20"/>
        </w:rPr>
        <w:t>I</w:t>
      </w:r>
      <w:r w:rsidRPr="00E76EA2">
        <w:rPr>
          <w:sz w:val="20"/>
          <w:szCs w:val="20"/>
        </w:rPr>
        <w:t xml:space="preserve">n Van Dijk (ed) </w:t>
      </w:r>
      <w:r w:rsidRPr="00E76EA2">
        <w:rPr>
          <w:i/>
          <w:sz w:val="20"/>
          <w:szCs w:val="20"/>
        </w:rPr>
        <w:t xml:space="preserve">Caring for Crime </w:t>
      </w:r>
      <w:proofErr w:type="spellStart"/>
      <w:r w:rsidRPr="00E76EA2">
        <w:rPr>
          <w:i/>
          <w:sz w:val="20"/>
          <w:szCs w:val="20"/>
        </w:rPr>
        <w:t>Victims:Selected</w:t>
      </w:r>
      <w:proofErr w:type="spellEnd"/>
      <w:r w:rsidRPr="00E76EA2">
        <w:rPr>
          <w:i/>
          <w:sz w:val="20"/>
          <w:szCs w:val="20"/>
        </w:rPr>
        <w:t xml:space="preserve"> Proceedings of the 9</w:t>
      </w:r>
      <w:r w:rsidRPr="00E76EA2">
        <w:rPr>
          <w:i/>
          <w:sz w:val="20"/>
          <w:szCs w:val="20"/>
          <w:vertAlign w:val="superscript"/>
        </w:rPr>
        <w:t>th</w:t>
      </w:r>
      <w:r w:rsidRPr="00E76EA2">
        <w:rPr>
          <w:i/>
          <w:sz w:val="20"/>
          <w:szCs w:val="20"/>
        </w:rPr>
        <w:t xml:space="preserve"> International Symposium on Victimology </w:t>
      </w:r>
      <w:r w:rsidRPr="00E76EA2">
        <w:rPr>
          <w:sz w:val="20"/>
          <w:szCs w:val="20"/>
        </w:rPr>
        <w:t>(Criminal Justice Press 1999)287-291</w:t>
      </w:r>
    </w:p>
  </w:footnote>
  <w:footnote w:id="751">
    <w:p w14:paraId="28B74AFC" w14:textId="56AB2CCE" w:rsidR="00C310AB" w:rsidRPr="00E76EA2" w:rsidRDefault="00C310AB" w:rsidP="001A2E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w:t>
      </w:r>
      <w:proofErr w:type="spellStart"/>
      <w:r w:rsidRPr="00E76EA2">
        <w:rPr>
          <w:sz w:val="20"/>
          <w:szCs w:val="20"/>
        </w:rPr>
        <w:t>Congo,Judgment</w:t>
      </w:r>
      <w:proofErr w:type="spellEnd"/>
      <w:r w:rsidRPr="00E76EA2">
        <w:rPr>
          <w:sz w:val="20"/>
          <w:szCs w:val="20"/>
        </w:rPr>
        <w:t xml:space="preserve"> on victim participation in the investigation stage of the proceedings in the appeal of the OPCD against the decision of Pre-Trial Chamber I of 7December 2007 and in the appeals of the OPCD and the Prosecutor against the decision of Pre-Trial Chamber I of 24 December 2007, Arguments of </w:t>
      </w:r>
      <w:proofErr w:type="spellStart"/>
      <w:r w:rsidRPr="00E76EA2">
        <w:rPr>
          <w:sz w:val="20"/>
          <w:szCs w:val="20"/>
        </w:rPr>
        <w:t>he</w:t>
      </w:r>
      <w:proofErr w:type="spellEnd"/>
      <w:r w:rsidRPr="00E76EA2">
        <w:rPr>
          <w:sz w:val="20"/>
          <w:szCs w:val="20"/>
        </w:rPr>
        <w:t xml:space="preserve"> appellant(Prosecutor) in OA6, 19 December 2008, ICC-01/04-556,P.11,Para.22(C)</w:t>
      </w:r>
    </w:p>
  </w:footnote>
  <w:footnote w:id="752">
    <w:p w14:paraId="13588994" w14:textId="77777777" w:rsidR="00C310AB" w:rsidRPr="00E76EA2" w:rsidRDefault="00C310AB" w:rsidP="001A2E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ICC-01/04-01/06-1135;ICC-01/04-01/06-1136;Decision Granting Leave to Appeal.</w:t>
      </w:r>
    </w:p>
  </w:footnote>
  <w:footnote w:id="753">
    <w:p w14:paraId="46A2AB13" w14:textId="77777777" w:rsidR="00C310AB" w:rsidRPr="00E76EA2" w:rsidRDefault="00C310AB" w:rsidP="001A2E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54">
    <w:p w14:paraId="6989D1DA" w14:textId="77777777" w:rsidR="00C310AB" w:rsidRPr="00E76EA2" w:rsidRDefault="00C310AB" w:rsidP="0088776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ICC-01/04-01/06,18 January 2008.</w:t>
      </w:r>
    </w:p>
  </w:footnote>
  <w:footnote w:id="755">
    <w:p w14:paraId="67448789" w14:textId="77777777" w:rsidR="00C310AB" w:rsidRPr="00E76EA2" w:rsidRDefault="00C310AB" w:rsidP="0088776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ICC-01/04-01/06-1219, paragraph 2.</w:t>
      </w:r>
    </w:p>
  </w:footnote>
  <w:footnote w:id="756">
    <w:p w14:paraId="4B108FD3" w14:textId="77777777" w:rsidR="00C310AB" w:rsidRPr="00E76EA2" w:rsidRDefault="00C310AB" w:rsidP="0088776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66(2).</w:t>
      </w:r>
    </w:p>
  </w:footnote>
  <w:footnote w:id="757">
    <w:p w14:paraId="1C8A68BF" w14:textId="6710C25C" w:rsidR="00C310AB" w:rsidRPr="00E76EA2" w:rsidRDefault="00C310AB" w:rsidP="0088776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58">
    <w:p w14:paraId="6F9367F8" w14:textId="77777777" w:rsidR="00C310AB" w:rsidRPr="00E76EA2" w:rsidRDefault="00C310AB" w:rsidP="0088776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59">
    <w:p w14:paraId="050879F3" w14:textId="77777777" w:rsidR="00C310AB" w:rsidRPr="00E76EA2" w:rsidRDefault="00C310AB" w:rsidP="0088776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,p.27, para.78.</w:t>
      </w:r>
    </w:p>
  </w:footnote>
  <w:footnote w:id="760">
    <w:p w14:paraId="313B25A3" w14:textId="0272EA0F" w:rsidR="00C310AB" w:rsidRPr="00E76EA2" w:rsidRDefault="00C310AB" w:rsidP="003179D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paras 80-82.</w:t>
      </w:r>
    </w:p>
  </w:footnote>
  <w:footnote w:id="761">
    <w:p w14:paraId="451FA732" w14:textId="33740E07" w:rsidR="00C310AB" w:rsidRPr="00E76EA2" w:rsidRDefault="00C310AB" w:rsidP="003179D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36, para.109.</w:t>
      </w:r>
    </w:p>
  </w:footnote>
  <w:footnote w:id="762">
    <w:p w14:paraId="34C27941" w14:textId="77777777" w:rsidR="00C310AB" w:rsidRPr="00E76EA2" w:rsidRDefault="00C310AB" w:rsidP="003179DD">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w:t>
      </w:r>
      <w:proofErr w:type="spellStart"/>
      <w:r w:rsidRPr="00E76EA2">
        <w:rPr>
          <w:sz w:val="20"/>
          <w:szCs w:val="20"/>
          <w:lang w:val="fr-FR"/>
        </w:rPr>
        <w:t>Prosecutor</w:t>
      </w:r>
      <w:proofErr w:type="spellEnd"/>
      <w:r w:rsidRPr="00E76EA2">
        <w:rPr>
          <w:sz w:val="20"/>
          <w:szCs w:val="20"/>
          <w:lang w:val="fr-FR"/>
        </w:rPr>
        <w:t xml:space="preserve"> v Lubanga </w:t>
      </w:r>
      <w:proofErr w:type="spellStart"/>
      <w:r w:rsidRPr="00E76EA2">
        <w:rPr>
          <w:sz w:val="20"/>
          <w:szCs w:val="20"/>
          <w:lang w:val="fr-FR"/>
        </w:rPr>
        <w:t>Dyilo</w:t>
      </w:r>
      <w:proofErr w:type="spellEnd"/>
      <w:r w:rsidRPr="00E76EA2">
        <w:rPr>
          <w:sz w:val="20"/>
          <w:szCs w:val="20"/>
          <w:lang w:val="fr-FR"/>
        </w:rPr>
        <w:t xml:space="preserve"> "Réponse à la demande des victimes a/0001/06, a/0002/06, a/0003/06 et a/0105/06 d'autorisation de participation à la procédure en appel de la décision de confirmation des charges" 11 May 2007 (ICC-01/04-01/06-901) and the </w:t>
      </w:r>
      <w:proofErr w:type="spellStart"/>
      <w:r w:rsidRPr="00E76EA2">
        <w:rPr>
          <w:sz w:val="20"/>
          <w:szCs w:val="20"/>
          <w:lang w:val="fr-FR"/>
        </w:rPr>
        <w:t>annex</w:t>
      </w:r>
      <w:proofErr w:type="spellEnd"/>
      <w:r w:rsidRPr="00E76EA2">
        <w:rPr>
          <w:sz w:val="20"/>
          <w:szCs w:val="20"/>
          <w:lang w:val="fr-FR"/>
        </w:rPr>
        <w:t xml:space="preserve"> </w:t>
      </w:r>
      <w:proofErr w:type="spellStart"/>
      <w:r w:rsidRPr="00E76EA2">
        <w:rPr>
          <w:sz w:val="20"/>
          <w:szCs w:val="20"/>
          <w:lang w:val="fr-FR"/>
        </w:rPr>
        <w:t>thereto</w:t>
      </w:r>
      <w:proofErr w:type="spellEnd"/>
      <w:r w:rsidRPr="00E76EA2">
        <w:rPr>
          <w:sz w:val="20"/>
          <w:szCs w:val="20"/>
          <w:lang w:val="fr-FR"/>
        </w:rPr>
        <w:t xml:space="preserve"> ICC-01/04-01/06-925  13-06-2007 ,P.14,par 7</w:t>
      </w:r>
    </w:p>
  </w:footnote>
  <w:footnote w:id="763">
    <w:p w14:paraId="23B27959" w14:textId="77777777" w:rsidR="00C310AB" w:rsidRPr="00E76EA2" w:rsidRDefault="00C310AB" w:rsidP="00DD40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64">
    <w:p w14:paraId="10E610CB" w14:textId="77777777" w:rsidR="00C310AB" w:rsidRPr="00E76EA2" w:rsidRDefault="00C310AB" w:rsidP="00DD40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65">
    <w:p w14:paraId="57489729" w14:textId="0D89EA5D" w:rsidR="00C310AB" w:rsidRPr="00E76EA2" w:rsidRDefault="00C310AB" w:rsidP="00DD40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Antonio </w:t>
      </w:r>
      <w:proofErr w:type="spellStart"/>
      <w:r w:rsidRPr="00E76EA2">
        <w:rPr>
          <w:sz w:val="20"/>
          <w:szCs w:val="20"/>
        </w:rPr>
        <w:t>Cassese,</w:t>
      </w:r>
      <w:r w:rsidRPr="00E76EA2">
        <w:rPr>
          <w:i/>
          <w:iCs/>
          <w:sz w:val="20"/>
          <w:szCs w:val="20"/>
        </w:rPr>
        <w:t>International</w:t>
      </w:r>
      <w:proofErr w:type="spellEnd"/>
      <w:r w:rsidRPr="00E76EA2">
        <w:rPr>
          <w:i/>
          <w:iCs/>
          <w:sz w:val="20"/>
          <w:szCs w:val="20"/>
        </w:rPr>
        <w:t xml:space="preserve"> Criminal Law</w:t>
      </w:r>
      <w:r w:rsidRPr="00E76EA2">
        <w:rPr>
          <w:sz w:val="20"/>
          <w:szCs w:val="20"/>
        </w:rPr>
        <w:t>(Oxford University Press 2003)269</w:t>
      </w:r>
      <w:r w:rsidR="00DD40C5">
        <w:rPr>
          <w:sz w:val="20"/>
          <w:szCs w:val="20"/>
        </w:rPr>
        <w:t>.</w:t>
      </w:r>
    </w:p>
  </w:footnote>
  <w:footnote w:id="766">
    <w:p w14:paraId="30124A85" w14:textId="4188D093" w:rsidR="00C310AB" w:rsidRPr="00E76EA2" w:rsidRDefault="00C310AB" w:rsidP="00DD40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Schabas, </w:t>
      </w:r>
      <w:r w:rsidRPr="00E76EA2">
        <w:rPr>
          <w:i/>
          <w:iCs/>
          <w:sz w:val="20"/>
          <w:szCs w:val="20"/>
        </w:rPr>
        <w:t xml:space="preserve">An </w:t>
      </w:r>
      <w:r w:rsidRPr="00E76EA2">
        <w:rPr>
          <w:sz w:val="20"/>
          <w:szCs w:val="20"/>
        </w:rPr>
        <w:t>Introduction</w:t>
      </w:r>
      <w:r w:rsidRPr="00E76EA2">
        <w:rPr>
          <w:i/>
          <w:iCs/>
          <w:sz w:val="20"/>
          <w:szCs w:val="20"/>
        </w:rPr>
        <w:t xml:space="preserve"> to the International Criminal Court(</w:t>
      </w:r>
      <w:r w:rsidRPr="00E76EA2">
        <w:rPr>
          <w:sz w:val="20"/>
          <w:szCs w:val="20"/>
        </w:rPr>
        <w:t>Cambridge University Press 2010)326,327</w:t>
      </w:r>
    </w:p>
  </w:footnote>
  <w:footnote w:id="767">
    <w:p w14:paraId="4C134E11" w14:textId="6CEAC824" w:rsidR="00C310AB" w:rsidRPr="00E76EA2" w:rsidRDefault="00C310AB" w:rsidP="00DD40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68">
    <w:p w14:paraId="7C3233C9" w14:textId="19787687" w:rsidR="00C310AB" w:rsidRPr="006A77B4" w:rsidRDefault="00C310AB" w:rsidP="00D660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Christine Van den </w:t>
      </w:r>
      <w:proofErr w:type="spellStart"/>
      <w:r w:rsidRPr="00E76EA2">
        <w:rPr>
          <w:sz w:val="20"/>
          <w:szCs w:val="20"/>
        </w:rPr>
        <w:t>Wyngaert</w:t>
      </w:r>
      <w:proofErr w:type="spellEnd"/>
      <w:r w:rsidRPr="00E76EA2">
        <w:rPr>
          <w:sz w:val="20"/>
          <w:szCs w:val="20"/>
        </w:rPr>
        <w:t xml:space="preserve">, “Victims before International Criminal </w:t>
      </w:r>
      <w:proofErr w:type="spellStart"/>
      <w:r w:rsidRPr="00E76EA2">
        <w:rPr>
          <w:sz w:val="20"/>
          <w:szCs w:val="20"/>
        </w:rPr>
        <w:t>Court:Some</w:t>
      </w:r>
      <w:proofErr w:type="spellEnd"/>
      <w:r w:rsidRPr="00E76EA2">
        <w:rPr>
          <w:sz w:val="20"/>
          <w:szCs w:val="20"/>
        </w:rPr>
        <w:t xml:space="preserve"> Views and Concerns of an </w:t>
      </w:r>
      <w:proofErr w:type="spellStart"/>
      <w:r w:rsidRPr="00E76EA2">
        <w:rPr>
          <w:sz w:val="20"/>
          <w:szCs w:val="20"/>
        </w:rPr>
        <w:t>ICC”Trial</w:t>
      </w:r>
      <w:proofErr w:type="spellEnd"/>
      <w:r w:rsidRPr="00E76EA2">
        <w:rPr>
          <w:sz w:val="20"/>
          <w:szCs w:val="20"/>
        </w:rPr>
        <w:t xml:space="preserve"> Judge”(2012) </w:t>
      </w:r>
      <w:r w:rsidRPr="00E76EA2">
        <w:rPr>
          <w:i/>
          <w:iCs/>
          <w:sz w:val="20"/>
          <w:szCs w:val="20"/>
        </w:rPr>
        <w:t>44Case Western Reserve Journal of International Law ,</w:t>
      </w:r>
      <w:r w:rsidRPr="006A77B4">
        <w:rPr>
          <w:sz w:val="20"/>
          <w:szCs w:val="20"/>
        </w:rPr>
        <w:t>475-496</w:t>
      </w:r>
      <w:r w:rsidR="006A77B4" w:rsidRPr="006A77B4">
        <w:rPr>
          <w:sz w:val="20"/>
          <w:szCs w:val="20"/>
        </w:rPr>
        <w:t>,p.</w:t>
      </w:r>
      <w:r w:rsidRPr="006A77B4">
        <w:rPr>
          <w:sz w:val="20"/>
          <w:szCs w:val="20"/>
        </w:rPr>
        <w:t>485</w:t>
      </w:r>
    </w:p>
  </w:footnote>
  <w:footnote w:id="769">
    <w:p w14:paraId="194419D7" w14:textId="380E67E5" w:rsidR="00C310AB" w:rsidRPr="00E76EA2" w:rsidRDefault="00C310AB" w:rsidP="00D660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Schabas, </w:t>
      </w:r>
      <w:r w:rsidRPr="00E76EA2">
        <w:rPr>
          <w:i/>
          <w:iCs/>
          <w:sz w:val="20"/>
          <w:szCs w:val="20"/>
        </w:rPr>
        <w:t xml:space="preserve">An </w:t>
      </w:r>
      <w:r w:rsidRPr="00E76EA2">
        <w:rPr>
          <w:sz w:val="20"/>
          <w:szCs w:val="20"/>
        </w:rPr>
        <w:t>Introduction</w:t>
      </w:r>
      <w:r w:rsidRPr="00E76EA2">
        <w:rPr>
          <w:i/>
          <w:iCs/>
          <w:sz w:val="20"/>
          <w:szCs w:val="20"/>
        </w:rPr>
        <w:t xml:space="preserve"> to the International Criminal Court(</w:t>
      </w:r>
      <w:r w:rsidRPr="00E76EA2">
        <w:rPr>
          <w:sz w:val="20"/>
          <w:szCs w:val="20"/>
        </w:rPr>
        <w:t>Cambridge University Press 2010)326,327</w:t>
      </w:r>
      <w:r w:rsidR="00DD40C5">
        <w:rPr>
          <w:sz w:val="20"/>
          <w:szCs w:val="20"/>
        </w:rPr>
        <w:t>.</w:t>
      </w:r>
    </w:p>
  </w:footnote>
  <w:footnote w:id="770">
    <w:p w14:paraId="30698802" w14:textId="4EC04C3F" w:rsidR="00C310AB" w:rsidRPr="00E76EA2" w:rsidRDefault="00C310AB" w:rsidP="00D660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Katanga and </w:t>
      </w:r>
      <w:proofErr w:type="spellStart"/>
      <w:r w:rsidRPr="00E76EA2">
        <w:rPr>
          <w:sz w:val="20"/>
          <w:szCs w:val="20"/>
        </w:rPr>
        <w:t>Ngudjolo</w:t>
      </w:r>
      <w:proofErr w:type="spellEnd"/>
      <w:r w:rsidRPr="00E76EA2">
        <w:rPr>
          <w:sz w:val="20"/>
          <w:szCs w:val="20"/>
        </w:rPr>
        <w:t>, Decision on the Set of Procedural Rights Attached to Procedural Status of Victims at the Pre-Trial Stage of the Case, ICC-01/04-01/07-474, 13 May 2008, para.32</w:t>
      </w:r>
      <w:r w:rsidR="00DD40C5">
        <w:rPr>
          <w:sz w:val="20"/>
          <w:szCs w:val="20"/>
        </w:rPr>
        <w:t>.</w:t>
      </w:r>
    </w:p>
  </w:footnote>
  <w:footnote w:id="771">
    <w:p w14:paraId="651EFDD5" w14:textId="77777777" w:rsidR="00C310AB" w:rsidRPr="00E76EA2" w:rsidRDefault="00C310AB" w:rsidP="0089478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Germain Katanga and Mathieu  </w:t>
      </w:r>
      <w:proofErr w:type="spellStart"/>
      <w:r w:rsidRPr="00E76EA2">
        <w:rPr>
          <w:sz w:val="20"/>
          <w:szCs w:val="20"/>
        </w:rPr>
        <w:t>Ngudjolo</w:t>
      </w:r>
      <w:proofErr w:type="spellEnd"/>
      <w:r w:rsidRPr="00E76EA2">
        <w:rPr>
          <w:sz w:val="20"/>
          <w:szCs w:val="20"/>
        </w:rPr>
        <w:t xml:space="preserve"> Chui, Decision on the modalities of victim participation at Trial ,  ICC-01/04-01/07-1788 16/46 22 January 2010p.16, para36</w:t>
      </w:r>
    </w:p>
  </w:footnote>
  <w:footnote w:id="772">
    <w:p w14:paraId="70FCB628" w14:textId="77777777" w:rsidR="00C310AB" w:rsidRPr="00E76EA2" w:rsidRDefault="00C310AB" w:rsidP="0089478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,para.37 </w:t>
      </w:r>
    </w:p>
  </w:footnote>
  <w:footnote w:id="773">
    <w:p w14:paraId="29E51E4F" w14:textId="3D67E7A5" w:rsidR="00C310AB" w:rsidRPr="00E76EA2" w:rsidRDefault="00C310AB" w:rsidP="0089478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v.Germain</w:t>
      </w:r>
      <w:proofErr w:type="spellEnd"/>
      <w:r w:rsidRPr="00E76EA2">
        <w:rPr>
          <w:sz w:val="20"/>
          <w:szCs w:val="20"/>
        </w:rPr>
        <w:t xml:space="preserve"> Katanga  and Mathieu </w:t>
      </w:r>
      <w:proofErr w:type="spellStart"/>
      <w:r w:rsidRPr="00E76EA2">
        <w:rPr>
          <w:sz w:val="20"/>
          <w:szCs w:val="20"/>
        </w:rPr>
        <w:t>Ngudjolo</w:t>
      </w:r>
      <w:proofErr w:type="spellEnd"/>
      <w:r w:rsidRPr="00E76EA2">
        <w:rPr>
          <w:sz w:val="20"/>
          <w:szCs w:val="20"/>
        </w:rPr>
        <w:t xml:space="preserve"> Chui, Trial Chamber II,ICC-01/04-01/07-1788-tENG, 22 January 2010 p.32, para.90</w:t>
      </w:r>
      <w:r w:rsidR="006A77B4">
        <w:rPr>
          <w:sz w:val="20"/>
          <w:szCs w:val="20"/>
        </w:rPr>
        <w:t>.</w:t>
      </w:r>
    </w:p>
  </w:footnote>
  <w:footnote w:id="774">
    <w:p w14:paraId="55C88740" w14:textId="4E1F0EB8"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Transcript of hearing on 30 October 2007, ICC-01/04-01/06-T58-ENG,page 17,lines 17-24</w:t>
      </w:r>
    </w:p>
  </w:footnote>
  <w:footnote w:id="775">
    <w:p w14:paraId="08F99831" w14:textId="77777777"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Decision on victims’ participation, 18 January 2009, ICC-01/04-01/06-119</w:t>
      </w:r>
    </w:p>
  </w:footnote>
  <w:footnote w:id="776">
    <w:p w14:paraId="6A503F87" w14:textId="1AAA6E6D"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Decision on certain practicalities regarding individuals who have the dual </w:t>
      </w:r>
      <w:proofErr w:type="spellStart"/>
      <w:r w:rsidRPr="00E76EA2">
        <w:rPr>
          <w:sz w:val="20"/>
          <w:szCs w:val="20"/>
        </w:rPr>
        <w:t>ststus</w:t>
      </w:r>
      <w:proofErr w:type="spellEnd"/>
      <w:r w:rsidRPr="00E76EA2">
        <w:rPr>
          <w:sz w:val="20"/>
          <w:szCs w:val="20"/>
        </w:rPr>
        <w:t xml:space="preserve"> of witness and victim, ICC-01/04-01/06-1379, 5June 2008,Trial Chamber,p.4 Para.6(b)</w:t>
      </w:r>
      <w:r w:rsidR="006A77B4">
        <w:rPr>
          <w:sz w:val="20"/>
          <w:szCs w:val="20"/>
        </w:rPr>
        <w:t>.</w:t>
      </w:r>
    </w:p>
  </w:footnote>
  <w:footnote w:id="777">
    <w:p w14:paraId="23A212EF" w14:textId="5919D90A"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Decision on certain practicalities regarding individuals </w:t>
      </w:r>
      <w:proofErr w:type="spellStart"/>
      <w:r w:rsidRPr="00E76EA2">
        <w:rPr>
          <w:sz w:val="20"/>
          <w:szCs w:val="20"/>
        </w:rPr>
        <w:t>whohave</w:t>
      </w:r>
      <w:proofErr w:type="spellEnd"/>
      <w:r w:rsidRPr="00E76EA2">
        <w:rPr>
          <w:sz w:val="20"/>
          <w:szCs w:val="20"/>
        </w:rPr>
        <w:t xml:space="preserve"> the dual status of witness and victim, 5June 2009, ICC-01/04-01/06-1379.para.52.</w:t>
      </w:r>
    </w:p>
  </w:footnote>
  <w:footnote w:id="778">
    <w:p w14:paraId="1BBD1C17" w14:textId="562E6D2C"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The Prosecutor v Germain Katanga and Mathieu </w:t>
      </w:r>
      <w:proofErr w:type="spellStart"/>
      <w:r w:rsidRPr="00E76EA2">
        <w:rPr>
          <w:sz w:val="20"/>
          <w:szCs w:val="20"/>
        </w:rPr>
        <w:t>Ngudjolo</w:t>
      </w:r>
      <w:proofErr w:type="spellEnd"/>
      <w:r w:rsidRPr="00E76EA2">
        <w:rPr>
          <w:sz w:val="20"/>
          <w:szCs w:val="20"/>
        </w:rPr>
        <w:t xml:space="preserve"> Chui, Decision on the Application for Participation of Witness 166, ICC-01/04-01/07-632, Pre-trial Chamber  23 June 2008</w:t>
      </w:r>
      <w:r w:rsidR="006A77B4">
        <w:rPr>
          <w:sz w:val="20"/>
          <w:szCs w:val="20"/>
        </w:rPr>
        <w:t>.</w:t>
      </w:r>
    </w:p>
  </w:footnote>
  <w:footnote w:id="779">
    <w:p w14:paraId="1FE2BC37" w14:textId="175B18B4" w:rsidR="00C310AB" w:rsidRPr="00E76EA2" w:rsidRDefault="00C310AB" w:rsidP="008B716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Thomas Lubanga, ICC-01/04-01/07-1119,18 January 2008 paras132-134.</w:t>
      </w:r>
    </w:p>
  </w:footnote>
  <w:footnote w:id="780">
    <w:p w14:paraId="585B5069" w14:textId="77777777" w:rsidR="00C310AB" w:rsidRPr="00E76EA2" w:rsidRDefault="00C310AB" w:rsidP="008B716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Masha </w:t>
      </w:r>
      <w:proofErr w:type="spellStart"/>
      <w:r w:rsidRPr="00E76EA2">
        <w:rPr>
          <w:sz w:val="20"/>
          <w:szCs w:val="20"/>
        </w:rPr>
        <w:t>Fedorova</w:t>
      </w:r>
      <w:proofErr w:type="spellEnd"/>
      <w:r w:rsidRPr="00E76EA2">
        <w:rPr>
          <w:sz w:val="20"/>
          <w:szCs w:val="20"/>
        </w:rPr>
        <w:t xml:space="preserve">, </w:t>
      </w:r>
      <w:r w:rsidRPr="00E76EA2">
        <w:rPr>
          <w:i/>
          <w:sz w:val="20"/>
          <w:szCs w:val="20"/>
        </w:rPr>
        <w:t>The Principle of Equality of Arms in International Criminal Proceedings</w:t>
      </w:r>
      <w:r w:rsidRPr="00E76EA2">
        <w:rPr>
          <w:sz w:val="20"/>
          <w:szCs w:val="20"/>
        </w:rPr>
        <w:t>(1</w:t>
      </w:r>
      <w:r w:rsidRPr="00E76EA2">
        <w:rPr>
          <w:sz w:val="20"/>
          <w:szCs w:val="20"/>
          <w:vertAlign w:val="superscript"/>
        </w:rPr>
        <w:t>st</w:t>
      </w:r>
      <w:r w:rsidRPr="00E76EA2">
        <w:rPr>
          <w:sz w:val="20"/>
          <w:szCs w:val="20"/>
        </w:rPr>
        <w:t xml:space="preserve"> Edition, </w:t>
      </w:r>
      <w:proofErr w:type="spellStart"/>
      <w:r w:rsidRPr="00E76EA2">
        <w:rPr>
          <w:sz w:val="20"/>
          <w:szCs w:val="20"/>
        </w:rPr>
        <w:t>Intersentia</w:t>
      </w:r>
      <w:proofErr w:type="spellEnd"/>
      <w:r w:rsidRPr="00E76EA2">
        <w:rPr>
          <w:sz w:val="20"/>
          <w:szCs w:val="20"/>
        </w:rPr>
        <w:t xml:space="preserve"> 2012)109,110.</w:t>
      </w:r>
    </w:p>
  </w:footnote>
  <w:footnote w:id="781">
    <w:p w14:paraId="17C33DDC" w14:textId="5CFEEA68" w:rsidR="00C310AB" w:rsidRPr="00E76EA2" w:rsidRDefault="00C310AB" w:rsidP="008B716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ICC-01/04-01/06,18 January 2008 P.37Para 108; Article 69(3) Rome Statute</w:t>
      </w:r>
      <w:r w:rsidR="006A77B4">
        <w:rPr>
          <w:sz w:val="20"/>
          <w:szCs w:val="20"/>
        </w:rPr>
        <w:t>.</w:t>
      </w:r>
    </w:p>
  </w:footnote>
  <w:footnote w:id="782">
    <w:p w14:paraId="3828E316" w14:textId="77777777" w:rsidR="00C310AB" w:rsidRPr="00E76EA2" w:rsidRDefault="00C310AB" w:rsidP="008B716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83">
    <w:p w14:paraId="139C8562" w14:textId="333B2D3F" w:rsidR="00C310AB" w:rsidRPr="00E76EA2" w:rsidRDefault="00C310AB" w:rsidP="008B716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Ibid,Para</w:t>
      </w:r>
      <w:proofErr w:type="spellEnd"/>
      <w:r w:rsidRPr="00E76EA2">
        <w:rPr>
          <w:sz w:val="20"/>
          <w:szCs w:val="20"/>
        </w:rPr>
        <w:t xml:space="preserve"> 110</w:t>
      </w:r>
      <w:r w:rsidR="008B7164">
        <w:rPr>
          <w:sz w:val="20"/>
          <w:szCs w:val="20"/>
        </w:rPr>
        <w:t>.</w:t>
      </w:r>
    </w:p>
  </w:footnote>
  <w:footnote w:id="784">
    <w:p w14:paraId="76B5B187" w14:textId="00439A97" w:rsidR="00C310AB" w:rsidRPr="00E76EA2" w:rsidRDefault="00C310AB" w:rsidP="008B716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,paras,113</w:t>
      </w:r>
      <w:r w:rsidR="008B7164">
        <w:rPr>
          <w:sz w:val="20"/>
          <w:szCs w:val="20"/>
        </w:rPr>
        <w:t>.</w:t>
      </w:r>
    </w:p>
  </w:footnote>
  <w:footnote w:id="785">
    <w:p w14:paraId="33687956" w14:textId="77777777" w:rsidR="00C310AB" w:rsidRPr="00E76EA2" w:rsidRDefault="00C310AB" w:rsidP="008B716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of Procedure and Evidence, Section II, Rule 76-84.</w:t>
      </w:r>
    </w:p>
  </w:footnote>
  <w:footnote w:id="786">
    <w:p w14:paraId="0FD578B4" w14:textId="3A736FAC" w:rsidR="00C310AB" w:rsidRPr="00E76EA2" w:rsidRDefault="00C310AB" w:rsidP="008B716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Vladimir </w:t>
      </w:r>
      <w:proofErr w:type="spellStart"/>
      <w:r w:rsidRPr="00E76EA2">
        <w:rPr>
          <w:sz w:val="20"/>
          <w:szCs w:val="20"/>
        </w:rPr>
        <w:t>Tochilovsky</w:t>
      </w:r>
      <w:proofErr w:type="spellEnd"/>
      <w:r w:rsidRPr="00E76EA2">
        <w:rPr>
          <w:sz w:val="20"/>
          <w:szCs w:val="20"/>
        </w:rPr>
        <w:t xml:space="preserve">, ‘Victims’ Procedural Rights at Trial :Approach  of Continental Europe and the International Tribunal for Former Yugoslavia. In  Jan Van </w:t>
      </w:r>
      <w:proofErr w:type="spellStart"/>
      <w:r w:rsidRPr="00E76EA2">
        <w:rPr>
          <w:sz w:val="20"/>
          <w:szCs w:val="20"/>
        </w:rPr>
        <w:t>Djik</w:t>
      </w:r>
      <w:proofErr w:type="spellEnd"/>
      <w:r w:rsidRPr="00E76EA2">
        <w:rPr>
          <w:sz w:val="20"/>
          <w:szCs w:val="20"/>
        </w:rPr>
        <w:t xml:space="preserve">, Ron </w:t>
      </w:r>
      <w:proofErr w:type="spellStart"/>
      <w:r w:rsidRPr="00E76EA2">
        <w:rPr>
          <w:sz w:val="20"/>
          <w:szCs w:val="20"/>
        </w:rPr>
        <w:t>Kaam</w:t>
      </w:r>
      <w:proofErr w:type="spellEnd"/>
      <w:r w:rsidRPr="00E76EA2">
        <w:rPr>
          <w:sz w:val="20"/>
          <w:szCs w:val="20"/>
        </w:rPr>
        <w:t xml:space="preserve"> and Jo-Anne </w:t>
      </w:r>
      <w:proofErr w:type="spellStart"/>
      <w:r w:rsidRPr="00E76EA2">
        <w:rPr>
          <w:sz w:val="20"/>
          <w:szCs w:val="20"/>
        </w:rPr>
        <w:t>Wemmers</w:t>
      </w:r>
      <w:proofErr w:type="spellEnd"/>
      <w:r w:rsidRPr="00E76EA2">
        <w:rPr>
          <w:sz w:val="20"/>
          <w:szCs w:val="20"/>
        </w:rPr>
        <w:t>,  (eds) Caring for Crime Victims: Selected Proceeding of the Ninth International Symposium on Victimology (Criminal Justice Press 1999)1</w:t>
      </w:r>
      <w:r w:rsidR="006A77B4">
        <w:rPr>
          <w:sz w:val="20"/>
          <w:szCs w:val="20"/>
        </w:rPr>
        <w:t>.</w:t>
      </w:r>
      <w:r w:rsidRPr="00E76EA2">
        <w:rPr>
          <w:sz w:val="20"/>
          <w:szCs w:val="20"/>
        </w:rPr>
        <w:t xml:space="preserve"> </w:t>
      </w:r>
    </w:p>
  </w:footnote>
  <w:footnote w:id="787">
    <w:p w14:paraId="0B8458F3" w14:textId="77777777" w:rsidR="00C310AB" w:rsidRPr="00E76EA2" w:rsidRDefault="00C310AB" w:rsidP="008B716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788">
    <w:p w14:paraId="6F5527A9" w14:textId="4795CCEC" w:rsidR="00C310AB" w:rsidRPr="00E76EA2" w:rsidRDefault="00C310AB" w:rsidP="003335B1">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proofErr w:type="spellStart"/>
      <w:r w:rsidRPr="00E76EA2">
        <w:rPr>
          <w:sz w:val="20"/>
          <w:szCs w:val="20"/>
          <w:lang w:val="en-US"/>
        </w:rPr>
        <w:t>Mirjan</w:t>
      </w:r>
      <w:proofErr w:type="spellEnd"/>
      <w:r w:rsidRPr="00E76EA2">
        <w:rPr>
          <w:sz w:val="20"/>
          <w:szCs w:val="20"/>
          <w:lang w:val="en-US"/>
        </w:rPr>
        <w:t xml:space="preserve"> </w:t>
      </w:r>
      <w:proofErr w:type="spellStart"/>
      <w:r w:rsidRPr="00E76EA2">
        <w:rPr>
          <w:sz w:val="20"/>
          <w:szCs w:val="20"/>
          <w:lang w:val="en-US"/>
        </w:rPr>
        <w:t>Damaska</w:t>
      </w:r>
      <w:proofErr w:type="spellEnd"/>
      <w:r w:rsidRPr="00E76EA2">
        <w:rPr>
          <w:sz w:val="20"/>
          <w:szCs w:val="20"/>
          <w:lang w:val="en-US"/>
        </w:rPr>
        <w:t>,  The Faces  of Justice and State Authority :A Comparative Approach to the Legal Process (Yale University Press 1986)</w:t>
      </w:r>
      <w:r w:rsidR="003335B1">
        <w:rPr>
          <w:sz w:val="20"/>
          <w:szCs w:val="20"/>
          <w:lang w:val="en-US"/>
        </w:rPr>
        <w:t>.</w:t>
      </w:r>
    </w:p>
  </w:footnote>
  <w:footnote w:id="789">
    <w:p w14:paraId="01101CC6" w14:textId="699300E2" w:rsidR="00C310AB" w:rsidRPr="003335B1" w:rsidRDefault="00C310AB" w:rsidP="003335B1">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Prosecutor v Lubanga , ICC-01/04-01//06-2032, 9 July 2009, paras. 104.150; Ibid ,paras 38;Prosecutor  </w:t>
      </w:r>
      <w:proofErr w:type="spellStart"/>
      <w:r w:rsidRPr="00E76EA2">
        <w:rPr>
          <w:sz w:val="20"/>
          <w:szCs w:val="20"/>
          <w:lang w:val="en-US"/>
        </w:rPr>
        <w:t>v.Thomas</w:t>
      </w:r>
      <w:proofErr w:type="spellEnd"/>
      <w:r w:rsidRPr="00E76EA2">
        <w:rPr>
          <w:sz w:val="20"/>
          <w:szCs w:val="20"/>
          <w:lang w:val="en-US"/>
        </w:rPr>
        <w:t xml:space="preserve"> Lubanga  </w:t>
      </w:r>
      <w:proofErr w:type="spellStart"/>
      <w:r w:rsidRPr="00E76EA2">
        <w:rPr>
          <w:sz w:val="20"/>
          <w:szCs w:val="20"/>
          <w:lang w:val="en-US"/>
        </w:rPr>
        <w:t>Dyilo</w:t>
      </w:r>
      <w:proofErr w:type="spellEnd"/>
      <w:r w:rsidRPr="00E76EA2">
        <w:rPr>
          <w:sz w:val="20"/>
          <w:szCs w:val="20"/>
          <w:lang w:val="en-US"/>
        </w:rPr>
        <w:t xml:space="preserve"> Transcripts  of Trial  hearings of 12,13,14,15 and 21 January 2010</w:t>
      </w:r>
      <w:r w:rsidR="003335B1">
        <w:rPr>
          <w:sz w:val="20"/>
          <w:szCs w:val="20"/>
          <w:lang w:val="en-US"/>
        </w:rPr>
        <w:t>.</w:t>
      </w:r>
    </w:p>
  </w:footnote>
  <w:footnote w:id="790">
    <w:p w14:paraId="1CAD5186" w14:textId="58E34603" w:rsidR="00C310AB" w:rsidRPr="00E76EA2" w:rsidRDefault="00C310AB" w:rsidP="003335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Pr="00E76EA2">
        <w:rPr>
          <w:sz w:val="20"/>
          <w:szCs w:val="20"/>
          <w:lang w:val="en-US"/>
        </w:rPr>
        <w:t xml:space="preserve">Prosecutor </w:t>
      </w:r>
      <w:proofErr w:type="spellStart"/>
      <w:r w:rsidRPr="00E76EA2">
        <w:rPr>
          <w:sz w:val="20"/>
          <w:szCs w:val="20"/>
          <w:lang w:val="en-US"/>
        </w:rPr>
        <w:t>v.Thomas</w:t>
      </w:r>
      <w:proofErr w:type="spellEnd"/>
      <w:r w:rsidRPr="00E76EA2">
        <w:rPr>
          <w:sz w:val="20"/>
          <w:szCs w:val="20"/>
          <w:lang w:val="en-US"/>
        </w:rPr>
        <w:t xml:space="preserve"> Lubanga  </w:t>
      </w:r>
      <w:proofErr w:type="spellStart"/>
      <w:r w:rsidRPr="00E76EA2">
        <w:rPr>
          <w:sz w:val="20"/>
          <w:szCs w:val="20"/>
          <w:lang w:val="en-US"/>
        </w:rPr>
        <w:t>Dyilo</w:t>
      </w:r>
      <w:proofErr w:type="spellEnd"/>
      <w:r w:rsidRPr="00E76EA2">
        <w:rPr>
          <w:sz w:val="20"/>
          <w:szCs w:val="20"/>
          <w:lang w:val="en-US"/>
        </w:rPr>
        <w:t xml:space="preserve"> Transcripts  of Trial  hearings of </w:t>
      </w:r>
      <w:r w:rsidRPr="00E76EA2">
        <w:rPr>
          <w:sz w:val="20"/>
          <w:szCs w:val="20"/>
        </w:rPr>
        <w:t>(a/0229/06,VO2-0003, a/0225/06,V02-0002 and a/0270/06, V02-0001</w:t>
      </w:r>
      <w:r w:rsidRPr="00E76EA2">
        <w:rPr>
          <w:sz w:val="20"/>
          <w:szCs w:val="20"/>
          <w:lang w:val="en-US"/>
        </w:rPr>
        <w:t>, 21 January 2010</w:t>
      </w:r>
      <w:r w:rsidR="003335B1">
        <w:rPr>
          <w:sz w:val="20"/>
          <w:szCs w:val="20"/>
          <w:lang w:val="en-US"/>
        </w:rPr>
        <w:t>.</w:t>
      </w:r>
    </w:p>
  </w:footnote>
  <w:footnote w:id="791">
    <w:p w14:paraId="6134EEBB" w14:textId="1DD00464" w:rsidR="00C310AB" w:rsidRPr="00E76EA2" w:rsidRDefault="00C310AB" w:rsidP="006A77B4">
      <w:pPr>
        <w:pStyle w:val="NoSpacing1"/>
        <w:spacing w:line="276" w:lineRule="auto"/>
        <w:rPr>
          <w:sz w:val="20"/>
          <w:szCs w:val="20"/>
        </w:rPr>
      </w:pPr>
      <w:r w:rsidRPr="00E76EA2">
        <w:rPr>
          <w:rStyle w:val="FootnoteReference"/>
          <w:sz w:val="20"/>
          <w:szCs w:val="20"/>
        </w:rPr>
        <w:footnoteRef/>
      </w:r>
      <w:r w:rsidRPr="00E76EA2">
        <w:rPr>
          <w:sz w:val="20"/>
          <w:szCs w:val="20"/>
        </w:rPr>
        <w:t xml:space="preserve"> </w:t>
      </w:r>
      <w:r w:rsidRPr="00E76EA2">
        <w:rPr>
          <w:sz w:val="20"/>
          <w:szCs w:val="20"/>
          <w:lang w:val="en-US"/>
        </w:rPr>
        <w:t xml:space="preserve">The Prosecutor v Germain Katanga  and </w:t>
      </w:r>
      <w:proofErr w:type="spellStart"/>
      <w:r w:rsidRPr="00E76EA2">
        <w:rPr>
          <w:sz w:val="20"/>
          <w:szCs w:val="20"/>
          <w:lang w:val="en-US"/>
        </w:rPr>
        <w:t>Ngudjolo</w:t>
      </w:r>
      <w:proofErr w:type="spellEnd"/>
      <w:r w:rsidRPr="00E76EA2">
        <w:rPr>
          <w:sz w:val="20"/>
          <w:szCs w:val="20"/>
          <w:lang w:val="en-US"/>
        </w:rPr>
        <w:t xml:space="preserve">, 09 July 2010;The Prosecutor v. Katanga  and </w:t>
      </w:r>
      <w:proofErr w:type="spellStart"/>
      <w:r w:rsidRPr="00E76EA2">
        <w:rPr>
          <w:sz w:val="20"/>
          <w:szCs w:val="20"/>
          <w:lang w:val="en-US"/>
        </w:rPr>
        <w:t>Ngudjolo</w:t>
      </w:r>
      <w:proofErr w:type="spellEnd"/>
      <w:r w:rsidRPr="00E76EA2">
        <w:rPr>
          <w:sz w:val="20"/>
          <w:szCs w:val="20"/>
          <w:lang w:val="en-US"/>
        </w:rPr>
        <w:t>, Decision  authorizing the appearance of victims a/0381, a/0018/09, a/0191/08 and a/0363/09 acting on behalf  of a/0363, ICC-01/04-01/07-2517 ,9 November 2010, Trial Chamber II, 9</w:t>
      </w:r>
      <w:r w:rsidR="003335B1">
        <w:rPr>
          <w:sz w:val="20"/>
          <w:szCs w:val="20"/>
          <w:lang w:val="en-US"/>
        </w:rPr>
        <w:t xml:space="preserve"> </w:t>
      </w:r>
      <w:r w:rsidRPr="00E76EA2">
        <w:rPr>
          <w:sz w:val="20"/>
          <w:szCs w:val="20"/>
          <w:lang w:val="en-US"/>
        </w:rPr>
        <w:t>November 2010</w:t>
      </w:r>
      <w:r w:rsidR="003335B1">
        <w:rPr>
          <w:sz w:val="20"/>
          <w:szCs w:val="20"/>
          <w:lang w:val="en-US"/>
        </w:rPr>
        <w:t>.</w:t>
      </w:r>
    </w:p>
  </w:footnote>
  <w:footnote w:id="792">
    <w:p w14:paraId="46B75BFE" w14:textId="77777777"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793">
    <w:p w14:paraId="0350F3DF" w14:textId="7F9DCED4"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Impunity Watch, Discussion Paper, “Victims Participation in Transitional Justice </w:t>
      </w:r>
      <w:proofErr w:type="spellStart"/>
      <w:r w:rsidRPr="00E76EA2">
        <w:rPr>
          <w:sz w:val="20"/>
          <w:szCs w:val="20"/>
        </w:rPr>
        <w:t>Mechanisms:Real</w:t>
      </w:r>
      <w:proofErr w:type="spellEnd"/>
      <w:r w:rsidRPr="00E76EA2">
        <w:rPr>
          <w:sz w:val="20"/>
          <w:szCs w:val="20"/>
        </w:rPr>
        <w:t xml:space="preserve"> Power or Empty Ritual  (2014)p.24</w:t>
      </w:r>
    </w:p>
    <w:p w14:paraId="53A86842" w14:textId="77777777" w:rsidR="00C310AB" w:rsidRPr="00E76EA2" w:rsidRDefault="00C310AB" w:rsidP="006A77B4">
      <w:pPr>
        <w:pStyle w:val="NoSpacing1"/>
        <w:spacing w:line="276" w:lineRule="auto"/>
        <w:jc w:val="both"/>
        <w:rPr>
          <w:sz w:val="20"/>
          <w:szCs w:val="20"/>
        </w:rPr>
      </w:pPr>
    </w:p>
  </w:footnote>
  <w:footnote w:id="794">
    <w:p w14:paraId="60753F4E" w14:textId="049B9580" w:rsidR="00C310AB" w:rsidRPr="00E76EA2" w:rsidRDefault="00C310AB" w:rsidP="006A77B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6A77B4">
        <w:rPr>
          <w:sz w:val="20"/>
          <w:szCs w:val="20"/>
        </w:rPr>
        <w:t>.</w:t>
      </w:r>
    </w:p>
  </w:footnote>
  <w:footnote w:id="795">
    <w:p w14:paraId="7EB4994C" w14:textId="0C5813E2" w:rsidR="00C310AB" w:rsidRPr="00E76EA2" w:rsidRDefault="00C310AB" w:rsidP="003335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Decision on the request by victims a/0225/06,a/0229/06 and a/0270/07 to express their views and concerns in person and to present evidence during the trial, 26 June 2009,ICC-01/04-01/06-2002-Conf. 26 June 2009</w:t>
      </w:r>
      <w:r w:rsidR="003335B1">
        <w:rPr>
          <w:sz w:val="20"/>
          <w:szCs w:val="20"/>
        </w:rPr>
        <w:t>.</w:t>
      </w:r>
    </w:p>
  </w:footnote>
  <w:footnote w:id="796">
    <w:p w14:paraId="131CAF6D" w14:textId="097221EB" w:rsidR="00C310AB" w:rsidRPr="00E76EA2" w:rsidRDefault="00C310AB" w:rsidP="003335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006A77B4">
        <w:rPr>
          <w:sz w:val="20"/>
          <w:szCs w:val="20"/>
        </w:rPr>
        <w:t>Ibid.</w:t>
      </w:r>
    </w:p>
  </w:footnote>
  <w:footnote w:id="797">
    <w:p w14:paraId="7169E9F9" w14:textId="5FC304EC" w:rsidR="00C310AB" w:rsidRPr="00E76EA2" w:rsidRDefault="00C310AB" w:rsidP="003335B1">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paras 150</w:t>
      </w:r>
    </w:p>
  </w:footnote>
  <w:footnote w:id="798">
    <w:p w14:paraId="0741EEEB" w14:textId="1B9CB93A" w:rsidR="00C310AB" w:rsidRPr="00E76EA2" w:rsidRDefault="00C310AB" w:rsidP="003335B1">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w:t>
      </w:r>
      <w:r w:rsidR="003335B1">
        <w:rPr>
          <w:sz w:val="20"/>
          <w:szCs w:val="20"/>
        </w:rPr>
        <w:t>.</w:t>
      </w:r>
      <w:r w:rsidRPr="00E76EA2">
        <w:rPr>
          <w:sz w:val="20"/>
          <w:szCs w:val="20"/>
        </w:rPr>
        <w:t xml:space="preserve"> </w:t>
      </w:r>
    </w:p>
  </w:footnote>
  <w:footnote w:id="799">
    <w:p w14:paraId="077771C9" w14:textId="667AB3FE" w:rsidR="00C310AB" w:rsidRPr="00E76EA2" w:rsidRDefault="00C310AB" w:rsidP="003335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T-225-Red2-ENG,page 22,lines 23-25</w:t>
      </w:r>
      <w:r w:rsidR="003335B1">
        <w:rPr>
          <w:sz w:val="20"/>
          <w:szCs w:val="20"/>
        </w:rPr>
        <w:t>.</w:t>
      </w:r>
    </w:p>
  </w:footnote>
  <w:footnote w:id="800">
    <w:p w14:paraId="0C54D948" w14:textId="77777777" w:rsidR="00C310AB" w:rsidRPr="00E76EA2" w:rsidRDefault="00C310AB" w:rsidP="003335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T-226-Red2-ENG,page 48,line 11 to page 50,line 20.</w:t>
      </w:r>
    </w:p>
  </w:footnote>
  <w:footnote w:id="801">
    <w:p w14:paraId="2E20478B" w14:textId="49FE6BBF" w:rsidR="00C310AB" w:rsidRPr="00E76EA2" w:rsidRDefault="00C310AB" w:rsidP="003335B1">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Prosecutor v Lubanga , ICC-01/04-01//06-2032, 9July 2009, Annex,para.1</w:t>
      </w:r>
      <w:r w:rsidR="003335B1">
        <w:rPr>
          <w:sz w:val="20"/>
          <w:szCs w:val="20"/>
          <w:lang w:val="en-US"/>
        </w:rPr>
        <w:t>.</w:t>
      </w:r>
    </w:p>
  </w:footnote>
  <w:footnote w:id="802">
    <w:p w14:paraId="276575AA" w14:textId="77777777" w:rsidR="00C310AB" w:rsidRPr="00E76EA2" w:rsidRDefault="00C310AB" w:rsidP="003335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T-230-Red2-ENG,page 34, lines 17-19.</w:t>
      </w:r>
    </w:p>
  </w:footnote>
  <w:footnote w:id="803">
    <w:p w14:paraId="7A5FD03F" w14:textId="7A8BEA64" w:rsidR="00C310AB" w:rsidRPr="00E76EA2" w:rsidRDefault="00C310AB" w:rsidP="003335B1">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The Prosecutor v Lubanga,  14 January 2010,p61</w:t>
      </w:r>
    </w:p>
  </w:footnote>
  <w:footnote w:id="804">
    <w:p w14:paraId="48C50AC1" w14:textId="57E6BD71" w:rsidR="00C310AB" w:rsidRPr="00E76EA2" w:rsidRDefault="00C310AB" w:rsidP="003335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T-231-Red2-ENG,page 28,lines 10-11</w:t>
      </w:r>
      <w:r w:rsidR="003335B1">
        <w:rPr>
          <w:sz w:val="20"/>
          <w:szCs w:val="20"/>
        </w:rPr>
        <w:t>.</w:t>
      </w:r>
    </w:p>
  </w:footnote>
  <w:footnote w:id="805">
    <w:p w14:paraId="4A3A7058" w14:textId="4078541B" w:rsidR="00C310AB" w:rsidRPr="00E76EA2" w:rsidRDefault="00C310AB" w:rsidP="003335B1">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The Prosecutor v Lubanga, 22 January 2010,p31;The Prosecutor  v Lubanga,  25 May 2010</w:t>
      </w:r>
      <w:r w:rsidR="003335B1">
        <w:rPr>
          <w:sz w:val="20"/>
          <w:szCs w:val="20"/>
          <w:lang w:val="en-US"/>
        </w:rPr>
        <w:t>.</w:t>
      </w:r>
    </w:p>
  </w:footnote>
  <w:footnote w:id="806">
    <w:p w14:paraId="3EF4BED4" w14:textId="77AAC1F6"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Cristian Correa, “Julie </w:t>
      </w:r>
      <w:proofErr w:type="spellStart"/>
      <w:r w:rsidRPr="00E76EA2">
        <w:rPr>
          <w:sz w:val="20"/>
          <w:szCs w:val="20"/>
        </w:rPr>
        <w:t>Guillerot</w:t>
      </w:r>
      <w:proofErr w:type="spellEnd"/>
      <w:r w:rsidRPr="00E76EA2">
        <w:rPr>
          <w:sz w:val="20"/>
          <w:szCs w:val="20"/>
        </w:rPr>
        <w:t xml:space="preserve"> and Lisa </w:t>
      </w:r>
      <w:proofErr w:type="spellStart"/>
      <w:r w:rsidRPr="00E76EA2">
        <w:rPr>
          <w:sz w:val="20"/>
          <w:szCs w:val="20"/>
        </w:rPr>
        <w:t>Magarell</w:t>
      </w:r>
      <w:proofErr w:type="spellEnd"/>
      <w:r w:rsidRPr="00E76EA2">
        <w:rPr>
          <w:sz w:val="20"/>
          <w:szCs w:val="20"/>
        </w:rPr>
        <w:t xml:space="preserve">, Reparations and Victim Participation :A Look at the Truth Commission Experience”  accessible at </w:t>
      </w:r>
      <w:hyperlink r:id="rId57" w:history="1">
        <w:r w:rsidRPr="00E76EA2">
          <w:rPr>
            <w:rStyle w:val="Hyperlink"/>
            <w:sz w:val="20"/>
            <w:szCs w:val="20"/>
          </w:rPr>
          <w:t>https://ictj.org/sites/default/files/ICTJ-Global-Reparations-Participation-2009-English.pdf</w:t>
        </w:r>
      </w:hyperlink>
      <w:r w:rsidRPr="00E76EA2">
        <w:rPr>
          <w:sz w:val="20"/>
          <w:szCs w:val="20"/>
        </w:rPr>
        <w:t xml:space="preserve"> last accessed 04 March 2020; Carla </w:t>
      </w:r>
      <w:proofErr w:type="spellStart"/>
      <w:r w:rsidRPr="00E76EA2">
        <w:rPr>
          <w:sz w:val="20"/>
          <w:szCs w:val="20"/>
        </w:rPr>
        <w:t>Ferstman</w:t>
      </w:r>
      <w:proofErr w:type="spellEnd"/>
      <w:r w:rsidRPr="00E76EA2">
        <w:rPr>
          <w:sz w:val="20"/>
          <w:szCs w:val="20"/>
        </w:rPr>
        <w:t xml:space="preserve">, Mariana Goetz and Alan Stephens, (Eds.), Reparations for Victims of Genocide, War Crimes and Crimes Against Humanity, Brill Academic Publishers (2009) available at &lt; </w:t>
      </w:r>
      <w:hyperlink r:id="rId58" w:history="1">
        <w:r w:rsidRPr="00E76EA2">
          <w:rPr>
            <w:rStyle w:val="Hyperlink"/>
            <w:sz w:val="20"/>
            <w:szCs w:val="20"/>
          </w:rPr>
          <w:t>http://www.brill.nl/default.aspx?partid=210&amp;pid=28759</w:t>
        </w:r>
      </w:hyperlink>
      <w:r w:rsidRPr="00E76EA2">
        <w:rPr>
          <w:sz w:val="20"/>
          <w:szCs w:val="20"/>
        </w:rPr>
        <w:t xml:space="preserve"> &gt; last accessed 04 March 2020</w:t>
      </w:r>
    </w:p>
  </w:footnote>
  <w:footnote w:id="807">
    <w:p w14:paraId="70B040F0" w14:textId="64ABFD1B"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Ibid;South</w:t>
      </w:r>
      <w:proofErr w:type="spellEnd"/>
      <w:r w:rsidRPr="00E76EA2">
        <w:rPr>
          <w:sz w:val="20"/>
          <w:szCs w:val="20"/>
        </w:rPr>
        <w:t xml:space="preserve"> African Truth and Reconciliation Commission in 1990s</w:t>
      </w:r>
      <w:r w:rsidR="006A77B4">
        <w:rPr>
          <w:sz w:val="20"/>
          <w:szCs w:val="20"/>
        </w:rPr>
        <w:t>.</w:t>
      </w:r>
    </w:p>
  </w:footnote>
  <w:footnote w:id="808">
    <w:p w14:paraId="57EACF29" w14:textId="3D3B9D10"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Dominick </w:t>
      </w:r>
      <w:proofErr w:type="spellStart"/>
      <w:r w:rsidRPr="00E76EA2">
        <w:rPr>
          <w:sz w:val="20"/>
          <w:szCs w:val="20"/>
        </w:rPr>
        <w:t>LaCapra</w:t>
      </w:r>
      <w:proofErr w:type="spellEnd"/>
      <w:r w:rsidRPr="00E76EA2">
        <w:rPr>
          <w:sz w:val="20"/>
          <w:szCs w:val="20"/>
        </w:rPr>
        <w:t xml:space="preserve">, </w:t>
      </w:r>
      <w:r w:rsidRPr="00E76EA2">
        <w:rPr>
          <w:i/>
          <w:iCs/>
          <w:sz w:val="20"/>
          <w:szCs w:val="20"/>
        </w:rPr>
        <w:t>Writing history, writing trauma</w:t>
      </w:r>
      <w:r w:rsidRPr="00E76EA2">
        <w:rPr>
          <w:sz w:val="20"/>
          <w:szCs w:val="20"/>
        </w:rPr>
        <w:t>(The John Hopkins University Press)</w:t>
      </w:r>
    </w:p>
  </w:footnote>
  <w:footnote w:id="809">
    <w:p w14:paraId="5DC2FFA4" w14:textId="5E7E60B2"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Rose McGarry and Sandra </w:t>
      </w:r>
      <w:proofErr w:type="spellStart"/>
      <w:r w:rsidRPr="00E76EA2">
        <w:rPr>
          <w:sz w:val="20"/>
          <w:szCs w:val="20"/>
        </w:rPr>
        <w:t>Walklate</w:t>
      </w:r>
      <w:proofErr w:type="spellEnd"/>
      <w:r w:rsidRPr="00E76EA2">
        <w:rPr>
          <w:sz w:val="20"/>
          <w:szCs w:val="20"/>
        </w:rPr>
        <w:t xml:space="preserve">, </w:t>
      </w:r>
      <w:r w:rsidRPr="00E76EA2">
        <w:rPr>
          <w:i/>
          <w:iCs/>
          <w:sz w:val="20"/>
          <w:szCs w:val="20"/>
        </w:rPr>
        <w:t>Victims :Trauma, testimony and justice”</w:t>
      </w:r>
      <w:r w:rsidRPr="00E76EA2">
        <w:rPr>
          <w:sz w:val="20"/>
          <w:szCs w:val="20"/>
        </w:rPr>
        <w:t>(Routledge 2015) 79-100</w:t>
      </w:r>
    </w:p>
  </w:footnote>
  <w:footnote w:id="810">
    <w:p w14:paraId="1E1C88D7" w14:textId="3519DB89"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Stanley Cohen, </w:t>
      </w:r>
      <w:r w:rsidRPr="006A77B4">
        <w:rPr>
          <w:i/>
          <w:iCs/>
          <w:sz w:val="20"/>
          <w:szCs w:val="20"/>
        </w:rPr>
        <w:t xml:space="preserve">States of </w:t>
      </w:r>
      <w:proofErr w:type="spellStart"/>
      <w:r w:rsidRPr="006A77B4">
        <w:rPr>
          <w:i/>
          <w:iCs/>
          <w:sz w:val="20"/>
          <w:szCs w:val="20"/>
        </w:rPr>
        <w:t>Denial:Knowing</w:t>
      </w:r>
      <w:proofErr w:type="spellEnd"/>
      <w:r w:rsidRPr="006A77B4">
        <w:rPr>
          <w:i/>
          <w:iCs/>
          <w:sz w:val="20"/>
          <w:szCs w:val="20"/>
        </w:rPr>
        <w:t xml:space="preserve"> about Atrocities and Suffering</w:t>
      </w:r>
      <w:r w:rsidRPr="00E76EA2">
        <w:rPr>
          <w:sz w:val="20"/>
          <w:szCs w:val="20"/>
        </w:rPr>
        <w:t xml:space="preserve">(Blackwell Publishers 2001); Cathy </w:t>
      </w:r>
      <w:proofErr w:type="spellStart"/>
      <w:r w:rsidRPr="00E76EA2">
        <w:rPr>
          <w:sz w:val="20"/>
          <w:szCs w:val="20"/>
        </w:rPr>
        <w:t>Caruth</w:t>
      </w:r>
      <w:proofErr w:type="spellEnd"/>
      <w:r w:rsidRPr="00E76EA2">
        <w:rPr>
          <w:sz w:val="20"/>
          <w:szCs w:val="20"/>
        </w:rPr>
        <w:t xml:space="preserve">, </w:t>
      </w:r>
      <w:proofErr w:type="spellStart"/>
      <w:r w:rsidRPr="00E76EA2">
        <w:rPr>
          <w:i/>
          <w:iCs/>
          <w:sz w:val="20"/>
          <w:szCs w:val="20"/>
        </w:rPr>
        <w:t>Trauma:Explorations</w:t>
      </w:r>
      <w:proofErr w:type="spellEnd"/>
      <w:r w:rsidRPr="00E76EA2">
        <w:rPr>
          <w:i/>
          <w:iCs/>
          <w:sz w:val="20"/>
          <w:szCs w:val="20"/>
        </w:rPr>
        <w:t xml:space="preserve"> in memory(</w:t>
      </w:r>
      <w:r w:rsidRPr="00E76EA2">
        <w:rPr>
          <w:sz w:val="20"/>
          <w:szCs w:val="20"/>
        </w:rPr>
        <w:t>Jon Hopkins University Press 1995)</w:t>
      </w:r>
      <w:r w:rsidR="00D37536">
        <w:rPr>
          <w:sz w:val="20"/>
          <w:szCs w:val="20"/>
        </w:rPr>
        <w:t>.</w:t>
      </w:r>
    </w:p>
  </w:footnote>
  <w:footnote w:id="811">
    <w:p w14:paraId="0B75BCC7" w14:textId="1F11717D"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Lubanga Sentencing.</w:t>
      </w:r>
    </w:p>
  </w:footnote>
  <w:footnote w:id="812">
    <w:p w14:paraId="4E49A335" w14:textId="630F3315"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Fiona </w:t>
      </w:r>
      <w:proofErr w:type="spellStart"/>
      <w:r w:rsidRPr="00E76EA2">
        <w:rPr>
          <w:sz w:val="20"/>
          <w:szCs w:val="20"/>
        </w:rPr>
        <w:t>Mckay</w:t>
      </w:r>
      <w:proofErr w:type="spellEnd"/>
      <w:r w:rsidRPr="00E76EA2">
        <w:rPr>
          <w:sz w:val="20"/>
          <w:szCs w:val="20"/>
        </w:rPr>
        <w:t>, REDRESS, Universal Jurisdiction in Europe :Criminal Prosecutions in Europe Since 1990 FOR War Crimes , Crimes against Humanity ,Torture &amp; Genocide  (1999) 15, accessible at &lt;http:www.redress.org/documents/inparct.html.&gt; last accessed 04 March 2020.;</w:t>
      </w:r>
    </w:p>
  </w:footnote>
  <w:footnote w:id="813">
    <w:p w14:paraId="7A06FA13" w14:textId="77777777"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Victims’ Rights Working Group, Victims’ Rights in the International Criminal Court (2000), available at http://www.vrwg.org/Publications/01VRWG%20flyer2000.pdf</w:t>
      </w:r>
    </w:p>
  </w:footnote>
  <w:footnote w:id="814">
    <w:p w14:paraId="78B4923A" w14:textId="17D18068" w:rsidR="00C310AB" w:rsidRPr="00E76EA2" w:rsidRDefault="00C310AB" w:rsidP="00C956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Jo-Anne </w:t>
      </w:r>
      <w:proofErr w:type="spellStart"/>
      <w:r w:rsidRPr="00E76EA2">
        <w:rPr>
          <w:sz w:val="20"/>
          <w:szCs w:val="20"/>
        </w:rPr>
        <w:t>Wemmers</w:t>
      </w:r>
      <w:proofErr w:type="spellEnd"/>
      <w:r w:rsidRPr="00E76EA2">
        <w:rPr>
          <w:sz w:val="20"/>
          <w:szCs w:val="20"/>
        </w:rPr>
        <w:t xml:space="preserve"> , “Where do they belong ? Giving victims a Place in the Criminal Justice Process (2009)  20(4)</w:t>
      </w:r>
      <w:r w:rsidRPr="00E76EA2">
        <w:rPr>
          <w:i/>
          <w:sz w:val="20"/>
          <w:szCs w:val="20"/>
        </w:rPr>
        <w:t>Criminal Law Forum</w:t>
      </w:r>
      <w:r w:rsidRPr="00E76EA2">
        <w:rPr>
          <w:sz w:val="20"/>
          <w:szCs w:val="20"/>
        </w:rPr>
        <w:t xml:space="preserve">,396-416 </w:t>
      </w:r>
      <w:r w:rsidR="006A77B4">
        <w:rPr>
          <w:sz w:val="20"/>
          <w:szCs w:val="20"/>
        </w:rPr>
        <w:t>p.</w:t>
      </w:r>
      <w:r w:rsidRPr="00E76EA2">
        <w:rPr>
          <w:sz w:val="20"/>
          <w:szCs w:val="20"/>
          <w:lang w:val="en-US"/>
        </w:rPr>
        <w:t>399</w:t>
      </w:r>
    </w:p>
  </w:footnote>
  <w:footnote w:id="815">
    <w:p w14:paraId="3AE5696C" w14:textId="2EA56E31" w:rsidR="00C310AB" w:rsidRPr="00E76EA2" w:rsidRDefault="00C310AB" w:rsidP="00C9565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John Rawls, ‘A Theory of Justice’ (Cambridge, </w:t>
      </w:r>
      <w:proofErr w:type="spellStart"/>
      <w:r w:rsidRPr="00E76EA2">
        <w:rPr>
          <w:sz w:val="20"/>
          <w:szCs w:val="20"/>
          <w:lang w:val="en-US"/>
        </w:rPr>
        <w:t>Massachussets</w:t>
      </w:r>
      <w:proofErr w:type="spellEnd"/>
      <w:r w:rsidRPr="00E76EA2">
        <w:rPr>
          <w:sz w:val="20"/>
          <w:szCs w:val="20"/>
          <w:lang w:val="en-US"/>
        </w:rPr>
        <w:t>, Harvard University 1971)36,37.</w:t>
      </w:r>
    </w:p>
  </w:footnote>
  <w:footnote w:id="816">
    <w:p w14:paraId="0E0A2AEE" w14:textId="77777777" w:rsidR="00C310AB" w:rsidRPr="00E76EA2" w:rsidRDefault="00C310AB" w:rsidP="00C956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Tom Tyler, ‘Procedural Justice and the Courts’ (2007) 44Court Reviewp.30; John </w:t>
      </w:r>
      <w:proofErr w:type="spellStart"/>
      <w:r w:rsidRPr="00E76EA2">
        <w:rPr>
          <w:sz w:val="20"/>
          <w:szCs w:val="20"/>
        </w:rPr>
        <w:t>Thibuat,Laurens</w:t>
      </w:r>
      <w:proofErr w:type="spellEnd"/>
      <w:r w:rsidRPr="00E76EA2">
        <w:rPr>
          <w:sz w:val="20"/>
          <w:szCs w:val="20"/>
        </w:rPr>
        <w:t xml:space="preserve"> Walker, Stephen </w:t>
      </w:r>
      <w:proofErr w:type="spellStart"/>
      <w:r w:rsidRPr="00E76EA2">
        <w:rPr>
          <w:sz w:val="20"/>
          <w:szCs w:val="20"/>
        </w:rPr>
        <w:t>LaTour</w:t>
      </w:r>
      <w:proofErr w:type="spellEnd"/>
      <w:r w:rsidRPr="00E76EA2">
        <w:rPr>
          <w:sz w:val="20"/>
          <w:szCs w:val="20"/>
        </w:rPr>
        <w:t xml:space="preserve">, Pauline </w:t>
      </w:r>
      <w:proofErr w:type="spellStart"/>
      <w:r w:rsidRPr="00E76EA2">
        <w:rPr>
          <w:sz w:val="20"/>
          <w:szCs w:val="20"/>
        </w:rPr>
        <w:t>Houlden</w:t>
      </w:r>
      <w:proofErr w:type="spellEnd"/>
      <w:r w:rsidRPr="00E76EA2">
        <w:rPr>
          <w:sz w:val="20"/>
          <w:szCs w:val="20"/>
        </w:rPr>
        <w:t xml:space="preserve">, </w:t>
      </w:r>
      <w:r w:rsidRPr="00E76EA2">
        <w:rPr>
          <w:sz w:val="20"/>
          <w:szCs w:val="20"/>
          <w:lang w:val="en-US"/>
        </w:rPr>
        <w:t>Procedural Justice as Fairness  (1974( 26 Stanford Law Review 1271, P.1271-1272.</w:t>
      </w:r>
    </w:p>
    <w:p w14:paraId="371DA602" w14:textId="77777777" w:rsidR="00C310AB" w:rsidRPr="00E76EA2" w:rsidRDefault="00C310AB" w:rsidP="00C9565D">
      <w:pPr>
        <w:pStyle w:val="NoSpacing1"/>
        <w:spacing w:line="276" w:lineRule="auto"/>
        <w:jc w:val="both"/>
        <w:rPr>
          <w:sz w:val="20"/>
          <w:szCs w:val="20"/>
        </w:rPr>
      </w:pPr>
    </w:p>
  </w:footnote>
  <w:footnote w:id="817">
    <w:p w14:paraId="2CAA3BB7" w14:textId="296E3106" w:rsidR="00C310AB" w:rsidRPr="005C1AF1" w:rsidRDefault="00C310AB" w:rsidP="00C9565D">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John </w:t>
      </w:r>
      <w:proofErr w:type="spellStart"/>
      <w:r w:rsidRPr="00E76EA2">
        <w:rPr>
          <w:sz w:val="20"/>
          <w:szCs w:val="20"/>
        </w:rPr>
        <w:t>Thibuat,Laurens</w:t>
      </w:r>
      <w:proofErr w:type="spellEnd"/>
      <w:r w:rsidRPr="00E76EA2">
        <w:rPr>
          <w:sz w:val="20"/>
          <w:szCs w:val="20"/>
        </w:rPr>
        <w:t xml:space="preserve"> Walker, Stephen </w:t>
      </w:r>
      <w:proofErr w:type="spellStart"/>
      <w:r w:rsidRPr="00E76EA2">
        <w:rPr>
          <w:sz w:val="20"/>
          <w:szCs w:val="20"/>
        </w:rPr>
        <w:t>LaTour</w:t>
      </w:r>
      <w:proofErr w:type="spellEnd"/>
      <w:r w:rsidRPr="00E76EA2">
        <w:rPr>
          <w:sz w:val="20"/>
          <w:szCs w:val="20"/>
        </w:rPr>
        <w:t xml:space="preserve">, Pauline </w:t>
      </w:r>
      <w:proofErr w:type="spellStart"/>
      <w:r w:rsidRPr="00E76EA2">
        <w:rPr>
          <w:sz w:val="20"/>
          <w:szCs w:val="20"/>
        </w:rPr>
        <w:t>Houlden</w:t>
      </w:r>
      <w:proofErr w:type="spellEnd"/>
      <w:r w:rsidRPr="00E76EA2">
        <w:rPr>
          <w:sz w:val="20"/>
          <w:szCs w:val="20"/>
        </w:rPr>
        <w:t xml:space="preserve">, </w:t>
      </w:r>
      <w:r w:rsidRPr="00E76EA2">
        <w:rPr>
          <w:sz w:val="20"/>
          <w:szCs w:val="20"/>
          <w:lang w:val="en-US"/>
        </w:rPr>
        <w:t>Procedural Justice as Fairness  (1974) 26 Stanford Law Review 1271, P.1271-1272;</w:t>
      </w:r>
      <w:r w:rsidRPr="00E76EA2">
        <w:rPr>
          <w:sz w:val="20"/>
          <w:szCs w:val="20"/>
        </w:rPr>
        <w:t xml:space="preserve"> Tom Tyler, ‘Procedural Justice and Policing: A Rush to Judgment(2017) 13(1)</w:t>
      </w:r>
      <w:r w:rsidRPr="00E76EA2">
        <w:rPr>
          <w:i/>
          <w:sz w:val="20"/>
          <w:szCs w:val="20"/>
        </w:rPr>
        <w:t>Annual Review of Law and Social Science</w:t>
      </w:r>
      <w:r w:rsidRPr="00E76EA2">
        <w:rPr>
          <w:sz w:val="20"/>
          <w:szCs w:val="20"/>
        </w:rPr>
        <w:t>, p.29-53;</w:t>
      </w:r>
      <w:r w:rsidRPr="00E76EA2">
        <w:rPr>
          <w:sz w:val="20"/>
          <w:szCs w:val="20"/>
          <w:lang w:val="en-US"/>
        </w:rPr>
        <w:t xml:space="preserve"> Tom Tyler, ‘Procedural Justice and the Courts (1988) 44 </w:t>
      </w:r>
      <w:r w:rsidRPr="00233391">
        <w:rPr>
          <w:i/>
          <w:iCs/>
          <w:sz w:val="20"/>
          <w:szCs w:val="20"/>
          <w:lang w:val="en-US"/>
        </w:rPr>
        <w:t xml:space="preserve">Court </w:t>
      </w:r>
      <w:r w:rsidRPr="006A77B4">
        <w:rPr>
          <w:i/>
          <w:iCs/>
          <w:sz w:val="20"/>
          <w:szCs w:val="20"/>
          <w:lang w:val="en-US"/>
        </w:rPr>
        <w:t>Review</w:t>
      </w:r>
      <w:r w:rsidR="006A77B4">
        <w:rPr>
          <w:i/>
          <w:iCs/>
          <w:sz w:val="20"/>
          <w:szCs w:val="20"/>
          <w:lang w:val="en-US"/>
        </w:rPr>
        <w:t>,</w:t>
      </w:r>
      <w:r w:rsidR="006A77B4">
        <w:rPr>
          <w:sz w:val="20"/>
          <w:szCs w:val="20"/>
          <w:lang w:val="en-US"/>
        </w:rPr>
        <w:t>p.</w:t>
      </w:r>
      <w:r w:rsidRPr="006A77B4">
        <w:rPr>
          <w:sz w:val="20"/>
          <w:szCs w:val="20"/>
          <w:lang w:val="en-US"/>
        </w:rPr>
        <w:t>24</w:t>
      </w:r>
      <w:r w:rsidRPr="00E76EA2">
        <w:rPr>
          <w:sz w:val="20"/>
          <w:szCs w:val="20"/>
          <w:lang w:val="en-US"/>
        </w:rPr>
        <w:t>.</w:t>
      </w:r>
    </w:p>
  </w:footnote>
  <w:footnote w:id="818">
    <w:p w14:paraId="6BF5BAA6" w14:textId="7479631C" w:rsidR="00C310AB" w:rsidRPr="00E76EA2" w:rsidRDefault="00C310AB" w:rsidP="002333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68(3).</w:t>
      </w:r>
    </w:p>
  </w:footnote>
  <w:footnote w:id="819">
    <w:p w14:paraId="32B8719D" w14:textId="5B37D7B8" w:rsidR="00C310AB" w:rsidRPr="00E76EA2" w:rsidRDefault="00C310AB" w:rsidP="002333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Decision on the Requests of the Legal Representatives of Applicants on Application process for victims’ participation and legal representation , ICC-01/04-374, 17 August,P.21,para.47</w:t>
      </w:r>
      <w:r w:rsidR="006A77B4">
        <w:rPr>
          <w:sz w:val="20"/>
          <w:szCs w:val="20"/>
        </w:rPr>
        <w:t>.</w:t>
      </w:r>
    </w:p>
  </w:footnote>
  <w:footnote w:id="820">
    <w:p w14:paraId="2A147151" w14:textId="77777777" w:rsidR="00C310AB" w:rsidRPr="00E76EA2" w:rsidRDefault="00C310AB" w:rsidP="0023339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Judgement on victim </w:t>
      </w:r>
      <w:proofErr w:type="spellStart"/>
      <w:r w:rsidRPr="00E76EA2">
        <w:rPr>
          <w:sz w:val="20"/>
          <w:szCs w:val="20"/>
        </w:rPr>
        <w:t>partciaption</w:t>
      </w:r>
      <w:proofErr w:type="spellEnd"/>
      <w:r w:rsidRPr="00E76EA2">
        <w:rPr>
          <w:sz w:val="20"/>
          <w:szCs w:val="20"/>
        </w:rPr>
        <w:t xml:space="preserve"> in the investigative stage of the proceedings in the appeal of the OPCD against the decision of PTC 1 OF 7 December 2007 and in the Appeals of the OPCD and the Prosecutor against the decision of PTC 1of </w:t>
      </w:r>
      <w:proofErr w:type="spellStart"/>
      <w:r w:rsidRPr="00E76EA2">
        <w:rPr>
          <w:sz w:val="20"/>
          <w:szCs w:val="20"/>
        </w:rPr>
        <w:t>Decemebr</w:t>
      </w:r>
      <w:proofErr w:type="spellEnd"/>
      <w:r w:rsidRPr="00E76EA2">
        <w:rPr>
          <w:sz w:val="20"/>
          <w:szCs w:val="20"/>
        </w:rPr>
        <w:t xml:space="preserve"> 2007, ICC-01/04-556,19 December 2008, Appeals Chamber, p.8, para.13.</w:t>
      </w:r>
    </w:p>
    <w:p w14:paraId="6D4BF3B5" w14:textId="77777777" w:rsidR="00C310AB" w:rsidRPr="00E76EA2" w:rsidRDefault="00C310AB" w:rsidP="00233391">
      <w:pPr>
        <w:pStyle w:val="NoSpacing1"/>
        <w:spacing w:line="276" w:lineRule="auto"/>
        <w:jc w:val="both"/>
        <w:rPr>
          <w:sz w:val="20"/>
          <w:szCs w:val="20"/>
        </w:rPr>
      </w:pPr>
    </w:p>
  </w:footnote>
  <w:footnote w:id="821">
    <w:p w14:paraId="1E0E4F41" w14:textId="68733D27" w:rsidR="00C310AB" w:rsidRPr="005C1AF1" w:rsidRDefault="00C310AB" w:rsidP="00E845B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Kai Ambos, ‘International Criminal Procedure: “adversarial”, “inquisitorial” or mixed?(2003) 3(1) International Criminal Law, 1-37.</w:t>
      </w:r>
    </w:p>
  </w:footnote>
  <w:footnote w:id="822">
    <w:p w14:paraId="260321C5" w14:textId="2EFF060B" w:rsidR="00C310AB" w:rsidRPr="005C1AF1" w:rsidRDefault="00C310AB" w:rsidP="00E845B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w:t>
      </w:r>
      <w:r w:rsidR="00233391">
        <w:rPr>
          <w:sz w:val="20"/>
          <w:szCs w:val="20"/>
        </w:rPr>
        <w:t>;</w:t>
      </w:r>
      <w:r w:rsidRPr="00E76EA2">
        <w:rPr>
          <w:sz w:val="20"/>
          <w:szCs w:val="20"/>
          <w:lang w:val="en-US"/>
        </w:rPr>
        <w:t xml:space="preserve"> Kai Ambos, ‘International Criminal Procedure: “adversarial”, “inquisitorial” or mixed?(2003) 3(1) International Criminal Law, 1-37.</w:t>
      </w:r>
    </w:p>
  </w:footnote>
  <w:footnote w:id="823">
    <w:p w14:paraId="61333C09" w14:textId="035B89CD" w:rsidR="00C310AB" w:rsidRPr="00E76EA2" w:rsidRDefault="00C310AB" w:rsidP="00E845B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John Spencer, ‘Adversarial v. inquisitorial systems: is there still such a difference(2016) 20(5) I</w:t>
      </w:r>
      <w:r w:rsidRPr="00E76EA2">
        <w:rPr>
          <w:i/>
          <w:sz w:val="20"/>
          <w:szCs w:val="20"/>
        </w:rPr>
        <w:t>nternational</w:t>
      </w:r>
      <w:r w:rsidRPr="00E76EA2">
        <w:rPr>
          <w:sz w:val="20"/>
          <w:szCs w:val="20"/>
        </w:rPr>
        <w:t xml:space="preserve">  </w:t>
      </w:r>
      <w:r w:rsidRPr="00E76EA2">
        <w:rPr>
          <w:i/>
          <w:sz w:val="20"/>
          <w:szCs w:val="20"/>
        </w:rPr>
        <w:t>Journal of Human Rights,</w:t>
      </w:r>
      <w:r w:rsidRPr="00E76EA2">
        <w:rPr>
          <w:sz w:val="20"/>
          <w:szCs w:val="20"/>
        </w:rPr>
        <w:t>601-616;</w:t>
      </w:r>
      <w:r w:rsidRPr="00E76EA2">
        <w:rPr>
          <w:rStyle w:val="FootnoteReference"/>
          <w:sz w:val="20"/>
          <w:szCs w:val="20"/>
        </w:rPr>
        <w:t xml:space="preserve"> </w:t>
      </w:r>
      <w:r w:rsidRPr="00E76EA2">
        <w:rPr>
          <w:sz w:val="20"/>
          <w:szCs w:val="20"/>
        </w:rPr>
        <w:t xml:space="preserve">Mike McConville and Geoffrey </w:t>
      </w:r>
      <w:proofErr w:type="spellStart"/>
      <w:r w:rsidRPr="00E76EA2">
        <w:rPr>
          <w:sz w:val="20"/>
          <w:szCs w:val="20"/>
        </w:rPr>
        <w:t>Wilson,</w:t>
      </w:r>
      <w:r w:rsidRPr="00E76EA2">
        <w:rPr>
          <w:i/>
          <w:sz w:val="20"/>
          <w:szCs w:val="20"/>
        </w:rPr>
        <w:t>The</w:t>
      </w:r>
      <w:proofErr w:type="spellEnd"/>
      <w:r w:rsidRPr="00E76EA2">
        <w:rPr>
          <w:i/>
          <w:sz w:val="20"/>
          <w:szCs w:val="20"/>
        </w:rPr>
        <w:t xml:space="preserve"> </w:t>
      </w:r>
      <w:r w:rsidRPr="00E76EA2">
        <w:rPr>
          <w:sz w:val="20"/>
          <w:szCs w:val="20"/>
        </w:rPr>
        <w:t>Handbook</w:t>
      </w:r>
      <w:r w:rsidRPr="00E76EA2">
        <w:rPr>
          <w:i/>
          <w:sz w:val="20"/>
          <w:szCs w:val="20"/>
        </w:rPr>
        <w:t xml:space="preserve"> of the Criminal Justice Process(</w:t>
      </w:r>
      <w:r w:rsidRPr="00E76EA2">
        <w:rPr>
          <w:sz w:val="20"/>
          <w:szCs w:val="20"/>
        </w:rPr>
        <w:t xml:space="preserve"> Oxford University Press2002); Jacqueline Hodgson, ‘The Police , the Prosecutor and the judge </w:t>
      </w:r>
      <w:proofErr w:type="spellStart"/>
      <w:r w:rsidRPr="00E76EA2">
        <w:rPr>
          <w:sz w:val="20"/>
          <w:szCs w:val="20"/>
        </w:rPr>
        <w:t>d’instruction:Judicial</w:t>
      </w:r>
      <w:proofErr w:type="spellEnd"/>
      <w:r w:rsidRPr="00E76EA2">
        <w:rPr>
          <w:sz w:val="20"/>
          <w:szCs w:val="20"/>
        </w:rPr>
        <w:t xml:space="preserve"> Supervision in France ,Theory and Practice’ (2001) 41(2)</w:t>
      </w:r>
      <w:r w:rsidRPr="00E76EA2">
        <w:rPr>
          <w:i/>
          <w:sz w:val="20"/>
          <w:szCs w:val="20"/>
        </w:rPr>
        <w:t xml:space="preserve">British Journal of </w:t>
      </w:r>
      <w:r w:rsidRPr="00E845B5">
        <w:rPr>
          <w:i/>
          <w:iCs/>
          <w:sz w:val="20"/>
          <w:szCs w:val="20"/>
        </w:rPr>
        <w:t>Criminology</w:t>
      </w:r>
      <w:r w:rsidRPr="00E76EA2">
        <w:rPr>
          <w:sz w:val="20"/>
          <w:szCs w:val="20"/>
        </w:rPr>
        <w:t>, 342-361</w:t>
      </w:r>
      <w:r w:rsidR="006A77B4">
        <w:rPr>
          <w:sz w:val="20"/>
          <w:szCs w:val="20"/>
        </w:rPr>
        <w:t>.</w:t>
      </w:r>
    </w:p>
    <w:p w14:paraId="05930B53" w14:textId="77777777" w:rsidR="00C310AB" w:rsidRPr="00E76EA2" w:rsidRDefault="00C310AB" w:rsidP="00E845B5">
      <w:pPr>
        <w:pStyle w:val="NoSpacing1"/>
        <w:spacing w:line="276" w:lineRule="auto"/>
        <w:jc w:val="both"/>
        <w:rPr>
          <w:sz w:val="20"/>
          <w:szCs w:val="20"/>
        </w:rPr>
      </w:pPr>
    </w:p>
    <w:p w14:paraId="752631C3" w14:textId="77777777" w:rsidR="00C310AB" w:rsidRPr="00E76EA2" w:rsidRDefault="00C310AB" w:rsidP="00E76EA2">
      <w:pPr>
        <w:pStyle w:val="NoSpacing1"/>
        <w:rPr>
          <w:sz w:val="20"/>
          <w:szCs w:val="20"/>
        </w:rPr>
      </w:pPr>
    </w:p>
  </w:footnote>
  <w:footnote w:id="824">
    <w:p w14:paraId="554FF209" w14:textId="04E7F7E0" w:rsidR="00C310AB" w:rsidRPr="00E76EA2" w:rsidRDefault="00C310AB" w:rsidP="00E845B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Germain Katanga and Mathieu </w:t>
      </w:r>
      <w:proofErr w:type="spellStart"/>
      <w:r w:rsidRPr="00E76EA2">
        <w:rPr>
          <w:sz w:val="20"/>
          <w:szCs w:val="20"/>
        </w:rPr>
        <w:t>Ngudjolo</w:t>
      </w:r>
      <w:proofErr w:type="spellEnd"/>
      <w:r w:rsidRPr="00E76EA2">
        <w:rPr>
          <w:sz w:val="20"/>
          <w:szCs w:val="20"/>
        </w:rPr>
        <w:t>, Decision on the modalities of victim participation at Trial ,  ICC-01/04-01/07-1788 16/46 22 January 2010</w:t>
      </w:r>
      <w:r w:rsidR="00E845B5">
        <w:rPr>
          <w:sz w:val="20"/>
          <w:szCs w:val="20"/>
        </w:rPr>
        <w:t>,</w:t>
      </w:r>
      <w:r w:rsidRPr="00E76EA2">
        <w:rPr>
          <w:sz w:val="20"/>
          <w:szCs w:val="20"/>
        </w:rPr>
        <w:t>p.16, para36.</w:t>
      </w:r>
    </w:p>
  </w:footnote>
  <w:footnote w:id="825">
    <w:p w14:paraId="13EF4BD4" w14:textId="24778D44" w:rsidR="00C310AB" w:rsidRPr="005C1AF1" w:rsidRDefault="00C310AB" w:rsidP="00685975">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Situation in the Democratic Republic of Congo , The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xml:space="preserve">, </w:t>
      </w:r>
      <w:r w:rsidRPr="00E76EA2">
        <w:rPr>
          <w:i/>
          <w:sz w:val="20"/>
          <w:szCs w:val="20"/>
        </w:rPr>
        <w:t xml:space="preserve">Decision on the </w:t>
      </w:r>
      <w:proofErr w:type="spellStart"/>
      <w:r w:rsidRPr="00E76EA2">
        <w:rPr>
          <w:i/>
          <w:sz w:val="20"/>
          <w:szCs w:val="20"/>
        </w:rPr>
        <w:t>Arrangments</w:t>
      </w:r>
      <w:proofErr w:type="spellEnd"/>
      <w:r w:rsidRPr="00E76EA2">
        <w:rPr>
          <w:i/>
          <w:sz w:val="20"/>
          <w:szCs w:val="20"/>
        </w:rPr>
        <w:t xml:space="preserve"> for Participation of Victims a/0001/06, a/0002/06 and a/0003/06 at the Confirmation </w:t>
      </w:r>
      <w:proofErr w:type="spellStart"/>
      <w:r w:rsidRPr="00E76EA2">
        <w:rPr>
          <w:i/>
          <w:sz w:val="20"/>
          <w:szCs w:val="20"/>
        </w:rPr>
        <w:t>Hearing.</w:t>
      </w:r>
      <w:r w:rsidRPr="00E76EA2">
        <w:rPr>
          <w:sz w:val="20"/>
          <w:szCs w:val="20"/>
        </w:rPr>
        <w:t>Pre</w:t>
      </w:r>
      <w:proofErr w:type="spellEnd"/>
      <w:r w:rsidRPr="00E76EA2">
        <w:rPr>
          <w:sz w:val="20"/>
          <w:szCs w:val="20"/>
        </w:rPr>
        <w:t xml:space="preserve">-Trial Chamber 1, 22 September 2006, ICC-01/04-01/06-462-tEN; </w:t>
      </w:r>
      <w:r w:rsidRPr="00E76EA2">
        <w:rPr>
          <w:i/>
          <w:sz w:val="20"/>
          <w:szCs w:val="20"/>
        </w:rPr>
        <w:t xml:space="preserve">Prosecutor v Thomas Lubanga , Decision on victims’ </w:t>
      </w:r>
      <w:proofErr w:type="spellStart"/>
      <w:r w:rsidRPr="00E76EA2">
        <w:rPr>
          <w:i/>
          <w:sz w:val="20"/>
          <w:szCs w:val="20"/>
        </w:rPr>
        <w:t>parctipation</w:t>
      </w:r>
      <w:proofErr w:type="spellEnd"/>
      <w:r w:rsidRPr="00E76EA2">
        <w:rPr>
          <w:i/>
          <w:sz w:val="20"/>
          <w:szCs w:val="20"/>
        </w:rPr>
        <w:t>, ICC-01/04-01/06-1119 ,18 January, p.44,Para 131</w:t>
      </w:r>
    </w:p>
  </w:footnote>
  <w:footnote w:id="826">
    <w:p w14:paraId="5D40ACF3" w14:textId="4AAA5783" w:rsidR="00C310AB" w:rsidRPr="006A77B4" w:rsidRDefault="00C310AB" w:rsidP="00685975">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Situation in the Democratic Republic of Congo , The </w:t>
      </w:r>
      <w:proofErr w:type="spellStart"/>
      <w:r w:rsidRPr="00E76EA2">
        <w:rPr>
          <w:sz w:val="20"/>
          <w:szCs w:val="20"/>
        </w:rPr>
        <w:t>Prosecutrov.Thomas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xml:space="preserve">, </w:t>
      </w:r>
      <w:r w:rsidRPr="00E76EA2">
        <w:rPr>
          <w:i/>
          <w:sz w:val="20"/>
          <w:szCs w:val="20"/>
        </w:rPr>
        <w:t xml:space="preserve">Decision on the Arrangements for Participation of Victims a/0001/06, a/0002/06 and a/0003/06 at the Confirmation </w:t>
      </w:r>
      <w:proofErr w:type="spellStart"/>
      <w:r w:rsidRPr="00E76EA2">
        <w:rPr>
          <w:i/>
          <w:sz w:val="20"/>
          <w:szCs w:val="20"/>
        </w:rPr>
        <w:t>Hearing.</w:t>
      </w:r>
      <w:r w:rsidRPr="00E76EA2">
        <w:rPr>
          <w:sz w:val="20"/>
          <w:szCs w:val="20"/>
        </w:rPr>
        <w:t>Pre</w:t>
      </w:r>
      <w:proofErr w:type="spellEnd"/>
      <w:r w:rsidRPr="00E76EA2">
        <w:rPr>
          <w:sz w:val="20"/>
          <w:szCs w:val="20"/>
        </w:rPr>
        <w:t xml:space="preserve">-Trial Chamber 1, 22 September 2006, ICC-01/04-01/06-462-tEN; </w:t>
      </w:r>
      <w:r w:rsidRPr="00E76EA2">
        <w:rPr>
          <w:i/>
          <w:sz w:val="20"/>
          <w:szCs w:val="20"/>
        </w:rPr>
        <w:t>Prosecutor v Thomas Lubanga , Decision on victims’ par</w:t>
      </w:r>
      <w:r w:rsidR="006A77B4">
        <w:rPr>
          <w:i/>
          <w:sz w:val="20"/>
          <w:szCs w:val="20"/>
        </w:rPr>
        <w:t>ti</w:t>
      </w:r>
      <w:r w:rsidRPr="00E76EA2">
        <w:rPr>
          <w:i/>
          <w:sz w:val="20"/>
          <w:szCs w:val="20"/>
        </w:rPr>
        <w:t>c</w:t>
      </w:r>
      <w:r w:rsidR="006A77B4">
        <w:rPr>
          <w:i/>
          <w:sz w:val="20"/>
          <w:szCs w:val="20"/>
        </w:rPr>
        <w:t>i</w:t>
      </w:r>
      <w:r w:rsidRPr="00E76EA2">
        <w:rPr>
          <w:i/>
          <w:sz w:val="20"/>
          <w:szCs w:val="20"/>
        </w:rPr>
        <w:t>pation, ICC-01/04-01/06-1119 ,</w:t>
      </w:r>
      <w:r w:rsidRPr="006A77B4">
        <w:rPr>
          <w:iCs/>
          <w:sz w:val="20"/>
          <w:szCs w:val="20"/>
        </w:rPr>
        <w:t>18 January</w:t>
      </w:r>
      <w:r w:rsidR="006A77B4">
        <w:rPr>
          <w:iCs/>
          <w:sz w:val="20"/>
          <w:szCs w:val="20"/>
        </w:rPr>
        <w:t xml:space="preserve"> 2008</w:t>
      </w:r>
      <w:r w:rsidRPr="006A77B4">
        <w:rPr>
          <w:iCs/>
          <w:sz w:val="20"/>
          <w:szCs w:val="20"/>
        </w:rPr>
        <w:t>,</w:t>
      </w:r>
      <w:r w:rsidRPr="00E76EA2">
        <w:rPr>
          <w:i/>
          <w:sz w:val="20"/>
          <w:szCs w:val="20"/>
        </w:rPr>
        <w:t xml:space="preserve"> </w:t>
      </w:r>
      <w:r w:rsidRPr="006A77B4">
        <w:rPr>
          <w:iCs/>
          <w:sz w:val="20"/>
          <w:szCs w:val="20"/>
        </w:rPr>
        <w:t>p.44,Para 131</w:t>
      </w:r>
    </w:p>
  </w:footnote>
  <w:footnote w:id="827">
    <w:p w14:paraId="1537C67D" w14:textId="77777777" w:rsidR="00C310AB" w:rsidRPr="00E76EA2" w:rsidRDefault="00C310AB" w:rsidP="0068597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828">
    <w:p w14:paraId="3133B323" w14:textId="03EC2BA3" w:rsidR="00C310AB" w:rsidRPr="00E76EA2" w:rsidRDefault="00C310AB" w:rsidP="007D018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Germain Katanga and Mathieu </w:t>
      </w:r>
      <w:proofErr w:type="spellStart"/>
      <w:r w:rsidRPr="00E76EA2">
        <w:rPr>
          <w:sz w:val="20"/>
          <w:szCs w:val="20"/>
        </w:rPr>
        <w:t>Ngudjolo</w:t>
      </w:r>
      <w:proofErr w:type="spellEnd"/>
      <w:r w:rsidRPr="00E76EA2">
        <w:rPr>
          <w:sz w:val="20"/>
          <w:szCs w:val="20"/>
        </w:rPr>
        <w:t>, Appeal of Mr Katanga against the Decision of Trial Chamber II ; Appeal Hearing of Prosecutor v Germain Katanga, ICC-01/04-01/07-t-349-ENG ET WT 08-03-2018 13/15 NB A3 A4 A5</w:t>
      </w:r>
      <w:r w:rsidR="006A77B4">
        <w:rPr>
          <w:sz w:val="20"/>
          <w:szCs w:val="20"/>
        </w:rPr>
        <w:t>.</w:t>
      </w:r>
    </w:p>
  </w:footnote>
  <w:footnote w:id="829">
    <w:p w14:paraId="276C0D6C" w14:textId="1652C709" w:rsidR="00C310AB" w:rsidRPr="00E76EA2" w:rsidRDefault="00C310AB" w:rsidP="007D018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Appeals Chamber Judgement on the Appeals of the Prosecutor and the Defence against Trial Chamber I’ s Decision on Victim Part</w:t>
      </w:r>
      <w:r w:rsidR="007D0187">
        <w:rPr>
          <w:sz w:val="20"/>
          <w:szCs w:val="20"/>
        </w:rPr>
        <w:t>i</w:t>
      </w:r>
      <w:r w:rsidRPr="00E76EA2">
        <w:rPr>
          <w:sz w:val="20"/>
          <w:szCs w:val="20"/>
        </w:rPr>
        <w:t>cipation of 18 January 2008, ICC-01/04-01/06-1432, 7 July 2008</w:t>
      </w:r>
      <w:r w:rsidR="006A77B4">
        <w:rPr>
          <w:sz w:val="20"/>
          <w:szCs w:val="20"/>
        </w:rPr>
        <w:t>.</w:t>
      </w:r>
    </w:p>
  </w:footnote>
  <w:footnote w:id="830">
    <w:p w14:paraId="774BBB8D" w14:textId="4F109205" w:rsidR="00C310AB" w:rsidRPr="00E76EA2" w:rsidRDefault="00C310AB" w:rsidP="007D018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Appeals Chamber Judgement on the Appeals of the Prosecutor and the Defence against Trial Chamber I’s Decision on Victim’ s Participation of 18 January 2008, ICC-01/04-01/06-1432, 7 July 2008. Paras 61 and 104. ;Prosecutor v Lubanga , Decision on Victims’ Participation  on 18January 2008, ICC-01/04-01/06-1119.</w:t>
      </w:r>
    </w:p>
  </w:footnote>
  <w:footnote w:id="831">
    <w:p w14:paraId="41C09DFF" w14:textId="77777777" w:rsidR="00C310AB" w:rsidRPr="00E76EA2" w:rsidRDefault="00C310AB" w:rsidP="007D018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Status Conference (Open Session), ICC-01/04-01/06-t-101-ENG , 12 January 2009,</w:t>
      </w:r>
    </w:p>
    <w:p w14:paraId="157A27F1" w14:textId="77777777" w:rsidR="00C310AB" w:rsidRPr="00E76EA2" w:rsidRDefault="00C310AB" w:rsidP="007D0187">
      <w:pPr>
        <w:pStyle w:val="NoSpacing1"/>
        <w:spacing w:line="276" w:lineRule="auto"/>
        <w:jc w:val="both"/>
        <w:rPr>
          <w:sz w:val="20"/>
          <w:szCs w:val="20"/>
        </w:rPr>
      </w:pPr>
    </w:p>
  </w:footnote>
  <w:footnote w:id="832">
    <w:p w14:paraId="24C58F84" w14:textId="75BDF218" w:rsidR="00C310AB" w:rsidRPr="00E76EA2" w:rsidRDefault="00C310AB" w:rsidP="00F91EF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Situation in the Democratic Republic Of Congo, The Prosecutor V. Germain Katanga and Mathieu </w:t>
      </w:r>
      <w:proofErr w:type="spellStart"/>
      <w:r w:rsidRPr="00E76EA2">
        <w:rPr>
          <w:sz w:val="20"/>
          <w:szCs w:val="20"/>
        </w:rPr>
        <w:t>Ngudjolo</w:t>
      </w:r>
      <w:proofErr w:type="spellEnd"/>
      <w:r w:rsidRPr="00E76EA2">
        <w:rPr>
          <w:sz w:val="20"/>
          <w:szCs w:val="20"/>
        </w:rPr>
        <w:t>, Decision on the Set of Procedural Rights Attached to Procedural Status of Victim at the Pre-trial Stage of the Case Pre-trial Chamber 1, p.61</w:t>
      </w:r>
    </w:p>
  </w:footnote>
  <w:footnote w:id="833">
    <w:p w14:paraId="427BF962" w14:textId="08D6FA06" w:rsidR="00C310AB" w:rsidRPr="00E76EA2" w:rsidRDefault="00C310AB" w:rsidP="00F91EF2">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Rachel </w:t>
      </w:r>
      <w:proofErr w:type="spellStart"/>
      <w:r w:rsidRPr="00E76EA2">
        <w:rPr>
          <w:sz w:val="20"/>
          <w:szCs w:val="20"/>
        </w:rPr>
        <w:t>Killean</w:t>
      </w:r>
      <w:proofErr w:type="spellEnd"/>
      <w:r w:rsidRPr="00E76EA2">
        <w:rPr>
          <w:sz w:val="20"/>
          <w:szCs w:val="20"/>
        </w:rPr>
        <w:t xml:space="preserve"> and Luke </w:t>
      </w:r>
      <w:proofErr w:type="spellStart"/>
      <w:r w:rsidRPr="00E76EA2">
        <w:rPr>
          <w:sz w:val="20"/>
          <w:szCs w:val="20"/>
        </w:rPr>
        <w:t>Moffett,”Representation</w:t>
      </w:r>
      <w:proofErr w:type="spellEnd"/>
      <w:r w:rsidRPr="00E76EA2">
        <w:rPr>
          <w:sz w:val="20"/>
          <w:szCs w:val="20"/>
        </w:rPr>
        <w:t xml:space="preserve">, Agency and </w:t>
      </w:r>
      <w:proofErr w:type="spellStart"/>
      <w:r w:rsidRPr="00E76EA2">
        <w:rPr>
          <w:sz w:val="20"/>
          <w:szCs w:val="20"/>
        </w:rPr>
        <w:t>Voice:Victim</w:t>
      </w:r>
      <w:proofErr w:type="spellEnd"/>
      <w:r w:rsidRPr="00E76EA2">
        <w:rPr>
          <w:sz w:val="20"/>
          <w:szCs w:val="20"/>
        </w:rPr>
        <w:t xml:space="preserve"> Legal Representation before the ICC and ECCC” (2017)15(4)</w:t>
      </w:r>
      <w:r w:rsidRPr="00E76EA2">
        <w:rPr>
          <w:i/>
          <w:iCs/>
          <w:sz w:val="20"/>
          <w:szCs w:val="20"/>
        </w:rPr>
        <w:t xml:space="preserve">Journal  of International Criminal </w:t>
      </w:r>
      <w:r w:rsidRPr="00E76EA2">
        <w:rPr>
          <w:sz w:val="20"/>
          <w:szCs w:val="20"/>
        </w:rPr>
        <w:t>Justice,1-37.</w:t>
      </w:r>
      <w:r w:rsidRPr="00E76EA2">
        <w:rPr>
          <w:i/>
          <w:iCs/>
          <w:sz w:val="20"/>
          <w:szCs w:val="20"/>
        </w:rPr>
        <w:t xml:space="preserve"> </w:t>
      </w:r>
    </w:p>
  </w:footnote>
  <w:footnote w:id="834">
    <w:p w14:paraId="387982F8" w14:textId="6076A8C7" w:rsidR="00C310AB" w:rsidRPr="00976FB8" w:rsidRDefault="00C310AB" w:rsidP="0056705E">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Kai Ambos, ‘International Criminal Procedure: adversarial, inquisitorial or mixed? (2003) 3(1) </w:t>
      </w:r>
      <w:r w:rsidRPr="00E76EA2">
        <w:rPr>
          <w:i/>
          <w:iCs/>
          <w:sz w:val="20"/>
          <w:szCs w:val="20"/>
          <w:lang w:val="en-US"/>
        </w:rPr>
        <w:t>International Criminal La</w:t>
      </w:r>
      <w:r w:rsidRPr="00E76EA2">
        <w:rPr>
          <w:sz w:val="20"/>
          <w:szCs w:val="20"/>
          <w:lang w:val="en-US"/>
        </w:rPr>
        <w:t xml:space="preserve">w </w:t>
      </w:r>
      <w:r w:rsidRPr="00E76EA2">
        <w:rPr>
          <w:i/>
          <w:iCs/>
          <w:sz w:val="20"/>
          <w:szCs w:val="20"/>
          <w:lang w:val="en-US"/>
        </w:rPr>
        <w:t>Journa</w:t>
      </w:r>
      <w:r w:rsidR="0056705E">
        <w:rPr>
          <w:i/>
          <w:iCs/>
          <w:sz w:val="20"/>
          <w:szCs w:val="20"/>
          <w:lang w:val="en-US"/>
        </w:rPr>
        <w:t>l</w:t>
      </w:r>
      <w:r w:rsidRPr="00E76EA2">
        <w:rPr>
          <w:sz w:val="20"/>
          <w:szCs w:val="20"/>
          <w:lang w:val="en-US"/>
        </w:rPr>
        <w:t>, 1-13.</w:t>
      </w:r>
    </w:p>
  </w:footnote>
  <w:footnote w:id="835">
    <w:p w14:paraId="28A24893" w14:textId="149007A2" w:rsidR="00C310AB" w:rsidRPr="00E76EA2" w:rsidRDefault="00C310AB" w:rsidP="0056705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Germain Katanga and Mathieu </w:t>
      </w:r>
      <w:proofErr w:type="spellStart"/>
      <w:r w:rsidRPr="00E76EA2">
        <w:rPr>
          <w:sz w:val="20"/>
          <w:szCs w:val="20"/>
        </w:rPr>
        <w:t>Ngudjolo</w:t>
      </w:r>
      <w:proofErr w:type="spellEnd"/>
      <w:r w:rsidRPr="00E76EA2">
        <w:rPr>
          <w:sz w:val="20"/>
          <w:szCs w:val="20"/>
        </w:rPr>
        <w:t>, Appeal of Mr Katanga against the Decision of Trial Chamber II.</w:t>
      </w:r>
    </w:p>
  </w:footnote>
  <w:footnote w:id="836">
    <w:p w14:paraId="5C4E067B" w14:textId="170E2437" w:rsidR="00C310AB" w:rsidRPr="00E76EA2" w:rsidRDefault="00C310AB" w:rsidP="0056705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837">
    <w:p w14:paraId="0C5F2134" w14:textId="22C83F65" w:rsidR="00C310AB" w:rsidRPr="00E76EA2" w:rsidRDefault="00C310AB" w:rsidP="0056705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Phil Clark, </w:t>
      </w:r>
      <w:r w:rsidRPr="00E76EA2">
        <w:rPr>
          <w:i/>
          <w:iCs/>
          <w:sz w:val="20"/>
          <w:szCs w:val="20"/>
        </w:rPr>
        <w:t xml:space="preserve">Distance </w:t>
      </w:r>
      <w:proofErr w:type="spellStart"/>
      <w:r w:rsidRPr="00E76EA2">
        <w:rPr>
          <w:i/>
          <w:iCs/>
          <w:sz w:val="20"/>
          <w:szCs w:val="20"/>
        </w:rPr>
        <w:t>Justice:The</w:t>
      </w:r>
      <w:proofErr w:type="spellEnd"/>
      <w:r w:rsidRPr="00E76EA2">
        <w:rPr>
          <w:i/>
          <w:iCs/>
          <w:sz w:val="20"/>
          <w:szCs w:val="20"/>
        </w:rPr>
        <w:t xml:space="preserve"> Impact of the International Criminal Court on African Politics</w:t>
      </w:r>
      <w:r w:rsidRPr="00E76EA2">
        <w:rPr>
          <w:sz w:val="20"/>
          <w:szCs w:val="20"/>
        </w:rPr>
        <w:t>( Cambridge University Press 2018)230.</w:t>
      </w:r>
    </w:p>
  </w:footnote>
  <w:footnote w:id="838">
    <w:p w14:paraId="74C6F921" w14:textId="30036F13"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006A77B4">
        <w:rPr>
          <w:sz w:val="20"/>
          <w:szCs w:val="20"/>
        </w:rPr>
        <w:t>Roy Lee, “The Rome Conference and its Contribution to International Law” I</w:t>
      </w:r>
      <w:r w:rsidR="006A77B4" w:rsidRPr="00E76EA2">
        <w:rPr>
          <w:sz w:val="20"/>
          <w:szCs w:val="20"/>
        </w:rPr>
        <w:t>n Roy Lee (ed</w:t>
      </w:r>
      <w:r w:rsidR="006A77B4">
        <w:rPr>
          <w:i/>
          <w:iCs/>
          <w:sz w:val="20"/>
          <w:szCs w:val="20"/>
        </w:rPr>
        <w:t>)</w:t>
      </w:r>
      <w:r w:rsidRPr="006A77B4">
        <w:rPr>
          <w:i/>
          <w:iCs/>
          <w:sz w:val="20"/>
          <w:szCs w:val="20"/>
        </w:rPr>
        <w:t xml:space="preserve">International Criminal </w:t>
      </w:r>
      <w:proofErr w:type="spellStart"/>
      <w:r w:rsidRPr="006A77B4">
        <w:rPr>
          <w:i/>
          <w:iCs/>
          <w:sz w:val="20"/>
          <w:szCs w:val="20"/>
        </w:rPr>
        <w:t>Court:The</w:t>
      </w:r>
      <w:proofErr w:type="spellEnd"/>
      <w:r w:rsidRPr="006A77B4">
        <w:rPr>
          <w:i/>
          <w:iCs/>
          <w:sz w:val="20"/>
          <w:szCs w:val="20"/>
        </w:rPr>
        <w:t xml:space="preserve"> Making of the Rome Statute –Issues , Negotiations, and Results</w:t>
      </w:r>
      <w:r w:rsidRPr="00E76EA2">
        <w:rPr>
          <w:sz w:val="20"/>
          <w:szCs w:val="20"/>
        </w:rPr>
        <w:t xml:space="preserve"> (1</w:t>
      </w:r>
      <w:r w:rsidRPr="00E76EA2">
        <w:rPr>
          <w:sz w:val="20"/>
          <w:szCs w:val="20"/>
          <w:vertAlign w:val="superscript"/>
        </w:rPr>
        <w:t>st</w:t>
      </w:r>
      <w:r w:rsidRPr="00E76EA2">
        <w:rPr>
          <w:sz w:val="20"/>
          <w:szCs w:val="20"/>
        </w:rPr>
        <w:t xml:space="preserve"> Edition Springer 1999)</w:t>
      </w:r>
      <w:r w:rsidR="006A77B4">
        <w:rPr>
          <w:sz w:val="20"/>
          <w:szCs w:val="20"/>
        </w:rPr>
        <w:t>.</w:t>
      </w:r>
    </w:p>
  </w:footnote>
  <w:footnote w:id="839">
    <w:p w14:paraId="10505D01" w14:textId="0EC8F02A"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Emily Haslam, “Victim Participation at the International Criminal Court :A Triumph of Hope Over Experience ?,  in Dominic McGoldrick et al  (eds) , </w:t>
      </w:r>
      <w:r w:rsidRPr="00E76EA2">
        <w:rPr>
          <w:i/>
          <w:sz w:val="20"/>
          <w:szCs w:val="20"/>
        </w:rPr>
        <w:t xml:space="preserve">The  Permanent International Criminal </w:t>
      </w:r>
      <w:proofErr w:type="spellStart"/>
      <w:r w:rsidRPr="00E76EA2">
        <w:rPr>
          <w:i/>
          <w:sz w:val="20"/>
          <w:szCs w:val="20"/>
        </w:rPr>
        <w:t>Court:Legal</w:t>
      </w:r>
      <w:proofErr w:type="spellEnd"/>
      <w:r w:rsidRPr="00E76EA2">
        <w:rPr>
          <w:i/>
          <w:sz w:val="20"/>
          <w:szCs w:val="20"/>
        </w:rPr>
        <w:t xml:space="preserve"> and Policy Issues</w:t>
      </w:r>
      <w:r w:rsidRPr="00E76EA2">
        <w:rPr>
          <w:sz w:val="20"/>
          <w:szCs w:val="20"/>
        </w:rPr>
        <w:t xml:space="preserve"> (Oxford Hart Publishing 2004)</w:t>
      </w:r>
      <w:r w:rsidR="006A77B4">
        <w:rPr>
          <w:sz w:val="20"/>
          <w:szCs w:val="20"/>
        </w:rPr>
        <w:t>.</w:t>
      </w:r>
    </w:p>
  </w:footnote>
  <w:footnote w:id="840">
    <w:p w14:paraId="760CA622" w14:textId="1E4E2B8C"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Elisabeth Baumgartner, ‘Aspects of victim participation in the proceedings of the International Criminal Court (2008) 90(870) </w:t>
      </w:r>
      <w:r w:rsidRPr="00E76EA2">
        <w:rPr>
          <w:i/>
          <w:sz w:val="20"/>
          <w:szCs w:val="20"/>
        </w:rPr>
        <w:t>International Review of the Red Cross</w:t>
      </w:r>
      <w:r w:rsidRPr="00E76EA2">
        <w:rPr>
          <w:sz w:val="20"/>
          <w:szCs w:val="20"/>
        </w:rPr>
        <w:t xml:space="preserve"> , 409-440,413.;Emily Haslam, ‘Victim participation at the International Criminal </w:t>
      </w:r>
      <w:proofErr w:type="spellStart"/>
      <w:r w:rsidRPr="00E76EA2">
        <w:rPr>
          <w:sz w:val="20"/>
          <w:szCs w:val="20"/>
        </w:rPr>
        <w:t>Court:a</w:t>
      </w:r>
      <w:proofErr w:type="spellEnd"/>
      <w:r w:rsidRPr="00E76EA2">
        <w:rPr>
          <w:sz w:val="20"/>
          <w:szCs w:val="20"/>
        </w:rPr>
        <w:t xml:space="preserve"> triumph of hope over experience ? in Dominic McGoldrick et al. (eds), </w:t>
      </w:r>
      <w:r w:rsidRPr="00E76EA2">
        <w:rPr>
          <w:i/>
          <w:sz w:val="20"/>
          <w:szCs w:val="20"/>
        </w:rPr>
        <w:t>The Permanent International Criminal Court :Legal and Policy issues</w:t>
      </w:r>
      <w:r w:rsidRPr="00E76EA2">
        <w:rPr>
          <w:sz w:val="20"/>
          <w:szCs w:val="20"/>
        </w:rPr>
        <w:t>(Hart Publishing  2004) 315,324</w:t>
      </w:r>
      <w:r w:rsidR="00F94AD2">
        <w:rPr>
          <w:sz w:val="20"/>
          <w:szCs w:val="20"/>
        </w:rPr>
        <w:t>.</w:t>
      </w:r>
    </w:p>
  </w:footnote>
  <w:footnote w:id="841">
    <w:p w14:paraId="5E4E5E16" w14:textId="77777777"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Kelvin Smith and John Darley, ‘Psychological Aspect of Retributive Justice’, (2008) 40(1)</w:t>
      </w:r>
      <w:r w:rsidRPr="00E76EA2">
        <w:rPr>
          <w:i/>
          <w:sz w:val="20"/>
          <w:szCs w:val="20"/>
        </w:rPr>
        <w:t>Advances in Experimental Social Psychology</w:t>
      </w:r>
      <w:r w:rsidRPr="00E76EA2">
        <w:rPr>
          <w:sz w:val="20"/>
          <w:szCs w:val="20"/>
        </w:rPr>
        <w:t>,p.193-236.</w:t>
      </w:r>
    </w:p>
  </w:footnote>
  <w:footnote w:id="842">
    <w:p w14:paraId="7F7C5605" w14:textId="4A72348B"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Hirsch, “Proportionality in the Philosophy of Punishment” (1992) 16 </w:t>
      </w:r>
      <w:r w:rsidRPr="00E76EA2">
        <w:rPr>
          <w:i/>
          <w:sz w:val="20"/>
          <w:szCs w:val="20"/>
        </w:rPr>
        <w:t>Crime and Justice</w:t>
      </w:r>
      <w:r w:rsidRPr="00E76EA2">
        <w:rPr>
          <w:sz w:val="20"/>
          <w:szCs w:val="20"/>
        </w:rPr>
        <w:t xml:space="preserve">, </w:t>
      </w:r>
      <w:r w:rsidR="006A77B4">
        <w:rPr>
          <w:sz w:val="20"/>
          <w:szCs w:val="20"/>
        </w:rPr>
        <w:t>p.</w:t>
      </w:r>
      <w:r w:rsidRPr="00E76EA2">
        <w:rPr>
          <w:sz w:val="20"/>
          <w:szCs w:val="20"/>
        </w:rPr>
        <w:t>55,56</w:t>
      </w:r>
    </w:p>
  </w:footnote>
  <w:footnote w:id="843">
    <w:p w14:paraId="5FFCEA76" w14:textId="5A3A8BF7"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Kelvin Smith and John </w:t>
      </w:r>
      <w:proofErr w:type="spellStart"/>
      <w:r w:rsidRPr="00E76EA2">
        <w:rPr>
          <w:sz w:val="20"/>
          <w:szCs w:val="20"/>
        </w:rPr>
        <w:t>Darley,’Psychological</w:t>
      </w:r>
      <w:proofErr w:type="spellEnd"/>
      <w:r w:rsidRPr="00E76EA2">
        <w:rPr>
          <w:sz w:val="20"/>
          <w:szCs w:val="20"/>
        </w:rPr>
        <w:t xml:space="preserve"> Aspect of Retributive Justice’, </w:t>
      </w:r>
      <w:r w:rsidR="00F94AD2" w:rsidRPr="00E76EA2">
        <w:rPr>
          <w:sz w:val="20"/>
          <w:szCs w:val="20"/>
        </w:rPr>
        <w:t>(2008)</w:t>
      </w:r>
      <w:r w:rsidR="00F94AD2">
        <w:rPr>
          <w:sz w:val="20"/>
          <w:szCs w:val="20"/>
        </w:rPr>
        <w:t xml:space="preserve"> 40</w:t>
      </w:r>
      <w:r w:rsidRPr="00F94AD2">
        <w:rPr>
          <w:i/>
          <w:iCs/>
          <w:sz w:val="20"/>
          <w:szCs w:val="20"/>
        </w:rPr>
        <w:t>Advances in Experimental Social Psychology</w:t>
      </w:r>
      <w:r w:rsidRPr="00E76EA2">
        <w:rPr>
          <w:sz w:val="20"/>
          <w:szCs w:val="20"/>
        </w:rPr>
        <w:t>193-236.</w:t>
      </w:r>
    </w:p>
  </w:footnote>
  <w:footnote w:id="844">
    <w:p w14:paraId="04BB9965" w14:textId="63DFEEC1"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Retributive </w:t>
      </w:r>
      <w:proofErr w:type="spellStart"/>
      <w:r w:rsidRPr="00E76EA2">
        <w:rPr>
          <w:sz w:val="20"/>
          <w:szCs w:val="20"/>
        </w:rPr>
        <w:t>Justice,Stanford</w:t>
      </w:r>
      <w:proofErr w:type="spellEnd"/>
      <w:r w:rsidRPr="00E76EA2">
        <w:rPr>
          <w:sz w:val="20"/>
          <w:szCs w:val="20"/>
        </w:rPr>
        <w:t xml:space="preserve"> </w:t>
      </w:r>
      <w:proofErr w:type="spellStart"/>
      <w:r w:rsidRPr="00E76EA2">
        <w:rPr>
          <w:sz w:val="20"/>
          <w:szCs w:val="20"/>
        </w:rPr>
        <w:t>Encyclopedia</w:t>
      </w:r>
      <w:proofErr w:type="spellEnd"/>
      <w:r w:rsidRPr="00E76EA2">
        <w:rPr>
          <w:sz w:val="20"/>
          <w:szCs w:val="20"/>
        </w:rPr>
        <w:t xml:space="preserve"> of </w:t>
      </w:r>
      <w:proofErr w:type="spellStart"/>
      <w:r w:rsidRPr="00E76EA2">
        <w:rPr>
          <w:sz w:val="20"/>
          <w:szCs w:val="20"/>
        </w:rPr>
        <w:t>Philosphy</w:t>
      </w:r>
      <w:proofErr w:type="spellEnd"/>
      <w:r w:rsidRPr="00E76EA2">
        <w:rPr>
          <w:sz w:val="20"/>
          <w:szCs w:val="20"/>
        </w:rPr>
        <w:t xml:space="preserve">,(2014) </w:t>
      </w:r>
      <w:hyperlink r:id="rId59" w:history="1">
        <w:r w:rsidRPr="00E76EA2">
          <w:rPr>
            <w:rStyle w:val="Hyperlink"/>
            <w:sz w:val="20"/>
            <w:szCs w:val="20"/>
          </w:rPr>
          <w:t>http://plato.stanford.edu/entries/justice-retributive/</w:t>
        </w:r>
      </w:hyperlink>
      <w:r w:rsidRPr="00E76EA2">
        <w:rPr>
          <w:sz w:val="20"/>
          <w:szCs w:val="20"/>
        </w:rPr>
        <w:t>&gt; last accessed 28 April 2016.</w:t>
      </w:r>
    </w:p>
  </w:footnote>
  <w:footnote w:id="845">
    <w:p w14:paraId="2BF87A14" w14:textId="1F736B53"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Douglas </w:t>
      </w:r>
      <w:proofErr w:type="spellStart"/>
      <w:r w:rsidRPr="00E76EA2">
        <w:rPr>
          <w:sz w:val="20"/>
          <w:szCs w:val="20"/>
        </w:rPr>
        <w:t>Husak</w:t>
      </w:r>
      <w:proofErr w:type="spellEnd"/>
      <w:r w:rsidRPr="00E76EA2">
        <w:rPr>
          <w:sz w:val="20"/>
          <w:szCs w:val="20"/>
        </w:rPr>
        <w:t xml:space="preserve">, ‘Why Punish the Deserving?’ (1992)  26(4)  Nous , 447-464 </w:t>
      </w:r>
      <w:hyperlink r:id="rId60" w:anchor="metadata_info_tab_contents" w:history="1">
        <w:r w:rsidRPr="00E76EA2">
          <w:rPr>
            <w:rStyle w:val="Hyperlink"/>
            <w:rFonts w:eastAsiaTheme="majorEastAsia"/>
            <w:sz w:val="20"/>
            <w:szCs w:val="20"/>
          </w:rPr>
          <w:t>https://www.jstor.org/stable/2216023?seq=1#metadata_info_tab_contents</w:t>
        </w:r>
      </w:hyperlink>
      <w:r w:rsidRPr="00E76EA2">
        <w:rPr>
          <w:rFonts w:eastAsiaTheme="majorEastAsia"/>
          <w:sz w:val="20"/>
          <w:szCs w:val="20"/>
        </w:rPr>
        <w:t xml:space="preserve">&gt; </w:t>
      </w:r>
      <w:r w:rsidRPr="00E76EA2">
        <w:rPr>
          <w:sz w:val="20"/>
          <w:szCs w:val="20"/>
        </w:rPr>
        <w:t>; Stephen Schafer, Restitution to Victims of Crime-An Old Correctional Aim Modernised (1965) 50(243)</w:t>
      </w:r>
      <w:r w:rsidRPr="00E76EA2">
        <w:rPr>
          <w:i/>
          <w:sz w:val="20"/>
          <w:szCs w:val="20"/>
        </w:rPr>
        <w:t xml:space="preserve">Minnesota Law Review </w:t>
      </w:r>
      <w:r w:rsidRPr="00E76EA2">
        <w:rPr>
          <w:sz w:val="20"/>
          <w:szCs w:val="20"/>
        </w:rPr>
        <w:t>243-254.</w:t>
      </w:r>
    </w:p>
  </w:footnote>
  <w:footnote w:id="846">
    <w:p w14:paraId="47D0C0E1" w14:textId="22C9EB57"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Stephen Schafer, Restitution to Victims of Crime-An Old Correctional Aim Modernised (1965) 50(243)</w:t>
      </w:r>
      <w:r w:rsidRPr="00E76EA2">
        <w:rPr>
          <w:i/>
          <w:sz w:val="20"/>
          <w:szCs w:val="20"/>
        </w:rPr>
        <w:t xml:space="preserve">Minnesota Law Review </w:t>
      </w:r>
      <w:r w:rsidRPr="00E76EA2">
        <w:rPr>
          <w:sz w:val="20"/>
          <w:szCs w:val="20"/>
        </w:rPr>
        <w:t>243-254. Available at &lt;</w:t>
      </w:r>
      <w:hyperlink r:id="rId61" w:history="1">
        <w:r w:rsidRPr="00E76EA2">
          <w:rPr>
            <w:rStyle w:val="Hyperlink"/>
            <w:rFonts w:eastAsiaTheme="majorEastAsia"/>
            <w:sz w:val="20"/>
            <w:szCs w:val="20"/>
          </w:rPr>
          <w:t>https://scholarship.law.umn.edu/cgi/viewcontent.cgi?article=3348&amp;context=mlr</w:t>
        </w:r>
      </w:hyperlink>
      <w:r w:rsidRPr="00E76EA2">
        <w:rPr>
          <w:sz w:val="20"/>
          <w:szCs w:val="20"/>
        </w:rPr>
        <w:t>&gt;last accessed 23 January 2019</w:t>
      </w:r>
    </w:p>
  </w:footnote>
  <w:footnote w:id="847">
    <w:p w14:paraId="2E8443CB" w14:textId="77777777"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Mirko Bagaric and Jon </w:t>
      </w:r>
      <w:proofErr w:type="spellStart"/>
      <w:r w:rsidRPr="00E76EA2">
        <w:rPr>
          <w:sz w:val="20"/>
          <w:szCs w:val="20"/>
        </w:rPr>
        <w:t>Morss</w:t>
      </w:r>
      <w:proofErr w:type="spellEnd"/>
      <w:r w:rsidRPr="00E76EA2">
        <w:rPr>
          <w:sz w:val="20"/>
          <w:szCs w:val="20"/>
        </w:rPr>
        <w:t>, International Sentencing Law: In Search of a Justification and Coherent Framework: (2006) 6 International Criminal Law Review ,253</w:t>
      </w:r>
    </w:p>
  </w:footnote>
  <w:footnote w:id="848">
    <w:p w14:paraId="2329843C" w14:textId="299C05E3" w:rsidR="00C310AB" w:rsidRPr="00E76EA2" w:rsidRDefault="00C310AB" w:rsidP="00F94AD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Brianne McGonigle, </w:t>
      </w:r>
      <w:proofErr w:type="spellStart"/>
      <w:r w:rsidRPr="00E76EA2">
        <w:rPr>
          <w:sz w:val="20"/>
          <w:szCs w:val="20"/>
        </w:rPr>
        <w:t>Leyh</w:t>
      </w:r>
      <w:proofErr w:type="spellEnd"/>
      <w:r w:rsidRPr="00E76EA2">
        <w:rPr>
          <w:sz w:val="20"/>
          <w:szCs w:val="20"/>
        </w:rPr>
        <w:t>, “Two for the Price of One :Attempts by the Extraordinary Chambers in the Courts of Cambodia to Combine Retributive and Restorative Justice Principles (2009) 22(1</w:t>
      </w:r>
      <w:r w:rsidRPr="00E76EA2">
        <w:rPr>
          <w:i/>
          <w:iCs/>
          <w:sz w:val="20"/>
          <w:szCs w:val="20"/>
        </w:rPr>
        <w:t>) Leiden Journal of International Law</w:t>
      </w:r>
      <w:r w:rsidRPr="00E76EA2">
        <w:rPr>
          <w:sz w:val="20"/>
          <w:szCs w:val="20"/>
        </w:rPr>
        <w:t xml:space="preserve">, 127-149. </w:t>
      </w:r>
    </w:p>
  </w:footnote>
  <w:footnote w:id="849">
    <w:p w14:paraId="08DE30A2" w14:textId="7581594B" w:rsidR="00F94AD2" w:rsidRPr="00F94AD2" w:rsidRDefault="00F94AD2" w:rsidP="00A601F1">
      <w:pPr>
        <w:pStyle w:val="FootnoteText"/>
        <w:spacing w:line="276" w:lineRule="auto"/>
        <w:jc w:val="both"/>
        <w:rPr>
          <w:rFonts w:ascii="Times New Roman" w:hAnsi="Times New Roman"/>
        </w:rPr>
      </w:pPr>
      <w:r w:rsidRPr="00F94AD2">
        <w:rPr>
          <w:rStyle w:val="FootnoteReference"/>
          <w:rFonts w:ascii="Times New Roman" w:hAnsi="Times New Roman"/>
        </w:rPr>
        <w:footnoteRef/>
      </w:r>
      <w:r w:rsidRPr="00F94AD2">
        <w:rPr>
          <w:rFonts w:ascii="Times New Roman" w:hAnsi="Times New Roman"/>
        </w:rPr>
        <w:t xml:space="preserve"> Tom Tyler, </w:t>
      </w:r>
      <w:r w:rsidRPr="00F94AD2">
        <w:rPr>
          <w:rFonts w:ascii="Times New Roman" w:hAnsi="Times New Roman"/>
          <w:i/>
          <w:iCs/>
        </w:rPr>
        <w:t>Why people obey the law</w:t>
      </w:r>
      <w:r w:rsidRPr="00F94AD2">
        <w:rPr>
          <w:rFonts w:ascii="Times New Roman" w:hAnsi="Times New Roman"/>
        </w:rPr>
        <w:t>?(Princeton University Press 2006)</w:t>
      </w:r>
    </w:p>
  </w:footnote>
  <w:footnote w:id="850">
    <w:p w14:paraId="0AC2C233" w14:textId="4E9F592B" w:rsidR="00C310AB" w:rsidRPr="00F94AD2" w:rsidRDefault="00C310AB" w:rsidP="00A601F1">
      <w:pPr>
        <w:pStyle w:val="NoSpacing1"/>
        <w:spacing w:line="276" w:lineRule="auto"/>
        <w:jc w:val="both"/>
        <w:rPr>
          <w:sz w:val="20"/>
          <w:szCs w:val="20"/>
        </w:rPr>
      </w:pPr>
      <w:r w:rsidRPr="00F94AD2">
        <w:rPr>
          <w:rStyle w:val="FootnoteReference"/>
          <w:sz w:val="20"/>
          <w:szCs w:val="20"/>
        </w:rPr>
        <w:footnoteRef/>
      </w:r>
      <w:r w:rsidRPr="00F94AD2">
        <w:rPr>
          <w:sz w:val="20"/>
          <w:szCs w:val="20"/>
        </w:rPr>
        <w:t xml:space="preserve"> Andrew Ashworth, ‘Victims’ Rights , Defendants’ Rights and Criminal Procedure’ </w:t>
      </w:r>
      <w:r w:rsidRPr="00F94AD2">
        <w:rPr>
          <w:i/>
          <w:sz w:val="20"/>
          <w:szCs w:val="20"/>
        </w:rPr>
        <w:t>Integrating A Victim Perspective Within Criminal Justice</w:t>
      </w:r>
      <w:r w:rsidRPr="00F94AD2">
        <w:rPr>
          <w:sz w:val="20"/>
          <w:szCs w:val="20"/>
        </w:rPr>
        <w:t xml:space="preserve"> : </w:t>
      </w:r>
      <w:r w:rsidRPr="00F94AD2">
        <w:rPr>
          <w:i/>
          <w:sz w:val="20"/>
          <w:szCs w:val="20"/>
        </w:rPr>
        <w:t>International debates</w:t>
      </w:r>
      <w:r w:rsidRPr="00F94AD2">
        <w:rPr>
          <w:sz w:val="20"/>
          <w:szCs w:val="20"/>
        </w:rPr>
        <w:t xml:space="preserve">  in Adam Crawford and Jo Goody (eds),(Routledge 2000)158.</w:t>
      </w:r>
    </w:p>
  </w:footnote>
  <w:footnote w:id="851">
    <w:p w14:paraId="141D6BAA" w14:textId="35201397" w:rsidR="00C310AB" w:rsidRPr="00F94AD2" w:rsidRDefault="00C310AB" w:rsidP="00A601F1">
      <w:pPr>
        <w:pStyle w:val="NoSpacing1"/>
        <w:spacing w:line="276" w:lineRule="auto"/>
        <w:jc w:val="both"/>
        <w:rPr>
          <w:sz w:val="20"/>
          <w:szCs w:val="20"/>
        </w:rPr>
      </w:pPr>
      <w:r w:rsidRPr="00F94AD2">
        <w:rPr>
          <w:rStyle w:val="FootnoteReference"/>
          <w:sz w:val="20"/>
          <w:szCs w:val="20"/>
        </w:rPr>
        <w:footnoteRef/>
      </w:r>
      <w:r w:rsidRPr="00F94AD2">
        <w:rPr>
          <w:sz w:val="20"/>
          <w:szCs w:val="20"/>
        </w:rPr>
        <w:t xml:space="preserve"> Ibid</w:t>
      </w:r>
    </w:p>
  </w:footnote>
  <w:footnote w:id="852">
    <w:p w14:paraId="6CA0CE2E" w14:textId="77777777" w:rsidR="00C310AB" w:rsidRPr="00F94AD2" w:rsidRDefault="00C310AB" w:rsidP="00A601F1">
      <w:pPr>
        <w:pStyle w:val="NoSpacing1"/>
        <w:spacing w:line="276" w:lineRule="auto"/>
        <w:jc w:val="both"/>
        <w:rPr>
          <w:sz w:val="20"/>
          <w:szCs w:val="20"/>
        </w:rPr>
      </w:pPr>
      <w:r w:rsidRPr="00F94AD2">
        <w:rPr>
          <w:rStyle w:val="FootnoteReference"/>
          <w:sz w:val="20"/>
          <w:szCs w:val="20"/>
        </w:rPr>
        <w:footnoteRef/>
      </w:r>
      <w:r w:rsidRPr="00F94AD2">
        <w:rPr>
          <w:sz w:val="20"/>
          <w:szCs w:val="20"/>
        </w:rPr>
        <w:t xml:space="preserve"> Randy Barnett,  Restitution :A New Paradigm of Criminal Justice</w:t>
      </w:r>
      <w:r w:rsidRPr="00F94AD2">
        <w:rPr>
          <w:i/>
          <w:sz w:val="20"/>
          <w:szCs w:val="20"/>
        </w:rPr>
        <w:t>,(</w:t>
      </w:r>
      <w:r w:rsidRPr="00F94AD2">
        <w:rPr>
          <w:sz w:val="20"/>
          <w:szCs w:val="20"/>
        </w:rPr>
        <w:t xml:space="preserve">1977) 87 </w:t>
      </w:r>
      <w:r w:rsidRPr="00F94AD2">
        <w:rPr>
          <w:i/>
          <w:iCs/>
          <w:sz w:val="20"/>
          <w:szCs w:val="20"/>
        </w:rPr>
        <w:t>Ethics</w:t>
      </w:r>
      <w:r w:rsidRPr="00F94AD2">
        <w:rPr>
          <w:sz w:val="20"/>
          <w:szCs w:val="20"/>
        </w:rPr>
        <w:t xml:space="preserve"> 279,284 </w:t>
      </w:r>
    </w:p>
  </w:footnote>
  <w:footnote w:id="853">
    <w:p w14:paraId="7012A8A1" w14:textId="6B6BA8DE" w:rsidR="00C310AB" w:rsidRPr="00E76EA2" w:rsidRDefault="00C310AB" w:rsidP="00A601F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A601F1">
        <w:rPr>
          <w:sz w:val="20"/>
          <w:szCs w:val="20"/>
        </w:rPr>
        <w:t>.</w:t>
      </w:r>
    </w:p>
  </w:footnote>
  <w:footnote w:id="854">
    <w:p w14:paraId="16DC1450" w14:textId="1C3A4942" w:rsidR="00C310AB" w:rsidRPr="00E76EA2" w:rsidRDefault="00C310AB" w:rsidP="00A601F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Helena </w:t>
      </w:r>
      <w:proofErr w:type="spellStart"/>
      <w:r w:rsidRPr="00E76EA2">
        <w:rPr>
          <w:sz w:val="20"/>
          <w:szCs w:val="20"/>
        </w:rPr>
        <w:t>Cobban</w:t>
      </w:r>
      <w:proofErr w:type="spellEnd"/>
      <w:r w:rsidRPr="00E76EA2">
        <w:rPr>
          <w:sz w:val="20"/>
          <w:szCs w:val="20"/>
        </w:rPr>
        <w:t>, Amnesty After Atrocity? Healing Nations after Genocide and War Crimes, (Paradigm 2007)p.209</w:t>
      </w:r>
      <w:r w:rsidR="00A601F1">
        <w:rPr>
          <w:sz w:val="20"/>
          <w:szCs w:val="20"/>
        </w:rPr>
        <w:t>.</w:t>
      </w:r>
    </w:p>
  </w:footnote>
  <w:footnote w:id="855">
    <w:p w14:paraId="1404033A" w14:textId="77777777" w:rsidR="00C310AB" w:rsidRPr="00E76EA2" w:rsidRDefault="00C310AB" w:rsidP="002D0B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“International Sentencing in the Context of Collective Violence” (2007)  7(10 </w:t>
      </w:r>
      <w:r w:rsidRPr="00E76EA2">
        <w:rPr>
          <w:i/>
          <w:iCs/>
          <w:sz w:val="20"/>
          <w:szCs w:val="20"/>
        </w:rPr>
        <w:t>International Criminal Law Review</w:t>
      </w:r>
      <w:r w:rsidRPr="00E76EA2">
        <w:rPr>
          <w:sz w:val="20"/>
          <w:szCs w:val="20"/>
        </w:rPr>
        <w:t>,p.449, 454</w:t>
      </w:r>
    </w:p>
  </w:footnote>
  <w:footnote w:id="856">
    <w:p w14:paraId="0D60DC66" w14:textId="7F4DD6D5" w:rsidR="00C310AB" w:rsidRPr="00E76EA2" w:rsidRDefault="00C310AB" w:rsidP="002D0B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68(3);Article 79</w:t>
      </w:r>
    </w:p>
  </w:footnote>
  <w:footnote w:id="857">
    <w:p w14:paraId="04BC1580" w14:textId="7530FA0A" w:rsidR="00C310AB" w:rsidRPr="00E76EA2" w:rsidRDefault="00C310AB" w:rsidP="002D0BA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68(3)</w:t>
      </w:r>
      <w:r w:rsidR="002D0BA3">
        <w:rPr>
          <w:sz w:val="20"/>
          <w:szCs w:val="20"/>
        </w:rPr>
        <w:t>.</w:t>
      </w:r>
    </w:p>
  </w:footnote>
  <w:footnote w:id="858">
    <w:p w14:paraId="1B8E08BA" w14:textId="06DFCC5C"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Susan Lamb, “</w:t>
      </w:r>
      <w:proofErr w:type="spellStart"/>
      <w:r w:rsidRPr="00E76EA2">
        <w:rPr>
          <w:i/>
          <w:iCs/>
          <w:sz w:val="20"/>
          <w:szCs w:val="20"/>
        </w:rPr>
        <w:t>Nullum</w:t>
      </w:r>
      <w:proofErr w:type="spellEnd"/>
      <w:r w:rsidRPr="00E76EA2">
        <w:rPr>
          <w:i/>
          <w:iCs/>
          <w:sz w:val="20"/>
          <w:szCs w:val="20"/>
        </w:rPr>
        <w:t xml:space="preserve"> </w:t>
      </w:r>
      <w:proofErr w:type="spellStart"/>
      <w:r w:rsidRPr="00E76EA2">
        <w:rPr>
          <w:i/>
          <w:iCs/>
          <w:sz w:val="20"/>
          <w:szCs w:val="20"/>
        </w:rPr>
        <w:t>Crimen</w:t>
      </w:r>
      <w:proofErr w:type="spellEnd"/>
      <w:r w:rsidRPr="00E76EA2">
        <w:rPr>
          <w:i/>
          <w:iCs/>
          <w:sz w:val="20"/>
          <w:szCs w:val="20"/>
        </w:rPr>
        <w:t xml:space="preserve"> , </w:t>
      </w:r>
      <w:proofErr w:type="spellStart"/>
      <w:r w:rsidRPr="00E76EA2">
        <w:rPr>
          <w:i/>
          <w:iCs/>
          <w:sz w:val="20"/>
          <w:szCs w:val="20"/>
        </w:rPr>
        <w:t>Nulla</w:t>
      </w:r>
      <w:proofErr w:type="spellEnd"/>
      <w:r w:rsidRPr="00E76EA2">
        <w:rPr>
          <w:i/>
          <w:iCs/>
          <w:sz w:val="20"/>
          <w:szCs w:val="20"/>
        </w:rPr>
        <w:t xml:space="preserve"> </w:t>
      </w:r>
      <w:proofErr w:type="spellStart"/>
      <w:r w:rsidRPr="00E76EA2">
        <w:rPr>
          <w:i/>
          <w:iCs/>
          <w:sz w:val="20"/>
          <w:szCs w:val="20"/>
        </w:rPr>
        <w:t>Poena</w:t>
      </w:r>
      <w:proofErr w:type="spellEnd"/>
      <w:r w:rsidRPr="00E76EA2">
        <w:rPr>
          <w:i/>
          <w:iCs/>
          <w:sz w:val="20"/>
          <w:szCs w:val="20"/>
        </w:rPr>
        <w:t xml:space="preserve"> Sine </w:t>
      </w:r>
      <w:proofErr w:type="spellStart"/>
      <w:r w:rsidRPr="00E76EA2">
        <w:rPr>
          <w:i/>
          <w:iCs/>
          <w:sz w:val="20"/>
          <w:szCs w:val="20"/>
        </w:rPr>
        <w:t>Lege</w:t>
      </w:r>
      <w:proofErr w:type="spellEnd"/>
      <w:r w:rsidRPr="00E76EA2">
        <w:rPr>
          <w:i/>
          <w:iCs/>
          <w:sz w:val="20"/>
          <w:szCs w:val="20"/>
        </w:rPr>
        <w:t xml:space="preserve"> </w:t>
      </w:r>
      <w:r w:rsidRPr="00E76EA2">
        <w:rPr>
          <w:sz w:val="20"/>
          <w:szCs w:val="20"/>
        </w:rPr>
        <w:t xml:space="preserve">in International Criminal Law”, in Antonio Cassese ae al.(eds), </w:t>
      </w:r>
      <w:r w:rsidRPr="00E76EA2">
        <w:rPr>
          <w:i/>
          <w:iCs/>
          <w:sz w:val="20"/>
          <w:szCs w:val="20"/>
        </w:rPr>
        <w:t xml:space="preserve">The Rome Statute of the International Criminal </w:t>
      </w:r>
      <w:proofErr w:type="spellStart"/>
      <w:r w:rsidRPr="00E76EA2">
        <w:rPr>
          <w:i/>
          <w:iCs/>
          <w:sz w:val="20"/>
          <w:szCs w:val="20"/>
        </w:rPr>
        <w:t>Court:A</w:t>
      </w:r>
      <w:proofErr w:type="spellEnd"/>
      <w:r w:rsidRPr="00E76EA2">
        <w:rPr>
          <w:i/>
          <w:iCs/>
          <w:sz w:val="20"/>
          <w:szCs w:val="20"/>
        </w:rPr>
        <w:t xml:space="preserve"> Commentary </w:t>
      </w:r>
      <w:r w:rsidRPr="00E76EA2">
        <w:rPr>
          <w:sz w:val="20"/>
          <w:szCs w:val="20"/>
        </w:rPr>
        <w:t xml:space="preserve">(Oxford University Press, 2002)734-735 ;Per </w:t>
      </w:r>
      <w:proofErr w:type="spellStart"/>
      <w:r w:rsidRPr="00E76EA2">
        <w:rPr>
          <w:sz w:val="20"/>
          <w:szCs w:val="20"/>
        </w:rPr>
        <w:t>Saland</w:t>
      </w:r>
      <w:proofErr w:type="spellEnd"/>
      <w:r w:rsidRPr="00E76EA2">
        <w:rPr>
          <w:sz w:val="20"/>
          <w:szCs w:val="20"/>
        </w:rPr>
        <w:t xml:space="preserve">, “International Criminal Law Principles”, in Roy Lee (ed.), </w:t>
      </w:r>
      <w:r w:rsidRPr="00E76EA2">
        <w:rPr>
          <w:i/>
          <w:iCs/>
          <w:sz w:val="20"/>
          <w:szCs w:val="20"/>
        </w:rPr>
        <w:t xml:space="preserve">The International Criminal Court :The Making of the Rome </w:t>
      </w:r>
      <w:proofErr w:type="spellStart"/>
      <w:r w:rsidRPr="00E76EA2">
        <w:rPr>
          <w:i/>
          <w:iCs/>
          <w:sz w:val="20"/>
          <w:szCs w:val="20"/>
        </w:rPr>
        <w:t>Statute:Issues</w:t>
      </w:r>
      <w:proofErr w:type="spellEnd"/>
      <w:r w:rsidRPr="00E76EA2">
        <w:rPr>
          <w:i/>
          <w:iCs/>
          <w:sz w:val="20"/>
          <w:szCs w:val="20"/>
        </w:rPr>
        <w:t xml:space="preserve"> , Negotiations, Results</w:t>
      </w:r>
      <w:r w:rsidRPr="00E76EA2">
        <w:rPr>
          <w:sz w:val="20"/>
          <w:szCs w:val="20"/>
        </w:rPr>
        <w:t>(Kluwer Law International Law 1999)194-195</w:t>
      </w:r>
    </w:p>
  </w:footnote>
  <w:footnote w:id="859">
    <w:p w14:paraId="2C9C4132" w14:textId="39CA8E32"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860">
    <w:p w14:paraId="01E4C7BE" w14:textId="5E877CDF"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rStyle w:val="FootnoteReference"/>
          <w:sz w:val="20"/>
          <w:szCs w:val="20"/>
        </w:rPr>
        <w:footnoteRef/>
      </w:r>
      <w:r w:rsidRPr="00E76EA2">
        <w:rPr>
          <w:sz w:val="20"/>
          <w:szCs w:val="20"/>
        </w:rPr>
        <w:t xml:space="preserve"> Bruce Broomhall, Article 22: </w:t>
      </w:r>
      <w:proofErr w:type="spellStart"/>
      <w:r w:rsidRPr="00E76EA2">
        <w:rPr>
          <w:i/>
          <w:iCs/>
          <w:sz w:val="20"/>
          <w:szCs w:val="20"/>
        </w:rPr>
        <w:t>Nullum</w:t>
      </w:r>
      <w:proofErr w:type="spellEnd"/>
      <w:r w:rsidRPr="00E76EA2">
        <w:rPr>
          <w:i/>
          <w:iCs/>
          <w:sz w:val="20"/>
          <w:szCs w:val="20"/>
        </w:rPr>
        <w:t xml:space="preserve"> </w:t>
      </w:r>
      <w:proofErr w:type="spellStart"/>
      <w:r w:rsidRPr="00E76EA2">
        <w:rPr>
          <w:i/>
          <w:iCs/>
          <w:sz w:val="20"/>
          <w:szCs w:val="20"/>
        </w:rPr>
        <w:t>crimen</w:t>
      </w:r>
      <w:proofErr w:type="spellEnd"/>
      <w:r w:rsidRPr="00E76EA2">
        <w:rPr>
          <w:i/>
          <w:iCs/>
          <w:sz w:val="20"/>
          <w:szCs w:val="20"/>
        </w:rPr>
        <w:t xml:space="preserve"> sine </w:t>
      </w:r>
      <w:proofErr w:type="spellStart"/>
      <w:r w:rsidRPr="00E76EA2">
        <w:rPr>
          <w:i/>
          <w:iCs/>
          <w:sz w:val="20"/>
          <w:szCs w:val="20"/>
        </w:rPr>
        <w:t>lege</w:t>
      </w:r>
      <w:proofErr w:type="spellEnd"/>
      <w:r w:rsidRPr="00E76EA2">
        <w:rPr>
          <w:sz w:val="20"/>
          <w:szCs w:val="20"/>
        </w:rPr>
        <w:t xml:space="preserve"> in Otto </w:t>
      </w:r>
      <w:proofErr w:type="spellStart"/>
      <w:r w:rsidRPr="00E76EA2">
        <w:rPr>
          <w:sz w:val="20"/>
          <w:szCs w:val="20"/>
        </w:rPr>
        <w:t>Trifferer</w:t>
      </w:r>
      <w:proofErr w:type="spellEnd"/>
      <w:r w:rsidRPr="00E76EA2">
        <w:rPr>
          <w:sz w:val="20"/>
          <w:szCs w:val="20"/>
        </w:rPr>
        <w:t xml:space="preserve"> and Kai Ambos (eds),</w:t>
      </w:r>
      <w:r w:rsidRPr="00E76EA2">
        <w:rPr>
          <w:i/>
          <w:iCs/>
          <w:sz w:val="20"/>
          <w:szCs w:val="20"/>
        </w:rPr>
        <w:t>The Rome Statute of the International Criminal Court</w:t>
      </w:r>
      <w:r w:rsidRPr="00E76EA2">
        <w:rPr>
          <w:sz w:val="20"/>
          <w:szCs w:val="20"/>
        </w:rPr>
        <w:t>::</w:t>
      </w:r>
      <w:r w:rsidRPr="00E76EA2">
        <w:rPr>
          <w:i/>
          <w:iCs/>
          <w:sz w:val="20"/>
          <w:szCs w:val="20"/>
        </w:rPr>
        <w:t>A Commentary</w:t>
      </w:r>
      <w:r w:rsidRPr="00E76EA2">
        <w:rPr>
          <w:sz w:val="20"/>
          <w:szCs w:val="20"/>
        </w:rPr>
        <w:t>(Beck Hart Publishing 2008)716</w:t>
      </w:r>
    </w:p>
  </w:footnote>
  <w:footnote w:id="861">
    <w:p w14:paraId="1E7F7F15" w14:textId="03BC5D56"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Mark </w:t>
      </w:r>
      <w:proofErr w:type="spellStart"/>
      <w:r w:rsidRPr="00E76EA2">
        <w:rPr>
          <w:sz w:val="20"/>
          <w:szCs w:val="20"/>
        </w:rPr>
        <w:t>Klamberg</w:t>
      </w:r>
      <w:proofErr w:type="spellEnd"/>
      <w:r w:rsidRPr="00E76EA2">
        <w:rPr>
          <w:sz w:val="20"/>
          <w:szCs w:val="20"/>
        </w:rPr>
        <w:t xml:space="preserve">, “General Principles of Criminal Law” in Mark </w:t>
      </w:r>
      <w:proofErr w:type="spellStart"/>
      <w:r w:rsidRPr="00E76EA2">
        <w:rPr>
          <w:sz w:val="20"/>
          <w:szCs w:val="20"/>
        </w:rPr>
        <w:t>Kalmberg</w:t>
      </w:r>
      <w:proofErr w:type="spellEnd"/>
      <w:r w:rsidRPr="00E76EA2">
        <w:rPr>
          <w:sz w:val="20"/>
          <w:szCs w:val="20"/>
        </w:rPr>
        <w:t xml:space="preserve"> (ed)</w:t>
      </w:r>
      <w:r w:rsidRPr="00E76EA2">
        <w:rPr>
          <w:i/>
          <w:iCs/>
          <w:sz w:val="20"/>
          <w:szCs w:val="20"/>
        </w:rPr>
        <w:t xml:space="preserve"> </w:t>
      </w:r>
      <w:r w:rsidRPr="00E76EA2">
        <w:rPr>
          <w:sz w:val="20"/>
          <w:szCs w:val="20"/>
        </w:rPr>
        <w:t xml:space="preserve"> </w:t>
      </w:r>
      <w:r w:rsidRPr="00E76EA2">
        <w:rPr>
          <w:i/>
          <w:iCs/>
          <w:sz w:val="20"/>
          <w:szCs w:val="20"/>
        </w:rPr>
        <w:t>Commentary on the Law of the International Criminal Court</w:t>
      </w:r>
      <w:r w:rsidRPr="00E76EA2">
        <w:rPr>
          <w:sz w:val="20"/>
          <w:szCs w:val="20"/>
        </w:rPr>
        <w:t xml:space="preserve">( </w:t>
      </w:r>
      <w:proofErr w:type="spellStart"/>
      <w:r w:rsidRPr="00E76EA2">
        <w:rPr>
          <w:sz w:val="20"/>
          <w:szCs w:val="20"/>
        </w:rPr>
        <w:t>Torkel</w:t>
      </w:r>
      <w:proofErr w:type="spellEnd"/>
      <w:r w:rsidRPr="00E76EA2">
        <w:rPr>
          <w:sz w:val="20"/>
          <w:szCs w:val="20"/>
        </w:rPr>
        <w:t xml:space="preserve"> </w:t>
      </w:r>
      <w:proofErr w:type="spellStart"/>
      <w:r w:rsidRPr="00E76EA2">
        <w:rPr>
          <w:sz w:val="20"/>
          <w:szCs w:val="20"/>
        </w:rPr>
        <w:t>Opsahl</w:t>
      </w:r>
      <w:proofErr w:type="spellEnd"/>
      <w:r w:rsidRPr="00E76EA2">
        <w:rPr>
          <w:sz w:val="20"/>
          <w:szCs w:val="20"/>
        </w:rPr>
        <w:t xml:space="preserve"> Academic E Publisher 2017)254</w:t>
      </w:r>
      <w:r w:rsidR="002D0BA3">
        <w:rPr>
          <w:sz w:val="20"/>
          <w:szCs w:val="20"/>
        </w:rPr>
        <w:t>.</w:t>
      </w:r>
    </w:p>
  </w:footnote>
  <w:footnote w:id="862">
    <w:p w14:paraId="228B50ED" w14:textId="77777777"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Kai Ambos, “Article 77:Applicable Penalties” in Otto </w:t>
      </w:r>
      <w:proofErr w:type="spellStart"/>
      <w:r w:rsidRPr="00E76EA2">
        <w:rPr>
          <w:sz w:val="20"/>
          <w:szCs w:val="20"/>
        </w:rPr>
        <w:t>Triffterer</w:t>
      </w:r>
      <w:proofErr w:type="spellEnd"/>
      <w:r w:rsidRPr="00E76EA2">
        <w:rPr>
          <w:sz w:val="20"/>
          <w:szCs w:val="20"/>
        </w:rPr>
        <w:t xml:space="preserve"> and Kai Ambos (eds),</w:t>
      </w:r>
      <w:r w:rsidRPr="00E76EA2">
        <w:rPr>
          <w:i/>
          <w:iCs/>
          <w:sz w:val="20"/>
          <w:szCs w:val="20"/>
        </w:rPr>
        <w:t xml:space="preserve">Rome Statute of the International Criminal </w:t>
      </w:r>
      <w:proofErr w:type="spellStart"/>
      <w:r w:rsidRPr="00E76EA2">
        <w:rPr>
          <w:i/>
          <w:iCs/>
          <w:sz w:val="20"/>
          <w:szCs w:val="20"/>
        </w:rPr>
        <w:t>Court:A</w:t>
      </w:r>
      <w:proofErr w:type="spellEnd"/>
      <w:r w:rsidRPr="00E76EA2">
        <w:rPr>
          <w:i/>
          <w:iCs/>
          <w:sz w:val="20"/>
          <w:szCs w:val="20"/>
        </w:rPr>
        <w:t xml:space="preserve"> Commentary</w:t>
      </w:r>
      <w:r w:rsidRPr="00E76EA2">
        <w:rPr>
          <w:sz w:val="20"/>
          <w:szCs w:val="20"/>
        </w:rPr>
        <w:t>(BECK Hart 3</w:t>
      </w:r>
      <w:r w:rsidRPr="00E76EA2">
        <w:rPr>
          <w:sz w:val="20"/>
          <w:szCs w:val="20"/>
          <w:vertAlign w:val="superscript"/>
        </w:rPr>
        <w:t>rd</w:t>
      </w:r>
      <w:r w:rsidRPr="00E76EA2">
        <w:rPr>
          <w:sz w:val="20"/>
          <w:szCs w:val="20"/>
        </w:rPr>
        <w:t xml:space="preserve"> Edition, 2016)</w:t>
      </w:r>
    </w:p>
    <w:p w14:paraId="4D230EAA" w14:textId="02EFDCBB" w:rsidR="00C310AB" w:rsidRPr="00E76EA2" w:rsidRDefault="00C310AB" w:rsidP="003963A9">
      <w:pPr>
        <w:pStyle w:val="NoSpacing1"/>
        <w:spacing w:line="276" w:lineRule="auto"/>
        <w:jc w:val="both"/>
        <w:rPr>
          <w:sz w:val="20"/>
          <w:szCs w:val="20"/>
        </w:rPr>
      </w:pPr>
      <w:r w:rsidRPr="00E76EA2">
        <w:rPr>
          <w:sz w:val="20"/>
          <w:szCs w:val="20"/>
        </w:rPr>
        <w:t>1878.</w:t>
      </w:r>
    </w:p>
  </w:footnote>
  <w:footnote w:id="863">
    <w:p w14:paraId="3B83333A" w14:textId="7387A490"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Kai Ambos, “Article 77:Applicable Penalties” in Otto </w:t>
      </w:r>
      <w:proofErr w:type="spellStart"/>
      <w:r w:rsidRPr="00E76EA2">
        <w:rPr>
          <w:sz w:val="20"/>
          <w:szCs w:val="20"/>
        </w:rPr>
        <w:t>Triffterer</w:t>
      </w:r>
      <w:proofErr w:type="spellEnd"/>
      <w:r w:rsidRPr="00E76EA2">
        <w:rPr>
          <w:sz w:val="20"/>
          <w:szCs w:val="20"/>
        </w:rPr>
        <w:t xml:space="preserve"> and Kai Ambos (eds),</w:t>
      </w:r>
      <w:r w:rsidRPr="00E76EA2">
        <w:rPr>
          <w:i/>
          <w:iCs/>
          <w:sz w:val="20"/>
          <w:szCs w:val="20"/>
        </w:rPr>
        <w:t xml:space="preserve">Rome Statute of the International Criminal </w:t>
      </w:r>
      <w:proofErr w:type="spellStart"/>
      <w:r w:rsidRPr="00E76EA2">
        <w:rPr>
          <w:i/>
          <w:iCs/>
          <w:sz w:val="20"/>
          <w:szCs w:val="20"/>
        </w:rPr>
        <w:t>Court:A</w:t>
      </w:r>
      <w:proofErr w:type="spellEnd"/>
      <w:r w:rsidRPr="00E76EA2">
        <w:rPr>
          <w:i/>
          <w:iCs/>
          <w:sz w:val="20"/>
          <w:szCs w:val="20"/>
        </w:rPr>
        <w:t xml:space="preserve"> Commentary</w:t>
      </w:r>
      <w:r w:rsidRPr="00E76EA2">
        <w:rPr>
          <w:sz w:val="20"/>
          <w:szCs w:val="20"/>
        </w:rPr>
        <w:t>(BECK Hart 3</w:t>
      </w:r>
      <w:r w:rsidRPr="00E76EA2">
        <w:rPr>
          <w:sz w:val="20"/>
          <w:szCs w:val="20"/>
          <w:vertAlign w:val="superscript"/>
        </w:rPr>
        <w:t>rd</w:t>
      </w:r>
      <w:r w:rsidRPr="00E76EA2">
        <w:rPr>
          <w:sz w:val="20"/>
          <w:szCs w:val="20"/>
        </w:rPr>
        <w:t xml:space="preserve"> Edition, 2016)1879.</w:t>
      </w:r>
    </w:p>
  </w:footnote>
  <w:footnote w:id="864">
    <w:p w14:paraId="1E8FEF62" w14:textId="1D42C958"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 Rules of Evidence and Procedure, Rule 145(3)</w:t>
      </w:r>
    </w:p>
  </w:footnote>
  <w:footnote w:id="865">
    <w:p w14:paraId="7FDB9641" w14:textId="24E7F154"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866">
    <w:p w14:paraId="78FC8A74" w14:textId="22D95D4E" w:rsidR="00C310AB" w:rsidRPr="00E76EA2" w:rsidRDefault="00C310AB" w:rsidP="003963A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Miakela</w:t>
      </w:r>
      <w:proofErr w:type="spellEnd"/>
      <w:r w:rsidRPr="00E76EA2">
        <w:rPr>
          <w:sz w:val="20"/>
          <w:szCs w:val="20"/>
        </w:rPr>
        <w:t xml:space="preserve"> Heikkila, International Criminal Tribunals and Victims of </w:t>
      </w:r>
      <w:proofErr w:type="spellStart"/>
      <w:r w:rsidRPr="00E76EA2">
        <w:rPr>
          <w:sz w:val="20"/>
          <w:szCs w:val="20"/>
        </w:rPr>
        <w:t>Crime:A</w:t>
      </w:r>
      <w:proofErr w:type="spellEnd"/>
      <w:r w:rsidRPr="00E76EA2">
        <w:rPr>
          <w:sz w:val="20"/>
          <w:szCs w:val="20"/>
        </w:rPr>
        <w:t xml:space="preserve"> Study of the Status of Victims  Before International Criminal Tribunals and Factors Affecting this Status( Institute of Human Rights , Abo </w:t>
      </w:r>
      <w:proofErr w:type="spellStart"/>
      <w:r w:rsidRPr="00E76EA2">
        <w:rPr>
          <w:sz w:val="20"/>
          <w:szCs w:val="20"/>
        </w:rPr>
        <w:t>Akademi</w:t>
      </w:r>
      <w:proofErr w:type="spellEnd"/>
      <w:r w:rsidRPr="00E76EA2">
        <w:rPr>
          <w:sz w:val="20"/>
          <w:szCs w:val="20"/>
        </w:rPr>
        <w:t xml:space="preserve"> 2004)</w:t>
      </w:r>
    </w:p>
  </w:footnote>
  <w:footnote w:id="867">
    <w:p w14:paraId="0B5881CD" w14:textId="2D0D7828" w:rsidR="00C310AB" w:rsidRPr="00E76EA2" w:rsidRDefault="00C310AB" w:rsidP="005E1E1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Antonio </w:t>
      </w:r>
      <w:proofErr w:type="spellStart"/>
      <w:r w:rsidRPr="00E76EA2">
        <w:rPr>
          <w:sz w:val="20"/>
          <w:szCs w:val="20"/>
        </w:rPr>
        <w:t>Cassesse</w:t>
      </w:r>
      <w:proofErr w:type="spellEnd"/>
      <w:r w:rsidRPr="00E76EA2">
        <w:rPr>
          <w:sz w:val="20"/>
          <w:szCs w:val="20"/>
        </w:rPr>
        <w:t xml:space="preserve"> , International Criminal Law’ in Malcolm Evans (ed), </w:t>
      </w:r>
      <w:r w:rsidRPr="00E76EA2">
        <w:rPr>
          <w:i/>
          <w:sz w:val="20"/>
          <w:szCs w:val="20"/>
        </w:rPr>
        <w:t xml:space="preserve">International Law </w:t>
      </w:r>
      <w:r w:rsidRPr="00E76EA2">
        <w:rPr>
          <w:sz w:val="20"/>
          <w:szCs w:val="20"/>
        </w:rPr>
        <w:t>(2</w:t>
      </w:r>
      <w:r w:rsidRPr="00E76EA2">
        <w:rPr>
          <w:sz w:val="20"/>
          <w:szCs w:val="20"/>
          <w:vertAlign w:val="superscript"/>
        </w:rPr>
        <w:t>nd</w:t>
      </w:r>
      <w:r w:rsidRPr="00E76EA2">
        <w:rPr>
          <w:sz w:val="20"/>
          <w:szCs w:val="20"/>
        </w:rPr>
        <w:t xml:space="preserve"> Edition OUP 2006)719.722.</w:t>
      </w:r>
    </w:p>
  </w:footnote>
  <w:footnote w:id="868">
    <w:p w14:paraId="5D783A1C" w14:textId="501D9A4A" w:rsidR="00C310AB" w:rsidRPr="00E76EA2" w:rsidRDefault="00C310AB" w:rsidP="005E1E1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Jeremy Bentham, </w:t>
      </w:r>
      <w:r w:rsidRPr="00E76EA2">
        <w:rPr>
          <w:i/>
          <w:sz w:val="20"/>
          <w:szCs w:val="20"/>
        </w:rPr>
        <w:t xml:space="preserve">An Introduction to the Principles of Morals and Legislation </w:t>
      </w:r>
      <w:r w:rsidRPr="00E76EA2">
        <w:rPr>
          <w:sz w:val="20"/>
          <w:szCs w:val="20"/>
        </w:rPr>
        <w:t>(New York Macmillan 1948)</w:t>
      </w:r>
    </w:p>
  </w:footnote>
  <w:footnote w:id="869">
    <w:p w14:paraId="685A3D8E" w14:textId="77777777" w:rsidR="00C310AB" w:rsidRPr="00E76EA2" w:rsidRDefault="00C310AB" w:rsidP="005E1E1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Jeremy Bentham, </w:t>
      </w:r>
      <w:r w:rsidRPr="00E76EA2">
        <w:rPr>
          <w:i/>
          <w:sz w:val="20"/>
          <w:szCs w:val="20"/>
        </w:rPr>
        <w:t xml:space="preserve">An Introduction to the Principles of Morals and Legislation </w:t>
      </w:r>
      <w:r w:rsidRPr="00E76EA2">
        <w:rPr>
          <w:sz w:val="20"/>
          <w:szCs w:val="20"/>
        </w:rPr>
        <w:t>(New York Macmillan 1948)</w:t>
      </w:r>
    </w:p>
  </w:footnote>
  <w:footnote w:id="870">
    <w:p w14:paraId="69A1E235" w14:textId="67481C9D" w:rsidR="00C310AB" w:rsidRPr="00E76EA2" w:rsidRDefault="00C310AB" w:rsidP="005E1E1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871">
    <w:p w14:paraId="68F85450" w14:textId="77777777" w:rsidR="00C310AB" w:rsidRPr="00E76EA2" w:rsidRDefault="00C310AB" w:rsidP="005E1E1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Mirko Bagaric and Jon </w:t>
      </w:r>
      <w:proofErr w:type="spellStart"/>
      <w:r w:rsidRPr="00E76EA2">
        <w:rPr>
          <w:sz w:val="20"/>
          <w:szCs w:val="20"/>
        </w:rPr>
        <w:t>Morss</w:t>
      </w:r>
      <w:proofErr w:type="spellEnd"/>
      <w:r w:rsidRPr="00E76EA2">
        <w:rPr>
          <w:sz w:val="20"/>
          <w:szCs w:val="20"/>
        </w:rPr>
        <w:t>, International Sentencing Law: In Search of a Justification and Coherent Framework: (2006) 6 International Criminal Law Review ,253</w:t>
      </w:r>
    </w:p>
  </w:footnote>
  <w:footnote w:id="872">
    <w:p w14:paraId="19C77833" w14:textId="77777777" w:rsidR="00C310AB" w:rsidRPr="00E76EA2" w:rsidRDefault="00C310AB" w:rsidP="005E1E1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Dawn </w:t>
      </w:r>
      <w:proofErr w:type="spellStart"/>
      <w:r w:rsidRPr="00E76EA2">
        <w:rPr>
          <w:sz w:val="20"/>
          <w:szCs w:val="20"/>
        </w:rPr>
        <w:t>Rothe</w:t>
      </w:r>
      <w:proofErr w:type="spellEnd"/>
      <w:r w:rsidRPr="00E76EA2">
        <w:rPr>
          <w:sz w:val="20"/>
          <w:szCs w:val="20"/>
        </w:rPr>
        <w:t xml:space="preserve"> and Christopher Mullins, ‘Beyond the Juristic of International Criminal Justice </w:t>
      </w:r>
      <w:proofErr w:type="spellStart"/>
      <w:r w:rsidRPr="00E76EA2">
        <w:rPr>
          <w:sz w:val="20"/>
          <w:szCs w:val="20"/>
        </w:rPr>
        <w:t>System:The</w:t>
      </w:r>
      <w:proofErr w:type="spellEnd"/>
      <w:r w:rsidRPr="00E76EA2">
        <w:rPr>
          <w:sz w:val="20"/>
          <w:szCs w:val="20"/>
        </w:rPr>
        <w:t xml:space="preserve"> Relevance of Criminological Insights to International Criminal Law and its Control’(2010) 10(1) International Criminal Law Review,97-110.</w:t>
      </w:r>
    </w:p>
  </w:footnote>
  <w:footnote w:id="873">
    <w:p w14:paraId="145B0F07" w14:textId="77777777" w:rsidR="00C310AB" w:rsidRPr="00E76EA2" w:rsidRDefault="00C310AB" w:rsidP="005E1E1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Payam </w:t>
      </w:r>
      <w:proofErr w:type="spellStart"/>
      <w:r w:rsidRPr="00E76EA2">
        <w:rPr>
          <w:sz w:val="20"/>
          <w:szCs w:val="20"/>
        </w:rPr>
        <w:t>Akhaven</w:t>
      </w:r>
      <w:proofErr w:type="spellEnd"/>
      <w:r w:rsidRPr="00E76EA2">
        <w:rPr>
          <w:sz w:val="20"/>
          <w:szCs w:val="20"/>
        </w:rPr>
        <w:t xml:space="preserve">,’Beyond Impunity :Can International Criminal Justice Prevent Future Atrocities?’ (2001)7 </w:t>
      </w:r>
      <w:r w:rsidRPr="00E76EA2">
        <w:rPr>
          <w:i/>
          <w:iCs/>
          <w:sz w:val="20"/>
          <w:szCs w:val="20"/>
        </w:rPr>
        <w:t>American Journal of International Law</w:t>
      </w:r>
      <w:r w:rsidRPr="00E76EA2">
        <w:rPr>
          <w:sz w:val="20"/>
          <w:szCs w:val="20"/>
        </w:rPr>
        <w:t xml:space="preserve"> 27.</w:t>
      </w:r>
    </w:p>
  </w:footnote>
  <w:footnote w:id="874">
    <w:p w14:paraId="045C3280" w14:textId="77777777" w:rsidR="00C310AB" w:rsidRPr="00E76EA2" w:rsidRDefault="00C310AB" w:rsidP="000341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Franklin Zimring, Gordon Hawkins and Jams </w:t>
      </w:r>
      <w:proofErr w:type="spellStart"/>
      <w:r w:rsidRPr="00E76EA2">
        <w:rPr>
          <w:sz w:val="20"/>
          <w:szCs w:val="20"/>
        </w:rPr>
        <w:t>Vorenberg</w:t>
      </w:r>
      <w:proofErr w:type="spellEnd"/>
      <w:r w:rsidRPr="00E76EA2">
        <w:rPr>
          <w:sz w:val="20"/>
          <w:szCs w:val="20"/>
        </w:rPr>
        <w:t>. “Deterrence :The Legal threat in Crime Control” accessible at &lt;</w:t>
      </w:r>
      <w:r w:rsidRPr="00E76EA2">
        <w:rPr>
          <w:color w:val="201F1E"/>
          <w:sz w:val="20"/>
          <w:szCs w:val="20"/>
        </w:rPr>
        <w:t xml:space="preserve"> </w:t>
      </w:r>
      <w:hyperlink r:id="rId62" w:tgtFrame="_blank" w:history="1">
        <w:r w:rsidRPr="00E76EA2">
          <w:rPr>
            <w:rStyle w:val="Hyperlink"/>
            <w:sz w:val="20"/>
            <w:szCs w:val="20"/>
          </w:rPr>
          <w:t>https://www.ncjrs.gov/App/Publications/abstract.aspx?ID=10857</w:t>
        </w:r>
      </w:hyperlink>
      <w:r w:rsidRPr="00E76EA2">
        <w:rPr>
          <w:color w:val="201F1E"/>
          <w:sz w:val="20"/>
          <w:szCs w:val="20"/>
        </w:rPr>
        <w:t xml:space="preserve">  &gt; last accessed at 16 July 2019</w:t>
      </w:r>
    </w:p>
  </w:footnote>
  <w:footnote w:id="875">
    <w:p w14:paraId="69EAEDC4" w14:textId="58DA2A6A" w:rsidR="00C310AB" w:rsidRPr="00E76EA2" w:rsidRDefault="00C310AB" w:rsidP="000341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Preamble 5.</w:t>
      </w:r>
    </w:p>
  </w:footnote>
  <w:footnote w:id="876">
    <w:p w14:paraId="4F8C419F" w14:textId="5FB170D0" w:rsidR="00C310AB" w:rsidRPr="00E76EA2" w:rsidRDefault="00C310AB" w:rsidP="000341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Preamble 9.</w:t>
      </w:r>
    </w:p>
  </w:footnote>
  <w:footnote w:id="877">
    <w:p w14:paraId="6009F964" w14:textId="77777777" w:rsidR="00C310AB" w:rsidRPr="00E76EA2" w:rsidRDefault="00C310AB" w:rsidP="000341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Michael Moore, </w:t>
      </w:r>
      <w:r w:rsidRPr="00E76EA2">
        <w:rPr>
          <w:i/>
          <w:sz w:val="20"/>
          <w:szCs w:val="20"/>
        </w:rPr>
        <w:t>Placing Blame : A General Theory of the Criminal law</w:t>
      </w:r>
      <w:r w:rsidRPr="00E76EA2">
        <w:rPr>
          <w:sz w:val="20"/>
          <w:szCs w:val="20"/>
        </w:rPr>
        <w:t>(Oxford University Press 2010)</w:t>
      </w:r>
    </w:p>
  </w:footnote>
  <w:footnote w:id="878">
    <w:p w14:paraId="79B16790" w14:textId="77777777" w:rsidR="00C310AB" w:rsidRPr="00E76EA2" w:rsidRDefault="00C310AB" w:rsidP="00034142">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Ibid.</w:t>
      </w:r>
    </w:p>
  </w:footnote>
  <w:footnote w:id="879">
    <w:p w14:paraId="25DEF148" w14:textId="77777777" w:rsidR="00C310AB" w:rsidRPr="00E76EA2" w:rsidRDefault="00C310AB" w:rsidP="00F51FA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880">
    <w:p w14:paraId="74DB1545" w14:textId="77777777" w:rsidR="00C310AB" w:rsidRPr="00E76EA2" w:rsidRDefault="00C310AB" w:rsidP="00F51FA8">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881">
    <w:p w14:paraId="13CBE82A" w14:textId="77777777" w:rsidR="00C310AB" w:rsidRPr="00E76EA2" w:rsidRDefault="00C310AB" w:rsidP="00F51FA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International Sentencing in the Context of Collective Violence, (2007) 7(1) </w:t>
      </w:r>
      <w:r w:rsidRPr="00E76EA2">
        <w:rPr>
          <w:i/>
          <w:sz w:val="20"/>
          <w:szCs w:val="20"/>
        </w:rPr>
        <w:t>International Criminal LawReview</w:t>
      </w:r>
      <w:r w:rsidRPr="00E76EA2">
        <w:rPr>
          <w:sz w:val="20"/>
          <w:szCs w:val="20"/>
        </w:rPr>
        <w:t>,458, 449-468.</w:t>
      </w:r>
    </w:p>
  </w:footnote>
  <w:footnote w:id="882">
    <w:p w14:paraId="10963C8C" w14:textId="77777777" w:rsidR="00C310AB" w:rsidRPr="00E76EA2" w:rsidRDefault="00C310AB" w:rsidP="0066524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Joel Goh, “Proportionality-An Unattainable Ideal in the Criminal Justice system (2013) 2(41)Manchester Student Law Review 41- available at &lt;</w:t>
      </w:r>
      <w:hyperlink r:id="rId63" w:history="1">
        <w:r w:rsidRPr="00E76EA2">
          <w:rPr>
            <w:rStyle w:val="Hyperlink"/>
            <w:rFonts w:eastAsiaTheme="majorEastAsia"/>
            <w:sz w:val="20"/>
            <w:szCs w:val="20"/>
          </w:rPr>
          <w:t>https://pdfs.semanticscholar.org/25ad/43cab27eb1c3434d817c5cb9f1fae55b3650.pdf?_ga=2.107538955.826057802.1583880709-1350360667.1583880709</w:t>
        </w:r>
      </w:hyperlink>
      <w:r w:rsidRPr="00E76EA2">
        <w:rPr>
          <w:sz w:val="20"/>
          <w:szCs w:val="20"/>
        </w:rPr>
        <w:t>&gt; last accessed 05 December 2019.</w:t>
      </w:r>
    </w:p>
  </w:footnote>
  <w:footnote w:id="883">
    <w:p w14:paraId="6E9D7D8E" w14:textId="77777777" w:rsidR="00C310AB" w:rsidRPr="00E76EA2" w:rsidRDefault="00C310AB" w:rsidP="0066524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Hirsch, “Proportionality in the Philosophy of Punishment” (1992) 16 Crime and Justice, 55,56</w:t>
      </w:r>
    </w:p>
  </w:footnote>
  <w:footnote w:id="884">
    <w:p w14:paraId="2AE6A15B" w14:textId="77777777" w:rsidR="00C310AB" w:rsidRPr="00E76EA2" w:rsidRDefault="00C310AB" w:rsidP="0066524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Immanuel Kant, Metaphysis of Morals in Mary Gregor (ed) </w:t>
      </w:r>
      <w:r w:rsidRPr="00E76EA2">
        <w:rPr>
          <w:i/>
          <w:sz w:val="20"/>
          <w:szCs w:val="20"/>
        </w:rPr>
        <w:t xml:space="preserve">Practical </w:t>
      </w:r>
      <w:proofErr w:type="spellStart"/>
      <w:r w:rsidRPr="00E76EA2">
        <w:rPr>
          <w:i/>
          <w:sz w:val="20"/>
          <w:szCs w:val="20"/>
        </w:rPr>
        <w:t>Philosopy</w:t>
      </w:r>
      <w:proofErr w:type="spellEnd"/>
      <w:r w:rsidRPr="00E76EA2">
        <w:rPr>
          <w:sz w:val="20"/>
          <w:szCs w:val="20"/>
        </w:rPr>
        <w:t xml:space="preserve"> (Cambridge University Press 1996)</w:t>
      </w:r>
    </w:p>
  </w:footnote>
  <w:footnote w:id="885">
    <w:p w14:paraId="6CC8E1C5" w14:textId="38267CB0" w:rsidR="00C310AB" w:rsidRPr="00E76EA2" w:rsidRDefault="00C310AB" w:rsidP="00665243">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Alice </w:t>
      </w:r>
      <w:proofErr w:type="spellStart"/>
      <w:r w:rsidRPr="00E76EA2">
        <w:rPr>
          <w:sz w:val="20"/>
          <w:szCs w:val="20"/>
        </w:rPr>
        <w:t>Ristroph</w:t>
      </w:r>
      <w:proofErr w:type="spellEnd"/>
      <w:r w:rsidRPr="00E76EA2">
        <w:rPr>
          <w:sz w:val="20"/>
          <w:szCs w:val="20"/>
        </w:rPr>
        <w:t>, “ Proportionality as a principle of Limited Government” (2005) 55(2)</w:t>
      </w:r>
      <w:r w:rsidRPr="00E76EA2">
        <w:rPr>
          <w:i/>
          <w:sz w:val="20"/>
          <w:szCs w:val="20"/>
        </w:rPr>
        <w:t>Duke Law Journal , 263-331.</w:t>
      </w:r>
    </w:p>
  </w:footnote>
  <w:footnote w:id="886">
    <w:p w14:paraId="718A27DE" w14:textId="77777777" w:rsidR="00C310AB" w:rsidRPr="00E76EA2" w:rsidRDefault="00C310AB" w:rsidP="0066524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Article 77(1)  of the Rome Statute  and Rule 145(3) of the Rules of Evidence and Procedure.</w:t>
      </w:r>
    </w:p>
  </w:footnote>
  <w:footnote w:id="887">
    <w:p w14:paraId="5C285FAA" w14:textId="51F6EB7E" w:rsidR="00C310AB" w:rsidRPr="00E76EA2" w:rsidRDefault="00C310AB" w:rsidP="00D461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Hirsch, ‘Proportionality in the Theory of Punishment’(1992) 16 </w:t>
      </w:r>
      <w:r w:rsidRPr="000A78B6">
        <w:rPr>
          <w:i/>
          <w:iCs/>
          <w:sz w:val="20"/>
          <w:szCs w:val="20"/>
        </w:rPr>
        <w:t>Crime  and Justice</w:t>
      </w:r>
      <w:r w:rsidR="000A78B6">
        <w:rPr>
          <w:sz w:val="20"/>
          <w:szCs w:val="20"/>
        </w:rPr>
        <w:t>.</w:t>
      </w:r>
      <w:r w:rsidR="00774163">
        <w:rPr>
          <w:sz w:val="20"/>
          <w:szCs w:val="20"/>
        </w:rPr>
        <w:t>55-98</w:t>
      </w:r>
      <w:r w:rsidR="00AE4239">
        <w:rPr>
          <w:sz w:val="20"/>
          <w:szCs w:val="20"/>
        </w:rPr>
        <w:t>,55</w:t>
      </w:r>
    </w:p>
  </w:footnote>
  <w:footnote w:id="888">
    <w:p w14:paraId="13EAEBE1" w14:textId="38D20925" w:rsidR="00C310AB" w:rsidRPr="00E76EA2" w:rsidRDefault="00C310AB" w:rsidP="00D461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0A78B6">
        <w:rPr>
          <w:sz w:val="20"/>
          <w:szCs w:val="20"/>
        </w:rPr>
        <w:t>.</w:t>
      </w:r>
      <w:r w:rsidRPr="00E76EA2">
        <w:rPr>
          <w:sz w:val="20"/>
          <w:szCs w:val="20"/>
        </w:rPr>
        <w:t xml:space="preserve"> </w:t>
      </w:r>
    </w:p>
  </w:footnote>
  <w:footnote w:id="889">
    <w:p w14:paraId="3667D887" w14:textId="6E9A6072" w:rsidR="00C310AB" w:rsidRPr="00E76EA2" w:rsidRDefault="00C310AB" w:rsidP="00D461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00AE4239">
        <w:rPr>
          <w:sz w:val="20"/>
          <w:szCs w:val="20"/>
        </w:rPr>
        <w:t xml:space="preserve">Goran </w:t>
      </w:r>
      <w:proofErr w:type="spellStart"/>
      <w:r w:rsidRPr="00E76EA2">
        <w:rPr>
          <w:sz w:val="20"/>
          <w:szCs w:val="20"/>
        </w:rPr>
        <w:t>Duus-Otterstrumposit</w:t>
      </w:r>
      <w:proofErr w:type="spellEnd"/>
      <w:r w:rsidR="00AE4239">
        <w:rPr>
          <w:sz w:val="20"/>
          <w:szCs w:val="20"/>
        </w:rPr>
        <w:t>, ‘</w:t>
      </w:r>
      <w:r w:rsidR="00AE4239" w:rsidRPr="00E76EA2">
        <w:rPr>
          <w:sz w:val="20"/>
          <w:szCs w:val="20"/>
        </w:rPr>
        <w:t xml:space="preserve">Retributivism and Public </w:t>
      </w:r>
      <w:proofErr w:type="spellStart"/>
      <w:r w:rsidR="00AE4239" w:rsidRPr="00E76EA2">
        <w:rPr>
          <w:sz w:val="20"/>
          <w:szCs w:val="20"/>
        </w:rPr>
        <w:t>Opinion’:On</w:t>
      </w:r>
      <w:proofErr w:type="spellEnd"/>
      <w:r w:rsidR="00AE4239" w:rsidRPr="00E76EA2">
        <w:rPr>
          <w:sz w:val="20"/>
          <w:szCs w:val="20"/>
        </w:rPr>
        <w:t xml:space="preserve"> the Context of Sensitivity of Desert’ (2018) 12(1) </w:t>
      </w:r>
      <w:r w:rsidR="00AE4239" w:rsidRPr="00E76EA2">
        <w:rPr>
          <w:i/>
          <w:sz w:val="20"/>
          <w:szCs w:val="20"/>
        </w:rPr>
        <w:t>Criminal Law and Philosophy,</w:t>
      </w:r>
      <w:r w:rsidR="00AE4239" w:rsidRPr="00E76EA2">
        <w:rPr>
          <w:sz w:val="20"/>
          <w:szCs w:val="20"/>
        </w:rPr>
        <w:t>125-142</w:t>
      </w:r>
    </w:p>
  </w:footnote>
  <w:footnote w:id="890">
    <w:p w14:paraId="48EA78F3" w14:textId="68394763" w:rsidR="00C310AB" w:rsidRPr="00E76EA2" w:rsidRDefault="00C310AB" w:rsidP="00D461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Goran </w:t>
      </w:r>
      <w:proofErr w:type="spellStart"/>
      <w:r w:rsidRPr="00E76EA2">
        <w:rPr>
          <w:sz w:val="20"/>
          <w:szCs w:val="20"/>
        </w:rPr>
        <w:t>Duus-Otterstrom</w:t>
      </w:r>
      <w:proofErr w:type="spellEnd"/>
      <w:r w:rsidRPr="00E76EA2">
        <w:rPr>
          <w:sz w:val="20"/>
          <w:szCs w:val="20"/>
        </w:rPr>
        <w:t>,</w:t>
      </w:r>
      <w:r w:rsidR="00AE4239">
        <w:rPr>
          <w:sz w:val="20"/>
          <w:szCs w:val="20"/>
        </w:rPr>
        <w:t xml:space="preserve"> ‘</w:t>
      </w:r>
      <w:r w:rsidRPr="00E76EA2">
        <w:rPr>
          <w:sz w:val="20"/>
          <w:szCs w:val="20"/>
        </w:rPr>
        <w:t xml:space="preserve">Retributivism and Public </w:t>
      </w:r>
      <w:proofErr w:type="spellStart"/>
      <w:r w:rsidRPr="00E76EA2">
        <w:rPr>
          <w:sz w:val="20"/>
          <w:szCs w:val="20"/>
        </w:rPr>
        <w:t>Opinion’:On</w:t>
      </w:r>
      <w:proofErr w:type="spellEnd"/>
      <w:r w:rsidRPr="00E76EA2">
        <w:rPr>
          <w:sz w:val="20"/>
          <w:szCs w:val="20"/>
        </w:rPr>
        <w:t xml:space="preserve"> the Context of Sensitivity of Desert’ (2018) 12(1) </w:t>
      </w:r>
      <w:r w:rsidRPr="00E76EA2">
        <w:rPr>
          <w:i/>
          <w:sz w:val="20"/>
          <w:szCs w:val="20"/>
        </w:rPr>
        <w:t>Criminal Law and Philosophy,</w:t>
      </w:r>
      <w:r w:rsidRPr="00E76EA2">
        <w:rPr>
          <w:sz w:val="20"/>
          <w:szCs w:val="20"/>
        </w:rPr>
        <w:t>125-142.</w:t>
      </w:r>
    </w:p>
  </w:footnote>
  <w:footnote w:id="891">
    <w:p w14:paraId="1F8904BB" w14:textId="77777777" w:rsidR="00C310AB" w:rsidRPr="00E76EA2" w:rsidRDefault="00C310AB" w:rsidP="00997C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Rolf Einar Fife,  “Applicable Penalties” in Otto </w:t>
      </w:r>
      <w:proofErr w:type="spellStart"/>
      <w:r w:rsidRPr="00E76EA2">
        <w:rPr>
          <w:sz w:val="20"/>
          <w:szCs w:val="20"/>
        </w:rPr>
        <w:t>Triffterer</w:t>
      </w:r>
      <w:proofErr w:type="spellEnd"/>
      <w:r w:rsidRPr="00E76EA2">
        <w:rPr>
          <w:sz w:val="20"/>
          <w:szCs w:val="20"/>
        </w:rPr>
        <w:t xml:space="preserve"> and Kai Ambos(eds) in </w:t>
      </w:r>
      <w:r w:rsidRPr="00E76EA2">
        <w:rPr>
          <w:i/>
          <w:iCs/>
          <w:sz w:val="20"/>
          <w:szCs w:val="20"/>
        </w:rPr>
        <w:t xml:space="preserve">The Rome Statute of the International Criminal </w:t>
      </w:r>
      <w:proofErr w:type="spellStart"/>
      <w:r w:rsidRPr="00E76EA2">
        <w:rPr>
          <w:i/>
          <w:iCs/>
          <w:sz w:val="20"/>
          <w:szCs w:val="20"/>
        </w:rPr>
        <w:t>Court:A</w:t>
      </w:r>
      <w:proofErr w:type="spellEnd"/>
      <w:r w:rsidRPr="00E76EA2">
        <w:rPr>
          <w:i/>
          <w:iCs/>
          <w:sz w:val="20"/>
          <w:szCs w:val="20"/>
        </w:rPr>
        <w:t xml:space="preserve"> Commentary</w:t>
      </w:r>
      <w:r w:rsidRPr="00E76EA2">
        <w:rPr>
          <w:sz w:val="20"/>
          <w:szCs w:val="20"/>
        </w:rPr>
        <w:t xml:space="preserve"> (Beck and Hart Publishing 2016)1882</w:t>
      </w:r>
    </w:p>
  </w:footnote>
  <w:footnote w:id="892">
    <w:p w14:paraId="66873BA5" w14:textId="77777777" w:rsidR="00C310AB" w:rsidRPr="00E76EA2" w:rsidRDefault="00C310AB" w:rsidP="00997C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893">
    <w:p w14:paraId="662EEE2C" w14:textId="77777777" w:rsidR="00C310AB" w:rsidRPr="00E76EA2" w:rsidRDefault="00C310AB" w:rsidP="00997C7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Joshua Dressler, Understanding Criminal Law  (2</w:t>
      </w:r>
      <w:r w:rsidRPr="00E76EA2">
        <w:rPr>
          <w:sz w:val="20"/>
          <w:szCs w:val="20"/>
          <w:vertAlign w:val="superscript"/>
          <w:lang w:val="en-US"/>
        </w:rPr>
        <w:t>nd</w:t>
      </w:r>
      <w:r w:rsidRPr="00E76EA2">
        <w:rPr>
          <w:sz w:val="20"/>
          <w:szCs w:val="20"/>
          <w:lang w:val="en-US"/>
        </w:rPr>
        <w:t xml:space="preserve"> Edition1995)</w:t>
      </w:r>
    </w:p>
  </w:footnote>
  <w:footnote w:id="894">
    <w:p w14:paraId="3173FD67" w14:textId="77777777" w:rsidR="00C310AB" w:rsidRPr="00E76EA2" w:rsidRDefault="00C310AB" w:rsidP="00997C7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Douglas </w:t>
      </w:r>
      <w:proofErr w:type="spellStart"/>
      <w:r w:rsidRPr="00E76EA2">
        <w:rPr>
          <w:sz w:val="20"/>
          <w:szCs w:val="20"/>
          <w:lang w:val="en-US"/>
        </w:rPr>
        <w:t>Husak</w:t>
      </w:r>
      <w:proofErr w:type="spellEnd"/>
      <w:r w:rsidRPr="00E76EA2">
        <w:rPr>
          <w:sz w:val="20"/>
          <w:szCs w:val="20"/>
          <w:lang w:val="en-US"/>
        </w:rPr>
        <w:t xml:space="preserve"> “Retribution in Criminal Theory” (2000) 37</w:t>
      </w:r>
      <w:r w:rsidRPr="00E76EA2">
        <w:rPr>
          <w:i/>
          <w:sz w:val="20"/>
          <w:szCs w:val="20"/>
          <w:lang w:val="en-US"/>
        </w:rPr>
        <w:t xml:space="preserve">San Diego Law Review </w:t>
      </w:r>
      <w:r w:rsidRPr="00E76EA2">
        <w:rPr>
          <w:sz w:val="20"/>
          <w:szCs w:val="20"/>
          <w:lang w:val="en-US"/>
        </w:rPr>
        <w:t>,959-986,963</w:t>
      </w:r>
    </w:p>
  </w:footnote>
  <w:footnote w:id="895">
    <w:p w14:paraId="7BB46280" w14:textId="65202BAB" w:rsidR="00C310AB" w:rsidRPr="00E76EA2" w:rsidRDefault="00C310AB" w:rsidP="00997C7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Rolf Einar Fife,  “Applicable Penalties” in Otto </w:t>
      </w:r>
      <w:proofErr w:type="spellStart"/>
      <w:r w:rsidRPr="00E76EA2">
        <w:rPr>
          <w:sz w:val="20"/>
          <w:szCs w:val="20"/>
        </w:rPr>
        <w:t>Triffterer</w:t>
      </w:r>
      <w:proofErr w:type="spellEnd"/>
      <w:r w:rsidRPr="00E76EA2">
        <w:rPr>
          <w:sz w:val="20"/>
          <w:szCs w:val="20"/>
        </w:rPr>
        <w:t xml:space="preserve"> and Kai Ambos(eds) in </w:t>
      </w:r>
      <w:r w:rsidRPr="00E76EA2">
        <w:rPr>
          <w:i/>
          <w:iCs/>
          <w:sz w:val="20"/>
          <w:szCs w:val="20"/>
        </w:rPr>
        <w:t xml:space="preserve">The Rome Statute of the International Criminal </w:t>
      </w:r>
      <w:proofErr w:type="spellStart"/>
      <w:r w:rsidRPr="00E76EA2">
        <w:rPr>
          <w:i/>
          <w:iCs/>
          <w:sz w:val="20"/>
          <w:szCs w:val="20"/>
        </w:rPr>
        <w:t>Court:A</w:t>
      </w:r>
      <w:proofErr w:type="spellEnd"/>
      <w:r w:rsidRPr="00E76EA2">
        <w:rPr>
          <w:i/>
          <w:iCs/>
          <w:sz w:val="20"/>
          <w:szCs w:val="20"/>
        </w:rPr>
        <w:t xml:space="preserve"> Commentary</w:t>
      </w:r>
      <w:r w:rsidRPr="00E76EA2">
        <w:rPr>
          <w:sz w:val="20"/>
          <w:szCs w:val="20"/>
        </w:rPr>
        <w:t xml:space="preserve"> (Beck and Hart Publishing 2016)1882</w:t>
      </w:r>
    </w:p>
  </w:footnote>
  <w:footnote w:id="896">
    <w:p w14:paraId="6DB73246" w14:textId="54F86BEC" w:rsidR="00C310AB" w:rsidRPr="00E76EA2" w:rsidRDefault="00C310AB" w:rsidP="00BF7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897">
    <w:p w14:paraId="51ABAC7C" w14:textId="3C66AD92" w:rsidR="00C310AB" w:rsidRPr="00E76EA2" w:rsidRDefault="00C310AB" w:rsidP="00BF7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898">
    <w:p w14:paraId="75A354ED" w14:textId="15065C59" w:rsidR="00C310AB" w:rsidRPr="00E76EA2" w:rsidRDefault="00C310AB" w:rsidP="00BF7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Preamble 4.</w:t>
      </w:r>
    </w:p>
  </w:footnote>
  <w:footnote w:id="899">
    <w:p w14:paraId="60A0790D" w14:textId="2B2AECF5" w:rsidR="00C310AB" w:rsidRPr="005E3048" w:rsidRDefault="00C310AB" w:rsidP="00BF7D5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Don Andrews and James Bonta, ‘Rehabilitating Criminal Justice Policy and Practice (2010)  16(1)</w:t>
      </w:r>
      <w:proofErr w:type="spellStart"/>
      <w:r w:rsidRPr="00BF7D58">
        <w:rPr>
          <w:i/>
          <w:iCs/>
          <w:sz w:val="20"/>
          <w:szCs w:val="20"/>
        </w:rPr>
        <w:t>Pyschology</w:t>
      </w:r>
      <w:proofErr w:type="spellEnd"/>
      <w:r w:rsidRPr="00BF7D58">
        <w:rPr>
          <w:i/>
          <w:iCs/>
          <w:sz w:val="20"/>
          <w:szCs w:val="20"/>
        </w:rPr>
        <w:t>, Public Policy and Law</w:t>
      </w:r>
      <w:r w:rsidRPr="00E76EA2">
        <w:rPr>
          <w:sz w:val="20"/>
          <w:szCs w:val="20"/>
        </w:rPr>
        <w:t>, 39-55</w:t>
      </w:r>
      <w:r w:rsidR="00BF7D58">
        <w:rPr>
          <w:sz w:val="20"/>
          <w:szCs w:val="20"/>
        </w:rPr>
        <w:t>.</w:t>
      </w:r>
    </w:p>
  </w:footnote>
  <w:footnote w:id="900">
    <w:p w14:paraId="0750D51F" w14:textId="77777777" w:rsidR="00C310AB" w:rsidRPr="00E76EA2" w:rsidRDefault="00C310AB" w:rsidP="004B602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01">
    <w:p w14:paraId="430CC13B" w14:textId="77777777" w:rsidR="00C310AB" w:rsidRPr="00E76EA2" w:rsidRDefault="00C310AB" w:rsidP="004B602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Barbara Hudson, </w:t>
      </w:r>
      <w:r w:rsidRPr="00E76EA2">
        <w:rPr>
          <w:i/>
          <w:sz w:val="20"/>
          <w:szCs w:val="20"/>
        </w:rPr>
        <w:t>Understanding Justice</w:t>
      </w:r>
      <w:r w:rsidRPr="00E76EA2">
        <w:rPr>
          <w:sz w:val="20"/>
          <w:szCs w:val="20"/>
        </w:rPr>
        <w:t xml:space="preserve"> (  2</w:t>
      </w:r>
      <w:r w:rsidRPr="00E76EA2">
        <w:rPr>
          <w:sz w:val="20"/>
          <w:szCs w:val="20"/>
          <w:vertAlign w:val="superscript"/>
        </w:rPr>
        <w:t>nd</w:t>
      </w:r>
      <w:r w:rsidRPr="00E76EA2">
        <w:rPr>
          <w:sz w:val="20"/>
          <w:szCs w:val="20"/>
        </w:rPr>
        <w:t xml:space="preserve"> Edition Open University Press 2003), p.26</w:t>
      </w:r>
    </w:p>
  </w:footnote>
  <w:footnote w:id="902">
    <w:p w14:paraId="5B5DCC66" w14:textId="77777777" w:rsidR="00C310AB" w:rsidRPr="00E76EA2" w:rsidRDefault="00C310AB" w:rsidP="004B6025">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Shadd </w:t>
      </w:r>
      <w:proofErr w:type="spellStart"/>
      <w:r w:rsidRPr="00E76EA2">
        <w:rPr>
          <w:sz w:val="20"/>
          <w:szCs w:val="20"/>
        </w:rPr>
        <w:t>Maruna</w:t>
      </w:r>
      <w:proofErr w:type="spellEnd"/>
      <w:r w:rsidRPr="00E76EA2">
        <w:rPr>
          <w:sz w:val="20"/>
          <w:szCs w:val="20"/>
        </w:rPr>
        <w:t>,  ‘Judicial Rehabilitation and the ‘Clean Bill of Health’ in Criminal Justice’ (2011) 3</w:t>
      </w:r>
      <w:r w:rsidRPr="00E76EA2">
        <w:rPr>
          <w:i/>
          <w:sz w:val="20"/>
          <w:szCs w:val="20"/>
        </w:rPr>
        <w:t>European Journal of Probation</w:t>
      </w:r>
      <w:r w:rsidRPr="00E76EA2">
        <w:rPr>
          <w:sz w:val="20"/>
          <w:szCs w:val="20"/>
        </w:rPr>
        <w:t>, 97-117.</w:t>
      </w:r>
      <w:r w:rsidRPr="00E76EA2">
        <w:rPr>
          <w:i/>
          <w:sz w:val="20"/>
          <w:szCs w:val="20"/>
        </w:rPr>
        <w:t xml:space="preserve"> </w:t>
      </w:r>
    </w:p>
  </w:footnote>
  <w:footnote w:id="903">
    <w:p w14:paraId="449F4205" w14:textId="12BFB2A5" w:rsidR="00C310AB" w:rsidRPr="00E76EA2" w:rsidRDefault="00C310AB" w:rsidP="004B602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Otto </w:t>
      </w:r>
      <w:proofErr w:type="spellStart"/>
      <w:r w:rsidRPr="00E76EA2">
        <w:rPr>
          <w:sz w:val="20"/>
          <w:szCs w:val="20"/>
        </w:rPr>
        <w:t>Triffterer</w:t>
      </w:r>
      <w:proofErr w:type="spellEnd"/>
      <w:r w:rsidRPr="00E76EA2">
        <w:rPr>
          <w:sz w:val="20"/>
          <w:szCs w:val="20"/>
        </w:rPr>
        <w:t xml:space="preserve">, ‘The Preventive and Repressive Functions of the ICC’, in  Mauro </w:t>
      </w:r>
      <w:proofErr w:type="spellStart"/>
      <w:r w:rsidRPr="00E76EA2">
        <w:rPr>
          <w:sz w:val="20"/>
          <w:szCs w:val="20"/>
        </w:rPr>
        <w:t>Politi</w:t>
      </w:r>
      <w:proofErr w:type="spellEnd"/>
      <w:r w:rsidRPr="00E76EA2">
        <w:rPr>
          <w:sz w:val="20"/>
          <w:szCs w:val="20"/>
        </w:rPr>
        <w:t xml:space="preserve"> and Giuseppe </w:t>
      </w:r>
      <w:proofErr w:type="spellStart"/>
      <w:r w:rsidRPr="00E76EA2">
        <w:rPr>
          <w:sz w:val="20"/>
          <w:szCs w:val="20"/>
        </w:rPr>
        <w:t>Nessi</w:t>
      </w:r>
      <w:proofErr w:type="spellEnd"/>
      <w:r w:rsidRPr="00E76EA2">
        <w:rPr>
          <w:sz w:val="20"/>
          <w:szCs w:val="20"/>
        </w:rPr>
        <w:t xml:space="preserve">(eds) </w:t>
      </w:r>
      <w:r w:rsidRPr="00E76EA2">
        <w:rPr>
          <w:i/>
          <w:iCs/>
          <w:sz w:val="20"/>
          <w:szCs w:val="20"/>
        </w:rPr>
        <w:t>The Rome Statute of the International Criminal Court :A challenge to impunity</w:t>
      </w:r>
      <w:r w:rsidRPr="00E76EA2">
        <w:rPr>
          <w:sz w:val="20"/>
          <w:szCs w:val="20"/>
        </w:rPr>
        <w:t>(First Edition Ashgate, Dartmouth 2001)143</w:t>
      </w:r>
    </w:p>
  </w:footnote>
  <w:footnote w:id="904">
    <w:p w14:paraId="475CD3D0" w14:textId="0F736AF9" w:rsidR="00C310AB" w:rsidRPr="00E76EA2" w:rsidRDefault="00C310AB" w:rsidP="004B602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05">
    <w:p w14:paraId="6E14AFA3" w14:textId="59DB9644" w:rsidR="00C310AB" w:rsidRPr="00E76EA2" w:rsidRDefault="00C310AB" w:rsidP="004B602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06">
    <w:p w14:paraId="301F33FA" w14:textId="4F03A7A4" w:rsidR="00C310AB" w:rsidRPr="00E76EA2" w:rsidRDefault="00C310AB" w:rsidP="004B602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Don Andrews and James Bonta, ‘Rehabilitating Criminal Justice Policy and Practice (2010)  16(1)</w:t>
      </w:r>
      <w:proofErr w:type="spellStart"/>
      <w:r w:rsidRPr="00E76EA2">
        <w:rPr>
          <w:sz w:val="20"/>
          <w:szCs w:val="20"/>
        </w:rPr>
        <w:t>Pyschology</w:t>
      </w:r>
      <w:proofErr w:type="spellEnd"/>
      <w:r w:rsidRPr="00E76EA2">
        <w:rPr>
          <w:sz w:val="20"/>
          <w:szCs w:val="20"/>
        </w:rPr>
        <w:t xml:space="preserve">, Public Policy and Law, 39-55; Barbara Hudson, </w:t>
      </w:r>
      <w:r w:rsidRPr="00E76EA2">
        <w:rPr>
          <w:i/>
          <w:sz w:val="20"/>
          <w:szCs w:val="20"/>
        </w:rPr>
        <w:t>Understanding Justice</w:t>
      </w:r>
      <w:r w:rsidRPr="00E76EA2">
        <w:rPr>
          <w:sz w:val="20"/>
          <w:szCs w:val="20"/>
        </w:rPr>
        <w:t xml:space="preserve"> (  2</w:t>
      </w:r>
      <w:r w:rsidRPr="00E76EA2">
        <w:rPr>
          <w:sz w:val="20"/>
          <w:szCs w:val="20"/>
          <w:vertAlign w:val="superscript"/>
        </w:rPr>
        <w:t>nd</w:t>
      </w:r>
      <w:r w:rsidRPr="00E76EA2">
        <w:rPr>
          <w:sz w:val="20"/>
          <w:szCs w:val="20"/>
        </w:rPr>
        <w:t xml:space="preserve"> Edition Open University Press 2003), p.26</w:t>
      </w:r>
    </w:p>
    <w:p w14:paraId="50F8D309" w14:textId="3819C0BB" w:rsidR="00C310AB" w:rsidRPr="00E76EA2" w:rsidRDefault="00C310AB" w:rsidP="004B6025">
      <w:pPr>
        <w:pStyle w:val="NoSpacing1"/>
        <w:spacing w:line="276" w:lineRule="auto"/>
        <w:jc w:val="both"/>
        <w:rPr>
          <w:sz w:val="20"/>
          <w:szCs w:val="20"/>
        </w:rPr>
      </w:pPr>
    </w:p>
  </w:footnote>
  <w:footnote w:id="907">
    <w:p w14:paraId="7C99A221" w14:textId="1E19BBCE" w:rsidR="00C310AB" w:rsidRPr="00E76EA2" w:rsidRDefault="00C310AB" w:rsidP="004B602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ICC RPE.</w:t>
      </w:r>
    </w:p>
  </w:footnote>
  <w:footnote w:id="908">
    <w:p w14:paraId="38774856" w14:textId="77777777" w:rsidR="00C310AB" w:rsidRPr="00E76EA2" w:rsidRDefault="00C310AB" w:rsidP="004B602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Peter Raynor and  Gwen Robinson, Rehabilitation, Crime and Justice (</w:t>
      </w:r>
      <w:proofErr w:type="spellStart"/>
      <w:r w:rsidRPr="00E76EA2">
        <w:rPr>
          <w:sz w:val="20"/>
          <w:szCs w:val="20"/>
        </w:rPr>
        <w:t>Palmgrave</w:t>
      </w:r>
      <w:proofErr w:type="spellEnd"/>
      <w:r w:rsidRPr="00E76EA2">
        <w:rPr>
          <w:sz w:val="20"/>
          <w:szCs w:val="20"/>
        </w:rPr>
        <w:t xml:space="preserve"> Macmillan 2005);Gwen  Robinson and Iain Crow , </w:t>
      </w:r>
      <w:r w:rsidRPr="00E76EA2">
        <w:rPr>
          <w:i/>
          <w:sz w:val="20"/>
          <w:szCs w:val="20"/>
        </w:rPr>
        <w:t xml:space="preserve">Offender Rehabilitation :Theory , Research and Practice </w:t>
      </w:r>
      <w:r w:rsidRPr="00E76EA2">
        <w:rPr>
          <w:sz w:val="20"/>
          <w:szCs w:val="20"/>
        </w:rPr>
        <w:t xml:space="preserve">(Sage 2009); Philip Priestley and Maurice Vanstone, </w:t>
      </w:r>
      <w:r w:rsidRPr="00E76EA2">
        <w:rPr>
          <w:i/>
          <w:sz w:val="20"/>
          <w:szCs w:val="20"/>
        </w:rPr>
        <w:t xml:space="preserve">Offenders or </w:t>
      </w:r>
      <w:proofErr w:type="spellStart"/>
      <w:r w:rsidRPr="00E76EA2">
        <w:rPr>
          <w:i/>
          <w:sz w:val="20"/>
          <w:szCs w:val="20"/>
        </w:rPr>
        <w:t>Citizens?Readings</w:t>
      </w:r>
      <w:proofErr w:type="spellEnd"/>
      <w:r w:rsidRPr="00E76EA2">
        <w:rPr>
          <w:i/>
          <w:sz w:val="20"/>
          <w:szCs w:val="20"/>
        </w:rPr>
        <w:t xml:space="preserve"> in </w:t>
      </w:r>
      <w:r w:rsidRPr="00E76EA2">
        <w:rPr>
          <w:sz w:val="20"/>
          <w:szCs w:val="20"/>
        </w:rPr>
        <w:t xml:space="preserve">Rehabilitation(Willan Publishing 2010);Fergus  McNeill, ‘Punishment as rehabilitation’ in </w:t>
      </w:r>
      <w:proofErr w:type="spellStart"/>
      <w:r w:rsidRPr="00E76EA2">
        <w:rPr>
          <w:sz w:val="20"/>
          <w:szCs w:val="20"/>
        </w:rPr>
        <w:t>Gerben</w:t>
      </w:r>
      <w:proofErr w:type="spellEnd"/>
      <w:r w:rsidRPr="00E76EA2">
        <w:rPr>
          <w:sz w:val="20"/>
          <w:szCs w:val="20"/>
        </w:rPr>
        <w:t xml:space="preserve"> </w:t>
      </w:r>
      <w:proofErr w:type="spellStart"/>
      <w:r w:rsidRPr="00E76EA2">
        <w:rPr>
          <w:sz w:val="20"/>
          <w:szCs w:val="20"/>
        </w:rPr>
        <w:t>Bruinsma</w:t>
      </w:r>
      <w:proofErr w:type="spellEnd"/>
      <w:r w:rsidRPr="00E76EA2">
        <w:rPr>
          <w:sz w:val="20"/>
          <w:szCs w:val="20"/>
        </w:rPr>
        <w:t xml:space="preserve"> and David Weisburd (eds)</w:t>
      </w:r>
      <w:proofErr w:type="spellStart"/>
      <w:r w:rsidRPr="00E76EA2">
        <w:rPr>
          <w:i/>
          <w:sz w:val="20"/>
          <w:szCs w:val="20"/>
        </w:rPr>
        <w:t>Encyclopedia</w:t>
      </w:r>
      <w:proofErr w:type="spellEnd"/>
      <w:r w:rsidRPr="00E76EA2">
        <w:rPr>
          <w:i/>
          <w:sz w:val="20"/>
          <w:szCs w:val="20"/>
        </w:rPr>
        <w:t xml:space="preserve"> of Criminology and Criminal Justice,(</w:t>
      </w:r>
      <w:r w:rsidRPr="00E76EA2">
        <w:rPr>
          <w:sz w:val="20"/>
          <w:szCs w:val="20"/>
        </w:rPr>
        <w:t>Springer 2014), 4195-4206.</w:t>
      </w:r>
    </w:p>
  </w:footnote>
  <w:footnote w:id="909">
    <w:p w14:paraId="531ED891" w14:textId="77777777" w:rsidR="00C310AB" w:rsidRPr="00E76EA2" w:rsidRDefault="00C310AB" w:rsidP="008B2C7C">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w:t>
      </w:r>
      <w:r w:rsidRPr="00E76EA2">
        <w:rPr>
          <w:i/>
          <w:sz w:val="20"/>
          <w:szCs w:val="20"/>
        </w:rPr>
        <w:t xml:space="preserve">The Little Book of Restorative Justice (  </w:t>
      </w:r>
      <w:r w:rsidRPr="00E76EA2">
        <w:rPr>
          <w:sz w:val="20"/>
          <w:szCs w:val="20"/>
        </w:rPr>
        <w:t>Good Books 2002)</w:t>
      </w:r>
      <w:r w:rsidRPr="00E76EA2">
        <w:rPr>
          <w:i/>
          <w:sz w:val="20"/>
          <w:szCs w:val="20"/>
        </w:rPr>
        <w:t>37</w:t>
      </w:r>
    </w:p>
  </w:footnote>
  <w:footnote w:id="910">
    <w:p w14:paraId="61671DE5" w14:textId="51BF7D86" w:rsidR="00C310AB" w:rsidRPr="00E76EA2" w:rsidRDefault="00C310AB" w:rsidP="008B2C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Tony Marshall, </w:t>
      </w:r>
      <w:r w:rsidRPr="00E76EA2">
        <w:rPr>
          <w:i/>
          <w:sz w:val="20"/>
          <w:szCs w:val="20"/>
        </w:rPr>
        <w:t>Restorative Justice :An Overview</w:t>
      </w:r>
      <w:r w:rsidRPr="00E76EA2">
        <w:rPr>
          <w:sz w:val="20"/>
          <w:szCs w:val="20"/>
        </w:rPr>
        <w:t xml:space="preserve"> Accessible at </w:t>
      </w:r>
      <w:hyperlink r:id="rId64" w:history="1">
        <w:r w:rsidRPr="00E76EA2">
          <w:rPr>
            <w:rStyle w:val="Hyperlink"/>
            <w:sz w:val="20"/>
            <w:szCs w:val="20"/>
          </w:rPr>
          <w:t>http://www.antoniocasella.eu/restorative/Marshall_1999-b.pdfLast</w:t>
        </w:r>
      </w:hyperlink>
      <w:r w:rsidRPr="00E76EA2">
        <w:rPr>
          <w:sz w:val="20"/>
          <w:szCs w:val="20"/>
        </w:rPr>
        <w:t>&gt; accessed 01 November 2019.5</w:t>
      </w:r>
    </w:p>
  </w:footnote>
  <w:footnote w:id="911">
    <w:p w14:paraId="4BF2D79F" w14:textId="77777777" w:rsidR="00C310AB" w:rsidRPr="00E76EA2" w:rsidRDefault="00C310AB" w:rsidP="008B2C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Katherine Doolin, ‘But what does it mean ?Seeking definitional clarity in restorative justice, </w:t>
      </w:r>
      <w:r w:rsidRPr="00E76EA2">
        <w:rPr>
          <w:i/>
          <w:sz w:val="20"/>
          <w:szCs w:val="20"/>
        </w:rPr>
        <w:t>Journal of Criminal Law</w:t>
      </w:r>
      <w:r w:rsidRPr="00E76EA2">
        <w:rPr>
          <w:sz w:val="20"/>
          <w:szCs w:val="20"/>
        </w:rPr>
        <w:t xml:space="preserve">(2007) , </w:t>
      </w:r>
      <w:r w:rsidRPr="00E76EA2">
        <w:rPr>
          <w:i/>
          <w:sz w:val="20"/>
          <w:szCs w:val="20"/>
        </w:rPr>
        <w:t>The Journal of Criminal Law</w:t>
      </w:r>
      <w:r w:rsidRPr="00E76EA2">
        <w:rPr>
          <w:sz w:val="20"/>
          <w:szCs w:val="20"/>
        </w:rPr>
        <w:t xml:space="preserve"> accessible at &lt;</w:t>
      </w:r>
      <w:hyperlink r:id="rId65" w:history="1">
        <w:r w:rsidRPr="00E76EA2">
          <w:rPr>
            <w:rStyle w:val="Hyperlink"/>
            <w:sz w:val="20"/>
            <w:szCs w:val="20"/>
          </w:rPr>
          <w:t>https://journals.sagepub.com/doi/pdf/10.1350/jcla.2007.71.5.427</w:t>
        </w:r>
      </w:hyperlink>
      <w:r w:rsidRPr="00E76EA2">
        <w:rPr>
          <w:sz w:val="20"/>
          <w:szCs w:val="20"/>
        </w:rPr>
        <w:t>&gt; last accessed 16 January 2020</w:t>
      </w:r>
    </w:p>
  </w:footnote>
  <w:footnote w:id="912">
    <w:p w14:paraId="3CEC4938" w14:textId="277F4B33" w:rsidR="00C310AB" w:rsidRPr="00E76EA2" w:rsidRDefault="00C310AB" w:rsidP="008B2C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Katherine Doolin, ‘But what does it mean ?Seeking definitional clarity in restorative justice, </w:t>
      </w:r>
      <w:r w:rsidRPr="00E76EA2">
        <w:rPr>
          <w:i/>
          <w:sz w:val="20"/>
          <w:szCs w:val="20"/>
        </w:rPr>
        <w:t>Journal of Criminal Law</w:t>
      </w:r>
      <w:r w:rsidRPr="00E76EA2">
        <w:rPr>
          <w:sz w:val="20"/>
          <w:szCs w:val="20"/>
        </w:rPr>
        <w:t>(2007)</w:t>
      </w:r>
      <w:r w:rsidRPr="00E76EA2">
        <w:rPr>
          <w:i/>
          <w:sz w:val="20"/>
          <w:szCs w:val="20"/>
        </w:rPr>
        <w:t>The Journal of Criminal Law</w:t>
      </w:r>
      <w:r w:rsidRPr="00E76EA2">
        <w:rPr>
          <w:sz w:val="20"/>
          <w:szCs w:val="20"/>
        </w:rPr>
        <w:t xml:space="preserve"> accessible at &lt;</w:t>
      </w:r>
      <w:hyperlink r:id="rId66" w:history="1">
        <w:r w:rsidRPr="00E76EA2">
          <w:rPr>
            <w:rStyle w:val="Hyperlink"/>
            <w:sz w:val="20"/>
            <w:szCs w:val="20"/>
          </w:rPr>
          <w:t>https://journals.sagepub.com/doi/pdf/10.1350/jcla.2007.71.5.427</w:t>
        </w:r>
      </w:hyperlink>
      <w:r w:rsidRPr="00E76EA2">
        <w:rPr>
          <w:sz w:val="20"/>
          <w:szCs w:val="20"/>
        </w:rPr>
        <w:t>&gt; last accessed 16 January 2020</w:t>
      </w:r>
    </w:p>
  </w:footnote>
  <w:footnote w:id="913">
    <w:p w14:paraId="4FC1D012" w14:textId="77777777" w:rsidR="00C310AB" w:rsidRPr="00E76EA2" w:rsidRDefault="00C310AB" w:rsidP="008B2C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Masahiro Suzuki and William Wood, Co-Option, Coercion and </w:t>
      </w:r>
      <w:proofErr w:type="spellStart"/>
      <w:r w:rsidRPr="00E76EA2">
        <w:rPr>
          <w:sz w:val="20"/>
          <w:szCs w:val="20"/>
        </w:rPr>
        <w:t>Compromis:Challenges</w:t>
      </w:r>
      <w:proofErr w:type="spellEnd"/>
      <w:r w:rsidRPr="00E76EA2">
        <w:rPr>
          <w:sz w:val="20"/>
          <w:szCs w:val="20"/>
        </w:rPr>
        <w:t xml:space="preserve"> of Restorative Justice in </w:t>
      </w:r>
      <w:proofErr w:type="spellStart"/>
      <w:r w:rsidRPr="00E76EA2">
        <w:rPr>
          <w:sz w:val="20"/>
          <w:szCs w:val="20"/>
        </w:rPr>
        <w:t>Victorial</w:t>
      </w:r>
      <w:proofErr w:type="spellEnd"/>
      <w:r w:rsidRPr="00E76EA2">
        <w:rPr>
          <w:sz w:val="20"/>
          <w:szCs w:val="20"/>
        </w:rPr>
        <w:t>, Australia(2017)  20(2)</w:t>
      </w:r>
      <w:r w:rsidRPr="00E76EA2">
        <w:rPr>
          <w:i/>
          <w:sz w:val="20"/>
          <w:szCs w:val="20"/>
        </w:rPr>
        <w:t xml:space="preserve">Contemporary Justice Review, </w:t>
      </w:r>
      <w:r w:rsidRPr="00E76EA2">
        <w:rPr>
          <w:sz w:val="20"/>
          <w:szCs w:val="20"/>
        </w:rPr>
        <w:t>274-292;Ibid</w:t>
      </w:r>
      <w:r w:rsidRPr="00E76EA2">
        <w:rPr>
          <w:i/>
          <w:sz w:val="20"/>
          <w:szCs w:val="20"/>
        </w:rPr>
        <w:t xml:space="preserve"> </w:t>
      </w:r>
    </w:p>
  </w:footnote>
  <w:footnote w:id="914">
    <w:p w14:paraId="59581D80" w14:textId="77777777" w:rsidR="00C310AB" w:rsidRPr="00E76EA2" w:rsidRDefault="00C310AB" w:rsidP="008B2C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w:t>
      </w:r>
      <w:r w:rsidRPr="00E76EA2">
        <w:rPr>
          <w:i/>
          <w:sz w:val="20"/>
          <w:szCs w:val="20"/>
        </w:rPr>
        <w:t xml:space="preserve">The Little Book of Restorative Justice (  </w:t>
      </w:r>
      <w:r w:rsidRPr="00E76EA2">
        <w:rPr>
          <w:sz w:val="20"/>
          <w:szCs w:val="20"/>
        </w:rPr>
        <w:t>Good Books 2002)</w:t>
      </w:r>
      <w:r w:rsidRPr="00E76EA2">
        <w:rPr>
          <w:sz w:val="20"/>
          <w:szCs w:val="20"/>
          <w:lang w:val="en-US"/>
        </w:rPr>
        <w:t>, 33</w:t>
      </w:r>
    </w:p>
  </w:footnote>
  <w:footnote w:id="915">
    <w:p w14:paraId="1075A666" w14:textId="01CDB46A" w:rsidR="00C310AB" w:rsidRPr="00E76EA2" w:rsidRDefault="00C310AB" w:rsidP="008B2C7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Claire </w:t>
      </w:r>
      <w:r w:rsidRPr="00E76EA2">
        <w:rPr>
          <w:sz w:val="20"/>
          <w:szCs w:val="20"/>
          <w:lang w:val="en-US"/>
        </w:rPr>
        <w:t>Garbett,  ‘From passive objects to active agents: changing conceptions of victim identities at the ICTY and ICC (2016) 15(1) Journal of Human Rights ,40-59.</w:t>
      </w:r>
    </w:p>
  </w:footnote>
  <w:footnote w:id="916">
    <w:p w14:paraId="0C7D448A" w14:textId="130A0C28" w:rsidR="00C310AB" w:rsidRPr="00E76EA2" w:rsidRDefault="00C310AB" w:rsidP="008B2C7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Daniel </w:t>
      </w:r>
      <w:r w:rsidRPr="00E76EA2">
        <w:rPr>
          <w:sz w:val="20"/>
          <w:szCs w:val="20"/>
          <w:lang w:val="en-US"/>
        </w:rPr>
        <w:t xml:space="preserve">Van Ness and Karen </w:t>
      </w:r>
      <w:proofErr w:type="spellStart"/>
      <w:r w:rsidRPr="00E76EA2">
        <w:rPr>
          <w:sz w:val="20"/>
          <w:szCs w:val="20"/>
          <w:lang w:val="en-US"/>
        </w:rPr>
        <w:t>Heetderks</w:t>
      </w:r>
      <w:proofErr w:type="spellEnd"/>
      <w:r w:rsidRPr="00E76EA2">
        <w:rPr>
          <w:sz w:val="20"/>
          <w:szCs w:val="20"/>
          <w:lang w:val="en-US"/>
        </w:rPr>
        <w:t xml:space="preserve"> Strong, </w:t>
      </w:r>
      <w:r w:rsidRPr="00E76EA2">
        <w:rPr>
          <w:i/>
          <w:iCs/>
          <w:sz w:val="20"/>
          <w:szCs w:val="20"/>
          <w:lang w:val="en-US"/>
        </w:rPr>
        <w:t xml:space="preserve">Restoring </w:t>
      </w:r>
      <w:proofErr w:type="spellStart"/>
      <w:r w:rsidRPr="00E76EA2">
        <w:rPr>
          <w:i/>
          <w:iCs/>
          <w:sz w:val="20"/>
          <w:szCs w:val="20"/>
          <w:lang w:val="en-US"/>
        </w:rPr>
        <w:t>Justice:An</w:t>
      </w:r>
      <w:proofErr w:type="spellEnd"/>
      <w:r w:rsidRPr="00E76EA2">
        <w:rPr>
          <w:i/>
          <w:iCs/>
          <w:sz w:val="20"/>
          <w:szCs w:val="20"/>
          <w:lang w:val="en-US"/>
        </w:rPr>
        <w:t xml:space="preserve"> Introduction to Restorative Justice</w:t>
      </w:r>
      <w:r w:rsidRPr="00E76EA2">
        <w:rPr>
          <w:sz w:val="20"/>
          <w:szCs w:val="20"/>
          <w:lang w:val="en-US"/>
        </w:rPr>
        <w:t xml:space="preserve">  (Anderson Publishing 2006).83</w:t>
      </w:r>
    </w:p>
  </w:footnote>
  <w:footnote w:id="917">
    <w:p w14:paraId="3CBB1F6D" w14:textId="258A0144" w:rsidR="00C310AB" w:rsidRPr="00E76EA2" w:rsidRDefault="00C310AB" w:rsidP="006901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Vander </w:t>
      </w:r>
      <w:proofErr w:type="spellStart"/>
      <w:r w:rsidRPr="00E76EA2">
        <w:rPr>
          <w:sz w:val="20"/>
          <w:szCs w:val="20"/>
        </w:rPr>
        <w:t>Vennen</w:t>
      </w:r>
      <w:proofErr w:type="spellEnd"/>
      <w:r w:rsidRPr="00E76EA2">
        <w:rPr>
          <w:sz w:val="20"/>
          <w:szCs w:val="20"/>
        </w:rPr>
        <w:t xml:space="preserve">, ‘Towards a relational theory of restorative justice’ in </w:t>
      </w:r>
      <w:proofErr w:type="spellStart"/>
      <w:r w:rsidRPr="00E76EA2">
        <w:rPr>
          <w:sz w:val="20"/>
          <w:szCs w:val="20"/>
        </w:rPr>
        <w:t>B.Hopkins</w:t>
      </w:r>
      <w:proofErr w:type="spellEnd"/>
      <w:r w:rsidRPr="00E76EA2">
        <w:rPr>
          <w:sz w:val="20"/>
          <w:szCs w:val="20"/>
        </w:rPr>
        <w:t xml:space="preserve"> (ed.), </w:t>
      </w:r>
      <w:r w:rsidRPr="00E76EA2">
        <w:rPr>
          <w:i/>
          <w:sz w:val="20"/>
          <w:szCs w:val="20"/>
        </w:rPr>
        <w:t>Restorative  Justice in Practice: Insights into what works and why(</w:t>
      </w:r>
      <w:r w:rsidRPr="00E76EA2">
        <w:rPr>
          <w:sz w:val="20"/>
          <w:szCs w:val="20"/>
        </w:rPr>
        <w:t xml:space="preserve">Jessica Kingsley Publishers) 121-137; Van Ness, “The shape of things to </w:t>
      </w:r>
      <w:proofErr w:type="spellStart"/>
      <w:r w:rsidRPr="00E76EA2">
        <w:rPr>
          <w:sz w:val="20"/>
          <w:szCs w:val="20"/>
        </w:rPr>
        <w:t>come:a</w:t>
      </w:r>
      <w:proofErr w:type="spellEnd"/>
      <w:r w:rsidRPr="00E76EA2">
        <w:rPr>
          <w:sz w:val="20"/>
          <w:szCs w:val="20"/>
        </w:rPr>
        <w:t xml:space="preserve"> framework for thinking about a restorative justice </w:t>
      </w:r>
      <w:proofErr w:type="spellStart"/>
      <w:r w:rsidRPr="00E76EA2">
        <w:rPr>
          <w:sz w:val="20"/>
          <w:szCs w:val="20"/>
        </w:rPr>
        <w:t>system.In</w:t>
      </w:r>
      <w:proofErr w:type="spellEnd"/>
      <w:r w:rsidRPr="00E76EA2">
        <w:rPr>
          <w:sz w:val="20"/>
          <w:szCs w:val="20"/>
        </w:rPr>
        <w:t xml:space="preserve"> Elmar </w:t>
      </w:r>
      <w:proofErr w:type="spellStart"/>
      <w:r w:rsidRPr="00E76EA2">
        <w:rPr>
          <w:sz w:val="20"/>
          <w:szCs w:val="20"/>
        </w:rPr>
        <w:t>Weitekemp</w:t>
      </w:r>
      <w:proofErr w:type="spellEnd"/>
      <w:r w:rsidRPr="00E76EA2">
        <w:rPr>
          <w:sz w:val="20"/>
          <w:szCs w:val="20"/>
        </w:rPr>
        <w:t xml:space="preserve"> &amp; Han-Jurgen (eds), </w:t>
      </w:r>
      <w:r w:rsidRPr="00E76EA2">
        <w:rPr>
          <w:i/>
          <w:iCs/>
          <w:sz w:val="20"/>
          <w:szCs w:val="20"/>
        </w:rPr>
        <w:t xml:space="preserve">Restorative </w:t>
      </w:r>
      <w:proofErr w:type="spellStart"/>
      <w:r w:rsidRPr="00E76EA2">
        <w:rPr>
          <w:i/>
          <w:iCs/>
          <w:sz w:val="20"/>
          <w:szCs w:val="20"/>
        </w:rPr>
        <w:t>Justice:Theoretical</w:t>
      </w:r>
      <w:proofErr w:type="spellEnd"/>
      <w:r w:rsidRPr="00E76EA2">
        <w:rPr>
          <w:i/>
          <w:iCs/>
          <w:sz w:val="20"/>
          <w:szCs w:val="20"/>
        </w:rPr>
        <w:t xml:space="preserve"> Foundations</w:t>
      </w:r>
      <w:r w:rsidRPr="00E76EA2">
        <w:rPr>
          <w:sz w:val="20"/>
          <w:szCs w:val="20"/>
        </w:rPr>
        <w:t>(Willan Publishing 2002)1-20,3</w:t>
      </w:r>
    </w:p>
  </w:footnote>
  <w:footnote w:id="918">
    <w:p w14:paraId="71B16266" w14:textId="0381070B" w:rsidR="00C310AB" w:rsidRPr="00E76EA2" w:rsidRDefault="00C310AB" w:rsidP="006901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Tony Foley, </w:t>
      </w:r>
      <w:r w:rsidRPr="00E76EA2">
        <w:rPr>
          <w:i/>
          <w:sz w:val="20"/>
          <w:szCs w:val="20"/>
        </w:rPr>
        <w:t>Developing restorative justice jurisprudence :Rethinking responses to criminal wrongdoing (</w:t>
      </w:r>
      <w:r w:rsidRPr="00E76EA2">
        <w:rPr>
          <w:sz w:val="20"/>
          <w:szCs w:val="20"/>
        </w:rPr>
        <w:t>Routledge 2014)137</w:t>
      </w:r>
    </w:p>
  </w:footnote>
  <w:footnote w:id="919">
    <w:p w14:paraId="3D18E009" w14:textId="77777777" w:rsidR="00C310AB" w:rsidRPr="00E76EA2" w:rsidRDefault="00C310AB" w:rsidP="006901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Van Ness and </w:t>
      </w:r>
      <w:proofErr w:type="spellStart"/>
      <w:r w:rsidRPr="00E76EA2">
        <w:rPr>
          <w:sz w:val="20"/>
          <w:szCs w:val="20"/>
        </w:rPr>
        <w:t>Heetderks</w:t>
      </w:r>
      <w:proofErr w:type="spellEnd"/>
      <w:r w:rsidRPr="00E76EA2">
        <w:rPr>
          <w:sz w:val="20"/>
          <w:szCs w:val="20"/>
        </w:rPr>
        <w:t xml:space="preserve"> </w:t>
      </w:r>
      <w:proofErr w:type="spellStart"/>
      <w:r w:rsidRPr="00E76EA2">
        <w:rPr>
          <w:sz w:val="20"/>
          <w:szCs w:val="20"/>
        </w:rPr>
        <w:t>Stong</w:t>
      </w:r>
      <w:proofErr w:type="spellEnd"/>
      <w:r w:rsidRPr="00E76EA2">
        <w:rPr>
          <w:sz w:val="20"/>
          <w:szCs w:val="20"/>
        </w:rPr>
        <w:t xml:space="preserve">, </w:t>
      </w:r>
      <w:r w:rsidRPr="00E76EA2">
        <w:rPr>
          <w:i/>
          <w:sz w:val="20"/>
          <w:szCs w:val="20"/>
        </w:rPr>
        <w:t xml:space="preserve">Restoring  </w:t>
      </w:r>
      <w:proofErr w:type="spellStart"/>
      <w:r w:rsidRPr="00E76EA2">
        <w:rPr>
          <w:i/>
          <w:sz w:val="20"/>
          <w:szCs w:val="20"/>
        </w:rPr>
        <w:t>Justice</w:t>
      </w:r>
      <w:r w:rsidRPr="00E76EA2">
        <w:rPr>
          <w:sz w:val="20"/>
          <w:szCs w:val="20"/>
        </w:rPr>
        <w:t>:An</w:t>
      </w:r>
      <w:proofErr w:type="spellEnd"/>
      <w:r w:rsidRPr="00E76EA2">
        <w:rPr>
          <w:sz w:val="20"/>
          <w:szCs w:val="20"/>
        </w:rPr>
        <w:t xml:space="preserve"> Introduction to Restorative Justice</w:t>
      </w:r>
      <w:r w:rsidRPr="00E76EA2">
        <w:rPr>
          <w:i/>
          <w:sz w:val="20"/>
          <w:szCs w:val="20"/>
        </w:rPr>
        <w:t xml:space="preserve"> (</w:t>
      </w:r>
      <w:r w:rsidRPr="00E76EA2">
        <w:rPr>
          <w:sz w:val="20"/>
          <w:szCs w:val="20"/>
        </w:rPr>
        <w:t xml:space="preserve"> 3</w:t>
      </w:r>
      <w:r w:rsidRPr="00E76EA2">
        <w:rPr>
          <w:sz w:val="20"/>
          <w:szCs w:val="20"/>
          <w:vertAlign w:val="superscript"/>
        </w:rPr>
        <w:t>rd</w:t>
      </w:r>
      <w:r w:rsidRPr="00E76EA2">
        <w:rPr>
          <w:sz w:val="20"/>
          <w:szCs w:val="20"/>
        </w:rPr>
        <w:t xml:space="preserve"> Edition Anderson Publishing 2006)</w:t>
      </w:r>
    </w:p>
  </w:footnote>
  <w:footnote w:id="920">
    <w:p w14:paraId="7E579235" w14:textId="77777777" w:rsidR="00C310AB" w:rsidRPr="00E76EA2" w:rsidRDefault="00C310AB" w:rsidP="006901D4">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Paul </w:t>
      </w:r>
      <w:proofErr w:type="spellStart"/>
      <w:r w:rsidRPr="00E76EA2">
        <w:rPr>
          <w:sz w:val="20"/>
          <w:szCs w:val="20"/>
        </w:rPr>
        <w:t>McCold</w:t>
      </w:r>
      <w:proofErr w:type="spellEnd"/>
      <w:r w:rsidRPr="00E76EA2">
        <w:rPr>
          <w:sz w:val="20"/>
          <w:szCs w:val="20"/>
        </w:rPr>
        <w:t xml:space="preserve"> and Ted </w:t>
      </w:r>
      <w:proofErr w:type="spellStart"/>
      <w:r w:rsidRPr="00E76EA2">
        <w:rPr>
          <w:sz w:val="20"/>
          <w:szCs w:val="20"/>
        </w:rPr>
        <w:t>Wachel</w:t>
      </w:r>
      <w:proofErr w:type="spellEnd"/>
      <w:r w:rsidRPr="00E76EA2">
        <w:rPr>
          <w:sz w:val="20"/>
          <w:szCs w:val="20"/>
        </w:rPr>
        <w:t xml:space="preserve">, ‘Restorative Theory validation. In Elmer </w:t>
      </w:r>
      <w:proofErr w:type="spellStart"/>
      <w:r w:rsidRPr="00E76EA2">
        <w:rPr>
          <w:sz w:val="20"/>
          <w:szCs w:val="20"/>
        </w:rPr>
        <w:t>Weitekamp</w:t>
      </w:r>
      <w:proofErr w:type="spellEnd"/>
      <w:r w:rsidRPr="00E76EA2">
        <w:rPr>
          <w:sz w:val="20"/>
          <w:szCs w:val="20"/>
        </w:rPr>
        <w:t xml:space="preserve"> and Han-</w:t>
      </w:r>
      <w:proofErr w:type="spellStart"/>
      <w:r w:rsidRPr="00E76EA2">
        <w:rPr>
          <w:sz w:val="20"/>
          <w:szCs w:val="20"/>
        </w:rPr>
        <w:t>burgKerner</w:t>
      </w:r>
      <w:proofErr w:type="spellEnd"/>
      <w:r w:rsidRPr="00E76EA2">
        <w:rPr>
          <w:sz w:val="20"/>
          <w:szCs w:val="20"/>
        </w:rPr>
        <w:t xml:space="preserve"> (eds.), </w:t>
      </w:r>
      <w:r w:rsidRPr="00E76EA2">
        <w:rPr>
          <w:i/>
          <w:sz w:val="20"/>
          <w:szCs w:val="20"/>
        </w:rPr>
        <w:t>Restorative Justice: theoretical foundations (Willan Publishing) 110-142.</w:t>
      </w:r>
    </w:p>
  </w:footnote>
  <w:footnote w:id="921">
    <w:p w14:paraId="0090EC66" w14:textId="5B3D57B8" w:rsidR="00C310AB" w:rsidRPr="00E76EA2" w:rsidRDefault="00C310AB" w:rsidP="006901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Joana </w:t>
      </w:r>
      <w:proofErr w:type="spellStart"/>
      <w:r w:rsidRPr="00E76EA2">
        <w:rPr>
          <w:sz w:val="20"/>
          <w:szCs w:val="20"/>
        </w:rPr>
        <w:t>Shapland</w:t>
      </w:r>
      <w:proofErr w:type="spellEnd"/>
      <w:r w:rsidRPr="00E76EA2">
        <w:rPr>
          <w:sz w:val="20"/>
          <w:szCs w:val="20"/>
        </w:rPr>
        <w:t xml:space="preserve"> , Gwen Robinson and Angela </w:t>
      </w:r>
      <w:proofErr w:type="spellStart"/>
      <w:r w:rsidRPr="00E76EA2">
        <w:rPr>
          <w:sz w:val="20"/>
          <w:szCs w:val="20"/>
        </w:rPr>
        <w:t>Sorsby</w:t>
      </w:r>
      <w:proofErr w:type="spellEnd"/>
      <w:r w:rsidRPr="00E76EA2">
        <w:rPr>
          <w:sz w:val="20"/>
          <w:szCs w:val="20"/>
        </w:rPr>
        <w:t xml:space="preserve">, </w:t>
      </w:r>
      <w:r w:rsidRPr="00E76EA2">
        <w:rPr>
          <w:i/>
          <w:sz w:val="20"/>
          <w:szCs w:val="20"/>
        </w:rPr>
        <w:t>Restorative Justice in Practice: Evaluating what works for victims and offenders (</w:t>
      </w:r>
      <w:r w:rsidRPr="00E76EA2">
        <w:rPr>
          <w:sz w:val="20"/>
          <w:szCs w:val="20"/>
        </w:rPr>
        <w:t>First published  2011,  1</w:t>
      </w:r>
      <w:r w:rsidRPr="00E76EA2">
        <w:rPr>
          <w:sz w:val="20"/>
          <w:szCs w:val="20"/>
          <w:vertAlign w:val="superscript"/>
        </w:rPr>
        <w:t>st</w:t>
      </w:r>
      <w:r w:rsidRPr="00E76EA2">
        <w:rPr>
          <w:sz w:val="20"/>
          <w:szCs w:val="20"/>
        </w:rPr>
        <w:t xml:space="preserve"> Edition, Routledge 2011)</w:t>
      </w:r>
    </w:p>
  </w:footnote>
  <w:footnote w:id="922">
    <w:p w14:paraId="52C9C352" w14:textId="2921B99B" w:rsidR="00C310AB" w:rsidRPr="00E76EA2" w:rsidRDefault="00C310AB" w:rsidP="006901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Van Ness, ‘The Shape of things to come: a framework for thinking about a restorative justice system. In EGM </w:t>
      </w:r>
      <w:proofErr w:type="spellStart"/>
      <w:r w:rsidRPr="00E76EA2">
        <w:rPr>
          <w:sz w:val="20"/>
          <w:szCs w:val="20"/>
        </w:rPr>
        <w:t>Weitekamp</w:t>
      </w:r>
      <w:proofErr w:type="spellEnd"/>
      <w:r w:rsidRPr="00E76EA2">
        <w:rPr>
          <w:sz w:val="20"/>
          <w:szCs w:val="20"/>
        </w:rPr>
        <w:t xml:space="preserve"> &amp; Kerner (eds), </w:t>
      </w:r>
      <w:r w:rsidRPr="00E76EA2">
        <w:rPr>
          <w:i/>
          <w:sz w:val="20"/>
          <w:szCs w:val="20"/>
        </w:rPr>
        <w:t>Restorative justice theoretical foundations</w:t>
      </w:r>
      <w:r w:rsidRPr="00E76EA2">
        <w:rPr>
          <w:sz w:val="20"/>
          <w:szCs w:val="20"/>
        </w:rPr>
        <w:t>(Willan Publishing, 2002)</w:t>
      </w:r>
    </w:p>
  </w:footnote>
  <w:footnote w:id="923">
    <w:p w14:paraId="2156F875" w14:textId="77777777" w:rsidR="00C310AB" w:rsidRPr="00E76EA2" w:rsidRDefault="00C310AB" w:rsidP="006901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24">
    <w:p w14:paraId="20867360" w14:textId="19A76F82" w:rsidR="00C310AB" w:rsidRPr="00E76EA2" w:rsidRDefault="00C310AB" w:rsidP="006901D4">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Katherine Van Wormer and </w:t>
      </w:r>
      <w:proofErr w:type="spellStart"/>
      <w:r w:rsidRPr="00E76EA2">
        <w:rPr>
          <w:sz w:val="20"/>
          <w:szCs w:val="20"/>
        </w:rPr>
        <w:t>Lorenn</w:t>
      </w:r>
      <w:proofErr w:type="spellEnd"/>
      <w:r w:rsidRPr="00E76EA2">
        <w:rPr>
          <w:sz w:val="20"/>
          <w:szCs w:val="20"/>
        </w:rPr>
        <w:t xml:space="preserve"> Walker, In Van Warmer and </w:t>
      </w:r>
      <w:proofErr w:type="spellStart"/>
      <w:r w:rsidRPr="00E76EA2">
        <w:rPr>
          <w:sz w:val="20"/>
          <w:szCs w:val="20"/>
        </w:rPr>
        <w:t>Lorenn</w:t>
      </w:r>
      <w:proofErr w:type="spellEnd"/>
      <w:r w:rsidRPr="00E76EA2">
        <w:rPr>
          <w:sz w:val="20"/>
          <w:szCs w:val="20"/>
        </w:rPr>
        <w:t xml:space="preserve"> Walker (eds) ,</w:t>
      </w:r>
      <w:r w:rsidRPr="00E76EA2">
        <w:rPr>
          <w:i/>
          <w:sz w:val="20"/>
          <w:szCs w:val="20"/>
        </w:rPr>
        <w:t>Restorative justice today: Practical applications (</w:t>
      </w:r>
      <w:r w:rsidRPr="00E76EA2">
        <w:rPr>
          <w:sz w:val="20"/>
          <w:szCs w:val="20"/>
        </w:rPr>
        <w:t xml:space="preserve"> 2013) </w:t>
      </w:r>
      <w:r w:rsidRPr="00E76EA2">
        <w:rPr>
          <w:i/>
          <w:sz w:val="20"/>
          <w:szCs w:val="20"/>
        </w:rPr>
        <w:t>Journal of Restorative Justice</w:t>
      </w:r>
      <w:r w:rsidR="006901D4">
        <w:rPr>
          <w:i/>
          <w:sz w:val="20"/>
          <w:szCs w:val="20"/>
        </w:rPr>
        <w:t>,</w:t>
      </w:r>
      <w:r w:rsidRPr="00E76EA2">
        <w:rPr>
          <w:sz w:val="20"/>
          <w:szCs w:val="20"/>
        </w:rPr>
        <w:t>255</w:t>
      </w:r>
    </w:p>
  </w:footnote>
  <w:footnote w:id="925">
    <w:p w14:paraId="6104FFAB" w14:textId="77777777" w:rsidR="00C310AB" w:rsidRPr="00E76EA2" w:rsidRDefault="00C310AB" w:rsidP="005734E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26">
    <w:p w14:paraId="17D11C24" w14:textId="1AE3C14F" w:rsidR="00C310AB" w:rsidRPr="00E76EA2" w:rsidRDefault="00C310AB" w:rsidP="005734E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Heather Strang, Lawrence  Sherman, Evan Mayo-Wilson Woods and Barak Ariel, ‘Restorative Justice Conferencing (RJC) using face-to-face meetings of offenders and victims: effects on offender recidivism and victim satisfaction: A systematic review. (Campbell Systematic Reviews 2013) accessible at &lt;https://restorativejustice.org.uk/sites/default/files/resources/files/Campbell%20RJ%20review.pdf&gt;</w:t>
      </w:r>
    </w:p>
  </w:footnote>
  <w:footnote w:id="927">
    <w:p w14:paraId="4C313C76" w14:textId="6FD89051" w:rsidR="00C310AB" w:rsidRPr="00E76EA2" w:rsidRDefault="00C310AB" w:rsidP="005734EF">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Jo-Anne </w:t>
      </w:r>
      <w:proofErr w:type="spellStart"/>
      <w:r w:rsidRPr="00E76EA2">
        <w:rPr>
          <w:sz w:val="20"/>
          <w:szCs w:val="20"/>
        </w:rPr>
        <w:t>Wemmers</w:t>
      </w:r>
      <w:proofErr w:type="spellEnd"/>
      <w:r w:rsidRPr="00E76EA2">
        <w:rPr>
          <w:sz w:val="20"/>
          <w:szCs w:val="20"/>
        </w:rPr>
        <w:t xml:space="preserve">, ‘Victims’ Experiences in the Criminal Justice System and their Recovery from Crime(2013) 19(3) </w:t>
      </w:r>
      <w:r w:rsidRPr="00E76EA2">
        <w:rPr>
          <w:i/>
          <w:sz w:val="20"/>
          <w:szCs w:val="20"/>
        </w:rPr>
        <w:t>International Review of Victimology ,221-233.</w:t>
      </w:r>
    </w:p>
  </w:footnote>
  <w:footnote w:id="928">
    <w:p w14:paraId="17E95B3A" w14:textId="77777777" w:rsidR="00C310AB" w:rsidRPr="00E76EA2" w:rsidRDefault="00C310AB" w:rsidP="005734E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929">
    <w:p w14:paraId="6E5D8A2C" w14:textId="6D771B52" w:rsidR="00C310AB" w:rsidRPr="00E76EA2" w:rsidRDefault="00C310AB" w:rsidP="0011155E">
      <w:pPr>
        <w:pStyle w:val="NoSpacing1"/>
        <w:spacing w:line="276" w:lineRule="auto"/>
        <w:rPr>
          <w:sz w:val="20"/>
          <w:szCs w:val="20"/>
        </w:rPr>
      </w:pPr>
      <w:r w:rsidRPr="00E76EA2">
        <w:rPr>
          <w:rStyle w:val="FootnoteReference"/>
          <w:sz w:val="20"/>
          <w:szCs w:val="20"/>
        </w:rPr>
        <w:footnoteRef/>
      </w:r>
      <w:r w:rsidRPr="00E76EA2">
        <w:rPr>
          <w:sz w:val="20"/>
          <w:szCs w:val="20"/>
        </w:rPr>
        <w:t xml:space="preserve"> Jim Parsons and Tiffany Bergin ‘The Impact of Criminal Justice Involvement  on Victims’ Mental Health(2010)  23(2)</w:t>
      </w:r>
      <w:r w:rsidRPr="00E76EA2">
        <w:rPr>
          <w:i/>
          <w:sz w:val="20"/>
          <w:szCs w:val="20"/>
        </w:rPr>
        <w:t>Journal of Traumatic Stress,</w:t>
      </w:r>
      <w:r w:rsidRPr="00E76EA2">
        <w:rPr>
          <w:sz w:val="20"/>
          <w:szCs w:val="20"/>
        </w:rPr>
        <w:t xml:space="preserve"> 182-188</w:t>
      </w:r>
    </w:p>
  </w:footnote>
  <w:footnote w:id="930">
    <w:p w14:paraId="158AAC7A" w14:textId="77777777" w:rsidR="00C310AB" w:rsidRPr="00E76EA2" w:rsidRDefault="00C310AB" w:rsidP="0011155E">
      <w:pPr>
        <w:pStyle w:val="NoSpacing1"/>
        <w:spacing w:line="276" w:lineRule="auto"/>
        <w:rPr>
          <w:sz w:val="20"/>
          <w:szCs w:val="20"/>
        </w:rPr>
      </w:pPr>
      <w:r w:rsidRPr="00E76EA2">
        <w:rPr>
          <w:rStyle w:val="FootnoteReference"/>
          <w:sz w:val="20"/>
          <w:szCs w:val="20"/>
        </w:rPr>
        <w:footnoteRef/>
      </w:r>
      <w:r w:rsidRPr="00E76EA2">
        <w:rPr>
          <w:sz w:val="20"/>
          <w:szCs w:val="20"/>
        </w:rPr>
        <w:t xml:space="preserve"> Luc </w:t>
      </w:r>
      <w:proofErr w:type="spellStart"/>
      <w:r w:rsidRPr="00E76EA2">
        <w:rPr>
          <w:sz w:val="20"/>
          <w:szCs w:val="20"/>
        </w:rPr>
        <w:t>Huyse</w:t>
      </w:r>
      <w:proofErr w:type="spellEnd"/>
      <w:r w:rsidRPr="00E76EA2">
        <w:rPr>
          <w:sz w:val="20"/>
          <w:szCs w:val="20"/>
        </w:rPr>
        <w:t xml:space="preserve"> , ‘Justice’, in David Bloomfield , Theresa Barnes and Luc </w:t>
      </w:r>
      <w:proofErr w:type="spellStart"/>
      <w:r w:rsidRPr="00E76EA2">
        <w:rPr>
          <w:sz w:val="20"/>
          <w:szCs w:val="20"/>
        </w:rPr>
        <w:t>Huyse</w:t>
      </w:r>
      <w:proofErr w:type="spellEnd"/>
      <w:r w:rsidRPr="00E76EA2">
        <w:rPr>
          <w:sz w:val="20"/>
          <w:szCs w:val="20"/>
        </w:rPr>
        <w:t xml:space="preserve"> (eds) </w:t>
      </w:r>
      <w:r w:rsidRPr="00E76EA2">
        <w:rPr>
          <w:i/>
          <w:sz w:val="20"/>
          <w:szCs w:val="20"/>
        </w:rPr>
        <w:t>Reconciliation After Violent Conflict: A Handbook  (Stockholm ;International Institute for Democracy and Electoral Assistance</w:t>
      </w:r>
      <w:r w:rsidRPr="00E76EA2">
        <w:rPr>
          <w:sz w:val="20"/>
          <w:szCs w:val="20"/>
        </w:rPr>
        <w:t xml:space="preserve"> (</w:t>
      </w:r>
      <w:r w:rsidRPr="00E76EA2">
        <w:rPr>
          <w:i/>
          <w:sz w:val="20"/>
          <w:szCs w:val="20"/>
        </w:rPr>
        <w:t xml:space="preserve"> </w:t>
      </w:r>
      <w:r w:rsidRPr="00E76EA2">
        <w:rPr>
          <w:sz w:val="20"/>
          <w:szCs w:val="20"/>
        </w:rPr>
        <w:t xml:space="preserve"> 2003)97-115</w:t>
      </w:r>
    </w:p>
  </w:footnote>
  <w:footnote w:id="931">
    <w:p w14:paraId="04078CC8" w14:textId="77777777" w:rsidR="00C310AB" w:rsidRPr="00E76EA2" w:rsidRDefault="00C310AB" w:rsidP="0011155E">
      <w:pPr>
        <w:pStyle w:val="NoSpacing1"/>
        <w:spacing w:line="276" w:lineRule="auto"/>
        <w:rPr>
          <w:sz w:val="20"/>
          <w:szCs w:val="20"/>
        </w:rPr>
      </w:pPr>
      <w:r w:rsidRPr="00E76EA2">
        <w:rPr>
          <w:rStyle w:val="FootnoteReference"/>
          <w:sz w:val="20"/>
          <w:szCs w:val="20"/>
        </w:rPr>
        <w:footnoteRef/>
      </w:r>
      <w:r w:rsidRPr="00E76EA2">
        <w:rPr>
          <w:sz w:val="20"/>
          <w:szCs w:val="20"/>
        </w:rPr>
        <w:t xml:space="preserve"> Chris </w:t>
      </w:r>
      <w:proofErr w:type="spellStart"/>
      <w:r w:rsidRPr="00E76EA2">
        <w:rPr>
          <w:sz w:val="20"/>
          <w:szCs w:val="20"/>
        </w:rPr>
        <w:t>Cunneen</w:t>
      </w:r>
      <w:proofErr w:type="spellEnd"/>
      <w:r w:rsidRPr="00E76EA2">
        <w:rPr>
          <w:sz w:val="20"/>
          <w:szCs w:val="20"/>
        </w:rPr>
        <w:t xml:space="preserve">, “Exploring the Relationship between Reparations , the Gross Violations of Human Rights and Restorative Justice”, in Dennis  Sullivan and </w:t>
      </w:r>
      <w:proofErr w:type="spellStart"/>
      <w:r w:rsidRPr="00E76EA2">
        <w:rPr>
          <w:sz w:val="20"/>
          <w:szCs w:val="20"/>
        </w:rPr>
        <w:t>LarryTifft</w:t>
      </w:r>
      <w:proofErr w:type="spellEnd"/>
      <w:r w:rsidRPr="00E76EA2">
        <w:rPr>
          <w:sz w:val="20"/>
          <w:szCs w:val="20"/>
        </w:rPr>
        <w:t xml:space="preserve"> (eds) </w:t>
      </w:r>
      <w:r w:rsidRPr="00E76EA2">
        <w:rPr>
          <w:i/>
          <w:sz w:val="20"/>
          <w:szCs w:val="20"/>
        </w:rPr>
        <w:t>Handbook of Restorative Justice :A Global Perspective (</w:t>
      </w:r>
      <w:r w:rsidRPr="00E76EA2">
        <w:rPr>
          <w:sz w:val="20"/>
          <w:szCs w:val="20"/>
        </w:rPr>
        <w:t xml:space="preserve">  Routledge 2008) 355-368.</w:t>
      </w:r>
    </w:p>
  </w:footnote>
  <w:footnote w:id="932">
    <w:p w14:paraId="30B07A92" w14:textId="086A3867" w:rsidR="00C310AB" w:rsidRPr="00E76EA2" w:rsidRDefault="00C310AB" w:rsidP="00E27B6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Nils Christie,</w:t>
      </w:r>
      <w:r w:rsidR="00E27B6A">
        <w:rPr>
          <w:sz w:val="20"/>
          <w:szCs w:val="20"/>
        </w:rPr>
        <w:t xml:space="preserve"> ‘</w:t>
      </w:r>
      <w:r w:rsidRPr="00E76EA2">
        <w:rPr>
          <w:sz w:val="20"/>
          <w:szCs w:val="20"/>
        </w:rPr>
        <w:t>Conflicts as Property’ (1977)  17(1)</w:t>
      </w:r>
      <w:r w:rsidRPr="00E76EA2">
        <w:rPr>
          <w:i/>
          <w:sz w:val="20"/>
          <w:szCs w:val="20"/>
        </w:rPr>
        <w:t>British Journal of Criminology</w:t>
      </w:r>
      <w:r w:rsidRPr="00E76EA2">
        <w:rPr>
          <w:sz w:val="20"/>
          <w:szCs w:val="20"/>
        </w:rPr>
        <w:t>,1-15.</w:t>
      </w:r>
    </w:p>
  </w:footnote>
  <w:footnote w:id="933">
    <w:p w14:paraId="7D5B096E" w14:textId="538ACEAE" w:rsidR="00C310AB" w:rsidRPr="00E76EA2" w:rsidRDefault="00C310AB" w:rsidP="00E27B6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(n 8).</w:t>
      </w:r>
    </w:p>
  </w:footnote>
  <w:footnote w:id="934">
    <w:p w14:paraId="2885AB5C" w14:textId="77777777" w:rsidR="00C310AB" w:rsidRPr="00E76EA2" w:rsidRDefault="00C310AB" w:rsidP="00E27B6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Van Ness and </w:t>
      </w:r>
      <w:proofErr w:type="spellStart"/>
      <w:r w:rsidRPr="00E76EA2">
        <w:rPr>
          <w:sz w:val="20"/>
          <w:szCs w:val="20"/>
        </w:rPr>
        <w:t>Heetderks</w:t>
      </w:r>
      <w:proofErr w:type="spellEnd"/>
      <w:r w:rsidRPr="00E76EA2">
        <w:rPr>
          <w:sz w:val="20"/>
          <w:szCs w:val="20"/>
        </w:rPr>
        <w:t xml:space="preserve"> Strong, </w:t>
      </w:r>
      <w:r w:rsidRPr="00E76EA2">
        <w:rPr>
          <w:i/>
          <w:sz w:val="20"/>
          <w:szCs w:val="20"/>
        </w:rPr>
        <w:t>Restoring Justice</w:t>
      </w:r>
      <w:r w:rsidRPr="00E76EA2">
        <w:rPr>
          <w:sz w:val="20"/>
          <w:szCs w:val="20"/>
        </w:rPr>
        <w:t>(Anderson Publishing 1997) 116.</w:t>
      </w:r>
    </w:p>
  </w:footnote>
  <w:footnote w:id="935">
    <w:p w14:paraId="2B0BBF91" w14:textId="77777777" w:rsidR="00C310AB" w:rsidRPr="00E76EA2" w:rsidRDefault="00C310AB" w:rsidP="00E27B6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Gordon Bazemore, ‘Restorative  Justice and earned  redemption: communities, victims  and offender reintegration.(1998) 41(6) </w:t>
      </w:r>
      <w:r w:rsidRPr="00E76EA2">
        <w:rPr>
          <w:i/>
          <w:sz w:val="20"/>
          <w:szCs w:val="20"/>
        </w:rPr>
        <w:t xml:space="preserve">American Behavioural Scientist, </w:t>
      </w:r>
      <w:r w:rsidRPr="00E27B6A">
        <w:rPr>
          <w:iCs/>
          <w:sz w:val="20"/>
          <w:szCs w:val="20"/>
        </w:rPr>
        <w:t>768-813</w:t>
      </w:r>
      <w:r w:rsidRPr="00E76EA2">
        <w:rPr>
          <w:sz w:val="20"/>
          <w:szCs w:val="20"/>
        </w:rPr>
        <w:t>, 789</w:t>
      </w:r>
    </w:p>
  </w:footnote>
  <w:footnote w:id="936">
    <w:p w14:paraId="7CC0DAAA" w14:textId="0F27D08A" w:rsidR="00C310AB" w:rsidRPr="00E76EA2" w:rsidRDefault="00C310AB" w:rsidP="00E27B6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(n 787).</w:t>
      </w:r>
    </w:p>
  </w:footnote>
  <w:footnote w:id="937">
    <w:p w14:paraId="0D91A66B" w14:textId="40A212DC" w:rsidR="00C310AB" w:rsidRPr="00E76EA2" w:rsidRDefault="00C310AB" w:rsidP="00D20C3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and Ali Gohar, The Little Book of Restorative justice (Good books)59 available at </w:t>
      </w:r>
      <w:hyperlink r:id="rId67" w:history="1">
        <w:r w:rsidRPr="00E76EA2">
          <w:rPr>
            <w:rStyle w:val="Hyperlink"/>
            <w:sz w:val="20"/>
            <w:szCs w:val="20"/>
          </w:rPr>
          <w:t>https://www.unicef.org/tdad/littlebookrjpakaf.pdf</w:t>
        </w:r>
      </w:hyperlink>
      <w:r w:rsidRPr="00E76EA2">
        <w:rPr>
          <w:sz w:val="20"/>
          <w:szCs w:val="20"/>
        </w:rPr>
        <w:t xml:space="preserve"> last accessed 01 Dec</w:t>
      </w:r>
      <w:r w:rsidR="00E03A23">
        <w:rPr>
          <w:sz w:val="20"/>
          <w:szCs w:val="20"/>
        </w:rPr>
        <w:t>e</w:t>
      </w:r>
      <w:r w:rsidRPr="00E76EA2">
        <w:rPr>
          <w:sz w:val="20"/>
          <w:szCs w:val="20"/>
        </w:rPr>
        <w:t>mb</w:t>
      </w:r>
      <w:r w:rsidR="00E03A23">
        <w:rPr>
          <w:sz w:val="20"/>
          <w:szCs w:val="20"/>
        </w:rPr>
        <w:t>e</w:t>
      </w:r>
      <w:r w:rsidRPr="00E76EA2">
        <w:rPr>
          <w:sz w:val="20"/>
          <w:szCs w:val="20"/>
        </w:rPr>
        <w:t>r 2019.</w:t>
      </w:r>
    </w:p>
  </w:footnote>
  <w:footnote w:id="938">
    <w:p w14:paraId="435B72FC" w14:textId="77777777" w:rsidR="00C310AB" w:rsidRPr="00E76EA2" w:rsidRDefault="00C310AB" w:rsidP="00D20C3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w:t>
      </w:r>
      <w:r w:rsidRPr="00E76EA2">
        <w:rPr>
          <w:i/>
          <w:sz w:val="20"/>
          <w:szCs w:val="20"/>
        </w:rPr>
        <w:t>The Little Book of Restorative Justice: Revised and Updated</w:t>
      </w:r>
      <w:r w:rsidRPr="00E76EA2">
        <w:rPr>
          <w:sz w:val="20"/>
          <w:szCs w:val="20"/>
        </w:rPr>
        <w:t xml:space="preserve"> (Good books 2001)58-60.</w:t>
      </w:r>
    </w:p>
  </w:footnote>
  <w:footnote w:id="939">
    <w:p w14:paraId="2657024B" w14:textId="401CBCB9" w:rsidR="00C310AB" w:rsidRPr="00E76EA2" w:rsidRDefault="00C310AB" w:rsidP="00D20C3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w:t>
      </w:r>
      <w:r w:rsidR="0026254A">
        <w:rPr>
          <w:sz w:val="20"/>
          <w:szCs w:val="20"/>
        </w:rPr>
        <w:t>.</w:t>
      </w:r>
      <w:r w:rsidRPr="00E76EA2">
        <w:rPr>
          <w:sz w:val="20"/>
          <w:szCs w:val="20"/>
        </w:rPr>
        <w:t xml:space="preserve"> </w:t>
      </w:r>
    </w:p>
  </w:footnote>
  <w:footnote w:id="940">
    <w:p w14:paraId="72FFBB6E" w14:textId="2980E1AC" w:rsidR="00C310AB" w:rsidRPr="00E76EA2" w:rsidRDefault="00C310AB" w:rsidP="00D20C3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26254A">
        <w:rPr>
          <w:sz w:val="20"/>
          <w:szCs w:val="20"/>
        </w:rPr>
        <w:t>.</w:t>
      </w:r>
    </w:p>
  </w:footnote>
  <w:footnote w:id="941">
    <w:p w14:paraId="57C6500A" w14:textId="77777777" w:rsidR="00C310AB" w:rsidRPr="00E76EA2" w:rsidRDefault="00C310AB" w:rsidP="00D20C3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942">
    <w:p w14:paraId="20C123E9" w14:textId="77777777" w:rsidR="00C310AB" w:rsidRPr="00E76EA2" w:rsidRDefault="00C310AB" w:rsidP="00D20C3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43">
    <w:p w14:paraId="2C8B769D" w14:textId="59D53D15" w:rsidR="00C310AB" w:rsidRPr="00E76EA2" w:rsidRDefault="00C310AB" w:rsidP="00D20C3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Mark Findlay and Ralph </w:t>
      </w:r>
      <w:proofErr w:type="spellStart"/>
      <w:r w:rsidRPr="00E76EA2">
        <w:rPr>
          <w:sz w:val="20"/>
          <w:szCs w:val="20"/>
          <w:lang w:val="en-US"/>
        </w:rPr>
        <w:t>Henham</w:t>
      </w:r>
      <w:proofErr w:type="spellEnd"/>
      <w:r w:rsidRPr="00E76EA2">
        <w:rPr>
          <w:sz w:val="20"/>
          <w:szCs w:val="20"/>
          <w:lang w:val="en-US"/>
        </w:rPr>
        <w:t>, Transforming International Criminal Justice: Retributive and Restorative Justice in the Trial Process(Willan Publishing 2005)274</w:t>
      </w:r>
      <w:r w:rsidR="00D20C37">
        <w:rPr>
          <w:sz w:val="20"/>
          <w:szCs w:val="20"/>
          <w:lang w:val="en-US"/>
        </w:rPr>
        <w:t>.</w:t>
      </w:r>
    </w:p>
  </w:footnote>
  <w:footnote w:id="944">
    <w:p w14:paraId="7D523E1F" w14:textId="77777777" w:rsidR="00C310AB" w:rsidRPr="00E76EA2" w:rsidRDefault="00C310AB" w:rsidP="00D20C37">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945">
    <w:p w14:paraId="57262A57" w14:textId="2E45EDEF" w:rsidR="00C310AB" w:rsidRPr="00E76EA2" w:rsidRDefault="00C310AB" w:rsidP="00D20C37">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Emilios</w:t>
      </w:r>
      <w:proofErr w:type="spellEnd"/>
      <w:r w:rsidRPr="00E76EA2">
        <w:rPr>
          <w:sz w:val="20"/>
          <w:szCs w:val="20"/>
        </w:rPr>
        <w:t xml:space="preserve"> </w:t>
      </w:r>
      <w:proofErr w:type="spellStart"/>
      <w:r w:rsidRPr="00E76EA2">
        <w:rPr>
          <w:sz w:val="20"/>
          <w:szCs w:val="20"/>
        </w:rPr>
        <w:t>Christodoulidis</w:t>
      </w:r>
      <w:proofErr w:type="spellEnd"/>
      <w:r w:rsidRPr="00E76EA2">
        <w:rPr>
          <w:sz w:val="20"/>
          <w:szCs w:val="20"/>
        </w:rPr>
        <w:t>, ‘Truth and Reconciliation as Risk</w:t>
      </w:r>
      <w:r w:rsidR="0026254A">
        <w:rPr>
          <w:sz w:val="20"/>
          <w:szCs w:val="20"/>
        </w:rPr>
        <w:t>’</w:t>
      </w:r>
      <w:r w:rsidRPr="00E76EA2">
        <w:rPr>
          <w:sz w:val="20"/>
          <w:szCs w:val="20"/>
        </w:rPr>
        <w:t xml:space="preserve">s(2000) 9 </w:t>
      </w:r>
      <w:r w:rsidRPr="0026254A">
        <w:rPr>
          <w:i/>
          <w:iCs/>
          <w:sz w:val="20"/>
          <w:szCs w:val="20"/>
        </w:rPr>
        <w:t>Social and legal  Studies</w:t>
      </w:r>
      <w:r w:rsidRPr="00E76EA2">
        <w:rPr>
          <w:sz w:val="20"/>
          <w:szCs w:val="20"/>
        </w:rPr>
        <w:t xml:space="preserve"> 179</w:t>
      </w:r>
    </w:p>
  </w:footnote>
  <w:footnote w:id="946">
    <w:p w14:paraId="6E3327D7" w14:textId="77777777" w:rsidR="00C310AB" w:rsidRPr="00E76EA2" w:rsidRDefault="00C310AB" w:rsidP="00447B5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Mark Findlay and Ralph </w:t>
      </w:r>
      <w:proofErr w:type="spellStart"/>
      <w:r w:rsidRPr="00E76EA2">
        <w:rPr>
          <w:sz w:val="20"/>
          <w:szCs w:val="20"/>
        </w:rPr>
        <w:t>Henham,</w:t>
      </w:r>
      <w:r w:rsidRPr="00E76EA2">
        <w:rPr>
          <w:i/>
          <w:sz w:val="20"/>
          <w:szCs w:val="20"/>
        </w:rPr>
        <w:t>Transforming</w:t>
      </w:r>
      <w:proofErr w:type="spellEnd"/>
      <w:r w:rsidRPr="00E76EA2">
        <w:rPr>
          <w:i/>
          <w:sz w:val="20"/>
          <w:szCs w:val="20"/>
        </w:rPr>
        <w:t xml:space="preserve"> International Criminal Justice </w:t>
      </w:r>
      <w:proofErr w:type="spellStart"/>
      <w:r w:rsidRPr="00E76EA2">
        <w:rPr>
          <w:i/>
          <w:sz w:val="20"/>
          <w:szCs w:val="20"/>
        </w:rPr>
        <w:t>System:</w:t>
      </w:r>
      <w:r w:rsidRPr="00E76EA2">
        <w:rPr>
          <w:sz w:val="20"/>
          <w:szCs w:val="20"/>
        </w:rPr>
        <w:t>Retributive</w:t>
      </w:r>
      <w:proofErr w:type="spellEnd"/>
      <w:r w:rsidRPr="00E76EA2">
        <w:rPr>
          <w:sz w:val="20"/>
          <w:szCs w:val="20"/>
        </w:rPr>
        <w:t xml:space="preserve"> and Restorative Justice in the Trial Process (Willan Publishing,2005)306.</w:t>
      </w:r>
    </w:p>
  </w:footnote>
  <w:footnote w:id="947">
    <w:p w14:paraId="3B8C53F3" w14:textId="6C601C27" w:rsidR="00C310AB" w:rsidRPr="003710E3" w:rsidRDefault="00C310AB" w:rsidP="00447B5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Joana </w:t>
      </w:r>
      <w:proofErr w:type="spellStart"/>
      <w:r w:rsidRPr="00E76EA2">
        <w:rPr>
          <w:sz w:val="20"/>
          <w:szCs w:val="20"/>
        </w:rPr>
        <w:t>Shapland</w:t>
      </w:r>
      <w:proofErr w:type="spellEnd"/>
      <w:r w:rsidRPr="00E76EA2">
        <w:rPr>
          <w:sz w:val="20"/>
          <w:szCs w:val="20"/>
        </w:rPr>
        <w:t xml:space="preserve">, Anne Atkinson Helen Atkinson, Emily </w:t>
      </w:r>
      <w:proofErr w:type="spellStart"/>
      <w:r w:rsidRPr="00E76EA2">
        <w:rPr>
          <w:sz w:val="20"/>
          <w:szCs w:val="20"/>
        </w:rPr>
        <w:t>Colledge</w:t>
      </w:r>
      <w:proofErr w:type="spellEnd"/>
      <w:r w:rsidRPr="00E76EA2">
        <w:rPr>
          <w:sz w:val="20"/>
          <w:szCs w:val="20"/>
        </w:rPr>
        <w:t xml:space="preserve">, James Dignan, Marie Howes, Jennifer Johnstone, Gwen Robinson and Angela </w:t>
      </w:r>
      <w:proofErr w:type="spellStart"/>
      <w:r w:rsidRPr="00E76EA2">
        <w:rPr>
          <w:sz w:val="20"/>
          <w:szCs w:val="20"/>
        </w:rPr>
        <w:t>Sorsby</w:t>
      </w:r>
      <w:proofErr w:type="spellEnd"/>
      <w:r w:rsidRPr="00E76EA2">
        <w:rPr>
          <w:sz w:val="20"/>
          <w:szCs w:val="20"/>
        </w:rPr>
        <w:t xml:space="preserve">,  ‘Situating restorative Justice within criminal justice’ (2006) </w:t>
      </w:r>
      <w:r w:rsidR="00DE138C">
        <w:rPr>
          <w:sz w:val="20"/>
          <w:szCs w:val="20"/>
        </w:rPr>
        <w:t>10(4)</w:t>
      </w:r>
      <w:r w:rsidRPr="003710E3">
        <w:rPr>
          <w:i/>
          <w:iCs/>
          <w:sz w:val="20"/>
          <w:szCs w:val="20"/>
        </w:rPr>
        <w:t>Theoretical Criminology</w:t>
      </w:r>
      <w:r w:rsidR="003710E3">
        <w:rPr>
          <w:sz w:val="20"/>
          <w:szCs w:val="20"/>
        </w:rPr>
        <w:t>,505-532</w:t>
      </w:r>
      <w:r w:rsidR="00DE138C">
        <w:rPr>
          <w:sz w:val="20"/>
          <w:szCs w:val="20"/>
        </w:rPr>
        <w:t>.</w:t>
      </w:r>
    </w:p>
  </w:footnote>
  <w:footnote w:id="948">
    <w:p w14:paraId="117D5A09" w14:textId="50A61DCA" w:rsidR="00C310AB" w:rsidRPr="00E76EA2" w:rsidRDefault="00C310AB" w:rsidP="00447B5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523-524.</w:t>
      </w:r>
    </w:p>
  </w:footnote>
  <w:footnote w:id="949">
    <w:p w14:paraId="10F3CD0F" w14:textId="77777777" w:rsidR="00C310AB" w:rsidRPr="00E76EA2" w:rsidRDefault="00C310AB" w:rsidP="00447B53">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50">
    <w:p w14:paraId="6BE79EE9" w14:textId="77777777" w:rsidR="00C310AB" w:rsidRPr="00E76EA2" w:rsidRDefault="00C310AB" w:rsidP="002178D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w:t>
      </w:r>
      <w:proofErr w:type="spellStart"/>
      <w:r w:rsidRPr="00E76EA2">
        <w:rPr>
          <w:sz w:val="20"/>
          <w:szCs w:val="20"/>
        </w:rPr>
        <w:t>Dyilo</w:t>
      </w:r>
      <w:proofErr w:type="spellEnd"/>
      <w:r w:rsidRPr="00E76EA2">
        <w:rPr>
          <w:sz w:val="20"/>
          <w:szCs w:val="20"/>
        </w:rPr>
        <w:t>, Judgment Pursuant to Article 76</w:t>
      </w:r>
    </w:p>
  </w:footnote>
  <w:footnote w:id="951">
    <w:p w14:paraId="6B1254F4" w14:textId="3722F8B1" w:rsidR="00C310AB" w:rsidRPr="00E76EA2" w:rsidRDefault="00C310AB" w:rsidP="002178D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7907E3">
        <w:rPr>
          <w:sz w:val="20"/>
          <w:szCs w:val="20"/>
        </w:rPr>
        <w:t xml:space="preserve">(n </w:t>
      </w:r>
      <w:r w:rsidRPr="00E76EA2">
        <w:rPr>
          <w:sz w:val="20"/>
          <w:szCs w:val="20"/>
        </w:rPr>
        <w:t>480-481</w:t>
      </w:r>
      <w:r w:rsidR="007907E3">
        <w:rPr>
          <w:sz w:val="20"/>
          <w:szCs w:val="20"/>
        </w:rPr>
        <w:t>)</w:t>
      </w:r>
    </w:p>
  </w:footnote>
  <w:footnote w:id="952">
    <w:p w14:paraId="3952040F" w14:textId="28249976" w:rsidR="00C310AB" w:rsidRPr="00E76EA2" w:rsidRDefault="00C310AB" w:rsidP="002178D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Landmark Verdict, Human Rights  Watch; Women Initiatives for Gender Justice , Lubanga Judgment , The Prosecution ‘s Investigation and Use of Intermediaries , Lubanga Trial.Org (Aug 20, 2012, </w:t>
      </w:r>
      <w:r w:rsidR="007907E3">
        <w:rPr>
          <w:sz w:val="20"/>
          <w:szCs w:val="20"/>
        </w:rPr>
        <w:t>available at</w:t>
      </w:r>
      <w:r w:rsidRPr="00E76EA2">
        <w:rPr>
          <w:sz w:val="20"/>
          <w:szCs w:val="20"/>
        </w:rPr>
        <w:t xml:space="preserve"> &lt;</w:t>
      </w:r>
      <w:hyperlink r:id="rId68" w:history="1">
        <w:r w:rsidRPr="00E76EA2">
          <w:rPr>
            <w:rStyle w:val="Hyperlink"/>
            <w:sz w:val="20"/>
            <w:szCs w:val="20"/>
          </w:rPr>
          <w:t>http://www.lubanga</w:t>
        </w:r>
      </w:hyperlink>
      <w:r w:rsidRPr="00E76EA2">
        <w:rPr>
          <w:sz w:val="20"/>
          <w:szCs w:val="20"/>
        </w:rPr>
        <w:t xml:space="preserve">trial.org/2012/08/20/lubanga-judgment-the prosecutions-investigation-and-use-of-intermediaries/.&gt; </w:t>
      </w:r>
      <w:r w:rsidR="007907E3">
        <w:rPr>
          <w:sz w:val="20"/>
          <w:szCs w:val="20"/>
        </w:rPr>
        <w:t>last accessed 12 May 2019</w:t>
      </w:r>
      <w:r w:rsidR="002178D1">
        <w:rPr>
          <w:sz w:val="20"/>
          <w:szCs w:val="20"/>
        </w:rPr>
        <w:t>.</w:t>
      </w:r>
    </w:p>
  </w:footnote>
  <w:footnote w:id="953">
    <w:p w14:paraId="1A729130" w14:textId="77777777" w:rsidR="00C310AB" w:rsidRPr="00E76EA2" w:rsidRDefault="00C310AB" w:rsidP="00C80F1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Lubanga Sentencing and Katanga sentencing.</w:t>
      </w:r>
    </w:p>
  </w:footnote>
  <w:footnote w:id="954">
    <w:p w14:paraId="38389AD5" w14:textId="5AE4303B" w:rsidR="00C310AB" w:rsidRPr="00E76EA2" w:rsidRDefault="00C310AB" w:rsidP="00C80F1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76(1).</w:t>
      </w:r>
    </w:p>
  </w:footnote>
  <w:footnote w:id="955">
    <w:p w14:paraId="6E98A04A" w14:textId="532D4838" w:rsidR="00C310AB" w:rsidRPr="00E76EA2" w:rsidRDefault="00C310AB" w:rsidP="00C80F1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56">
    <w:p w14:paraId="704A1896" w14:textId="77777777" w:rsidR="00C310AB" w:rsidRPr="00E76EA2" w:rsidRDefault="00C310AB" w:rsidP="00C7758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T-223-ENG, page 12;13-24;EVD-CHM-00001, Page 3; Expert Report of Ms Schauer(CHM-0001), The Psychological Impact of Child Soldiering , ICC-01/04-01/06-1729-Anx 1(EVD-CHM-00001);Gregoria Suarez , </w:t>
      </w:r>
      <w:proofErr w:type="spellStart"/>
      <w:r w:rsidRPr="00E76EA2">
        <w:rPr>
          <w:sz w:val="20"/>
          <w:szCs w:val="20"/>
        </w:rPr>
        <w:t>Kindersoldaten</w:t>
      </w:r>
      <w:proofErr w:type="spellEnd"/>
      <w:r w:rsidRPr="00E76EA2">
        <w:rPr>
          <w:sz w:val="20"/>
          <w:szCs w:val="20"/>
        </w:rPr>
        <w:t xml:space="preserve"> </w:t>
      </w:r>
      <w:proofErr w:type="spellStart"/>
      <w:r w:rsidRPr="00E76EA2">
        <w:rPr>
          <w:sz w:val="20"/>
          <w:szCs w:val="20"/>
        </w:rPr>
        <w:t>im</w:t>
      </w:r>
      <w:proofErr w:type="spellEnd"/>
      <w:r w:rsidRPr="00E76EA2">
        <w:rPr>
          <w:sz w:val="20"/>
          <w:szCs w:val="20"/>
        </w:rPr>
        <w:t xml:space="preserve"> </w:t>
      </w:r>
      <w:proofErr w:type="spellStart"/>
      <w:r w:rsidRPr="00E76EA2">
        <w:rPr>
          <w:sz w:val="20"/>
          <w:szCs w:val="20"/>
        </w:rPr>
        <w:t>Volgersstarfretch</w:t>
      </w:r>
      <w:proofErr w:type="spellEnd"/>
      <w:r w:rsidRPr="00E76EA2">
        <w:rPr>
          <w:sz w:val="20"/>
          <w:szCs w:val="20"/>
        </w:rPr>
        <w:t xml:space="preserve"> (2009), page 124</w:t>
      </w:r>
    </w:p>
  </w:footnote>
  <w:footnote w:id="957">
    <w:p w14:paraId="659E2D4C" w14:textId="37413297" w:rsidR="00C310AB" w:rsidRPr="00E76EA2" w:rsidRDefault="00C310AB" w:rsidP="00C77584">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Le Procureur </w:t>
      </w:r>
      <w:proofErr w:type="spellStart"/>
      <w:r w:rsidRPr="00E76EA2">
        <w:rPr>
          <w:sz w:val="20"/>
          <w:szCs w:val="20"/>
          <w:lang w:val="fr-FR"/>
        </w:rPr>
        <w:t>v.Thomas</w:t>
      </w:r>
      <w:proofErr w:type="spellEnd"/>
      <w:r w:rsidRPr="00E76EA2">
        <w:rPr>
          <w:sz w:val="20"/>
          <w:szCs w:val="20"/>
          <w:lang w:val="fr-FR"/>
        </w:rPr>
        <w:t xml:space="preserve"> </w:t>
      </w:r>
      <w:proofErr w:type="spellStart"/>
      <w:r w:rsidRPr="00E76EA2">
        <w:rPr>
          <w:sz w:val="20"/>
          <w:szCs w:val="20"/>
          <w:lang w:val="fr-FR"/>
        </w:rPr>
        <w:t>Dyilo</w:t>
      </w:r>
      <w:proofErr w:type="spellEnd"/>
      <w:r w:rsidRPr="00E76EA2">
        <w:rPr>
          <w:sz w:val="20"/>
          <w:szCs w:val="20"/>
          <w:lang w:val="fr-FR"/>
        </w:rPr>
        <w:t xml:space="preserve">, Observations du groupe de </w:t>
      </w:r>
      <w:proofErr w:type="spellStart"/>
      <w:r w:rsidRPr="00E76EA2">
        <w:rPr>
          <w:sz w:val="20"/>
          <w:szCs w:val="20"/>
          <w:lang w:val="fr-FR"/>
        </w:rPr>
        <w:t>victims</w:t>
      </w:r>
      <w:proofErr w:type="spellEnd"/>
      <w:r w:rsidRPr="00E76EA2">
        <w:rPr>
          <w:sz w:val="20"/>
          <w:szCs w:val="20"/>
          <w:lang w:val="fr-FR"/>
        </w:rPr>
        <w:t xml:space="preserve"> VO2 Sur des </w:t>
      </w:r>
      <w:proofErr w:type="spellStart"/>
      <w:r w:rsidRPr="00E76EA2">
        <w:rPr>
          <w:sz w:val="20"/>
          <w:szCs w:val="20"/>
          <w:lang w:val="fr-FR"/>
        </w:rPr>
        <w:t>elements</w:t>
      </w:r>
      <w:proofErr w:type="spellEnd"/>
      <w:r w:rsidRPr="00E76EA2">
        <w:rPr>
          <w:sz w:val="20"/>
          <w:szCs w:val="20"/>
          <w:lang w:val="fr-FR"/>
        </w:rPr>
        <w:t xml:space="preserve"> de </w:t>
      </w:r>
      <w:proofErr w:type="spellStart"/>
      <w:r w:rsidRPr="00E76EA2">
        <w:rPr>
          <w:sz w:val="20"/>
          <w:szCs w:val="20"/>
          <w:lang w:val="fr-FR"/>
        </w:rPr>
        <w:t>prevue</w:t>
      </w:r>
      <w:proofErr w:type="spellEnd"/>
      <w:r w:rsidRPr="00E76EA2">
        <w:rPr>
          <w:sz w:val="20"/>
          <w:szCs w:val="20"/>
          <w:lang w:val="fr-FR"/>
        </w:rPr>
        <w:t xml:space="preserve"> </w:t>
      </w:r>
      <w:proofErr w:type="spellStart"/>
      <w:r w:rsidRPr="00E76EA2">
        <w:rPr>
          <w:sz w:val="20"/>
          <w:szCs w:val="20"/>
          <w:lang w:val="fr-FR"/>
        </w:rPr>
        <w:t>establissant</w:t>
      </w:r>
      <w:proofErr w:type="spellEnd"/>
      <w:r w:rsidRPr="00E76EA2">
        <w:rPr>
          <w:sz w:val="20"/>
          <w:szCs w:val="20"/>
          <w:lang w:val="fr-FR"/>
        </w:rPr>
        <w:t xml:space="preserve"> des circonstances aggravantes ou des </w:t>
      </w:r>
      <w:proofErr w:type="spellStart"/>
      <w:r w:rsidRPr="00E76EA2">
        <w:rPr>
          <w:sz w:val="20"/>
          <w:szCs w:val="20"/>
          <w:lang w:val="fr-FR"/>
        </w:rPr>
        <w:t>cironstances</w:t>
      </w:r>
      <w:proofErr w:type="spellEnd"/>
      <w:r w:rsidRPr="00E76EA2">
        <w:rPr>
          <w:sz w:val="20"/>
          <w:szCs w:val="20"/>
          <w:lang w:val="fr-FR"/>
        </w:rPr>
        <w:t xml:space="preserve"> </w:t>
      </w:r>
      <w:proofErr w:type="spellStart"/>
      <w:r w:rsidRPr="00E76EA2">
        <w:rPr>
          <w:sz w:val="20"/>
          <w:szCs w:val="20"/>
          <w:lang w:val="fr-FR"/>
        </w:rPr>
        <w:t>attenuantes</w:t>
      </w:r>
      <w:proofErr w:type="spellEnd"/>
      <w:r w:rsidRPr="00E76EA2">
        <w:rPr>
          <w:sz w:val="20"/>
          <w:szCs w:val="20"/>
          <w:lang w:val="fr-FR"/>
        </w:rPr>
        <w:t xml:space="preserve"> des faits portes </w:t>
      </w:r>
      <w:proofErr w:type="spellStart"/>
      <w:r w:rsidRPr="00E76EA2">
        <w:rPr>
          <w:sz w:val="20"/>
          <w:szCs w:val="20"/>
          <w:lang w:val="fr-FR"/>
        </w:rPr>
        <w:t>a</w:t>
      </w:r>
      <w:proofErr w:type="spellEnd"/>
      <w:r w:rsidRPr="00E76EA2">
        <w:rPr>
          <w:sz w:val="20"/>
          <w:szCs w:val="20"/>
          <w:lang w:val="fr-FR"/>
        </w:rPr>
        <w:t xml:space="preserve"> la </w:t>
      </w:r>
      <w:proofErr w:type="spellStart"/>
      <w:r w:rsidRPr="00E76EA2">
        <w:rPr>
          <w:sz w:val="20"/>
          <w:szCs w:val="20"/>
          <w:lang w:val="fr-FR"/>
        </w:rPr>
        <w:t>chrge</w:t>
      </w:r>
      <w:proofErr w:type="spellEnd"/>
      <w:r w:rsidRPr="00E76EA2">
        <w:rPr>
          <w:sz w:val="20"/>
          <w:szCs w:val="20"/>
          <w:lang w:val="fr-FR"/>
        </w:rPr>
        <w:t xml:space="preserve"> de l’accuse reconnu coupable,ICC-01/04-01/06-2882, 14 May 2012,p.3,para 1;Observations of the </w:t>
      </w:r>
      <w:proofErr w:type="spellStart"/>
      <w:r w:rsidRPr="00E76EA2">
        <w:rPr>
          <w:sz w:val="20"/>
          <w:szCs w:val="20"/>
          <w:lang w:val="fr-FR"/>
        </w:rPr>
        <w:t>Victims</w:t>
      </w:r>
      <w:proofErr w:type="spellEnd"/>
      <w:r w:rsidRPr="00E76EA2">
        <w:rPr>
          <w:sz w:val="20"/>
          <w:szCs w:val="20"/>
          <w:lang w:val="fr-FR"/>
        </w:rPr>
        <w:t xml:space="preserve">’ Group VO2 on Evidence </w:t>
      </w:r>
      <w:proofErr w:type="spellStart"/>
      <w:r w:rsidRPr="00E76EA2">
        <w:rPr>
          <w:sz w:val="20"/>
          <w:szCs w:val="20"/>
          <w:lang w:val="fr-FR"/>
        </w:rPr>
        <w:t>establishing</w:t>
      </w:r>
      <w:proofErr w:type="spellEnd"/>
      <w:r w:rsidRPr="00E76EA2">
        <w:rPr>
          <w:sz w:val="20"/>
          <w:szCs w:val="20"/>
          <w:lang w:val="fr-FR"/>
        </w:rPr>
        <w:t xml:space="preserve"> </w:t>
      </w:r>
      <w:proofErr w:type="spellStart"/>
      <w:r w:rsidRPr="00E76EA2">
        <w:rPr>
          <w:sz w:val="20"/>
          <w:szCs w:val="20"/>
          <w:lang w:val="fr-FR"/>
        </w:rPr>
        <w:t>Aggravating</w:t>
      </w:r>
      <w:proofErr w:type="spellEnd"/>
      <w:r w:rsidRPr="00E76EA2">
        <w:rPr>
          <w:sz w:val="20"/>
          <w:szCs w:val="20"/>
          <w:lang w:val="fr-FR"/>
        </w:rPr>
        <w:t xml:space="preserve"> </w:t>
      </w:r>
      <w:proofErr w:type="spellStart"/>
      <w:r w:rsidRPr="00E76EA2">
        <w:rPr>
          <w:sz w:val="20"/>
          <w:szCs w:val="20"/>
          <w:lang w:val="fr-FR"/>
        </w:rPr>
        <w:t>Circumstances</w:t>
      </w:r>
      <w:proofErr w:type="spellEnd"/>
      <w:r w:rsidRPr="00E76EA2">
        <w:rPr>
          <w:sz w:val="20"/>
          <w:szCs w:val="20"/>
          <w:lang w:val="fr-FR"/>
        </w:rPr>
        <w:t xml:space="preserve"> or </w:t>
      </w:r>
      <w:proofErr w:type="spellStart"/>
      <w:r w:rsidRPr="00E76EA2">
        <w:rPr>
          <w:sz w:val="20"/>
          <w:szCs w:val="20"/>
          <w:lang w:val="fr-FR"/>
        </w:rPr>
        <w:t>Mitigating</w:t>
      </w:r>
      <w:proofErr w:type="spellEnd"/>
      <w:r w:rsidRPr="00E76EA2">
        <w:rPr>
          <w:sz w:val="20"/>
          <w:szCs w:val="20"/>
          <w:lang w:val="fr-FR"/>
        </w:rPr>
        <w:t xml:space="preserve"> </w:t>
      </w:r>
      <w:proofErr w:type="spellStart"/>
      <w:r w:rsidRPr="00E76EA2">
        <w:rPr>
          <w:sz w:val="20"/>
          <w:szCs w:val="20"/>
          <w:lang w:val="fr-FR"/>
        </w:rPr>
        <w:t>Circumstances</w:t>
      </w:r>
      <w:proofErr w:type="spellEnd"/>
      <w:r w:rsidRPr="00E76EA2">
        <w:rPr>
          <w:sz w:val="20"/>
          <w:szCs w:val="20"/>
          <w:lang w:val="fr-FR"/>
        </w:rPr>
        <w:t xml:space="preserve"> of the </w:t>
      </w:r>
      <w:proofErr w:type="spellStart"/>
      <w:r w:rsidRPr="00E76EA2">
        <w:rPr>
          <w:sz w:val="20"/>
          <w:szCs w:val="20"/>
          <w:lang w:val="fr-FR"/>
        </w:rPr>
        <w:t>facts</w:t>
      </w:r>
      <w:proofErr w:type="spellEnd"/>
      <w:r w:rsidRPr="00E76EA2">
        <w:rPr>
          <w:sz w:val="20"/>
          <w:szCs w:val="20"/>
          <w:lang w:val="fr-FR"/>
        </w:rPr>
        <w:t xml:space="preserve"> </w:t>
      </w:r>
      <w:proofErr w:type="spellStart"/>
      <w:r w:rsidRPr="00E76EA2">
        <w:rPr>
          <w:sz w:val="20"/>
          <w:szCs w:val="20"/>
          <w:lang w:val="fr-FR"/>
        </w:rPr>
        <w:t>alleged</w:t>
      </w:r>
      <w:proofErr w:type="spellEnd"/>
      <w:r w:rsidRPr="00E76EA2">
        <w:rPr>
          <w:sz w:val="20"/>
          <w:szCs w:val="20"/>
          <w:lang w:val="fr-FR"/>
        </w:rPr>
        <w:t xml:space="preserve"> </w:t>
      </w:r>
      <w:proofErr w:type="spellStart"/>
      <w:r w:rsidRPr="00E76EA2">
        <w:rPr>
          <w:sz w:val="20"/>
          <w:szCs w:val="20"/>
          <w:lang w:val="fr-FR"/>
        </w:rPr>
        <w:t>against</w:t>
      </w:r>
      <w:proofErr w:type="spellEnd"/>
      <w:r w:rsidRPr="00E76EA2">
        <w:rPr>
          <w:sz w:val="20"/>
          <w:szCs w:val="20"/>
          <w:lang w:val="fr-FR"/>
        </w:rPr>
        <w:t xml:space="preserve"> the </w:t>
      </w:r>
      <w:proofErr w:type="spellStart"/>
      <w:r w:rsidRPr="00E76EA2">
        <w:rPr>
          <w:sz w:val="20"/>
          <w:szCs w:val="20"/>
          <w:lang w:val="fr-FR"/>
        </w:rPr>
        <w:t>accused</w:t>
      </w:r>
      <w:proofErr w:type="spellEnd"/>
      <w:r w:rsidRPr="00E76EA2">
        <w:rPr>
          <w:sz w:val="20"/>
          <w:szCs w:val="20"/>
          <w:lang w:val="fr-FR"/>
        </w:rPr>
        <w:t xml:space="preserve"> </w:t>
      </w:r>
      <w:proofErr w:type="spellStart"/>
      <w:r w:rsidRPr="00E76EA2">
        <w:rPr>
          <w:sz w:val="20"/>
          <w:szCs w:val="20"/>
          <w:lang w:val="fr-FR"/>
        </w:rPr>
        <w:t>person</w:t>
      </w:r>
      <w:proofErr w:type="spellEnd"/>
    </w:p>
  </w:footnote>
  <w:footnote w:id="958">
    <w:p w14:paraId="710D8911" w14:textId="551AC4DC" w:rsidR="00C310AB" w:rsidRPr="00E76EA2" w:rsidRDefault="00C310AB" w:rsidP="00C77584">
      <w:pPr>
        <w:pStyle w:val="NoSpacing1"/>
        <w:spacing w:line="276" w:lineRule="auto"/>
        <w:jc w:val="both"/>
        <w:rPr>
          <w:sz w:val="20"/>
          <w:szCs w:val="20"/>
          <w:lang w:val="it-IT"/>
        </w:rPr>
      </w:pPr>
      <w:r w:rsidRPr="00E76EA2">
        <w:rPr>
          <w:rStyle w:val="FootnoteReference"/>
          <w:sz w:val="20"/>
          <w:szCs w:val="20"/>
        </w:rPr>
        <w:footnoteRef/>
      </w:r>
      <w:r w:rsidRPr="00E76EA2">
        <w:rPr>
          <w:sz w:val="20"/>
          <w:szCs w:val="20"/>
          <w:lang w:val="it-IT"/>
        </w:rPr>
        <w:t xml:space="preserve">  ICC-01/04-01/06-2901, 10-07-2012,</w:t>
      </w:r>
      <w:r w:rsidR="006505AB">
        <w:rPr>
          <w:sz w:val="20"/>
          <w:szCs w:val="20"/>
          <w:lang w:val="it-IT"/>
        </w:rPr>
        <w:t>p</w:t>
      </w:r>
      <w:r w:rsidRPr="00E76EA2">
        <w:rPr>
          <w:sz w:val="20"/>
          <w:szCs w:val="20"/>
          <w:lang w:val="it-IT"/>
        </w:rPr>
        <w:t>.23, para.57; ICC-01/04-01/06-2901, 10-07-2012,P.23, para.57</w:t>
      </w:r>
    </w:p>
  </w:footnote>
  <w:footnote w:id="959">
    <w:p w14:paraId="2F503E6C" w14:textId="77777777" w:rsidR="00C310AB" w:rsidRPr="00E76EA2" w:rsidRDefault="00C310AB" w:rsidP="00C7758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60">
    <w:p w14:paraId="347788C8" w14:textId="0AD1838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ICC-01/04-01/06-2901,P.23, Para 59,lines 2-4.</w:t>
      </w:r>
    </w:p>
  </w:footnote>
  <w:footnote w:id="961">
    <w:p w14:paraId="68C7286F" w14:textId="2E519518" w:rsidR="00C310AB" w:rsidRPr="00E76EA2" w:rsidRDefault="00C310AB" w:rsidP="0036528D">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T-360-Red2-ENG, page 35, </w:t>
      </w:r>
      <w:proofErr w:type="spellStart"/>
      <w:r w:rsidRPr="00E76EA2">
        <w:rPr>
          <w:sz w:val="20"/>
          <w:szCs w:val="20"/>
          <w:lang w:val="fr-FR"/>
        </w:rPr>
        <w:t>lines</w:t>
      </w:r>
      <w:proofErr w:type="spellEnd"/>
      <w:r w:rsidRPr="00E76EA2">
        <w:rPr>
          <w:sz w:val="20"/>
          <w:szCs w:val="20"/>
          <w:lang w:val="fr-FR"/>
        </w:rPr>
        <w:t xml:space="preserve"> 13-16, paras 92,95.</w:t>
      </w:r>
    </w:p>
  </w:footnote>
  <w:footnote w:id="962">
    <w:p w14:paraId="3B672AFA" w14:textId="015B8031" w:rsidR="00C310AB" w:rsidRPr="00E76EA2" w:rsidRDefault="00C310AB" w:rsidP="0036528D">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Lubanga Sentence, </w:t>
      </w:r>
      <w:proofErr w:type="spellStart"/>
      <w:r w:rsidRPr="00E76EA2">
        <w:rPr>
          <w:sz w:val="20"/>
          <w:szCs w:val="20"/>
          <w:lang w:val="fr-FR"/>
        </w:rPr>
        <w:t>para.s</w:t>
      </w:r>
      <w:proofErr w:type="spellEnd"/>
      <w:r w:rsidRPr="00E76EA2">
        <w:rPr>
          <w:sz w:val="20"/>
          <w:szCs w:val="20"/>
          <w:lang w:val="fr-FR"/>
        </w:rPr>
        <w:t>. 92, 95.</w:t>
      </w:r>
    </w:p>
  </w:footnote>
  <w:footnote w:id="963">
    <w:p w14:paraId="7FE88DEF" w14:textId="556AE838" w:rsidR="00C310AB" w:rsidRPr="00E76EA2" w:rsidRDefault="00C310AB" w:rsidP="0036528D">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Lubanga sentence, paras 12-15.</w:t>
      </w:r>
    </w:p>
  </w:footnote>
  <w:footnote w:id="964">
    <w:p w14:paraId="179A1737" w14:textId="25FD30C6" w:rsidR="00C310AB" w:rsidRPr="00E76EA2" w:rsidRDefault="00C310AB" w:rsidP="0036528D">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Lubanga </w:t>
      </w:r>
      <w:proofErr w:type="spellStart"/>
      <w:r w:rsidRPr="00E76EA2">
        <w:rPr>
          <w:sz w:val="20"/>
          <w:szCs w:val="20"/>
          <w:lang w:val="fr-FR"/>
        </w:rPr>
        <w:t>Sentencing</w:t>
      </w:r>
      <w:proofErr w:type="spellEnd"/>
      <w:r w:rsidRPr="00E76EA2">
        <w:rPr>
          <w:sz w:val="20"/>
          <w:szCs w:val="20"/>
          <w:lang w:val="fr-FR"/>
        </w:rPr>
        <w:t xml:space="preserve"> </w:t>
      </w:r>
      <w:proofErr w:type="spellStart"/>
      <w:r w:rsidRPr="00E76EA2">
        <w:rPr>
          <w:sz w:val="20"/>
          <w:szCs w:val="20"/>
          <w:lang w:val="fr-FR"/>
        </w:rPr>
        <w:t>Decision</w:t>
      </w:r>
      <w:proofErr w:type="spellEnd"/>
      <w:r w:rsidRPr="00E76EA2">
        <w:rPr>
          <w:sz w:val="20"/>
          <w:szCs w:val="20"/>
          <w:lang w:val="fr-FR"/>
        </w:rPr>
        <w:t>.</w:t>
      </w:r>
    </w:p>
  </w:footnote>
  <w:footnote w:id="965">
    <w:p w14:paraId="0D796988" w14:textId="7D44D9F8" w:rsidR="00C310AB" w:rsidRPr="00E76EA2" w:rsidRDefault="00C310AB" w:rsidP="0036528D">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ICC-01/04-01/06-2901,P.23, Para 59,lines 2-4.</w:t>
      </w:r>
    </w:p>
  </w:footnote>
  <w:footnote w:id="966">
    <w:p w14:paraId="6E877350" w14:textId="25FB483B" w:rsidR="00C310AB" w:rsidRPr="00E76EA2" w:rsidRDefault="00C310AB" w:rsidP="0036528D">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w:t>
      </w:r>
      <w:proofErr w:type="spellStart"/>
      <w:r w:rsidRPr="00E76EA2">
        <w:rPr>
          <w:sz w:val="20"/>
          <w:szCs w:val="20"/>
          <w:lang w:val="fr-FR"/>
        </w:rPr>
        <w:t>Prosecutor</w:t>
      </w:r>
      <w:proofErr w:type="spellEnd"/>
      <w:r w:rsidRPr="00E76EA2">
        <w:rPr>
          <w:sz w:val="20"/>
          <w:szCs w:val="20"/>
          <w:lang w:val="fr-FR"/>
        </w:rPr>
        <w:t xml:space="preserve"> v Thomas Lubanga </w:t>
      </w:r>
      <w:proofErr w:type="spellStart"/>
      <w:r w:rsidRPr="00E76EA2">
        <w:rPr>
          <w:sz w:val="20"/>
          <w:szCs w:val="20"/>
          <w:lang w:val="fr-FR"/>
        </w:rPr>
        <w:t>Dyilo</w:t>
      </w:r>
      <w:proofErr w:type="spellEnd"/>
      <w:r w:rsidRPr="00E76EA2">
        <w:rPr>
          <w:sz w:val="20"/>
          <w:szCs w:val="20"/>
          <w:lang w:val="fr-FR"/>
        </w:rPr>
        <w:t xml:space="preserve">,  Observations du groupe de </w:t>
      </w:r>
      <w:proofErr w:type="spellStart"/>
      <w:r w:rsidRPr="00E76EA2">
        <w:rPr>
          <w:sz w:val="20"/>
          <w:szCs w:val="20"/>
          <w:lang w:val="fr-FR"/>
        </w:rPr>
        <w:t>victims</w:t>
      </w:r>
      <w:proofErr w:type="spellEnd"/>
      <w:r w:rsidRPr="00E76EA2">
        <w:rPr>
          <w:sz w:val="20"/>
          <w:szCs w:val="20"/>
          <w:lang w:val="fr-FR"/>
        </w:rPr>
        <w:t xml:space="preserve"> VO2 Sur des </w:t>
      </w:r>
      <w:proofErr w:type="spellStart"/>
      <w:r w:rsidRPr="00E76EA2">
        <w:rPr>
          <w:sz w:val="20"/>
          <w:szCs w:val="20"/>
          <w:lang w:val="fr-FR"/>
        </w:rPr>
        <w:t>elements</w:t>
      </w:r>
      <w:proofErr w:type="spellEnd"/>
      <w:r w:rsidRPr="00E76EA2">
        <w:rPr>
          <w:sz w:val="20"/>
          <w:szCs w:val="20"/>
          <w:lang w:val="fr-FR"/>
        </w:rPr>
        <w:t xml:space="preserve"> de </w:t>
      </w:r>
      <w:proofErr w:type="spellStart"/>
      <w:r w:rsidRPr="00E76EA2">
        <w:rPr>
          <w:sz w:val="20"/>
          <w:szCs w:val="20"/>
          <w:lang w:val="fr-FR"/>
        </w:rPr>
        <w:t>prevue</w:t>
      </w:r>
      <w:proofErr w:type="spellEnd"/>
      <w:r w:rsidRPr="00E76EA2">
        <w:rPr>
          <w:sz w:val="20"/>
          <w:szCs w:val="20"/>
          <w:lang w:val="fr-FR"/>
        </w:rPr>
        <w:t xml:space="preserve"> </w:t>
      </w:r>
      <w:proofErr w:type="spellStart"/>
      <w:r w:rsidRPr="00E76EA2">
        <w:rPr>
          <w:sz w:val="20"/>
          <w:szCs w:val="20"/>
          <w:lang w:val="fr-FR"/>
        </w:rPr>
        <w:t>etablissant</w:t>
      </w:r>
      <w:proofErr w:type="spellEnd"/>
      <w:r w:rsidRPr="00E76EA2">
        <w:rPr>
          <w:sz w:val="20"/>
          <w:szCs w:val="20"/>
          <w:lang w:val="fr-FR"/>
        </w:rPr>
        <w:t xml:space="preserve"> des circonstances  aggravantes ou des circonstances </w:t>
      </w:r>
      <w:proofErr w:type="spellStart"/>
      <w:r w:rsidRPr="00E76EA2">
        <w:rPr>
          <w:sz w:val="20"/>
          <w:szCs w:val="20"/>
          <w:lang w:val="fr-FR"/>
        </w:rPr>
        <w:t>attenuantes</w:t>
      </w:r>
      <w:proofErr w:type="spellEnd"/>
      <w:r w:rsidRPr="00E76EA2">
        <w:rPr>
          <w:sz w:val="20"/>
          <w:szCs w:val="20"/>
          <w:lang w:val="fr-FR"/>
        </w:rPr>
        <w:t xml:space="preserve"> des faits portes a la charge de l’accuse reconnu coupable, ; ‘Observations pf the VO2 Team of Legal </w:t>
      </w:r>
      <w:proofErr w:type="spellStart"/>
      <w:r w:rsidRPr="00E76EA2">
        <w:rPr>
          <w:sz w:val="20"/>
          <w:szCs w:val="20"/>
          <w:lang w:val="fr-FR"/>
        </w:rPr>
        <w:t>Representatives</w:t>
      </w:r>
      <w:proofErr w:type="spellEnd"/>
      <w:r w:rsidRPr="00E76EA2">
        <w:rPr>
          <w:sz w:val="20"/>
          <w:szCs w:val="20"/>
          <w:lang w:val="fr-FR"/>
        </w:rPr>
        <w:t xml:space="preserve"> of </w:t>
      </w:r>
      <w:proofErr w:type="spellStart"/>
      <w:r w:rsidRPr="00E76EA2">
        <w:rPr>
          <w:sz w:val="20"/>
          <w:szCs w:val="20"/>
          <w:lang w:val="fr-FR"/>
        </w:rPr>
        <w:t>Victims</w:t>
      </w:r>
      <w:proofErr w:type="spellEnd"/>
      <w:r w:rsidRPr="00E76EA2">
        <w:rPr>
          <w:sz w:val="20"/>
          <w:szCs w:val="20"/>
          <w:lang w:val="fr-FR"/>
        </w:rPr>
        <w:t xml:space="preserve"> on Evidence </w:t>
      </w:r>
      <w:proofErr w:type="spellStart"/>
      <w:r w:rsidRPr="00E76EA2">
        <w:rPr>
          <w:sz w:val="20"/>
          <w:szCs w:val="20"/>
          <w:lang w:val="fr-FR"/>
        </w:rPr>
        <w:t>Establishing</w:t>
      </w:r>
      <w:proofErr w:type="spellEnd"/>
      <w:r w:rsidRPr="00E76EA2">
        <w:rPr>
          <w:sz w:val="20"/>
          <w:szCs w:val="20"/>
          <w:lang w:val="fr-FR"/>
        </w:rPr>
        <w:t xml:space="preserve"> </w:t>
      </w:r>
      <w:proofErr w:type="spellStart"/>
      <w:r w:rsidRPr="00E76EA2">
        <w:rPr>
          <w:sz w:val="20"/>
          <w:szCs w:val="20"/>
          <w:lang w:val="fr-FR"/>
        </w:rPr>
        <w:t>Aggravting</w:t>
      </w:r>
      <w:proofErr w:type="spellEnd"/>
      <w:r w:rsidRPr="00E76EA2">
        <w:rPr>
          <w:sz w:val="20"/>
          <w:szCs w:val="20"/>
          <w:lang w:val="fr-FR"/>
        </w:rPr>
        <w:t xml:space="preserve"> </w:t>
      </w:r>
      <w:proofErr w:type="spellStart"/>
      <w:r w:rsidRPr="00E76EA2">
        <w:rPr>
          <w:sz w:val="20"/>
          <w:szCs w:val="20"/>
          <w:lang w:val="fr-FR"/>
        </w:rPr>
        <w:t>Circumstances</w:t>
      </w:r>
      <w:proofErr w:type="spellEnd"/>
      <w:r w:rsidRPr="00E76EA2">
        <w:rPr>
          <w:sz w:val="20"/>
          <w:szCs w:val="20"/>
          <w:lang w:val="fr-FR"/>
        </w:rPr>
        <w:t xml:space="preserve"> or </w:t>
      </w:r>
      <w:proofErr w:type="spellStart"/>
      <w:r w:rsidRPr="00E76EA2">
        <w:rPr>
          <w:sz w:val="20"/>
          <w:szCs w:val="20"/>
          <w:lang w:val="fr-FR"/>
        </w:rPr>
        <w:t>Mitigating</w:t>
      </w:r>
      <w:proofErr w:type="spellEnd"/>
      <w:r w:rsidRPr="00E76EA2">
        <w:rPr>
          <w:sz w:val="20"/>
          <w:szCs w:val="20"/>
          <w:lang w:val="fr-FR"/>
        </w:rPr>
        <w:t xml:space="preserve"> </w:t>
      </w:r>
      <w:proofErr w:type="spellStart"/>
      <w:r w:rsidRPr="00E76EA2">
        <w:rPr>
          <w:sz w:val="20"/>
          <w:szCs w:val="20"/>
          <w:lang w:val="fr-FR"/>
        </w:rPr>
        <w:t>Circumstances</w:t>
      </w:r>
      <w:proofErr w:type="spellEnd"/>
      <w:r w:rsidRPr="00E76EA2">
        <w:rPr>
          <w:sz w:val="20"/>
          <w:szCs w:val="20"/>
          <w:lang w:val="fr-FR"/>
        </w:rPr>
        <w:t xml:space="preserve"> over </w:t>
      </w:r>
      <w:proofErr w:type="spellStart"/>
      <w:r w:rsidRPr="00E76EA2">
        <w:rPr>
          <w:sz w:val="20"/>
          <w:szCs w:val="20"/>
          <w:lang w:val="fr-FR"/>
        </w:rPr>
        <w:t>facts</w:t>
      </w:r>
      <w:proofErr w:type="spellEnd"/>
      <w:r w:rsidRPr="00E76EA2">
        <w:rPr>
          <w:sz w:val="20"/>
          <w:szCs w:val="20"/>
          <w:lang w:val="fr-FR"/>
        </w:rPr>
        <w:t xml:space="preserve"> </w:t>
      </w:r>
      <w:proofErr w:type="spellStart"/>
      <w:r w:rsidRPr="00E76EA2">
        <w:rPr>
          <w:sz w:val="20"/>
          <w:szCs w:val="20"/>
          <w:lang w:val="fr-FR"/>
        </w:rPr>
        <w:t>bearing</w:t>
      </w:r>
      <w:proofErr w:type="spellEnd"/>
      <w:r w:rsidRPr="00E76EA2">
        <w:rPr>
          <w:sz w:val="20"/>
          <w:szCs w:val="20"/>
          <w:lang w:val="fr-FR"/>
        </w:rPr>
        <w:t xml:space="preserve"> the </w:t>
      </w:r>
      <w:proofErr w:type="spellStart"/>
      <w:r w:rsidRPr="00E76EA2">
        <w:rPr>
          <w:sz w:val="20"/>
          <w:szCs w:val="20"/>
          <w:lang w:val="fr-FR"/>
        </w:rPr>
        <w:t>account</w:t>
      </w:r>
      <w:proofErr w:type="spellEnd"/>
      <w:r w:rsidRPr="00E76EA2">
        <w:rPr>
          <w:sz w:val="20"/>
          <w:szCs w:val="20"/>
          <w:lang w:val="fr-FR"/>
        </w:rPr>
        <w:t xml:space="preserve"> </w:t>
      </w:r>
      <w:proofErr w:type="spellStart"/>
      <w:r w:rsidRPr="00E76EA2">
        <w:rPr>
          <w:sz w:val="20"/>
          <w:szCs w:val="20"/>
          <w:lang w:val="fr-FR"/>
        </w:rPr>
        <w:t>which</w:t>
      </w:r>
      <w:proofErr w:type="spellEnd"/>
      <w:r w:rsidRPr="00E76EA2">
        <w:rPr>
          <w:sz w:val="20"/>
          <w:szCs w:val="20"/>
          <w:lang w:val="fr-FR"/>
        </w:rPr>
        <w:t xml:space="preserve"> </w:t>
      </w:r>
      <w:proofErr w:type="spellStart"/>
      <w:r w:rsidRPr="00E76EA2">
        <w:rPr>
          <w:sz w:val="20"/>
          <w:szCs w:val="20"/>
          <w:lang w:val="fr-FR"/>
        </w:rPr>
        <w:t>recognised</w:t>
      </w:r>
      <w:proofErr w:type="spellEnd"/>
      <w:r w:rsidRPr="00E76EA2">
        <w:rPr>
          <w:sz w:val="20"/>
          <w:szCs w:val="20"/>
          <w:lang w:val="fr-FR"/>
        </w:rPr>
        <w:t xml:space="preserve"> the </w:t>
      </w:r>
      <w:proofErr w:type="spellStart"/>
      <w:r w:rsidRPr="00E76EA2">
        <w:rPr>
          <w:sz w:val="20"/>
          <w:szCs w:val="20"/>
          <w:lang w:val="fr-FR"/>
        </w:rPr>
        <w:t>accused</w:t>
      </w:r>
      <w:proofErr w:type="spellEnd"/>
      <w:r w:rsidRPr="00E76EA2">
        <w:rPr>
          <w:sz w:val="20"/>
          <w:szCs w:val="20"/>
          <w:lang w:val="fr-FR"/>
        </w:rPr>
        <w:t xml:space="preserve"> as </w:t>
      </w:r>
      <w:proofErr w:type="spellStart"/>
      <w:r w:rsidRPr="00E76EA2">
        <w:rPr>
          <w:sz w:val="20"/>
          <w:szCs w:val="20"/>
          <w:lang w:val="fr-FR"/>
        </w:rPr>
        <w:t>guilty’Trial</w:t>
      </w:r>
      <w:proofErr w:type="spellEnd"/>
      <w:r w:rsidRPr="00E76EA2">
        <w:rPr>
          <w:sz w:val="20"/>
          <w:szCs w:val="20"/>
          <w:lang w:val="fr-FR"/>
        </w:rPr>
        <w:t xml:space="preserve"> </w:t>
      </w:r>
      <w:proofErr w:type="spellStart"/>
      <w:r w:rsidRPr="00E76EA2">
        <w:rPr>
          <w:sz w:val="20"/>
          <w:szCs w:val="20"/>
          <w:lang w:val="fr-FR"/>
        </w:rPr>
        <w:t>Chamber</w:t>
      </w:r>
      <w:proofErr w:type="spellEnd"/>
      <w:r w:rsidRPr="00E76EA2">
        <w:rPr>
          <w:sz w:val="20"/>
          <w:szCs w:val="20"/>
          <w:lang w:val="fr-FR"/>
        </w:rPr>
        <w:t xml:space="preserve"> 1,14 May 2012, ICC-01/04-01/06-2882, p.3, para 4.</w:t>
      </w:r>
    </w:p>
  </w:footnote>
  <w:footnote w:id="967">
    <w:p w14:paraId="5D5FB08F" w14:textId="7777777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968">
    <w:p w14:paraId="3B053863" w14:textId="7777777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,p.4,para.7(h).</w:t>
      </w:r>
    </w:p>
  </w:footnote>
  <w:footnote w:id="969">
    <w:p w14:paraId="52511105" w14:textId="7777777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Ibid,p.4 and 5</w:t>
      </w:r>
    </w:p>
  </w:footnote>
  <w:footnote w:id="970">
    <w:p w14:paraId="0B06CB9B" w14:textId="7777777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,p.5,para8</w:t>
      </w:r>
    </w:p>
  </w:footnote>
  <w:footnote w:id="971">
    <w:p w14:paraId="1EBDA42C" w14:textId="7777777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Thomas Lubanga </w:t>
      </w:r>
      <w:proofErr w:type="spellStart"/>
      <w:r w:rsidRPr="00E76EA2">
        <w:rPr>
          <w:sz w:val="20"/>
          <w:szCs w:val="20"/>
        </w:rPr>
        <w:t>Dyilo</w:t>
      </w:r>
      <w:proofErr w:type="spellEnd"/>
      <w:r w:rsidRPr="00E76EA2">
        <w:rPr>
          <w:sz w:val="20"/>
          <w:szCs w:val="20"/>
        </w:rPr>
        <w:t>, Observations of the V02 group of victims on sentencing and reparations, ICC-01/04-01/06, 18 April 2012.,para 6, p.3-4</w:t>
      </w:r>
    </w:p>
  </w:footnote>
  <w:footnote w:id="972">
    <w:p w14:paraId="6C4FDB90" w14:textId="7777777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973">
    <w:p w14:paraId="4EA70A43" w14:textId="77777777"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Steven Glickman  “Victims’ Justice :Legitimising the Sentencing Regime of the International Criminal Court, (2004) </w:t>
      </w:r>
      <w:r w:rsidRPr="00E76EA2">
        <w:rPr>
          <w:i/>
          <w:sz w:val="20"/>
          <w:szCs w:val="20"/>
        </w:rPr>
        <w:t>43 Columbia Journal of Transnational Law</w:t>
      </w:r>
      <w:r w:rsidRPr="00E76EA2">
        <w:rPr>
          <w:sz w:val="20"/>
          <w:szCs w:val="20"/>
        </w:rPr>
        <w:t xml:space="preserve"> ,229,264.</w:t>
      </w:r>
    </w:p>
  </w:footnote>
  <w:footnote w:id="974">
    <w:p w14:paraId="15C4B24F" w14:textId="7BE836C5"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75">
    <w:p w14:paraId="79419C5B" w14:textId="168A2D83" w:rsidR="00C310AB" w:rsidRPr="00E76EA2" w:rsidRDefault="00C310AB" w:rsidP="0036528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976">
    <w:p w14:paraId="6E134CC6" w14:textId="3451F6EF" w:rsidR="00C310AB" w:rsidRPr="00E76EA2" w:rsidRDefault="00C310AB" w:rsidP="009B437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w:t>
      </w:r>
      <w:proofErr w:type="spellStart"/>
      <w:r w:rsidRPr="00E76EA2">
        <w:rPr>
          <w:sz w:val="20"/>
          <w:szCs w:val="20"/>
        </w:rPr>
        <w:t>Kumarac</w:t>
      </w:r>
      <w:proofErr w:type="spellEnd"/>
      <w:r w:rsidRPr="00E76EA2">
        <w:rPr>
          <w:sz w:val="20"/>
          <w:szCs w:val="20"/>
        </w:rPr>
        <w:t xml:space="preserve">, </w:t>
      </w:r>
      <w:proofErr w:type="spellStart"/>
      <w:r w:rsidRPr="00E76EA2">
        <w:rPr>
          <w:sz w:val="20"/>
          <w:szCs w:val="20"/>
        </w:rPr>
        <w:t>Csae</w:t>
      </w:r>
      <w:proofErr w:type="spellEnd"/>
      <w:r w:rsidRPr="00E76EA2">
        <w:rPr>
          <w:sz w:val="20"/>
          <w:szCs w:val="20"/>
        </w:rPr>
        <w:t xml:space="preserve"> No IT -96-23-T&amp;IT-96-23/1-T, 22 February 2001,pa.847; S</w:t>
      </w:r>
      <w:r w:rsidR="002A226A">
        <w:rPr>
          <w:sz w:val="20"/>
          <w:szCs w:val="20"/>
        </w:rPr>
        <w:t>t</w:t>
      </w:r>
      <w:r w:rsidR="0076154B">
        <w:rPr>
          <w:sz w:val="20"/>
          <w:szCs w:val="20"/>
        </w:rPr>
        <w:t>uart</w:t>
      </w:r>
      <w:r w:rsidRPr="00E76EA2">
        <w:rPr>
          <w:sz w:val="20"/>
          <w:szCs w:val="20"/>
        </w:rPr>
        <w:t xml:space="preserve"> Beresford , “Unshackling the Paper Tiger-the Sentencing Practices of the Ad Hoc International Criminal Tribunals for the Former Yugoslavia and Rwanda (2001) 1 </w:t>
      </w:r>
      <w:r w:rsidRPr="00E76EA2">
        <w:rPr>
          <w:i/>
          <w:sz w:val="20"/>
          <w:szCs w:val="20"/>
        </w:rPr>
        <w:t>International Criminal Law Review,</w:t>
      </w:r>
      <w:r w:rsidRPr="00E76EA2">
        <w:rPr>
          <w:sz w:val="20"/>
          <w:szCs w:val="20"/>
        </w:rPr>
        <w:t>55</w:t>
      </w:r>
    </w:p>
  </w:footnote>
  <w:footnote w:id="977">
    <w:p w14:paraId="75754642" w14:textId="77777777" w:rsidR="00C310AB" w:rsidRPr="00E76EA2" w:rsidRDefault="00C310AB" w:rsidP="009B437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,p.5,para.9.</w:t>
      </w:r>
    </w:p>
  </w:footnote>
  <w:footnote w:id="978">
    <w:p w14:paraId="2F153568" w14:textId="77777777" w:rsidR="00C310AB" w:rsidRPr="00E76EA2" w:rsidRDefault="00C310AB" w:rsidP="00DD29B9">
      <w:pPr>
        <w:pStyle w:val="NoSpacing1"/>
        <w:spacing w:line="276" w:lineRule="auto"/>
        <w:jc w:val="both"/>
        <w:rPr>
          <w:sz w:val="20"/>
          <w:szCs w:val="20"/>
        </w:rPr>
      </w:pPr>
      <w:r w:rsidRPr="00E76EA2">
        <w:rPr>
          <w:rStyle w:val="FootnoteReference"/>
          <w:sz w:val="20"/>
          <w:szCs w:val="20"/>
        </w:rPr>
        <w:footnoteRef/>
      </w:r>
      <w:r w:rsidRPr="00E76EA2">
        <w:rPr>
          <w:sz w:val="20"/>
          <w:szCs w:val="20"/>
        </w:rPr>
        <w:t>ICC-01/04-01/06-2881, para.7;ICC-01/04-01/06-2880, paras 17-21 and ICC-01/04-01/06-2882,Page5</w:t>
      </w:r>
    </w:p>
  </w:footnote>
  <w:footnote w:id="979">
    <w:p w14:paraId="5BAEB21E" w14:textId="59DC0792" w:rsidR="00C310AB" w:rsidRPr="00E76EA2" w:rsidRDefault="00C310AB" w:rsidP="00DD29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ICC-01/04-01/06-2891-Red,paras 86-109</w:t>
      </w:r>
      <w:r w:rsidR="00DD29B9">
        <w:rPr>
          <w:sz w:val="20"/>
          <w:szCs w:val="20"/>
        </w:rPr>
        <w:t>.</w:t>
      </w:r>
    </w:p>
  </w:footnote>
  <w:footnote w:id="980">
    <w:p w14:paraId="57F412D9" w14:textId="133B0283" w:rsidR="00C310AB" w:rsidRPr="00E76EA2" w:rsidRDefault="00C310AB" w:rsidP="00DD29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172</w:t>
      </w:r>
      <w:r w:rsidR="00DD29B9">
        <w:rPr>
          <w:sz w:val="20"/>
          <w:szCs w:val="20"/>
        </w:rPr>
        <w:t>.</w:t>
      </w:r>
    </w:p>
  </w:footnote>
  <w:footnote w:id="981">
    <w:p w14:paraId="4983E287" w14:textId="691B5DC7" w:rsidR="00C310AB" w:rsidRPr="00E76EA2" w:rsidRDefault="00C310AB" w:rsidP="00DD29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Decision on Sentence pursuant to Article 76 of the Statute ,10 July 2012ICC-01/04-01/06-2901,P.30paras.83-89</w:t>
      </w:r>
      <w:r w:rsidR="00DD29B9">
        <w:rPr>
          <w:sz w:val="20"/>
          <w:szCs w:val="20"/>
        </w:rPr>
        <w:t>.</w:t>
      </w:r>
    </w:p>
  </w:footnote>
  <w:footnote w:id="982">
    <w:p w14:paraId="63962AC2" w14:textId="75464D67" w:rsidR="00C310AB" w:rsidRPr="00E76EA2" w:rsidRDefault="00C310AB" w:rsidP="00DD29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T-223-ENG, page 12;13-24;EVD-CHM-00001, Page 3; Expert Report of Ms Schauer(CHM-0001), The Psychological Impact of Child Soldiering , ICC-01/04-01/06-1729-Anx 1(EVD-CHM-00001);Gregoria Suarez , </w:t>
      </w:r>
      <w:proofErr w:type="spellStart"/>
      <w:r w:rsidRPr="00E76EA2">
        <w:rPr>
          <w:sz w:val="20"/>
          <w:szCs w:val="20"/>
        </w:rPr>
        <w:t>Kindersoldaten</w:t>
      </w:r>
      <w:proofErr w:type="spellEnd"/>
      <w:r w:rsidRPr="00E76EA2">
        <w:rPr>
          <w:sz w:val="20"/>
          <w:szCs w:val="20"/>
        </w:rPr>
        <w:t xml:space="preserve"> </w:t>
      </w:r>
      <w:proofErr w:type="spellStart"/>
      <w:r w:rsidRPr="00E76EA2">
        <w:rPr>
          <w:sz w:val="20"/>
          <w:szCs w:val="20"/>
        </w:rPr>
        <w:t>im</w:t>
      </w:r>
      <w:proofErr w:type="spellEnd"/>
      <w:r w:rsidRPr="00E76EA2">
        <w:rPr>
          <w:sz w:val="20"/>
          <w:szCs w:val="20"/>
        </w:rPr>
        <w:t xml:space="preserve"> </w:t>
      </w:r>
      <w:proofErr w:type="spellStart"/>
      <w:r w:rsidRPr="00E76EA2">
        <w:rPr>
          <w:sz w:val="20"/>
          <w:szCs w:val="20"/>
        </w:rPr>
        <w:t>Volgersstarfretch</w:t>
      </w:r>
      <w:proofErr w:type="spellEnd"/>
      <w:r w:rsidRPr="00E76EA2">
        <w:rPr>
          <w:sz w:val="20"/>
          <w:szCs w:val="20"/>
        </w:rPr>
        <w:t xml:space="preserve"> (2009), page 124</w:t>
      </w:r>
      <w:r w:rsidR="00786B5A">
        <w:rPr>
          <w:sz w:val="20"/>
          <w:szCs w:val="20"/>
        </w:rPr>
        <w:t>;</w:t>
      </w:r>
      <w:r w:rsidRPr="00E76EA2">
        <w:rPr>
          <w:sz w:val="20"/>
          <w:szCs w:val="20"/>
        </w:rPr>
        <w:t>Ibid</w:t>
      </w:r>
      <w:r w:rsidR="00786B5A">
        <w:rPr>
          <w:sz w:val="20"/>
          <w:szCs w:val="20"/>
        </w:rPr>
        <w:t>.</w:t>
      </w:r>
    </w:p>
  </w:footnote>
  <w:footnote w:id="983">
    <w:p w14:paraId="12F34CE4" w14:textId="77777777" w:rsidR="00C310AB" w:rsidRPr="00E76EA2" w:rsidRDefault="00C310AB" w:rsidP="00786B5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p.28, para 75</w:t>
      </w:r>
    </w:p>
  </w:footnote>
  <w:footnote w:id="984">
    <w:p w14:paraId="1AD97656" w14:textId="77777777" w:rsidR="00C310AB" w:rsidRPr="00E76EA2" w:rsidRDefault="00C310AB" w:rsidP="00786B5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p.35, 96.</w:t>
      </w:r>
    </w:p>
  </w:footnote>
  <w:footnote w:id="985">
    <w:p w14:paraId="239D7ADD" w14:textId="77777777" w:rsidR="00C310AB" w:rsidRPr="00E76EA2" w:rsidRDefault="00C310AB" w:rsidP="00786B5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Ibid,p.35. </w:t>
      </w:r>
    </w:p>
  </w:footnote>
  <w:footnote w:id="986">
    <w:p w14:paraId="6B7F3DE9" w14:textId="2016CDDA" w:rsidR="00C310AB" w:rsidRPr="00E76EA2" w:rsidRDefault="00C310AB" w:rsidP="00786B5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Lubanga Sentence, paras 25, 29-31 and 34.</w:t>
      </w:r>
    </w:p>
  </w:footnote>
  <w:footnote w:id="987">
    <w:p w14:paraId="6D89F3E5" w14:textId="77777777" w:rsidR="00C310AB" w:rsidRPr="00E76EA2" w:rsidRDefault="00C310AB" w:rsidP="00786B5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Decision on Sentence pursuant to Article 76 of the Statute ,10 July 2012,ICC-01/04-01/06-2901, P.23,Para.55-59</w:t>
      </w:r>
    </w:p>
  </w:footnote>
  <w:footnote w:id="988">
    <w:p w14:paraId="605E7D0B" w14:textId="77777777" w:rsidR="00C310AB" w:rsidRPr="00E76EA2" w:rsidRDefault="00C310AB" w:rsidP="00786B5A">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Lubanga Sentence, paras 60, 75</w:t>
      </w:r>
    </w:p>
  </w:footnote>
  <w:footnote w:id="989">
    <w:p w14:paraId="23EFFBB8" w14:textId="15EF7EB9" w:rsidR="00C310AB" w:rsidRPr="00E76EA2" w:rsidRDefault="00C310AB" w:rsidP="00786B5A">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w:t>
      </w:r>
      <w:proofErr w:type="spellStart"/>
      <w:r w:rsidRPr="00E76EA2">
        <w:rPr>
          <w:sz w:val="20"/>
          <w:szCs w:val="20"/>
          <w:lang w:val="fr-FR"/>
        </w:rPr>
        <w:t>Ibid</w:t>
      </w:r>
      <w:r w:rsidR="00786B5A">
        <w:rPr>
          <w:sz w:val="20"/>
          <w:szCs w:val="20"/>
          <w:lang w:val="fr-FR"/>
        </w:rPr>
        <w:t>,</w:t>
      </w:r>
      <w:r w:rsidRPr="00E76EA2">
        <w:rPr>
          <w:sz w:val="20"/>
          <w:szCs w:val="20"/>
          <w:lang w:val="fr-FR"/>
        </w:rPr>
        <w:t>p</w:t>
      </w:r>
      <w:proofErr w:type="spellEnd"/>
      <w:r w:rsidRPr="00E76EA2">
        <w:rPr>
          <w:sz w:val="20"/>
          <w:szCs w:val="20"/>
          <w:lang w:val="fr-FR"/>
        </w:rPr>
        <w:t xml:space="preserve"> 30, para</w:t>
      </w:r>
      <w:r w:rsidR="00786B5A">
        <w:rPr>
          <w:sz w:val="20"/>
          <w:szCs w:val="20"/>
          <w:lang w:val="fr-FR"/>
        </w:rPr>
        <w:t xml:space="preserve"> </w:t>
      </w:r>
      <w:r w:rsidRPr="00E76EA2">
        <w:rPr>
          <w:sz w:val="20"/>
          <w:szCs w:val="20"/>
          <w:lang w:val="fr-FR"/>
        </w:rPr>
        <w:t>81</w:t>
      </w:r>
    </w:p>
  </w:footnote>
  <w:footnote w:id="990">
    <w:p w14:paraId="2744EAE1" w14:textId="77777777" w:rsidR="00C310AB" w:rsidRPr="00E76EA2" w:rsidRDefault="00C310AB" w:rsidP="00786B5A">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Lubanga Sentence, para 91.</w:t>
      </w:r>
    </w:p>
  </w:footnote>
  <w:footnote w:id="991">
    <w:p w14:paraId="69E68995" w14:textId="1D0AF106" w:rsidR="00C310AB" w:rsidRPr="00E76EA2" w:rsidRDefault="00C310AB" w:rsidP="00DB48D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Decision on Sentence pursuant to Article 76 of the Statute”, ICC-01/04-01/06-2901, para. 107</w:t>
      </w:r>
      <w:r w:rsidR="00DB48D4">
        <w:rPr>
          <w:sz w:val="20"/>
          <w:szCs w:val="20"/>
        </w:rPr>
        <w:t>.</w:t>
      </w:r>
      <w:r w:rsidRPr="00E76EA2">
        <w:rPr>
          <w:sz w:val="20"/>
          <w:szCs w:val="20"/>
        </w:rPr>
        <w:t xml:space="preserve">    </w:t>
      </w:r>
    </w:p>
  </w:footnote>
  <w:footnote w:id="992">
    <w:p w14:paraId="4E7BE2DB" w14:textId="77777777" w:rsidR="00C310AB" w:rsidRPr="00E76EA2" w:rsidRDefault="00C310AB" w:rsidP="0047787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Dissenting Opinion of  Judge Elizabeth </w:t>
      </w:r>
      <w:proofErr w:type="spellStart"/>
      <w:r w:rsidRPr="00E76EA2">
        <w:rPr>
          <w:sz w:val="20"/>
          <w:szCs w:val="20"/>
        </w:rPr>
        <w:t>Odio</w:t>
      </w:r>
      <w:proofErr w:type="spellEnd"/>
      <w:r w:rsidRPr="00E76EA2">
        <w:rPr>
          <w:sz w:val="20"/>
          <w:szCs w:val="20"/>
        </w:rPr>
        <w:t xml:space="preserve"> Benito, para.22,  Ibid ,p.50</w:t>
      </w:r>
    </w:p>
  </w:footnote>
  <w:footnote w:id="993">
    <w:p w14:paraId="01BAD7E9" w14:textId="1B46BFE0" w:rsidR="00C310AB" w:rsidRPr="00E76EA2" w:rsidRDefault="00C310AB" w:rsidP="0047787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477879">
        <w:rPr>
          <w:sz w:val="20"/>
          <w:szCs w:val="20"/>
        </w:rPr>
        <w:t>.</w:t>
      </w:r>
    </w:p>
  </w:footnote>
  <w:footnote w:id="994">
    <w:p w14:paraId="4C38F810" w14:textId="790E6E20" w:rsidR="00C310AB" w:rsidRPr="00E76EA2" w:rsidRDefault="00C310AB" w:rsidP="0047787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EVD-CHM-0001,pages 23-24;T-223-ENG,page 28,line 16 to page 29,line 11; Dissenting Opinion of  Judge Elizabeth </w:t>
      </w:r>
      <w:proofErr w:type="spellStart"/>
      <w:r w:rsidRPr="00E76EA2">
        <w:rPr>
          <w:sz w:val="20"/>
          <w:szCs w:val="20"/>
        </w:rPr>
        <w:t>Odio</w:t>
      </w:r>
      <w:proofErr w:type="spellEnd"/>
      <w:r w:rsidRPr="00E76EA2">
        <w:rPr>
          <w:sz w:val="20"/>
          <w:szCs w:val="20"/>
        </w:rPr>
        <w:t xml:space="preserve"> Benito, para.22,  Ibid ,p.50</w:t>
      </w:r>
    </w:p>
  </w:footnote>
  <w:footnote w:id="995">
    <w:p w14:paraId="736597FF" w14:textId="384A73BC" w:rsidR="00C310AB" w:rsidRPr="00E76EA2" w:rsidRDefault="00C310AB" w:rsidP="0047787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143,p.51,para 25,lines7-9.; Dissenting Opinion of  Judge Elizabeth </w:t>
      </w:r>
      <w:proofErr w:type="spellStart"/>
      <w:r w:rsidRPr="00E76EA2">
        <w:rPr>
          <w:sz w:val="20"/>
          <w:szCs w:val="20"/>
        </w:rPr>
        <w:t>Odio</w:t>
      </w:r>
      <w:proofErr w:type="spellEnd"/>
      <w:r w:rsidRPr="00E76EA2">
        <w:rPr>
          <w:sz w:val="20"/>
          <w:szCs w:val="20"/>
        </w:rPr>
        <w:t xml:space="preserve"> Benito, para.22,  Ibid 353,p.50</w:t>
      </w:r>
      <w:r w:rsidR="00477879">
        <w:rPr>
          <w:sz w:val="20"/>
          <w:szCs w:val="20"/>
        </w:rPr>
        <w:t>.</w:t>
      </w:r>
    </w:p>
  </w:footnote>
  <w:footnote w:id="996">
    <w:p w14:paraId="23A88A29" w14:textId="53EFF9AE" w:rsidR="00C310AB" w:rsidRPr="00E76EA2" w:rsidRDefault="00C310AB" w:rsidP="0047787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Dissenting Opinion of Judge </w:t>
      </w:r>
      <w:proofErr w:type="spellStart"/>
      <w:r w:rsidRPr="00E76EA2">
        <w:rPr>
          <w:sz w:val="20"/>
          <w:szCs w:val="20"/>
        </w:rPr>
        <w:t>Odio</w:t>
      </w:r>
      <w:proofErr w:type="spellEnd"/>
      <w:r w:rsidRPr="00E76EA2">
        <w:rPr>
          <w:sz w:val="20"/>
          <w:szCs w:val="20"/>
        </w:rPr>
        <w:t xml:space="preserve"> Benito, p.41, para.2, lines 1-4</w:t>
      </w:r>
      <w:r w:rsidR="00477879">
        <w:rPr>
          <w:sz w:val="20"/>
          <w:szCs w:val="20"/>
        </w:rPr>
        <w:t>.</w:t>
      </w:r>
    </w:p>
  </w:footnote>
  <w:footnote w:id="997">
    <w:p w14:paraId="13C9083C" w14:textId="5162F5E4" w:rsidR="00C310AB" w:rsidRPr="00E76EA2" w:rsidRDefault="00C310AB" w:rsidP="009E42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Dissenting Opinion of Judge Benito </w:t>
      </w:r>
      <w:proofErr w:type="spellStart"/>
      <w:r w:rsidRPr="00E76EA2">
        <w:rPr>
          <w:sz w:val="20"/>
          <w:szCs w:val="20"/>
        </w:rPr>
        <w:t>Odio</w:t>
      </w:r>
      <w:proofErr w:type="spellEnd"/>
      <w:r w:rsidRPr="00E76EA2">
        <w:rPr>
          <w:sz w:val="20"/>
          <w:szCs w:val="20"/>
        </w:rPr>
        <w:t>, p.49,Ibid, p.42, para</w:t>
      </w:r>
      <w:r w:rsidR="009E420E">
        <w:rPr>
          <w:sz w:val="20"/>
          <w:szCs w:val="20"/>
        </w:rPr>
        <w:t xml:space="preserve"> </w:t>
      </w:r>
      <w:r w:rsidRPr="00E76EA2">
        <w:rPr>
          <w:sz w:val="20"/>
          <w:szCs w:val="20"/>
        </w:rPr>
        <w:t>4</w:t>
      </w:r>
      <w:r w:rsidR="00477879">
        <w:rPr>
          <w:sz w:val="20"/>
          <w:szCs w:val="20"/>
        </w:rPr>
        <w:t>.</w:t>
      </w:r>
    </w:p>
  </w:footnote>
  <w:footnote w:id="998">
    <w:p w14:paraId="224DA843" w14:textId="5EA366F8" w:rsidR="00C310AB" w:rsidRPr="00E76EA2" w:rsidRDefault="00C310AB" w:rsidP="009E42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p.42, para 5</w:t>
      </w:r>
      <w:r w:rsidR="00477879">
        <w:rPr>
          <w:sz w:val="20"/>
          <w:szCs w:val="20"/>
        </w:rPr>
        <w:t>.</w:t>
      </w:r>
    </w:p>
  </w:footnote>
  <w:footnote w:id="999">
    <w:p w14:paraId="183CCA3D" w14:textId="75273B51" w:rsidR="00C310AB" w:rsidRPr="00E76EA2" w:rsidRDefault="00C310AB" w:rsidP="009E42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Ibid,p.42, para 42</w:t>
      </w:r>
      <w:r w:rsidR="00477879">
        <w:rPr>
          <w:sz w:val="20"/>
          <w:szCs w:val="20"/>
        </w:rPr>
        <w:t>.</w:t>
      </w:r>
    </w:p>
  </w:footnote>
  <w:footnote w:id="1000">
    <w:p w14:paraId="6F274CF7" w14:textId="7D1B9B77" w:rsidR="00C310AB" w:rsidRPr="00E76EA2" w:rsidRDefault="00C310AB" w:rsidP="009E42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143</w:t>
      </w:r>
      <w:r w:rsidR="00477879">
        <w:rPr>
          <w:sz w:val="20"/>
          <w:szCs w:val="20"/>
        </w:rPr>
        <w:t>.</w:t>
      </w:r>
    </w:p>
  </w:footnote>
  <w:footnote w:id="1001">
    <w:p w14:paraId="63C1DCA5" w14:textId="77777777" w:rsidR="00C310AB" w:rsidRPr="00E76EA2" w:rsidRDefault="00C310AB" w:rsidP="009E42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143,p.51 p.26, lines 2-8.</w:t>
      </w:r>
    </w:p>
  </w:footnote>
  <w:footnote w:id="1002">
    <w:p w14:paraId="1F3A881A" w14:textId="5A61B78A" w:rsidR="00C310AB" w:rsidRPr="00E76EA2" w:rsidRDefault="00C310AB" w:rsidP="009E420E">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143, p.52, para 27, lines 1-2</w:t>
      </w:r>
      <w:r w:rsidR="009E420E">
        <w:rPr>
          <w:sz w:val="20"/>
          <w:szCs w:val="20"/>
        </w:rPr>
        <w:t>.</w:t>
      </w:r>
    </w:p>
  </w:footnote>
  <w:footnote w:id="1003">
    <w:p w14:paraId="2383FEFA" w14:textId="77777777"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110(3).</w:t>
      </w:r>
    </w:p>
  </w:footnote>
  <w:footnote w:id="1004">
    <w:p w14:paraId="19D972C5" w14:textId="77777777"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Lubanga, Observations of the V01 group of victims on the possible review of Mr Thomas Lubanga </w:t>
      </w:r>
      <w:proofErr w:type="spellStart"/>
      <w:r w:rsidRPr="00E76EA2">
        <w:rPr>
          <w:sz w:val="20"/>
          <w:szCs w:val="20"/>
        </w:rPr>
        <w:t>Dyilo</w:t>
      </w:r>
      <w:proofErr w:type="spellEnd"/>
      <w:r w:rsidRPr="00E76EA2">
        <w:rPr>
          <w:sz w:val="20"/>
          <w:szCs w:val="20"/>
        </w:rPr>
        <w:t>’ sentence, ICC-01/04-01/06-3149-tENG, 10 July 2015,p3,para3,lines 1-3</w:t>
      </w:r>
    </w:p>
  </w:footnote>
  <w:footnote w:id="1005">
    <w:p w14:paraId="4614C103" w14:textId="5443C33E"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9E420E">
        <w:rPr>
          <w:sz w:val="20"/>
          <w:szCs w:val="20"/>
        </w:rPr>
        <w:t>.</w:t>
      </w:r>
    </w:p>
  </w:footnote>
  <w:footnote w:id="1006">
    <w:p w14:paraId="253D7AF1" w14:textId="7C3B8A34"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Hutchinson v. The United Kingdom, ECHR 021 [2016], Grand Chamber judgments</w:t>
      </w:r>
      <w:r w:rsidR="00A80666">
        <w:rPr>
          <w:sz w:val="20"/>
          <w:szCs w:val="20"/>
        </w:rPr>
        <w:t>.</w:t>
      </w:r>
    </w:p>
  </w:footnote>
  <w:footnote w:id="1007">
    <w:p w14:paraId="42A223C7" w14:textId="77777777"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Sarah Welch, Reviewing Leniency :Appealability of 18 USC &amp; 3582©(2) Sentence Modification Motions (2018) 85(5) </w:t>
      </w:r>
      <w:r w:rsidRPr="00E76EA2">
        <w:rPr>
          <w:i/>
          <w:sz w:val="20"/>
          <w:szCs w:val="20"/>
        </w:rPr>
        <w:t>The University of Chicago Law Review</w:t>
      </w:r>
      <w:r w:rsidRPr="00E76EA2">
        <w:rPr>
          <w:sz w:val="20"/>
          <w:szCs w:val="20"/>
        </w:rPr>
        <w:t>, 1269-1311.</w:t>
      </w:r>
      <w:r w:rsidRPr="00E76EA2">
        <w:rPr>
          <w:i/>
          <w:sz w:val="20"/>
          <w:szCs w:val="20"/>
        </w:rPr>
        <w:t xml:space="preserve"> </w:t>
      </w:r>
    </w:p>
  </w:footnote>
  <w:footnote w:id="1008">
    <w:p w14:paraId="614353EB" w14:textId="2F863C1F"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Adrian Hole, “The Sentencing Provisions of the International Criminal Court” (2005) 1(1)</w:t>
      </w:r>
      <w:r w:rsidRPr="00E76EA2">
        <w:rPr>
          <w:i/>
          <w:sz w:val="20"/>
          <w:szCs w:val="20"/>
        </w:rPr>
        <w:t xml:space="preserve">  International Journal of</w:t>
      </w:r>
      <w:r w:rsidRPr="00A80666">
        <w:rPr>
          <w:i/>
          <w:iCs/>
          <w:sz w:val="20"/>
          <w:szCs w:val="20"/>
        </w:rPr>
        <w:t xml:space="preserve"> Punishment</w:t>
      </w:r>
      <w:r w:rsidRPr="00E76EA2">
        <w:rPr>
          <w:i/>
          <w:sz w:val="20"/>
          <w:szCs w:val="20"/>
        </w:rPr>
        <w:t xml:space="preserve"> and Sentencing</w:t>
      </w:r>
      <w:r w:rsidRPr="00E76EA2">
        <w:rPr>
          <w:sz w:val="20"/>
          <w:szCs w:val="20"/>
        </w:rPr>
        <w:t>, 37-69</w:t>
      </w:r>
      <w:r w:rsidR="00A80666">
        <w:rPr>
          <w:sz w:val="20"/>
          <w:szCs w:val="20"/>
        </w:rPr>
        <w:t>.</w:t>
      </w:r>
    </w:p>
  </w:footnote>
  <w:footnote w:id="1009">
    <w:p w14:paraId="6EF75B46" w14:textId="7EC15480"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ICC-01/04-01/06-3346 07-08-2017 1/5 NM RW</w:t>
      </w:r>
      <w:r w:rsidR="00A80666">
        <w:rPr>
          <w:sz w:val="20"/>
          <w:szCs w:val="20"/>
        </w:rPr>
        <w:t>.</w:t>
      </w:r>
    </w:p>
  </w:footnote>
  <w:footnote w:id="1010">
    <w:p w14:paraId="227584C4" w14:textId="59D3B4E9" w:rsidR="00C310AB" w:rsidRPr="00E76EA2" w:rsidRDefault="00C310AB" w:rsidP="00A8066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Lubanga </w:t>
      </w:r>
      <w:proofErr w:type="spellStart"/>
      <w:r w:rsidRPr="00E76EA2">
        <w:rPr>
          <w:sz w:val="20"/>
          <w:szCs w:val="20"/>
        </w:rPr>
        <w:t>Dyilo</w:t>
      </w:r>
      <w:proofErr w:type="spellEnd"/>
      <w:r w:rsidRPr="00E76EA2">
        <w:rPr>
          <w:sz w:val="20"/>
          <w:szCs w:val="20"/>
        </w:rPr>
        <w:t xml:space="preserve"> , Observations of the V01 Group of victims on the possible  review Mr Thomas Lubanga </w:t>
      </w:r>
      <w:proofErr w:type="spellStart"/>
      <w:r w:rsidRPr="00E76EA2">
        <w:rPr>
          <w:sz w:val="20"/>
          <w:szCs w:val="20"/>
        </w:rPr>
        <w:t>Dyilo’s</w:t>
      </w:r>
      <w:proofErr w:type="spellEnd"/>
      <w:r w:rsidRPr="00E76EA2">
        <w:rPr>
          <w:sz w:val="20"/>
          <w:szCs w:val="20"/>
        </w:rPr>
        <w:t xml:space="preserve"> Sentence ,ICC-01/04-01/06-3149-Teng, 31 July 2015,P.3,para 3</w:t>
      </w:r>
      <w:r w:rsidR="00A80666">
        <w:rPr>
          <w:sz w:val="20"/>
          <w:szCs w:val="20"/>
        </w:rPr>
        <w:t>.</w:t>
      </w:r>
    </w:p>
  </w:footnote>
  <w:footnote w:id="1011">
    <w:p w14:paraId="08F5E34B" w14:textId="29D0415D"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The Prosecutor v Lubanga </w:t>
      </w:r>
      <w:proofErr w:type="spellStart"/>
      <w:r w:rsidRPr="00E76EA2">
        <w:rPr>
          <w:sz w:val="20"/>
          <w:szCs w:val="20"/>
        </w:rPr>
        <w:t>Dyilo</w:t>
      </w:r>
      <w:proofErr w:type="spellEnd"/>
      <w:r w:rsidRPr="00E76EA2">
        <w:rPr>
          <w:sz w:val="20"/>
          <w:szCs w:val="20"/>
        </w:rPr>
        <w:t xml:space="preserve">, Observations of the V01 Group of Victims on the Possibility of Review of Mr Thomas Lubanga </w:t>
      </w:r>
      <w:proofErr w:type="spellStart"/>
      <w:r w:rsidRPr="00E76EA2">
        <w:rPr>
          <w:sz w:val="20"/>
          <w:szCs w:val="20"/>
        </w:rPr>
        <w:t>Dyilo’s</w:t>
      </w:r>
      <w:proofErr w:type="spellEnd"/>
      <w:r w:rsidRPr="00E76EA2">
        <w:rPr>
          <w:sz w:val="20"/>
          <w:szCs w:val="20"/>
        </w:rPr>
        <w:t xml:space="preserve"> Sentence  With Two Annexes ICC-01/04-01/06-3366 14 September 2017,p.9</w:t>
      </w:r>
      <w:r w:rsidR="00A80666">
        <w:rPr>
          <w:sz w:val="20"/>
          <w:szCs w:val="20"/>
        </w:rPr>
        <w:t>.</w:t>
      </w:r>
    </w:p>
  </w:footnote>
  <w:footnote w:id="1012">
    <w:p w14:paraId="71C1979D" w14:textId="20ED12A7"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 , p.4,para 7.lines 1-3</w:t>
      </w:r>
    </w:p>
  </w:footnote>
  <w:footnote w:id="1013">
    <w:p w14:paraId="2AE25C8B" w14:textId="09A68E71"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ICC-01/04-01/06-3149-Teng 31-07-2015</w:t>
      </w:r>
      <w:r w:rsidR="00A80666">
        <w:rPr>
          <w:sz w:val="20"/>
          <w:szCs w:val="20"/>
        </w:rPr>
        <w:t>,p</w:t>
      </w:r>
      <w:r w:rsidRPr="00E76EA2">
        <w:rPr>
          <w:sz w:val="20"/>
          <w:szCs w:val="20"/>
        </w:rPr>
        <w:t>.5, para10</w:t>
      </w:r>
      <w:r w:rsidR="00A80666">
        <w:rPr>
          <w:sz w:val="20"/>
          <w:szCs w:val="20"/>
        </w:rPr>
        <w:t>.</w:t>
      </w:r>
    </w:p>
  </w:footnote>
  <w:footnote w:id="1014">
    <w:p w14:paraId="490519BC" w14:textId="55B344BD" w:rsidR="00C310AB" w:rsidRPr="00E76EA2" w:rsidRDefault="00C310AB" w:rsidP="00E76EA2">
      <w:pPr>
        <w:pStyle w:val="NoSpacing1"/>
        <w:rPr>
          <w:sz w:val="20"/>
          <w:szCs w:val="20"/>
        </w:rPr>
      </w:pPr>
      <w:r w:rsidRPr="00E76EA2">
        <w:rPr>
          <w:rStyle w:val="FootnoteReference"/>
          <w:sz w:val="20"/>
          <w:szCs w:val="20"/>
        </w:rPr>
        <w:footnoteRef/>
      </w:r>
      <w:r w:rsidRPr="00E76EA2">
        <w:rPr>
          <w:sz w:val="20"/>
          <w:szCs w:val="20"/>
        </w:rPr>
        <w:t xml:space="preserve"> Ibid 176,p.5,para 9</w:t>
      </w:r>
      <w:r w:rsidR="00A80666">
        <w:rPr>
          <w:sz w:val="20"/>
          <w:szCs w:val="20"/>
        </w:rPr>
        <w:t>.</w:t>
      </w:r>
    </w:p>
  </w:footnote>
  <w:footnote w:id="1015">
    <w:p w14:paraId="63B927F2" w14:textId="77777777" w:rsidR="00C310AB" w:rsidRPr="00E76EA2" w:rsidRDefault="00C310AB" w:rsidP="005C59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 5, para 12</w:t>
      </w:r>
    </w:p>
  </w:footnote>
  <w:footnote w:id="1016">
    <w:p w14:paraId="46F9CF58" w14:textId="697138DB" w:rsidR="00C310AB" w:rsidRPr="00E76EA2" w:rsidRDefault="00C310AB" w:rsidP="005C59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017">
    <w:p w14:paraId="513E6945" w14:textId="51BDA206" w:rsidR="00C310AB" w:rsidRPr="00E76EA2" w:rsidRDefault="00C310AB" w:rsidP="005C59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V91,para12</w:t>
      </w:r>
      <w:r w:rsidR="005C59F6">
        <w:rPr>
          <w:sz w:val="20"/>
          <w:szCs w:val="20"/>
        </w:rPr>
        <w:t>.</w:t>
      </w:r>
    </w:p>
  </w:footnote>
  <w:footnote w:id="1018">
    <w:p w14:paraId="62596DA8" w14:textId="6A9F7B23" w:rsidR="00C310AB" w:rsidRPr="00E76EA2" w:rsidRDefault="00C310AB" w:rsidP="005C59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of Victims V02, paras 11-12</w:t>
      </w:r>
      <w:r w:rsidR="005C59F6">
        <w:rPr>
          <w:sz w:val="20"/>
          <w:szCs w:val="20"/>
        </w:rPr>
        <w:t>.</w:t>
      </w:r>
    </w:p>
  </w:footnote>
  <w:footnote w:id="1019">
    <w:p w14:paraId="1BD0ADF6" w14:textId="77777777" w:rsidR="00C310AB" w:rsidRPr="00E76EA2" w:rsidRDefault="00C310AB" w:rsidP="005C59F6">
      <w:pPr>
        <w:pStyle w:val="NoSpacing1"/>
        <w:spacing w:line="276" w:lineRule="auto"/>
        <w:jc w:val="both"/>
        <w:rPr>
          <w:sz w:val="20"/>
          <w:szCs w:val="20"/>
        </w:rPr>
      </w:pPr>
      <w:r w:rsidRPr="00E76EA2">
        <w:rPr>
          <w:rStyle w:val="FootnoteReference"/>
          <w:sz w:val="20"/>
          <w:szCs w:val="20"/>
        </w:rPr>
        <w:footnoteRef/>
      </w:r>
      <w:r w:rsidRPr="00E76EA2">
        <w:rPr>
          <w:sz w:val="20"/>
          <w:szCs w:val="20"/>
        </w:rPr>
        <w:t>Observations of Legal Representatives of Victims V01, para.19; Observations of Legal Representatives of Victims  V02, para 18,25. Ibid 176, p.9, ICC-01/04-01/06 14 September 2017.</w:t>
      </w:r>
    </w:p>
  </w:footnote>
  <w:footnote w:id="1020">
    <w:p w14:paraId="50C07968" w14:textId="5BB2B417" w:rsidR="00C310AB" w:rsidRPr="00E76EA2" w:rsidRDefault="00C310AB" w:rsidP="005C59F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Lubanga  First Sentence Review Decision, 177,p</w:t>
      </w:r>
      <w:r w:rsidR="005C59F6">
        <w:rPr>
          <w:sz w:val="20"/>
          <w:szCs w:val="20"/>
        </w:rPr>
        <w:t xml:space="preserve"> </w:t>
      </w:r>
      <w:r w:rsidRPr="00E76EA2">
        <w:rPr>
          <w:sz w:val="20"/>
          <w:szCs w:val="20"/>
        </w:rPr>
        <w:t>4</w:t>
      </w:r>
      <w:r w:rsidR="005C59F6">
        <w:rPr>
          <w:sz w:val="20"/>
          <w:szCs w:val="20"/>
        </w:rPr>
        <w:t>.</w:t>
      </w:r>
    </w:p>
  </w:footnote>
  <w:footnote w:id="1021">
    <w:p w14:paraId="02FE7914" w14:textId="77777777" w:rsidR="00C310AB" w:rsidRPr="00E76EA2" w:rsidRDefault="00C310AB" w:rsidP="00AA64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Thomas Lubanga </w:t>
      </w:r>
      <w:proofErr w:type="spellStart"/>
      <w:r w:rsidRPr="00E76EA2">
        <w:rPr>
          <w:sz w:val="20"/>
          <w:szCs w:val="20"/>
        </w:rPr>
        <w:t>Dyilo</w:t>
      </w:r>
      <w:proofErr w:type="spellEnd"/>
      <w:r w:rsidRPr="00E76EA2">
        <w:rPr>
          <w:sz w:val="20"/>
          <w:szCs w:val="20"/>
        </w:rPr>
        <w:t xml:space="preserve">, Decision on the Review concerning reduction of sentence of Mr Thomas Lubanga </w:t>
      </w:r>
      <w:proofErr w:type="spellStart"/>
      <w:r w:rsidRPr="00E76EA2">
        <w:rPr>
          <w:sz w:val="20"/>
          <w:szCs w:val="20"/>
        </w:rPr>
        <w:t>Dyilo</w:t>
      </w:r>
      <w:proofErr w:type="spellEnd"/>
      <w:r w:rsidRPr="00E76EA2">
        <w:rPr>
          <w:sz w:val="20"/>
          <w:szCs w:val="20"/>
        </w:rPr>
        <w:t>, ICC-01/04/01/06,22 September 2015, p.3</w:t>
      </w:r>
    </w:p>
  </w:footnote>
  <w:footnote w:id="1022">
    <w:p w14:paraId="7777B620" w14:textId="77777777" w:rsidR="00C310AB" w:rsidRPr="00E76EA2" w:rsidRDefault="00C310AB" w:rsidP="00AA64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1023">
    <w:p w14:paraId="4692DCDE" w14:textId="77777777" w:rsidR="00C310AB" w:rsidRPr="00E76EA2" w:rsidRDefault="00C310AB" w:rsidP="00AA64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Stephanos </w:t>
      </w:r>
      <w:proofErr w:type="spellStart"/>
      <w:r w:rsidRPr="00E76EA2">
        <w:rPr>
          <w:sz w:val="20"/>
          <w:szCs w:val="20"/>
        </w:rPr>
        <w:t>Bibas</w:t>
      </w:r>
      <w:proofErr w:type="spellEnd"/>
      <w:r w:rsidRPr="00E76EA2">
        <w:rPr>
          <w:sz w:val="20"/>
          <w:szCs w:val="20"/>
        </w:rPr>
        <w:t xml:space="preserve"> and Richard </w:t>
      </w:r>
      <w:proofErr w:type="spellStart"/>
      <w:r w:rsidRPr="00E76EA2">
        <w:rPr>
          <w:sz w:val="20"/>
          <w:szCs w:val="20"/>
        </w:rPr>
        <w:t>A.Bierschbach</w:t>
      </w:r>
      <w:proofErr w:type="spellEnd"/>
      <w:r w:rsidRPr="00E76EA2">
        <w:rPr>
          <w:sz w:val="20"/>
          <w:szCs w:val="20"/>
        </w:rPr>
        <w:t xml:space="preserve"> ‘Integrating Remorse and Apology into Criminal Procedure’ (2004) 114 </w:t>
      </w:r>
      <w:r w:rsidRPr="00E76EA2">
        <w:rPr>
          <w:i/>
          <w:sz w:val="20"/>
          <w:szCs w:val="20"/>
        </w:rPr>
        <w:t>Yale Law Journal</w:t>
      </w:r>
      <w:r w:rsidRPr="00E76EA2">
        <w:rPr>
          <w:sz w:val="20"/>
          <w:szCs w:val="20"/>
        </w:rPr>
        <w:t xml:space="preserve"> 85.</w:t>
      </w:r>
    </w:p>
  </w:footnote>
  <w:footnote w:id="1024">
    <w:p w14:paraId="0B300924" w14:textId="77777777" w:rsidR="00C310AB" w:rsidRPr="00E76EA2" w:rsidRDefault="00C310AB" w:rsidP="00AA64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xml:space="preserve">, Second Decision on the review concerning reduction of sentence of Mr Thomas Lubanga </w:t>
      </w:r>
      <w:proofErr w:type="spellStart"/>
      <w:r w:rsidRPr="00E76EA2">
        <w:rPr>
          <w:sz w:val="20"/>
          <w:szCs w:val="20"/>
        </w:rPr>
        <w:t>Dyilo</w:t>
      </w:r>
      <w:proofErr w:type="spellEnd"/>
      <w:r w:rsidRPr="00E76EA2">
        <w:rPr>
          <w:sz w:val="20"/>
          <w:szCs w:val="20"/>
        </w:rPr>
        <w:t>, ICC-01/04-01/06-3375 03-11-2017,P.6, para.11;Observations of Legal Representatives of victims V01, PARA.19;Observations of Legal Representatives , paras 18, 25</w:t>
      </w:r>
    </w:p>
  </w:footnote>
  <w:footnote w:id="1025">
    <w:p w14:paraId="393B6DB6" w14:textId="027C2E02" w:rsidR="00C310AB" w:rsidRPr="00E76EA2" w:rsidRDefault="00C310AB" w:rsidP="00AA642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of Victims V01 ,para.16.</w:t>
      </w:r>
    </w:p>
  </w:footnote>
  <w:footnote w:id="1026">
    <w:p w14:paraId="4CDB7169" w14:textId="77777777"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of victims, para 16.</w:t>
      </w:r>
    </w:p>
  </w:footnote>
  <w:footnote w:id="1027">
    <w:p w14:paraId="199A9FFD" w14:textId="77777777"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of V01 , par 17.</w:t>
      </w:r>
    </w:p>
  </w:footnote>
  <w:footnote w:id="1028">
    <w:p w14:paraId="5BF87464" w14:textId="77777777"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V01, para 19. </w:t>
      </w:r>
    </w:p>
  </w:footnote>
  <w:footnote w:id="1029">
    <w:p w14:paraId="6596051B" w14:textId="77777777"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of Victims V01, par 19.</w:t>
      </w:r>
    </w:p>
  </w:footnote>
  <w:footnote w:id="1030">
    <w:p w14:paraId="474EC269" w14:textId="77777777"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of Victims V02, para.18.</w:t>
      </w:r>
    </w:p>
  </w:footnote>
  <w:footnote w:id="1031">
    <w:p w14:paraId="33851BAC" w14:textId="54070420"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Prosecutor’s Second Observations ,para 8.</w:t>
      </w:r>
    </w:p>
  </w:footnote>
  <w:footnote w:id="1032">
    <w:p w14:paraId="1483740C" w14:textId="179897DF"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033">
    <w:p w14:paraId="1207ACAE" w14:textId="77777777"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OPCV Second Observations ,para.9</w:t>
      </w:r>
    </w:p>
  </w:footnote>
  <w:footnote w:id="1034">
    <w:p w14:paraId="4B784B27" w14:textId="77777777"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Defence Second Observations, para 22.</w:t>
      </w:r>
    </w:p>
  </w:footnote>
  <w:footnote w:id="1035">
    <w:p w14:paraId="60E7FCFE" w14:textId="5DDB994E" w:rsidR="00C310AB" w:rsidRPr="00E76EA2" w:rsidRDefault="00C310AB" w:rsidP="005857D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Defence Second Observations, paras 24-27.; Second Decision on the Review concerning reduction of sentence of Mr Thomas Lubanga  </w:t>
      </w:r>
      <w:proofErr w:type="spellStart"/>
      <w:r w:rsidRPr="00E76EA2">
        <w:rPr>
          <w:sz w:val="20"/>
          <w:szCs w:val="20"/>
        </w:rPr>
        <w:t>Dyilo</w:t>
      </w:r>
      <w:proofErr w:type="spellEnd"/>
      <w:r w:rsidRPr="00E76EA2">
        <w:rPr>
          <w:sz w:val="20"/>
          <w:szCs w:val="20"/>
        </w:rPr>
        <w:t>, para 2.</w:t>
      </w:r>
    </w:p>
  </w:footnote>
  <w:footnote w:id="1036">
    <w:p w14:paraId="6F5F6FF3" w14:textId="4C9520F9"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Decision on the Review concerning reduction of sentence of Mr Thomas Lubanga  </w:t>
      </w:r>
      <w:proofErr w:type="spellStart"/>
      <w:r w:rsidRPr="00E76EA2">
        <w:rPr>
          <w:sz w:val="20"/>
          <w:szCs w:val="20"/>
        </w:rPr>
        <w:t>Dyilo</w:t>
      </w:r>
      <w:proofErr w:type="spellEnd"/>
      <w:r w:rsidRPr="00E76EA2">
        <w:rPr>
          <w:sz w:val="20"/>
          <w:szCs w:val="20"/>
        </w:rPr>
        <w:t xml:space="preserve"> P.9 Para.20.</w:t>
      </w:r>
    </w:p>
  </w:footnote>
  <w:footnote w:id="1037">
    <w:p w14:paraId="3B56A115" w14:textId="6A4614A0"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para.32.</w:t>
      </w:r>
    </w:p>
  </w:footnote>
  <w:footnote w:id="1038">
    <w:p w14:paraId="056E7A60" w14:textId="03CCCB89"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The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xml:space="preserve">, Situation in the Democratic Republic Of Congo, Scheduling Order for  the second review concerning reduction of sentence of Mr Thomas Lubanga </w:t>
      </w:r>
      <w:proofErr w:type="spellStart"/>
      <w:r w:rsidRPr="00E76EA2">
        <w:rPr>
          <w:sz w:val="20"/>
          <w:szCs w:val="20"/>
        </w:rPr>
        <w:t>Dyilo</w:t>
      </w:r>
      <w:proofErr w:type="spellEnd"/>
      <w:r w:rsidRPr="00E76EA2">
        <w:rPr>
          <w:sz w:val="20"/>
          <w:szCs w:val="20"/>
        </w:rPr>
        <w:t xml:space="preserve"> ,ICC-01/04-01/06-3346 07-08-2017,.P3.</w:t>
      </w:r>
    </w:p>
  </w:footnote>
  <w:footnote w:id="1039">
    <w:p w14:paraId="7A595CE2" w14:textId="15E1BA25"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p.4 para 1; regulation 33(1)(d</w:t>
      </w:r>
      <w:r w:rsidR="00620514">
        <w:rPr>
          <w:sz w:val="20"/>
          <w:szCs w:val="20"/>
        </w:rPr>
        <w:t>)</w:t>
      </w:r>
    </w:p>
  </w:footnote>
  <w:footnote w:id="1040">
    <w:p w14:paraId="514D4A27" w14:textId="0FAECE4C"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 2.</w:t>
      </w:r>
    </w:p>
  </w:footnote>
  <w:footnote w:id="1041">
    <w:p w14:paraId="55078634" w14:textId="77777777"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193;Observations of Legal Representatives of Victims V01, para.15,11.</w:t>
      </w:r>
    </w:p>
  </w:footnote>
  <w:footnote w:id="1042">
    <w:p w14:paraId="1CB4689C" w14:textId="6B1E113E"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 39; Observations of Legal Representatives of Victims V01,para.12</w:t>
      </w:r>
      <w:r w:rsidR="00620514">
        <w:rPr>
          <w:sz w:val="20"/>
          <w:szCs w:val="20"/>
        </w:rPr>
        <w:t>.</w:t>
      </w:r>
    </w:p>
  </w:footnote>
  <w:footnote w:id="1043">
    <w:p w14:paraId="501DFBD7" w14:textId="6ECC9852"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620514">
        <w:rPr>
          <w:sz w:val="20"/>
          <w:szCs w:val="20"/>
        </w:rPr>
        <w:t>.</w:t>
      </w:r>
    </w:p>
  </w:footnote>
  <w:footnote w:id="1044">
    <w:p w14:paraId="295358C6" w14:textId="7B886F2E"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Ibid,p.20, para 69;Observations of Legal of Victims V01, Para.9</w:t>
      </w:r>
      <w:r w:rsidR="00620514">
        <w:rPr>
          <w:sz w:val="20"/>
          <w:szCs w:val="20"/>
        </w:rPr>
        <w:t>.</w:t>
      </w:r>
    </w:p>
  </w:footnote>
  <w:footnote w:id="1045">
    <w:p w14:paraId="7D816C75" w14:textId="3C1E3B10" w:rsidR="00C310AB" w:rsidRPr="00E76EA2" w:rsidRDefault="00C310AB" w:rsidP="0062051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 40;Obseravtions of Legal Representatives of Victims V02, paras 11-12</w:t>
      </w:r>
      <w:r w:rsidR="00620514">
        <w:rPr>
          <w:sz w:val="20"/>
          <w:szCs w:val="20"/>
        </w:rPr>
        <w:t>.</w:t>
      </w:r>
    </w:p>
  </w:footnote>
  <w:footnote w:id="1046">
    <w:p w14:paraId="692ABE1C" w14:textId="77777777" w:rsidR="00C310AB" w:rsidRPr="00E76EA2" w:rsidRDefault="00C310AB" w:rsidP="007615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Legal Representatives of Victims V02,para.19.</w:t>
      </w:r>
    </w:p>
  </w:footnote>
  <w:footnote w:id="1047">
    <w:p w14:paraId="27CC30E2" w14:textId="3E13ABCC" w:rsidR="00C310AB" w:rsidRPr="00E76EA2" w:rsidRDefault="00C310AB" w:rsidP="007615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193, p.22,para.80;Observations of Legal Representatives V02, para.23</w:t>
      </w:r>
      <w:r w:rsidR="00DA11E2">
        <w:rPr>
          <w:sz w:val="20"/>
          <w:szCs w:val="20"/>
        </w:rPr>
        <w:t>.</w:t>
      </w:r>
    </w:p>
  </w:footnote>
  <w:footnote w:id="1048">
    <w:p w14:paraId="5F7C197A" w14:textId="77777777" w:rsidR="00C310AB" w:rsidRPr="00E76EA2" w:rsidRDefault="00C310AB" w:rsidP="007615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193.</w:t>
      </w:r>
    </w:p>
  </w:footnote>
  <w:footnote w:id="1049">
    <w:p w14:paraId="56860133" w14:textId="01BCABB3" w:rsidR="00C310AB" w:rsidRPr="00E76EA2" w:rsidRDefault="00C310AB" w:rsidP="007615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p.26,para.95; The case of Prosecutor </w:t>
      </w:r>
      <w:proofErr w:type="spellStart"/>
      <w:r w:rsidRPr="00E76EA2">
        <w:rPr>
          <w:sz w:val="20"/>
          <w:szCs w:val="20"/>
        </w:rPr>
        <w:t>v.Thomas</w:t>
      </w:r>
      <w:proofErr w:type="spellEnd"/>
      <w:r w:rsidRPr="00E76EA2">
        <w:rPr>
          <w:sz w:val="20"/>
          <w:szCs w:val="20"/>
        </w:rPr>
        <w:t xml:space="preserve"> Lubanga Dyilo,ICC-01/04-01/06-3375,03-11-2017, Para 94</w:t>
      </w:r>
      <w:r w:rsidR="00DA11E2">
        <w:rPr>
          <w:sz w:val="20"/>
          <w:szCs w:val="20"/>
        </w:rPr>
        <w:t>.</w:t>
      </w:r>
    </w:p>
  </w:footnote>
  <w:footnote w:id="1050">
    <w:p w14:paraId="6DE8D42C" w14:textId="77777777" w:rsidR="00C310AB" w:rsidRPr="00E76EA2" w:rsidRDefault="00C310AB" w:rsidP="007615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“Theorising the penalty of Sentencing International Criminal Trials,(2004) 8</w:t>
      </w:r>
      <w:r w:rsidRPr="00E76EA2">
        <w:rPr>
          <w:i/>
          <w:sz w:val="20"/>
          <w:szCs w:val="20"/>
        </w:rPr>
        <w:t>Theoretical Criminology ,</w:t>
      </w:r>
      <w:r w:rsidRPr="00E76EA2">
        <w:rPr>
          <w:sz w:val="20"/>
          <w:szCs w:val="20"/>
        </w:rPr>
        <w:t>329,441</w:t>
      </w:r>
    </w:p>
  </w:footnote>
  <w:footnote w:id="1051">
    <w:p w14:paraId="1820833D" w14:textId="13B28CAD" w:rsidR="00C310AB" w:rsidRPr="00E76EA2" w:rsidRDefault="00C310AB" w:rsidP="0076154B">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Stuart Beresford , “Unshackling the Paper Tiger-the Sentencing Practices of the Ad Hoc International Criminal Tribunals for the Former Yugoslavia and Rwanda (2001) 1 </w:t>
      </w:r>
      <w:r w:rsidRPr="00E76EA2">
        <w:rPr>
          <w:i/>
          <w:sz w:val="20"/>
          <w:szCs w:val="20"/>
        </w:rPr>
        <w:t>International Criminal Law Review ,</w:t>
      </w:r>
      <w:r w:rsidRPr="00E76EA2">
        <w:rPr>
          <w:sz w:val="20"/>
          <w:szCs w:val="20"/>
        </w:rPr>
        <w:t>33,34</w:t>
      </w:r>
      <w:r w:rsidR="00DA11E2">
        <w:rPr>
          <w:sz w:val="20"/>
          <w:szCs w:val="20"/>
        </w:rPr>
        <w:t>.</w:t>
      </w:r>
    </w:p>
  </w:footnote>
  <w:footnote w:id="1052">
    <w:p w14:paraId="32577A53" w14:textId="43CB91FA" w:rsidR="00C310AB" w:rsidRPr="00E76EA2" w:rsidRDefault="00C310AB" w:rsidP="0076154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International Sentencing in the Context of Collective Violence (2007) 7(1) </w:t>
      </w:r>
      <w:r w:rsidRPr="0076154B">
        <w:rPr>
          <w:i/>
          <w:iCs/>
          <w:sz w:val="20"/>
          <w:szCs w:val="20"/>
        </w:rPr>
        <w:t>International Criminal Law Review</w:t>
      </w:r>
      <w:r w:rsidRPr="00E76EA2">
        <w:rPr>
          <w:sz w:val="20"/>
          <w:szCs w:val="20"/>
        </w:rPr>
        <w:t xml:space="preserve"> ,449,449-468</w:t>
      </w:r>
      <w:r w:rsidR="00DA11E2">
        <w:rPr>
          <w:sz w:val="20"/>
          <w:szCs w:val="20"/>
        </w:rPr>
        <w:t>.</w:t>
      </w:r>
    </w:p>
  </w:footnote>
  <w:footnote w:id="1053">
    <w:p w14:paraId="35A57B2B" w14:textId="348ED869" w:rsidR="00C310AB" w:rsidRPr="00E76EA2" w:rsidRDefault="00C310AB" w:rsidP="00A85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21</w:t>
      </w:r>
      <w:r w:rsidR="00A85EB1">
        <w:rPr>
          <w:sz w:val="20"/>
          <w:szCs w:val="20"/>
        </w:rPr>
        <w:t>.</w:t>
      </w:r>
    </w:p>
  </w:footnote>
  <w:footnote w:id="1054">
    <w:p w14:paraId="60FCA0B6" w14:textId="67111074" w:rsidR="00C310AB" w:rsidRPr="00E76EA2" w:rsidRDefault="00C310AB" w:rsidP="00A85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Schabas,  Sentencing by International </w:t>
      </w:r>
      <w:proofErr w:type="spellStart"/>
      <w:r w:rsidRPr="00E76EA2">
        <w:rPr>
          <w:sz w:val="20"/>
          <w:szCs w:val="20"/>
        </w:rPr>
        <w:t>Tribunals:A</w:t>
      </w:r>
      <w:proofErr w:type="spellEnd"/>
      <w:r w:rsidRPr="00E76EA2">
        <w:rPr>
          <w:sz w:val="20"/>
          <w:szCs w:val="20"/>
        </w:rPr>
        <w:t xml:space="preserve"> Human Rights  Approach, (1997) 7 Duke Journal of Comparative  and International Law , 461,481</w:t>
      </w:r>
      <w:r w:rsidR="00A85EB1">
        <w:rPr>
          <w:sz w:val="20"/>
          <w:szCs w:val="20"/>
        </w:rPr>
        <w:t>.</w:t>
      </w:r>
    </w:p>
  </w:footnote>
  <w:footnote w:id="1055">
    <w:p w14:paraId="56AE48CC" w14:textId="20E47729" w:rsidR="00C310AB" w:rsidRPr="00E76EA2" w:rsidRDefault="00C310AB" w:rsidP="00A85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Allison Danner,  Constructing Hierarchy of Crimes in International Criminal Law Sentencing, 87 Vancouver Law Review, (2001)415,442. Situation in the Democratic Republic of Congo ,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Decision on Sentence Pursuant to Article 76 of the Statute ICC-01/04-01/06-2901 ,P.9, para 16.</w:t>
      </w:r>
    </w:p>
  </w:footnote>
  <w:footnote w:id="1056">
    <w:p w14:paraId="69C6A7DA" w14:textId="41955231" w:rsidR="00C310AB" w:rsidRPr="00E76EA2" w:rsidRDefault="00C310AB" w:rsidP="00A85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 Prosecutor </w:t>
      </w:r>
      <w:proofErr w:type="spellStart"/>
      <w:r w:rsidRPr="00E76EA2">
        <w:rPr>
          <w:sz w:val="20"/>
          <w:szCs w:val="20"/>
        </w:rPr>
        <w:t>v.Thomas</w:t>
      </w:r>
      <w:proofErr w:type="spellEnd"/>
      <w:r w:rsidRPr="00E76EA2">
        <w:rPr>
          <w:sz w:val="20"/>
          <w:szCs w:val="20"/>
        </w:rPr>
        <w:t xml:space="preserve"> Lubanga </w:t>
      </w:r>
      <w:proofErr w:type="spellStart"/>
      <w:r w:rsidRPr="00E76EA2">
        <w:rPr>
          <w:sz w:val="20"/>
          <w:szCs w:val="20"/>
        </w:rPr>
        <w:t>Dyilo</w:t>
      </w:r>
      <w:proofErr w:type="spellEnd"/>
      <w:r w:rsidRPr="00E76EA2">
        <w:rPr>
          <w:sz w:val="20"/>
          <w:szCs w:val="20"/>
        </w:rPr>
        <w:t>, Decision on Sentence Pursuant to Article 76 of the Statute ICC-01/04-01/06-2901 ,P.9, para 16.;Preamble of the Rome Statute.</w:t>
      </w:r>
    </w:p>
    <w:p w14:paraId="5273E360" w14:textId="05224252" w:rsidR="00C310AB" w:rsidRPr="00E76EA2" w:rsidRDefault="00C310AB" w:rsidP="00A85EB1">
      <w:pPr>
        <w:pStyle w:val="NoSpacing1"/>
        <w:spacing w:line="276" w:lineRule="auto"/>
        <w:jc w:val="both"/>
        <w:rPr>
          <w:sz w:val="20"/>
          <w:szCs w:val="20"/>
        </w:rPr>
      </w:pPr>
    </w:p>
  </w:footnote>
  <w:footnote w:id="1057">
    <w:p w14:paraId="61A7DB63" w14:textId="77777777" w:rsidR="00C310AB" w:rsidRPr="00E76EA2" w:rsidRDefault="00C310AB" w:rsidP="00A85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058">
    <w:p w14:paraId="7F983E20" w14:textId="74BECD5C" w:rsidR="00C310AB" w:rsidRPr="00E76EA2" w:rsidRDefault="00C310AB" w:rsidP="00A85EB1">
      <w:pPr>
        <w:pStyle w:val="NoSpacing1"/>
        <w:spacing w:line="276" w:lineRule="auto"/>
        <w:jc w:val="both"/>
        <w:rPr>
          <w:sz w:val="20"/>
          <w:szCs w:val="20"/>
        </w:rPr>
      </w:pPr>
      <w:r w:rsidRPr="00E76EA2">
        <w:rPr>
          <w:rStyle w:val="FootnoteReference"/>
          <w:sz w:val="20"/>
          <w:szCs w:val="20"/>
        </w:rPr>
        <w:footnoteRef/>
      </w:r>
      <w:r w:rsidRPr="00E76EA2">
        <w:rPr>
          <w:sz w:val="20"/>
          <w:szCs w:val="20"/>
        </w:rPr>
        <w:t>Joel Goh, ‘Proportionality-An Unattainable Ideal in the Criminal Justice System(2013)</w:t>
      </w:r>
      <w:r w:rsidR="00EA76B9">
        <w:rPr>
          <w:sz w:val="20"/>
          <w:szCs w:val="20"/>
        </w:rPr>
        <w:t xml:space="preserve"> </w:t>
      </w:r>
      <w:r w:rsidRPr="00E76EA2">
        <w:rPr>
          <w:sz w:val="20"/>
          <w:szCs w:val="20"/>
        </w:rPr>
        <w:t>a</w:t>
      </w:r>
      <w:r w:rsidR="00A85EB1">
        <w:rPr>
          <w:sz w:val="20"/>
          <w:szCs w:val="20"/>
        </w:rPr>
        <w:t>vailabl</w:t>
      </w:r>
      <w:r w:rsidRPr="00E76EA2">
        <w:rPr>
          <w:sz w:val="20"/>
          <w:szCs w:val="20"/>
        </w:rPr>
        <w:t xml:space="preserve">e at  &lt; </w:t>
      </w:r>
      <w:hyperlink r:id="rId69" w:history="1">
        <w:r w:rsidRPr="00E76EA2">
          <w:rPr>
            <w:rStyle w:val="Hyperlink"/>
            <w:sz w:val="20"/>
            <w:szCs w:val="20"/>
          </w:rPr>
          <w:t>http://hummedia.manchester.ac.uk/schools/law/main/research/MSLR_Vol2_4(Goh).pdf&gt;last</w:t>
        </w:r>
      </w:hyperlink>
      <w:r w:rsidRPr="00E76EA2">
        <w:rPr>
          <w:sz w:val="20"/>
          <w:szCs w:val="20"/>
        </w:rPr>
        <w:t xml:space="preserve"> accessed 19 January 2020.</w:t>
      </w:r>
    </w:p>
  </w:footnote>
  <w:footnote w:id="1059">
    <w:p w14:paraId="0E9457AD" w14:textId="67261184" w:rsidR="00C310AB" w:rsidRPr="00E76EA2" w:rsidRDefault="00C310AB" w:rsidP="00EA76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Antonia Cretney and Gwyn Davis, </w:t>
      </w:r>
      <w:r w:rsidRPr="00E76EA2">
        <w:rPr>
          <w:i/>
          <w:sz w:val="20"/>
          <w:szCs w:val="20"/>
        </w:rPr>
        <w:t xml:space="preserve">Punishing Violence </w:t>
      </w:r>
      <w:r w:rsidRPr="00E76EA2">
        <w:rPr>
          <w:sz w:val="20"/>
          <w:szCs w:val="20"/>
        </w:rPr>
        <w:t>(</w:t>
      </w:r>
      <w:proofErr w:type="spellStart"/>
      <w:r w:rsidRPr="00E76EA2">
        <w:rPr>
          <w:sz w:val="20"/>
          <w:szCs w:val="20"/>
        </w:rPr>
        <w:t>London:Routlegde</w:t>
      </w:r>
      <w:proofErr w:type="spellEnd"/>
      <w:r w:rsidRPr="00E76EA2">
        <w:rPr>
          <w:sz w:val="20"/>
          <w:szCs w:val="20"/>
        </w:rPr>
        <w:t xml:space="preserve"> 1996)178.</w:t>
      </w:r>
    </w:p>
  </w:footnote>
  <w:footnote w:id="1060">
    <w:p w14:paraId="6BF439AC" w14:textId="77777777" w:rsidR="00C310AB" w:rsidRPr="00E76EA2" w:rsidRDefault="00C310AB" w:rsidP="00EA76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061">
    <w:p w14:paraId="135573AC" w14:textId="325EF4AA" w:rsidR="00C310AB" w:rsidRPr="00E76EA2" w:rsidRDefault="00C310AB" w:rsidP="00EA76B9">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Nils Christie ,</w:t>
      </w:r>
      <w:r w:rsidRPr="00E76EA2">
        <w:rPr>
          <w:i/>
          <w:sz w:val="20"/>
          <w:szCs w:val="20"/>
        </w:rPr>
        <w:t xml:space="preserve"> ‘C</w:t>
      </w:r>
      <w:r w:rsidRPr="00E76EA2">
        <w:rPr>
          <w:sz w:val="20"/>
          <w:szCs w:val="20"/>
        </w:rPr>
        <w:t>onflict as of Property</w:t>
      </w:r>
      <w:r w:rsidRPr="00E76EA2">
        <w:rPr>
          <w:i/>
          <w:sz w:val="20"/>
          <w:szCs w:val="20"/>
        </w:rPr>
        <w:t>’</w:t>
      </w:r>
      <w:r w:rsidRPr="00E76EA2">
        <w:rPr>
          <w:sz w:val="20"/>
          <w:szCs w:val="20"/>
        </w:rPr>
        <w:t xml:space="preserve"> (1977)  2(1)</w:t>
      </w:r>
      <w:r w:rsidRPr="00E76EA2">
        <w:rPr>
          <w:i/>
          <w:sz w:val="20"/>
          <w:szCs w:val="20"/>
        </w:rPr>
        <w:t>British Journal of Criminology</w:t>
      </w:r>
      <w:r w:rsidRPr="00E76EA2">
        <w:rPr>
          <w:iCs/>
          <w:sz w:val="20"/>
          <w:szCs w:val="20"/>
        </w:rPr>
        <w:t>1-15.</w:t>
      </w:r>
    </w:p>
  </w:footnote>
  <w:footnote w:id="1062">
    <w:p w14:paraId="50434E72" w14:textId="77777777" w:rsidR="00C310AB" w:rsidRPr="00E76EA2" w:rsidRDefault="00C310AB" w:rsidP="00EA76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w:t>
      </w:r>
      <w:r w:rsidRPr="00E76EA2">
        <w:rPr>
          <w:i/>
          <w:sz w:val="20"/>
          <w:szCs w:val="20"/>
        </w:rPr>
        <w:t xml:space="preserve">Punishment and Process in International Criminal Trials </w:t>
      </w:r>
      <w:r w:rsidRPr="00E76EA2">
        <w:rPr>
          <w:sz w:val="20"/>
          <w:szCs w:val="20"/>
        </w:rPr>
        <w:t xml:space="preserve">in Mark Findlay and Ralph </w:t>
      </w:r>
      <w:proofErr w:type="spellStart"/>
      <w:r w:rsidRPr="00E76EA2">
        <w:rPr>
          <w:sz w:val="20"/>
          <w:szCs w:val="20"/>
        </w:rPr>
        <w:t>Henham’s</w:t>
      </w:r>
      <w:proofErr w:type="spellEnd"/>
      <w:r w:rsidRPr="00E76EA2">
        <w:rPr>
          <w:sz w:val="20"/>
          <w:szCs w:val="20"/>
        </w:rPr>
        <w:t xml:space="preserve"> (Eds) International and Comparative Criminal Justice</w:t>
      </w:r>
      <w:r w:rsidRPr="00E76EA2">
        <w:rPr>
          <w:i/>
          <w:sz w:val="20"/>
          <w:szCs w:val="20"/>
        </w:rPr>
        <w:t>(</w:t>
      </w:r>
      <w:r w:rsidRPr="00E76EA2">
        <w:rPr>
          <w:sz w:val="20"/>
          <w:szCs w:val="20"/>
        </w:rPr>
        <w:t>Ashgate 2005).</w:t>
      </w:r>
    </w:p>
  </w:footnote>
  <w:footnote w:id="1063">
    <w:p w14:paraId="412557C3" w14:textId="339A4386" w:rsidR="00C310AB" w:rsidRPr="00E76EA2" w:rsidRDefault="00C310AB" w:rsidP="00EA76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Brianne Mc </w:t>
      </w:r>
      <w:proofErr w:type="spellStart"/>
      <w:r w:rsidRPr="00E76EA2">
        <w:rPr>
          <w:sz w:val="20"/>
          <w:szCs w:val="20"/>
        </w:rPr>
        <w:t>Gonigle</w:t>
      </w:r>
      <w:proofErr w:type="spellEnd"/>
      <w:r w:rsidRPr="00E76EA2">
        <w:rPr>
          <w:sz w:val="20"/>
          <w:szCs w:val="20"/>
        </w:rPr>
        <w:t xml:space="preserve">, “Two for the Price of </w:t>
      </w:r>
      <w:proofErr w:type="spellStart"/>
      <w:r w:rsidRPr="00E76EA2">
        <w:rPr>
          <w:sz w:val="20"/>
          <w:szCs w:val="20"/>
        </w:rPr>
        <w:t>Onee:Attempts</w:t>
      </w:r>
      <w:proofErr w:type="spellEnd"/>
      <w:r w:rsidRPr="00E76EA2">
        <w:rPr>
          <w:sz w:val="20"/>
          <w:szCs w:val="20"/>
        </w:rPr>
        <w:t xml:space="preserve"> by the Extraordinary Chambers in the Courts of </w:t>
      </w:r>
      <w:proofErr w:type="spellStart"/>
      <w:r w:rsidRPr="00E76EA2">
        <w:rPr>
          <w:sz w:val="20"/>
          <w:szCs w:val="20"/>
        </w:rPr>
        <w:t>Camboia</w:t>
      </w:r>
      <w:proofErr w:type="spellEnd"/>
      <w:r w:rsidRPr="00E76EA2">
        <w:rPr>
          <w:sz w:val="20"/>
          <w:szCs w:val="20"/>
        </w:rPr>
        <w:t xml:space="preserve"> to Combine Retributive and Restorative Justice Principles  (2009) 22(1) Leiden Journal of International Law,127-149.</w:t>
      </w:r>
    </w:p>
  </w:footnote>
  <w:footnote w:id="1064">
    <w:p w14:paraId="50A4A057" w14:textId="77777777" w:rsidR="00C310AB" w:rsidRPr="00E76EA2" w:rsidRDefault="00C310AB" w:rsidP="00EA76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Punishment and Process in International Criminal Trials(Ashgate Aldershot, 2005)</w:t>
      </w:r>
    </w:p>
  </w:footnote>
  <w:footnote w:id="1065">
    <w:p w14:paraId="146ECBE9" w14:textId="1429848F" w:rsidR="00C310AB" w:rsidRPr="00E76EA2" w:rsidRDefault="00C310AB" w:rsidP="00EA76B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Schabas,  </w:t>
      </w:r>
      <w:r w:rsidRPr="00E76EA2">
        <w:rPr>
          <w:i/>
          <w:sz w:val="20"/>
          <w:szCs w:val="20"/>
        </w:rPr>
        <w:t xml:space="preserve">The International Criminal </w:t>
      </w:r>
      <w:proofErr w:type="spellStart"/>
      <w:r w:rsidRPr="00E76EA2">
        <w:rPr>
          <w:i/>
          <w:sz w:val="20"/>
          <w:szCs w:val="20"/>
        </w:rPr>
        <w:t>Court:A</w:t>
      </w:r>
      <w:proofErr w:type="spellEnd"/>
      <w:r w:rsidRPr="00E76EA2">
        <w:rPr>
          <w:i/>
          <w:sz w:val="20"/>
          <w:szCs w:val="20"/>
        </w:rPr>
        <w:t xml:space="preserve"> Commentary on the Rome Statute</w:t>
      </w:r>
      <w:r w:rsidRPr="00E76EA2">
        <w:rPr>
          <w:sz w:val="20"/>
          <w:szCs w:val="20"/>
        </w:rPr>
        <w:t>( Second Edition, Oxford University Press, 2016)</w:t>
      </w:r>
      <w:r w:rsidR="00EA76B9">
        <w:rPr>
          <w:sz w:val="20"/>
          <w:szCs w:val="20"/>
        </w:rPr>
        <w:t>.</w:t>
      </w:r>
    </w:p>
  </w:footnote>
  <w:footnote w:id="1066">
    <w:p w14:paraId="79915C11" w14:textId="77777777" w:rsidR="00C310AB" w:rsidRPr="00E76EA2" w:rsidRDefault="00C310AB" w:rsidP="007B3B0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Lubanga Sentencing decision.</w:t>
      </w:r>
    </w:p>
  </w:footnote>
  <w:footnote w:id="1067">
    <w:p w14:paraId="588601BE" w14:textId="53D2F920" w:rsidR="00C310AB" w:rsidRPr="00E76EA2" w:rsidRDefault="00C310AB" w:rsidP="007B3B0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Stephanos </w:t>
      </w:r>
      <w:proofErr w:type="spellStart"/>
      <w:r w:rsidRPr="00E76EA2">
        <w:rPr>
          <w:sz w:val="20"/>
          <w:szCs w:val="20"/>
        </w:rPr>
        <w:t>Bibas</w:t>
      </w:r>
      <w:proofErr w:type="spellEnd"/>
      <w:r w:rsidRPr="00E76EA2">
        <w:rPr>
          <w:sz w:val="20"/>
          <w:szCs w:val="20"/>
        </w:rPr>
        <w:t xml:space="preserve"> and Richard </w:t>
      </w:r>
      <w:proofErr w:type="spellStart"/>
      <w:r w:rsidRPr="00E76EA2">
        <w:rPr>
          <w:sz w:val="20"/>
          <w:szCs w:val="20"/>
        </w:rPr>
        <w:t>Bierschbach</w:t>
      </w:r>
      <w:proofErr w:type="spellEnd"/>
      <w:r w:rsidRPr="00E76EA2">
        <w:rPr>
          <w:sz w:val="20"/>
          <w:szCs w:val="20"/>
        </w:rPr>
        <w:t xml:space="preserve"> , Integrating Remorse and Apology into Criminal Procedure (2004) 114</w:t>
      </w:r>
      <w:r w:rsidR="007B3B09">
        <w:rPr>
          <w:sz w:val="20"/>
          <w:szCs w:val="20"/>
        </w:rPr>
        <w:t xml:space="preserve"> </w:t>
      </w:r>
      <w:r w:rsidRPr="007B3B09">
        <w:rPr>
          <w:i/>
          <w:iCs/>
          <w:sz w:val="20"/>
          <w:szCs w:val="20"/>
        </w:rPr>
        <w:t>Yale Law Journal</w:t>
      </w:r>
      <w:r w:rsidRPr="00E76EA2">
        <w:rPr>
          <w:sz w:val="20"/>
          <w:szCs w:val="20"/>
        </w:rPr>
        <w:t xml:space="preserve"> 85.</w:t>
      </w:r>
    </w:p>
  </w:footnote>
  <w:footnote w:id="1068">
    <w:p w14:paraId="27FDC2BF" w14:textId="53E33548" w:rsidR="00C310AB" w:rsidRPr="00E76EA2" w:rsidRDefault="00C310AB" w:rsidP="007B3B0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Adrian Hole , “The Sentencing Provisions of the International Criminal Court” (2005) 1(1)</w:t>
      </w:r>
      <w:r w:rsidRPr="00E76EA2">
        <w:rPr>
          <w:i/>
          <w:sz w:val="20"/>
          <w:szCs w:val="20"/>
        </w:rPr>
        <w:t xml:space="preserve">  International Journal of </w:t>
      </w:r>
      <w:r w:rsidRPr="00E76EA2">
        <w:rPr>
          <w:i/>
          <w:iCs/>
          <w:sz w:val="20"/>
          <w:szCs w:val="20"/>
        </w:rPr>
        <w:t>Punishment</w:t>
      </w:r>
      <w:r w:rsidRPr="00E76EA2">
        <w:rPr>
          <w:i/>
          <w:sz w:val="20"/>
          <w:szCs w:val="20"/>
        </w:rPr>
        <w:t xml:space="preserve"> and Sentencing </w:t>
      </w:r>
      <w:r w:rsidRPr="00E76EA2">
        <w:rPr>
          <w:sz w:val="20"/>
          <w:szCs w:val="20"/>
        </w:rPr>
        <w:t>, 37-69</w:t>
      </w:r>
      <w:r w:rsidR="007B3B09">
        <w:rPr>
          <w:sz w:val="20"/>
          <w:szCs w:val="20"/>
        </w:rPr>
        <w:t>.</w:t>
      </w:r>
    </w:p>
  </w:footnote>
  <w:footnote w:id="1069">
    <w:p w14:paraId="4D24E25E" w14:textId="77777777" w:rsidR="00C310AB" w:rsidRPr="00E76EA2" w:rsidRDefault="00C310AB" w:rsidP="007B3B09">
      <w:pPr>
        <w:pStyle w:val="NoSpacing1"/>
        <w:spacing w:line="276" w:lineRule="auto"/>
        <w:jc w:val="both"/>
        <w:rPr>
          <w:sz w:val="20"/>
          <w:szCs w:val="20"/>
        </w:rPr>
      </w:pPr>
      <w:r w:rsidRPr="00E76EA2">
        <w:rPr>
          <w:rStyle w:val="FootnoteReference"/>
          <w:sz w:val="20"/>
          <w:szCs w:val="20"/>
        </w:rPr>
        <w:footnoteRef/>
      </w:r>
      <w:r w:rsidRPr="00E76EA2">
        <w:rPr>
          <w:sz w:val="20"/>
          <w:szCs w:val="20"/>
        </w:rPr>
        <w:t>Observations of Legal Representatives of Victims V01, para.19;Observations of Legal Representatives of Victims  V02, para 18,25. Ibid 176, p.9, ICC-01/04-01/06 14 September 2017.</w:t>
      </w:r>
    </w:p>
  </w:footnote>
  <w:footnote w:id="1070">
    <w:p w14:paraId="1B0D06D8" w14:textId="77777777" w:rsidR="00C310AB" w:rsidRPr="00E76EA2" w:rsidRDefault="00C310AB" w:rsidP="007B3B0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071">
    <w:p w14:paraId="5DCC4603" w14:textId="77777777" w:rsidR="00C310AB" w:rsidRPr="00E76EA2" w:rsidRDefault="00C310AB" w:rsidP="007B3B0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235.</w:t>
      </w:r>
    </w:p>
  </w:footnote>
  <w:footnote w:id="1072">
    <w:p w14:paraId="00A6CE1D" w14:textId="1A16AC9B" w:rsidR="00C310AB" w:rsidRPr="00E76EA2" w:rsidRDefault="00C310AB" w:rsidP="007B3B0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7B3B09">
        <w:rPr>
          <w:sz w:val="20"/>
          <w:szCs w:val="20"/>
        </w:rPr>
        <w:t>.</w:t>
      </w:r>
    </w:p>
  </w:footnote>
  <w:footnote w:id="1073">
    <w:p w14:paraId="1A3DED07" w14:textId="0BD73B7A" w:rsidR="00C310AB" w:rsidRPr="00E76EA2" w:rsidRDefault="00C310AB" w:rsidP="00CE51D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ICC-01/04-01/06-3375, 03 November 2017,p.25para 93,94</w:t>
      </w:r>
      <w:r w:rsidR="00CE51DF">
        <w:rPr>
          <w:sz w:val="20"/>
          <w:szCs w:val="20"/>
        </w:rPr>
        <w:t>.</w:t>
      </w:r>
    </w:p>
  </w:footnote>
  <w:footnote w:id="1074">
    <w:p w14:paraId="54BAEBC0" w14:textId="4D9FF06C" w:rsidR="00C310AB" w:rsidRPr="00E76EA2" w:rsidRDefault="00C310AB" w:rsidP="00CE51D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Para 95</w:t>
      </w:r>
      <w:r w:rsidR="00CE51DF">
        <w:rPr>
          <w:sz w:val="20"/>
          <w:szCs w:val="20"/>
        </w:rPr>
        <w:t>.</w:t>
      </w:r>
    </w:p>
  </w:footnote>
  <w:footnote w:id="1075">
    <w:p w14:paraId="21F311A9" w14:textId="77777777" w:rsidR="00C310AB" w:rsidRPr="00E76EA2" w:rsidRDefault="00C310AB" w:rsidP="00CE51D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p.26,para.95.</w:t>
      </w:r>
    </w:p>
  </w:footnote>
  <w:footnote w:id="1076">
    <w:p w14:paraId="04F94795" w14:textId="49D7CFF7" w:rsidR="00C310AB" w:rsidRPr="00E76EA2" w:rsidRDefault="00C310AB" w:rsidP="00535EE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Katherine Doolin, “But what Does it mean? Seeking definitional clarity in restorative justice</w:t>
      </w:r>
      <w:r w:rsidR="00535EE5">
        <w:rPr>
          <w:sz w:val="20"/>
          <w:szCs w:val="20"/>
        </w:rPr>
        <w:t>’</w:t>
      </w:r>
      <w:r w:rsidRPr="00E76EA2">
        <w:rPr>
          <w:sz w:val="20"/>
          <w:szCs w:val="20"/>
        </w:rPr>
        <w:t>, (2007)71(5)</w:t>
      </w:r>
      <w:r w:rsidRPr="00E76EA2">
        <w:rPr>
          <w:i/>
          <w:sz w:val="20"/>
          <w:szCs w:val="20"/>
        </w:rPr>
        <w:t>Journal of Criminal Law</w:t>
      </w:r>
      <w:r w:rsidRPr="00E76EA2">
        <w:rPr>
          <w:sz w:val="20"/>
          <w:szCs w:val="20"/>
        </w:rPr>
        <w:t xml:space="preserve"> 427-440</w:t>
      </w:r>
      <w:r w:rsidR="00535EE5">
        <w:rPr>
          <w:sz w:val="20"/>
          <w:szCs w:val="20"/>
        </w:rPr>
        <w:t>.</w:t>
      </w:r>
    </w:p>
  </w:footnote>
  <w:footnote w:id="1077">
    <w:p w14:paraId="6A3BC1AB" w14:textId="77777777" w:rsidR="00C310AB" w:rsidRPr="00E76EA2" w:rsidRDefault="00C310AB" w:rsidP="00535EE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Juan Pablo Perez-Leon-Acevedo, “Assessing Victim Participation during Sentencing at the International Criminal Court” (2019) 17</w:t>
      </w:r>
      <w:r w:rsidRPr="00E76EA2">
        <w:rPr>
          <w:i/>
          <w:sz w:val="20"/>
          <w:szCs w:val="20"/>
        </w:rPr>
        <w:t xml:space="preserve"> Journal of Criminal Justice , </w:t>
      </w:r>
      <w:r w:rsidRPr="00E76EA2">
        <w:rPr>
          <w:sz w:val="20"/>
          <w:szCs w:val="20"/>
        </w:rPr>
        <w:t>431-451,p.451</w:t>
      </w:r>
    </w:p>
  </w:footnote>
  <w:footnote w:id="1078">
    <w:p w14:paraId="1181B336" w14:textId="77777777" w:rsidR="00C310AB" w:rsidRPr="00E76EA2" w:rsidRDefault="00C310AB" w:rsidP="00535EE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Prosecutor v Katanga, Judgment in Pursuant of Article 74,Trial Chamber II, ICC-01/04-01/07-3436, 20 March 2014, </w:t>
      </w:r>
    </w:p>
  </w:footnote>
  <w:footnote w:id="1079">
    <w:p w14:paraId="37C4DC49" w14:textId="77777777" w:rsidR="00C310AB" w:rsidRPr="00E76EA2" w:rsidRDefault="00C310AB" w:rsidP="00535EE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Presiding Judge Bruno </w:t>
      </w:r>
      <w:proofErr w:type="spellStart"/>
      <w:r w:rsidRPr="00E76EA2">
        <w:rPr>
          <w:sz w:val="20"/>
          <w:szCs w:val="20"/>
        </w:rPr>
        <w:t>Cotte</w:t>
      </w:r>
      <w:proofErr w:type="spellEnd"/>
      <w:r w:rsidRPr="00E76EA2">
        <w:rPr>
          <w:sz w:val="20"/>
          <w:szCs w:val="20"/>
        </w:rPr>
        <w:t xml:space="preserve">’ </w:t>
      </w:r>
      <w:proofErr w:type="spellStart"/>
      <w:r w:rsidRPr="00E76EA2">
        <w:rPr>
          <w:sz w:val="20"/>
          <w:szCs w:val="20"/>
        </w:rPr>
        <w:t>words,The</w:t>
      </w:r>
      <w:proofErr w:type="spellEnd"/>
      <w:r w:rsidRPr="00E76EA2">
        <w:rPr>
          <w:sz w:val="20"/>
          <w:szCs w:val="20"/>
        </w:rPr>
        <w:t xml:space="preserve"> Prosecutor V. Mathieu </w:t>
      </w:r>
      <w:proofErr w:type="spellStart"/>
      <w:r w:rsidRPr="00E76EA2">
        <w:rPr>
          <w:sz w:val="20"/>
          <w:szCs w:val="20"/>
        </w:rPr>
        <w:t>Ngudjolo</w:t>
      </w:r>
      <w:proofErr w:type="spellEnd"/>
      <w:r w:rsidRPr="00E76EA2">
        <w:rPr>
          <w:sz w:val="20"/>
          <w:szCs w:val="20"/>
        </w:rPr>
        <w:t xml:space="preserve"> Chui, ICC-01/04-02/12</w:t>
      </w:r>
    </w:p>
  </w:footnote>
  <w:footnote w:id="1080">
    <w:p w14:paraId="3BC97AD9" w14:textId="0B47F476" w:rsidR="00C310AB" w:rsidRPr="00E76EA2" w:rsidRDefault="00C310AB" w:rsidP="00535EE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Prosecutor v Katanga, Judgment in Pursuant of Article 74,Trial Chamber II, ICC-01/04-01/07-3436, 20 March 2014</w:t>
      </w:r>
    </w:p>
  </w:footnote>
  <w:footnote w:id="1081">
    <w:p w14:paraId="3B7AB1A5" w14:textId="6C680193" w:rsidR="00C310AB" w:rsidRPr="00E76EA2" w:rsidRDefault="00C310AB" w:rsidP="00535EE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Judgment pursuant to article 74 of the Statute, 7 March 2014, ICC-01/04-01/07-3436 (Katanga Judgment).</w:t>
      </w:r>
    </w:p>
  </w:footnote>
  <w:footnote w:id="1082">
    <w:p w14:paraId="6CFDE679" w14:textId="6D115970" w:rsidR="00C310AB" w:rsidRPr="00E76EA2" w:rsidRDefault="00C310AB" w:rsidP="00535EE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Judge Christine </w:t>
      </w:r>
      <w:proofErr w:type="spellStart"/>
      <w:r w:rsidRPr="00E76EA2">
        <w:rPr>
          <w:sz w:val="20"/>
          <w:szCs w:val="20"/>
          <w:lang w:val="en-US"/>
        </w:rPr>
        <w:t>Wynngeart</w:t>
      </w:r>
      <w:proofErr w:type="spellEnd"/>
      <w:r w:rsidRPr="00E76EA2">
        <w:rPr>
          <w:sz w:val="20"/>
          <w:szCs w:val="20"/>
          <w:lang w:val="en-US"/>
        </w:rPr>
        <w:t>, Dissenting Opinion</w:t>
      </w:r>
      <w:r w:rsidR="00535EE5">
        <w:rPr>
          <w:sz w:val="20"/>
          <w:szCs w:val="20"/>
          <w:lang w:val="en-US"/>
        </w:rPr>
        <w:t>.</w:t>
      </w:r>
    </w:p>
  </w:footnote>
  <w:footnote w:id="1083">
    <w:p w14:paraId="637FA07F" w14:textId="77777777" w:rsidR="00C310AB" w:rsidRPr="00E76EA2" w:rsidRDefault="00C310AB" w:rsidP="00535EE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Brianne McGonigle </w:t>
      </w:r>
      <w:proofErr w:type="spellStart"/>
      <w:r w:rsidRPr="00E76EA2">
        <w:rPr>
          <w:sz w:val="20"/>
          <w:szCs w:val="20"/>
          <w:lang w:val="en-US"/>
        </w:rPr>
        <w:t>Leyh</w:t>
      </w:r>
      <w:proofErr w:type="spellEnd"/>
      <w:r w:rsidRPr="00E76EA2">
        <w:rPr>
          <w:sz w:val="20"/>
          <w:szCs w:val="20"/>
          <w:lang w:val="en-US"/>
        </w:rPr>
        <w:t>,  ‘Procedural Justice? Victim Participation  in International Criminal Proceedings 348, (</w:t>
      </w:r>
      <w:proofErr w:type="spellStart"/>
      <w:r w:rsidRPr="00E76EA2">
        <w:rPr>
          <w:sz w:val="20"/>
          <w:szCs w:val="20"/>
          <w:lang w:val="en-US"/>
        </w:rPr>
        <w:t>Intersentia</w:t>
      </w:r>
      <w:proofErr w:type="spellEnd"/>
      <w:r w:rsidRPr="00E76EA2">
        <w:rPr>
          <w:sz w:val="20"/>
          <w:szCs w:val="20"/>
          <w:lang w:val="en-US"/>
        </w:rPr>
        <w:t xml:space="preserve"> 2011).</w:t>
      </w:r>
    </w:p>
  </w:footnote>
  <w:footnote w:id="1084">
    <w:p w14:paraId="323D21BF" w14:textId="77777777" w:rsidR="00C310AB" w:rsidRPr="00E76EA2" w:rsidRDefault="00C310AB" w:rsidP="009362D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Katanga Sentencing Judgment, ICC-01.04-01/07-3484-tENG, 23 May 2014, p.31,para.75</w:t>
      </w:r>
    </w:p>
    <w:p w14:paraId="6E446EA8" w14:textId="77777777" w:rsidR="00C310AB" w:rsidRPr="00E76EA2" w:rsidRDefault="00C310AB" w:rsidP="00E76EA2">
      <w:pPr>
        <w:pStyle w:val="NoSpacing1"/>
        <w:rPr>
          <w:sz w:val="20"/>
          <w:szCs w:val="20"/>
        </w:rPr>
      </w:pPr>
    </w:p>
  </w:footnote>
  <w:footnote w:id="1085">
    <w:p w14:paraId="52560DCE"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Preamble, para.7.</w:t>
      </w:r>
    </w:p>
  </w:footnote>
  <w:footnote w:id="1086">
    <w:p w14:paraId="4A5C6B88" w14:textId="532EA80B"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Mark Jennings, “Article 78-Determination of the sentence</w:t>
      </w:r>
      <w:r w:rsidR="009362D6">
        <w:rPr>
          <w:sz w:val="20"/>
          <w:szCs w:val="20"/>
        </w:rPr>
        <w:t>”</w:t>
      </w:r>
      <w:r w:rsidRPr="00E76EA2">
        <w:rPr>
          <w:sz w:val="20"/>
          <w:szCs w:val="20"/>
        </w:rPr>
        <w:t xml:space="preserve"> in </w:t>
      </w:r>
      <w:proofErr w:type="spellStart"/>
      <w:r w:rsidRPr="00E76EA2">
        <w:rPr>
          <w:sz w:val="20"/>
          <w:szCs w:val="20"/>
        </w:rPr>
        <w:t>OttoTrifferer</w:t>
      </w:r>
      <w:proofErr w:type="spellEnd"/>
      <w:r w:rsidRPr="00E76EA2">
        <w:rPr>
          <w:sz w:val="20"/>
          <w:szCs w:val="20"/>
        </w:rPr>
        <w:t xml:space="preserve"> (Ed), </w:t>
      </w:r>
      <w:r w:rsidRPr="009362D6">
        <w:rPr>
          <w:i/>
          <w:iCs/>
          <w:sz w:val="20"/>
          <w:szCs w:val="20"/>
        </w:rPr>
        <w:t>Commentary on the Rome Statute of the International Criminal Court</w:t>
      </w:r>
      <w:r w:rsidRPr="00E76EA2">
        <w:rPr>
          <w:sz w:val="20"/>
          <w:szCs w:val="20"/>
        </w:rPr>
        <w:t xml:space="preserve"> (</w:t>
      </w:r>
      <w:r w:rsidR="004408D2">
        <w:rPr>
          <w:sz w:val="20"/>
          <w:szCs w:val="20"/>
        </w:rPr>
        <w:t>Beck Hart</w:t>
      </w:r>
      <w:r w:rsidR="00D2444D">
        <w:rPr>
          <w:sz w:val="20"/>
          <w:szCs w:val="20"/>
        </w:rPr>
        <w:t xml:space="preserve"> </w:t>
      </w:r>
      <w:r w:rsidRPr="00E76EA2">
        <w:rPr>
          <w:sz w:val="20"/>
          <w:szCs w:val="20"/>
        </w:rPr>
        <w:t>2008)1436.</w:t>
      </w:r>
    </w:p>
  </w:footnote>
  <w:footnote w:id="1087">
    <w:p w14:paraId="56961620"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Katanga sentencing.</w:t>
      </w:r>
    </w:p>
  </w:footnote>
  <w:footnote w:id="1088">
    <w:p w14:paraId="56DB9BAC"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Katanga sentencing.</w:t>
      </w:r>
    </w:p>
  </w:footnote>
  <w:footnote w:id="1089">
    <w:p w14:paraId="41EFEB5A" w14:textId="4A7D5CAA"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9362D6">
        <w:rPr>
          <w:sz w:val="20"/>
          <w:szCs w:val="20"/>
        </w:rPr>
        <w:t>.</w:t>
      </w:r>
    </w:p>
  </w:footnote>
  <w:footnote w:id="1090">
    <w:p w14:paraId="1840CFD7" w14:textId="065D964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Prosecutions’ Observations, paras.39,40,41;Prosecution  Closing Statement, T.344,P.66.</w:t>
      </w:r>
    </w:p>
  </w:footnote>
  <w:footnote w:id="1091">
    <w:p w14:paraId="0972257A"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Observations of the Legal Representatives, paras.41-47, Closing Statement of the Legal Representative, T.345,p.7.</w:t>
      </w:r>
    </w:p>
  </w:footnote>
  <w:footnote w:id="1092">
    <w:p w14:paraId="7B147FE6"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ICC-01.04-01/07-3484-tENG, 23 May 2014, p.31,para.75</w:t>
      </w:r>
    </w:p>
  </w:footnote>
  <w:footnote w:id="1093">
    <w:p w14:paraId="5C7B9ECD"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094">
    <w:p w14:paraId="0D880F3E"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Prosecution Observations, paras.3 and 32; Second Observations of the Legal Representative, paras.49-54 and 59.</w:t>
      </w:r>
    </w:p>
  </w:footnote>
  <w:footnote w:id="1095">
    <w:p w14:paraId="7BC4263A" w14:textId="75C9119D"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Katanga Sentencing Judgment, ICC-01.04-01/07-3484-tENG, 23 May 2014, p.31,para.77</w:t>
      </w:r>
    </w:p>
  </w:footnote>
  <w:footnote w:id="1096">
    <w:p w14:paraId="2EFB7336" w14:textId="3D7C285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w:t>
      </w:r>
      <w:proofErr w:type="spellStart"/>
      <w:r w:rsidRPr="00E76EA2">
        <w:rPr>
          <w:sz w:val="20"/>
          <w:szCs w:val="20"/>
        </w:rPr>
        <w:t>Kumarac</w:t>
      </w:r>
      <w:proofErr w:type="spellEnd"/>
      <w:r w:rsidRPr="00E76EA2">
        <w:rPr>
          <w:sz w:val="20"/>
          <w:szCs w:val="20"/>
        </w:rPr>
        <w:t xml:space="preserve">, Case No IT -96-23-T&amp;IT-96-23/1-T, 22 February 2001,pa.847; Stuart Beresford , “Unshackling the Paper Tiger-the Sentencing Practices of the Ad Hoc International Criminal Tribunals for the Former Yugoslavia and Rwanda (2001) 1 </w:t>
      </w:r>
      <w:r w:rsidRPr="00E76EA2">
        <w:rPr>
          <w:i/>
          <w:sz w:val="20"/>
          <w:szCs w:val="20"/>
        </w:rPr>
        <w:t>International Criminal Law Review ,</w:t>
      </w:r>
      <w:r w:rsidRPr="00E76EA2">
        <w:rPr>
          <w:sz w:val="20"/>
          <w:szCs w:val="20"/>
        </w:rPr>
        <w:t>55</w:t>
      </w:r>
    </w:p>
    <w:p w14:paraId="7F7FA712" w14:textId="77777777" w:rsidR="00C310AB" w:rsidRPr="00E76EA2" w:rsidRDefault="00C310AB" w:rsidP="00D2444D">
      <w:pPr>
        <w:pStyle w:val="NoSpacing1"/>
        <w:spacing w:line="276" w:lineRule="auto"/>
        <w:jc w:val="both"/>
        <w:rPr>
          <w:sz w:val="20"/>
          <w:szCs w:val="20"/>
        </w:rPr>
      </w:pPr>
    </w:p>
  </w:footnote>
  <w:footnote w:id="1097">
    <w:p w14:paraId="5F39502E"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Sentence Hearing, ICC-01/04-01/07-345-Red-ENG WT 06-05-2014,Lines 13-16</w:t>
      </w:r>
    </w:p>
  </w:footnote>
  <w:footnote w:id="1098">
    <w:p w14:paraId="34C5CB41" w14:textId="7777777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p.5,lines 2-3,9,11,p.7, lines 2 and 3.</w:t>
      </w:r>
    </w:p>
  </w:footnote>
  <w:footnote w:id="1099">
    <w:p w14:paraId="23134E96" w14:textId="317CA6FB"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p.7,lines 6-9</w:t>
      </w:r>
      <w:r w:rsidR="00D2444D">
        <w:rPr>
          <w:sz w:val="20"/>
          <w:szCs w:val="20"/>
        </w:rPr>
        <w:t>.</w:t>
      </w:r>
    </w:p>
  </w:footnote>
  <w:footnote w:id="1100">
    <w:p w14:paraId="36BA9F64" w14:textId="161ECB52"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,p.7,10-13</w:t>
      </w:r>
      <w:r w:rsidR="00D2444D">
        <w:rPr>
          <w:sz w:val="20"/>
          <w:szCs w:val="20"/>
        </w:rPr>
        <w:t>.</w:t>
      </w:r>
    </w:p>
  </w:footnote>
  <w:footnote w:id="1101">
    <w:p w14:paraId="3081A36F" w14:textId="366ABDFD"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Ibid,p.7,14-16</w:t>
      </w:r>
      <w:r w:rsidR="00D2444D">
        <w:rPr>
          <w:sz w:val="20"/>
          <w:szCs w:val="20"/>
        </w:rPr>
        <w:t>.</w:t>
      </w:r>
    </w:p>
  </w:footnote>
  <w:footnote w:id="1102">
    <w:p w14:paraId="7867A692" w14:textId="38076B67" w:rsidR="00C310AB" w:rsidRPr="00E76EA2" w:rsidRDefault="00C310AB" w:rsidP="00D2444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Observations of the Legal Representatives ,paras.48-54</w:t>
      </w:r>
      <w:r w:rsidR="00D2444D">
        <w:rPr>
          <w:sz w:val="20"/>
          <w:szCs w:val="20"/>
        </w:rPr>
        <w:t>.</w:t>
      </w:r>
    </w:p>
    <w:p w14:paraId="3B6E39A8" w14:textId="77777777" w:rsidR="00C310AB" w:rsidRPr="00E76EA2" w:rsidRDefault="00C310AB" w:rsidP="00E76EA2">
      <w:pPr>
        <w:pStyle w:val="NoSpacing1"/>
        <w:rPr>
          <w:sz w:val="20"/>
          <w:szCs w:val="20"/>
        </w:rPr>
      </w:pPr>
    </w:p>
  </w:footnote>
  <w:footnote w:id="1103">
    <w:p w14:paraId="0EA6BD5F" w14:textId="1B3FB90E" w:rsidR="00C310AB" w:rsidRPr="00E76EA2" w:rsidRDefault="00C310AB" w:rsidP="00B05A0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Ibid,p.9</w:t>
      </w:r>
      <w:r w:rsidR="00B05A05">
        <w:rPr>
          <w:sz w:val="20"/>
          <w:szCs w:val="20"/>
        </w:rPr>
        <w:t>.</w:t>
      </w:r>
    </w:p>
  </w:footnote>
  <w:footnote w:id="1104">
    <w:p w14:paraId="2DBBA919" w14:textId="77777777" w:rsidR="00C310AB" w:rsidRPr="00E76EA2" w:rsidRDefault="00C310AB" w:rsidP="00B05A0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p.10, lines 19-22.</w:t>
      </w:r>
    </w:p>
  </w:footnote>
  <w:footnote w:id="1105">
    <w:p w14:paraId="1352F7C8" w14:textId="76AB1783" w:rsidR="00C310AB" w:rsidRPr="00E76EA2" w:rsidRDefault="00C310AB" w:rsidP="00B05A0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Defence Observations,paras.5-13</w:t>
      </w:r>
      <w:r w:rsidR="00B05A05">
        <w:rPr>
          <w:sz w:val="20"/>
          <w:szCs w:val="20"/>
        </w:rPr>
        <w:t>.</w:t>
      </w:r>
      <w:r w:rsidRPr="00E76EA2">
        <w:rPr>
          <w:sz w:val="20"/>
          <w:szCs w:val="20"/>
        </w:rPr>
        <w:t xml:space="preserve"> </w:t>
      </w:r>
    </w:p>
  </w:footnote>
  <w:footnote w:id="1106">
    <w:p w14:paraId="70F86302" w14:textId="1CB1FD18" w:rsidR="00C310AB" w:rsidRPr="00E76EA2" w:rsidRDefault="00C310AB" w:rsidP="00B05A0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Defence Observations , paras.14-42</w:t>
      </w:r>
      <w:r w:rsidR="00B05A05">
        <w:rPr>
          <w:sz w:val="20"/>
          <w:szCs w:val="20"/>
        </w:rPr>
        <w:t>.</w:t>
      </w:r>
    </w:p>
  </w:footnote>
  <w:footnote w:id="1107">
    <w:p w14:paraId="03FB3C24" w14:textId="734748F9" w:rsidR="00C310AB" w:rsidRPr="00E76EA2" w:rsidRDefault="00C310AB" w:rsidP="00B05A0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Defence Observations, paras.53-126</w:t>
      </w:r>
      <w:r w:rsidR="00B05A05">
        <w:rPr>
          <w:sz w:val="20"/>
          <w:szCs w:val="20"/>
        </w:rPr>
        <w:t>.</w:t>
      </w:r>
    </w:p>
  </w:footnote>
  <w:footnote w:id="1108">
    <w:p w14:paraId="583EE0A8" w14:textId="77777777" w:rsidR="00C310AB" w:rsidRPr="00E76EA2" w:rsidRDefault="00C310AB" w:rsidP="00B05A0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Defence </w:t>
      </w:r>
      <w:proofErr w:type="spellStart"/>
      <w:r w:rsidRPr="00E76EA2">
        <w:rPr>
          <w:sz w:val="20"/>
          <w:szCs w:val="20"/>
        </w:rPr>
        <w:t>Observations,paras</w:t>
      </w:r>
      <w:proofErr w:type="spellEnd"/>
      <w:r w:rsidRPr="00E76EA2">
        <w:rPr>
          <w:sz w:val="20"/>
          <w:szCs w:val="20"/>
        </w:rPr>
        <w:t xml:space="preserve"> 156-160.</w:t>
      </w:r>
    </w:p>
  </w:footnote>
  <w:footnote w:id="1109">
    <w:p w14:paraId="7F3D73FB" w14:textId="4DEE6E6B" w:rsidR="00C310AB" w:rsidRPr="00E76EA2" w:rsidRDefault="00C310AB" w:rsidP="00B05A05">
      <w:pPr>
        <w:pStyle w:val="NoSpacing1"/>
        <w:jc w:val="both"/>
        <w:rPr>
          <w:sz w:val="20"/>
          <w:szCs w:val="20"/>
          <w:lang w:val="en-US"/>
        </w:rPr>
      </w:pPr>
      <w:r w:rsidRPr="00E76EA2">
        <w:rPr>
          <w:rStyle w:val="FootnoteReference"/>
          <w:sz w:val="20"/>
          <w:szCs w:val="20"/>
        </w:rPr>
        <w:footnoteRef/>
      </w:r>
      <w:r w:rsidRPr="00E76EA2">
        <w:rPr>
          <w:sz w:val="20"/>
          <w:szCs w:val="20"/>
        </w:rPr>
        <w:t xml:space="preserve">  Situation in the Democratic Republic of the </w:t>
      </w:r>
      <w:proofErr w:type="spellStart"/>
      <w:r w:rsidRPr="00E76EA2">
        <w:rPr>
          <w:sz w:val="20"/>
          <w:szCs w:val="20"/>
        </w:rPr>
        <w:t>Congo,Decision</w:t>
      </w:r>
      <w:proofErr w:type="spellEnd"/>
      <w:r w:rsidRPr="00E76EA2">
        <w:rPr>
          <w:sz w:val="20"/>
          <w:szCs w:val="20"/>
        </w:rPr>
        <w:t xml:space="preserve"> on Sentence pursuant to article 76 of the Statute, ICC-01/04-01/07-3484-Teng-Corr 23 May 2014,P.47,</w:t>
      </w:r>
      <w:r w:rsidRPr="00E76EA2">
        <w:rPr>
          <w:sz w:val="20"/>
          <w:szCs w:val="20"/>
          <w:lang w:val="en-US"/>
        </w:rPr>
        <w:t>Para</w:t>
      </w:r>
      <w:r w:rsidR="00B05A05">
        <w:rPr>
          <w:sz w:val="20"/>
          <w:szCs w:val="20"/>
          <w:lang w:val="en-US"/>
        </w:rPr>
        <w:t>.</w:t>
      </w:r>
      <w:r w:rsidRPr="00E76EA2">
        <w:rPr>
          <w:sz w:val="20"/>
          <w:szCs w:val="20"/>
          <w:lang w:val="en-US"/>
        </w:rPr>
        <w:t>116</w:t>
      </w:r>
      <w:r w:rsidR="00B05A05">
        <w:rPr>
          <w:sz w:val="20"/>
          <w:szCs w:val="20"/>
          <w:lang w:val="en-US"/>
        </w:rPr>
        <w:t>.</w:t>
      </w:r>
    </w:p>
  </w:footnote>
  <w:footnote w:id="1110">
    <w:p w14:paraId="7397540C" w14:textId="77777777" w:rsidR="00C310AB" w:rsidRPr="00E76EA2" w:rsidRDefault="00C310AB" w:rsidP="00B05A05">
      <w:pPr>
        <w:pStyle w:val="NoSpacing1"/>
        <w:jc w:val="both"/>
        <w:rPr>
          <w:sz w:val="20"/>
          <w:szCs w:val="20"/>
          <w:lang w:val="en-US"/>
        </w:rPr>
      </w:pPr>
      <w:r w:rsidRPr="00E76EA2">
        <w:rPr>
          <w:rStyle w:val="FootnoteReference"/>
          <w:sz w:val="20"/>
          <w:szCs w:val="20"/>
        </w:rPr>
        <w:footnoteRef/>
      </w:r>
      <w:r w:rsidRPr="00E76EA2">
        <w:rPr>
          <w:sz w:val="20"/>
          <w:szCs w:val="20"/>
        </w:rPr>
        <w:t xml:space="preserve"> Ibid.</w:t>
      </w:r>
    </w:p>
  </w:footnote>
  <w:footnote w:id="1111">
    <w:p w14:paraId="0F8057E8" w14:textId="77777777" w:rsidR="00C310AB" w:rsidRPr="00E76EA2" w:rsidRDefault="00C310AB" w:rsidP="00B05A05">
      <w:pPr>
        <w:pStyle w:val="NoSpacing1"/>
        <w:jc w:val="both"/>
        <w:rPr>
          <w:sz w:val="20"/>
          <w:szCs w:val="20"/>
          <w:lang w:val="en-US"/>
        </w:rPr>
      </w:pPr>
      <w:r w:rsidRPr="00E76EA2">
        <w:rPr>
          <w:rStyle w:val="FootnoteReference"/>
          <w:sz w:val="20"/>
          <w:szCs w:val="20"/>
        </w:rPr>
        <w:footnoteRef/>
      </w:r>
      <w:r w:rsidRPr="00E76EA2">
        <w:rPr>
          <w:sz w:val="20"/>
          <w:szCs w:val="20"/>
        </w:rPr>
        <w:t xml:space="preserve"> Ibid.</w:t>
      </w:r>
    </w:p>
  </w:footnote>
  <w:footnote w:id="1112">
    <w:p w14:paraId="49B92963" w14:textId="0588C7B8" w:rsidR="00C310AB" w:rsidRPr="00E76EA2" w:rsidRDefault="00C310AB" w:rsidP="00B05A05">
      <w:pPr>
        <w:pStyle w:val="NoSpacing1"/>
        <w:jc w:val="both"/>
        <w:rPr>
          <w:sz w:val="20"/>
          <w:szCs w:val="20"/>
        </w:rPr>
      </w:pPr>
      <w:r w:rsidRPr="00E76EA2">
        <w:rPr>
          <w:rStyle w:val="FootnoteReference"/>
          <w:sz w:val="20"/>
          <w:szCs w:val="20"/>
        </w:rPr>
        <w:footnoteRef/>
      </w:r>
      <w:r w:rsidRPr="00E76EA2">
        <w:rPr>
          <w:sz w:val="20"/>
          <w:szCs w:val="20"/>
        </w:rPr>
        <w:t xml:space="preserve"> Ibid</w:t>
      </w:r>
      <w:r w:rsidR="00B05A05">
        <w:rPr>
          <w:sz w:val="20"/>
          <w:szCs w:val="20"/>
        </w:rPr>
        <w:t>.</w:t>
      </w:r>
    </w:p>
  </w:footnote>
  <w:footnote w:id="1113">
    <w:p w14:paraId="5F758717" w14:textId="4F0ECAD9" w:rsidR="00C310AB" w:rsidRPr="00E76EA2" w:rsidRDefault="00C310AB" w:rsidP="00B05A05">
      <w:pPr>
        <w:pStyle w:val="NoSpacing1"/>
        <w:jc w:val="both"/>
        <w:rPr>
          <w:sz w:val="20"/>
          <w:szCs w:val="20"/>
          <w:lang w:val="en-US"/>
        </w:rPr>
      </w:pPr>
      <w:r w:rsidRPr="00E76EA2">
        <w:rPr>
          <w:rStyle w:val="FootnoteReference"/>
          <w:sz w:val="20"/>
          <w:szCs w:val="20"/>
        </w:rPr>
        <w:footnoteRef/>
      </w:r>
      <w:r w:rsidRPr="00E76EA2">
        <w:rPr>
          <w:sz w:val="20"/>
          <w:szCs w:val="20"/>
        </w:rPr>
        <w:t xml:space="preserve"> Ibid,P.48,</w:t>
      </w:r>
      <w:r w:rsidRPr="00E76EA2">
        <w:rPr>
          <w:sz w:val="20"/>
          <w:szCs w:val="20"/>
          <w:lang w:val="en-US"/>
        </w:rPr>
        <w:t>Para 117</w:t>
      </w:r>
      <w:r w:rsidR="00B05A05">
        <w:rPr>
          <w:sz w:val="20"/>
          <w:szCs w:val="20"/>
          <w:lang w:val="en-US"/>
        </w:rPr>
        <w:t>.</w:t>
      </w:r>
    </w:p>
  </w:footnote>
  <w:footnote w:id="1114">
    <w:p w14:paraId="3ACC6C2D" w14:textId="310077C4" w:rsidR="00C310AB" w:rsidRPr="00E76EA2" w:rsidRDefault="00C310AB" w:rsidP="00B05A0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 140,p.48,para 118,</w:t>
      </w:r>
      <w:r w:rsidRPr="00E76EA2">
        <w:rPr>
          <w:sz w:val="20"/>
          <w:szCs w:val="20"/>
          <w:lang w:val="en-US"/>
        </w:rPr>
        <w:t>line 5</w:t>
      </w:r>
      <w:r w:rsidR="00B05A05">
        <w:rPr>
          <w:sz w:val="20"/>
          <w:szCs w:val="20"/>
          <w:lang w:val="en-US"/>
        </w:rPr>
        <w:t>.</w:t>
      </w:r>
    </w:p>
  </w:footnote>
  <w:footnote w:id="1115">
    <w:p w14:paraId="4F5EC6A0" w14:textId="6B628BFF" w:rsidR="00C310AB" w:rsidRPr="00E76EA2" w:rsidRDefault="00C310AB" w:rsidP="00B05A0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T.345,pp49-50</w:t>
      </w:r>
      <w:r w:rsidR="00B05A05">
        <w:rPr>
          <w:sz w:val="20"/>
          <w:szCs w:val="20"/>
          <w:lang w:val="en-US"/>
        </w:rPr>
        <w:t>.</w:t>
      </w:r>
    </w:p>
  </w:footnote>
  <w:footnote w:id="1116">
    <w:p w14:paraId="01F6BE85" w14:textId="0F2F9F57" w:rsidR="00C310AB" w:rsidRPr="00E76EA2" w:rsidRDefault="00C310AB" w:rsidP="00B05A0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Defence Second Submission</w:t>
      </w:r>
      <w:r w:rsidR="00B05A05">
        <w:rPr>
          <w:sz w:val="20"/>
          <w:szCs w:val="20"/>
        </w:rPr>
        <w:t>s.</w:t>
      </w:r>
    </w:p>
  </w:footnote>
  <w:footnote w:id="1117">
    <w:p w14:paraId="71F7B859" w14:textId="77777777"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p.14,lines 4-9.</w:t>
      </w:r>
    </w:p>
  </w:footnote>
  <w:footnote w:id="1118">
    <w:p w14:paraId="47682BD7" w14:textId="77777777" w:rsidR="00C310AB" w:rsidRPr="00E76EA2" w:rsidRDefault="00C310AB" w:rsidP="001905D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D02-300,T.325,PP.58-60</w:t>
      </w:r>
    </w:p>
  </w:footnote>
  <w:footnote w:id="1119">
    <w:p w14:paraId="0266AB1B" w14:textId="77777777" w:rsidR="00C310AB" w:rsidRPr="00E76EA2" w:rsidRDefault="00C310AB" w:rsidP="001905D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D02-300,T.340,PP.54-59.</w:t>
      </w:r>
    </w:p>
  </w:footnote>
  <w:footnote w:id="1120">
    <w:p w14:paraId="37BECFAD" w14:textId="46174FEA" w:rsidR="00C310AB" w:rsidRPr="00E76EA2" w:rsidRDefault="00C310AB" w:rsidP="001905D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Ibid,</w:t>
      </w:r>
      <w:r w:rsidR="001905DC">
        <w:rPr>
          <w:sz w:val="20"/>
          <w:szCs w:val="20"/>
        </w:rPr>
        <w:t>p</w:t>
      </w:r>
      <w:r w:rsidRPr="00E76EA2">
        <w:rPr>
          <w:sz w:val="20"/>
          <w:szCs w:val="20"/>
        </w:rPr>
        <w:t>.49</w:t>
      </w:r>
      <w:r w:rsidR="001905DC">
        <w:rPr>
          <w:sz w:val="20"/>
          <w:szCs w:val="20"/>
        </w:rPr>
        <w:t xml:space="preserve"> </w:t>
      </w:r>
      <w:r w:rsidRPr="00E76EA2">
        <w:rPr>
          <w:sz w:val="20"/>
          <w:szCs w:val="20"/>
          <w:lang w:val="en-US"/>
        </w:rPr>
        <w:t>Para 12</w:t>
      </w:r>
      <w:r w:rsidR="001905DC">
        <w:rPr>
          <w:sz w:val="20"/>
          <w:szCs w:val="20"/>
          <w:lang w:val="en-US"/>
        </w:rPr>
        <w:t>.</w:t>
      </w:r>
    </w:p>
  </w:footnote>
  <w:footnote w:id="1121">
    <w:p w14:paraId="2E31E16A" w14:textId="77777777" w:rsidR="00C310AB" w:rsidRPr="00E76EA2" w:rsidRDefault="00C310AB" w:rsidP="001905D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w:t>
      </w:r>
    </w:p>
  </w:footnote>
  <w:footnote w:id="1122">
    <w:p w14:paraId="4AA16783" w14:textId="637CCED3" w:rsidR="00C310AB" w:rsidRPr="00E76EA2" w:rsidRDefault="00C310AB" w:rsidP="001905DC">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Ibid, p.49</w:t>
      </w:r>
      <w:r w:rsidR="001905DC">
        <w:rPr>
          <w:sz w:val="20"/>
          <w:szCs w:val="20"/>
          <w:lang w:val="en-US"/>
        </w:rPr>
        <w:t xml:space="preserve"> </w:t>
      </w:r>
      <w:r w:rsidRPr="00E76EA2">
        <w:rPr>
          <w:sz w:val="20"/>
          <w:szCs w:val="20"/>
          <w:lang w:val="en-US"/>
        </w:rPr>
        <w:t>para 121</w:t>
      </w:r>
      <w:r w:rsidR="001905DC">
        <w:rPr>
          <w:sz w:val="20"/>
          <w:szCs w:val="20"/>
          <w:lang w:val="en-US"/>
        </w:rPr>
        <w:t>.</w:t>
      </w:r>
    </w:p>
  </w:footnote>
  <w:footnote w:id="1123">
    <w:p w14:paraId="2D0CFBC9" w14:textId="77777777"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Katanga sentencing decision.</w:t>
      </w:r>
    </w:p>
  </w:footnote>
  <w:footnote w:id="1124">
    <w:p w14:paraId="662416C6" w14:textId="15CF1EE1"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110(4)</w:t>
      </w:r>
      <w:r w:rsidR="001905DC">
        <w:rPr>
          <w:sz w:val="20"/>
          <w:szCs w:val="20"/>
        </w:rPr>
        <w:t>.</w:t>
      </w:r>
    </w:p>
  </w:footnote>
  <w:footnote w:id="1125">
    <w:p w14:paraId="118A9215" w14:textId="77777777"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Lubanga Sentence Review Decision , para.32.</w:t>
      </w:r>
    </w:p>
  </w:footnote>
  <w:footnote w:id="1126">
    <w:p w14:paraId="0C12F58A" w14:textId="45E0557C"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Defence Notice of Discontinuance of Appeal against the judgement rendered in pursuant to article 74 ,Trial Chamber ii on 7 April 2014,25 June 2014, ICC-01/04-01/07-3497-AnxA</w:t>
      </w:r>
      <w:r w:rsidR="001905DC">
        <w:rPr>
          <w:sz w:val="20"/>
          <w:szCs w:val="20"/>
        </w:rPr>
        <w:t>.</w:t>
      </w:r>
      <w:r w:rsidRPr="00E76EA2">
        <w:rPr>
          <w:sz w:val="20"/>
          <w:szCs w:val="20"/>
        </w:rPr>
        <w:t xml:space="preserve"> </w:t>
      </w:r>
    </w:p>
  </w:footnote>
  <w:footnote w:id="1127">
    <w:p w14:paraId="4E6274AA" w14:textId="77777777"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‘Defence Submission of a Video Recording of Mr Germain Katanga’ ICC-01/04-01/07-3606 (RW)  with Annex 1, icc-01/04-01/07-3606-Conf-Anx (</w:t>
      </w:r>
      <w:proofErr w:type="spellStart"/>
      <w:r w:rsidRPr="00E76EA2">
        <w:rPr>
          <w:sz w:val="20"/>
          <w:szCs w:val="20"/>
        </w:rPr>
        <w:t>rw</w:t>
      </w:r>
      <w:proofErr w:type="spellEnd"/>
      <w:r w:rsidRPr="00E76EA2">
        <w:rPr>
          <w:sz w:val="20"/>
          <w:szCs w:val="20"/>
        </w:rPr>
        <w:t>), and Transcript Translation of Video Recording’</w:t>
      </w:r>
    </w:p>
  </w:footnote>
  <w:footnote w:id="1128">
    <w:p w14:paraId="32228D2D" w14:textId="38046CFE"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w:t>
      </w:r>
      <w:r w:rsidR="00320275">
        <w:rPr>
          <w:sz w:val="20"/>
          <w:szCs w:val="20"/>
        </w:rPr>
        <w:t>v</w:t>
      </w:r>
      <w:r w:rsidRPr="00E76EA2">
        <w:rPr>
          <w:sz w:val="20"/>
          <w:szCs w:val="20"/>
        </w:rPr>
        <w:t>. Germain Katanga, Legal Representatives observations on the reduction of sentence of Germain Katanga, ICC-01/04-01/07-3559-tENG, 30 September 2015, p.6,para 15</w:t>
      </w:r>
      <w:r w:rsidR="00320275">
        <w:rPr>
          <w:sz w:val="20"/>
          <w:szCs w:val="20"/>
        </w:rPr>
        <w:t>.</w:t>
      </w:r>
    </w:p>
  </w:footnote>
  <w:footnote w:id="1129">
    <w:p w14:paraId="728ED501" w14:textId="12D26E98"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238, p.7, para 19,line 4</w:t>
      </w:r>
      <w:r w:rsidR="001905DC">
        <w:rPr>
          <w:sz w:val="20"/>
          <w:szCs w:val="20"/>
        </w:rPr>
        <w:t>.</w:t>
      </w:r>
    </w:p>
  </w:footnote>
  <w:footnote w:id="1130">
    <w:p w14:paraId="6C8E8983" w14:textId="3AAB6408" w:rsidR="00C310AB" w:rsidRPr="00E76EA2" w:rsidRDefault="00C310AB" w:rsidP="001905DC">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 Schabas, The International Criminal Court :A Commentary on the Rome Statute ( 2</w:t>
      </w:r>
      <w:r w:rsidRPr="00E76EA2">
        <w:rPr>
          <w:sz w:val="20"/>
          <w:szCs w:val="20"/>
          <w:vertAlign w:val="superscript"/>
        </w:rPr>
        <w:t>nd</w:t>
      </w:r>
      <w:r w:rsidRPr="00E76EA2">
        <w:rPr>
          <w:sz w:val="20"/>
          <w:szCs w:val="20"/>
        </w:rPr>
        <w:t xml:space="preserve"> Edition, Oxford University Press 2013)</w:t>
      </w:r>
      <w:r w:rsidR="00320275">
        <w:rPr>
          <w:sz w:val="20"/>
          <w:szCs w:val="20"/>
        </w:rPr>
        <w:t>.</w:t>
      </w:r>
    </w:p>
  </w:footnote>
  <w:footnote w:id="1131">
    <w:p w14:paraId="333E5410" w14:textId="77777777" w:rsidR="00C310AB" w:rsidRPr="00E76EA2" w:rsidRDefault="00C310AB" w:rsidP="0032027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Reduction of Sentence, p.14, para 47,lines 5-10.</w:t>
      </w:r>
    </w:p>
  </w:footnote>
  <w:footnote w:id="1132">
    <w:p w14:paraId="792BABD2" w14:textId="5F9AAB88" w:rsidR="00C310AB" w:rsidRPr="00E76EA2" w:rsidRDefault="00C310AB" w:rsidP="0032027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320275">
        <w:rPr>
          <w:sz w:val="20"/>
          <w:szCs w:val="20"/>
        </w:rPr>
        <w:t>.</w:t>
      </w:r>
    </w:p>
  </w:footnote>
  <w:footnote w:id="1133">
    <w:p w14:paraId="1B6B9878" w14:textId="1CD62D75" w:rsidR="00C310AB" w:rsidRPr="00E76EA2" w:rsidRDefault="00C310AB" w:rsidP="0032027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Observations of the DRC authorities.p.4 ,ICC-01/04-01/07 p.27para 72</w:t>
      </w:r>
      <w:r w:rsidR="00320275">
        <w:rPr>
          <w:sz w:val="20"/>
          <w:szCs w:val="20"/>
        </w:rPr>
        <w:t>.</w:t>
      </w:r>
    </w:p>
  </w:footnote>
  <w:footnote w:id="1134">
    <w:p w14:paraId="62BBE561" w14:textId="02B6E038" w:rsidR="00C310AB" w:rsidRPr="00E76EA2" w:rsidRDefault="00C310AB" w:rsidP="0032027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ICC-01/04-01/07-3615,13 November 2015, p.31,para 82</w:t>
      </w:r>
      <w:r w:rsidR="00320275">
        <w:rPr>
          <w:sz w:val="20"/>
          <w:szCs w:val="20"/>
        </w:rPr>
        <w:t>.</w:t>
      </w:r>
    </w:p>
  </w:footnote>
  <w:footnote w:id="1135">
    <w:p w14:paraId="5D5BB3B2" w14:textId="77777777" w:rsidR="00C310AB" w:rsidRPr="00E76EA2" w:rsidRDefault="00C310AB" w:rsidP="0032027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Transcript  of Sentence Review Hearing,p.18,lines 21-24.</w:t>
      </w:r>
    </w:p>
  </w:footnote>
  <w:footnote w:id="1136">
    <w:p w14:paraId="22099E5D" w14:textId="7B1965A1" w:rsidR="00C310AB" w:rsidRPr="00E76EA2" w:rsidRDefault="00C310AB" w:rsidP="00D3357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Mr Katanga’s Reparations Response, para 97</w:t>
      </w:r>
      <w:r w:rsidR="00D33570">
        <w:rPr>
          <w:sz w:val="20"/>
          <w:szCs w:val="20"/>
        </w:rPr>
        <w:t>.</w:t>
      </w:r>
    </w:p>
  </w:footnote>
  <w:footnote w:id="1137">
    <w:p w14:paraId="660D226F" w14:textId="185CC5A1" w:rsidR="00C310AB" w:rsidRPr="00E76EA2" w:rsidRDefault="00C310AB" w:rsidP="00D3357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Germain Katanga, 30 June 2014,ICC-01/04-01/07-3501-Anx;Observation of Victims on the Withdrawal of Appeal, 26 June 2014, ICC-01/04-01/07-3499</w:t>
      </w:r>
      <w:r w:rsidR="00D33570">
        <w:rPr>
          <w:sz w:val="20"/>
          <w:szCs w:val="20"/>
        </w:rPr>
        <w:t>.</w:t>
      </w:r>
    </w:p>
  </w:footnote>
  <w:footnote w:id="1138">
    <w:p w14:paraId="20EEF58F" w14:textId="3A1679F2" w:rsidR="00C310AB" w:rsidRPr="00E76EA2" w:rsidRDefault="00C310AB" w:rsidP="00D3357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Victims Submissions, para 54-55</w:t>
      </w:r>
      <w:r w:rsidR="00D33570">
        <w:rPr>
          <w:sz w:val="20"/>
          <w:szCs w:val="20"/>
        </w:rPr>
        <w:t>.</w:t>
      </w:r>
    </w:p>
  </w:footnote>
  <w:footnote w:id="1139">
    <w:p w14:paraId="0A4F44BF" w14:textId="54BBFAEC" w:rsidR="00C310AB" w:rsidRPr="00E76EA2" w:rsidRDefault="00C310AB" w:rsidP="00D3357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D33570">
        <w:rPr>
          <w:sz w:val="20"/>
          <w:szCs w:val="20"/>
        </w:rPr>
        <w:t>.</w:t>
      </w:r>
      <w:r w:rsidRPr="00E76EA2">
        <w:rPr>
          <w:sz w:val="20"/>
          <w:szCs w:val="20"/>
        </w:rPr>
        <w:t xml:space="preserve"> </w:t>
      </w:r>
    </w:p>
  </w:footnote>
  <w:footnote w:id="1140">
    <w:p w14:paraId="1E0D060A" w14:textId="4A9617BC" w:rsidR="00C310AB" w:rsidRPr="00E76EA2" w:rsidRDefault="00C310AB" w:rsidP="00D3357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D33570">
        <w:rPr>
          <w:sz w:val="20"/>
          <w:szCs w:val="20"/>
        </w:rPr>
        <w:t>.</w:t>
      </w:r>
      <w:r w:rsidRPr="00E76EA2">
        <w:rPr>
          <w:sz w:val="20"/>
          <w:szCs w:val="20"/>
        </w:rPr>
        <w:t xml:space="preserve"> </w:t>
      </w:r>
    </w:p>
  </w:footnote>
  <w:footnote w:id="1141">
    <w:p w14:paraId="74AD7F60" w14:textId="77777777" w:rsidR="00C310AB" w:rsidRPr="00E76EA2" w:rsidRDefault="00C310AB" w:rsidP="00D3357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Mr Katanga ‘s Reparations Response.</w:t>
      </w:r>
    </w:p>
  </w:footnote>
  <w:footnote w:id="1142">
    <w:p w14:paraId="3EFC8C99" w14:textId="77777777" w:rsidR="00C310AB" w:rsidRPr="00E76EA2" w:rsidRDefault="00C310AB" w:rsidP="008F168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Mr Katanga’s Submission, pars 82.84.</w:t>
      </w:r>
    </w:p>
  </w:footnote>
  <w:footnote w:id="1143">
    <w:p w14:paraId="79AA93D5" w14:textId="0D582A13" w:rsidR="00C310AB" w:rsidRPr="00E76EA2" w:rsidRDefault="00C310AB" w:rsidP="008F168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HRC/TJI Observations on Reparations, para</w:t>
      </w:r>
      <w:r w:rsidR="008F168F">
        <w:rPr>
          <w:sz w:val="20"/>
          <w:szCs w:val="20"/>
        </w:rPr>
        <w:t xml:space="preserve"> </w:t>
      </w:r>
      <w:r w:rsidRPr="00E76EA2">
        <w:rPr>
          <w:sz w:val="20"/>
          <w:szCs w:val="20"/>
        </w:rPr>
        <w:t>86</w:t>
      </w:r>
      <w:r w:rsidR="008F168F">
        <w:rPr>
          <w:sz w:val="20"/>
          <w:szCs w:val="20"/>
        </w:rPr>
        <w:t>.</w:t>
      </w:r>
    </w:p>
  </w:footnote>
  <w:footnote w:id="1144">
    <w:p w14:paraId="1FF652CF" w14:textId="4EB3844D" w:rsidR="00C310AB" w:rsidRPr="00E76EA2" w:rsidRDefault="00C310AB" w:rsidP="00B46EDD">
      <w:pPr>
        <w:pStyle w:val="NoSpacing1"/>
        <w:spacing w:line="276" w:lineRule="auto"/>
        <w:jc w:val="both"/>
        <w:rPr>
          <w:color w:val="000000" w:themeColor="text1"/>
          <w:sz w:val="20"/>
          <w:szCs w:val="20"/>
        </w:rPr>
      </w:pPr>
      <w:r w:rsidRPr="00E76EA2">
        <w:rPr>
          <w:rStyle w:val="FootnoteReference"/>
          <w:sz w:val="20"/>
          <w:szCs w:val="20"/>
        </w:rPr>
        <w:footnoteRef/>
      </w:r>
      <w:r w:rsidRPr="00E76EA2">
        <w:rPr>
          <w:sz w:val="20"/>
          <w:szCs w:val="20"/>
        </w:rPr>
        <w:t xml:space="preserve">International Criminal Court, Germain Katanga’s sentence reduced and to be completed on 18 January 2016, available at &lt; </w:t>
      </w:r>
      <w:hyperlink r:id="rId70" w:history="1">
        <w:r w:rsidRPr="00E76EA2">
          <w:rPr>
            <w:rStyle w:val="Hyperlink"/>
            <w:sz w:val="20"/>
            <w:szCs w:val="20"/>
          </w:rPr>
          <w:t>https://www.icc-cpi.int/Pages/item.aspx?name=pr1174</w:t>
        </w:r>
      </w:hyperlink>
      <w:r w:rsidRPr="00E76EA2">
        <w:rPr>
          <w:sz w:val="20"/>
          <w:szCs w:val="20"/>
        </w:rPr>
        <w:t>&gt; accessed on 20 January 2020</w:t>
      </w:r>
      <w:r w:rsidRPr="00E76EA2">
        <w:rPr>
          <w:b/>
          <w:color w:val="000000" w:themeColor="text1"/>
          <w:sz w:val="20"/>
          <w:szCs w:val="20"/>
        </w:rPr>
        <w:t>;</w:t>
      </w:r>
      <w:r w:rsidRPr="00E76EA2">
        <w:rPr>
          <w:color w:val="000000" w:themeColor="text1"/>
          <w:sz w:val="20"/>
          <w:szCs w:val="20"/>
        </w:rPr>
        <w:t xml:space="preserve"> Prosecutor v. Katanga, </w:t>
      </w:r>
      <w:hyperlink r:id="rId71" w:history="1">
        <w:r w:rsidRPr="00E76EA2">
          <w:rPr>
            <w:rStyle w:val="Strong"/>
            <w:rFonts w:eastAsiaTheme="minorEastAsia"/>
            <w:b w:val="0"/>
            <w:color w:val="000000" w:themeColor="text1"/>
            <w:sz w:val="20"/>
            <w:szCs w:val="20"/>
          </w:rPr>
          <w:t>Decision on the review concerning reduction of sentence of Mr Germain Katanga</w:t>
        </w:r>
      </w:hyperlink>
      <w:r w:rsidRPr="00E76EA2">
        <w:rPr>
          <w:color w:val="000000" w:themeColor="text1"/>
          <w:sz w:val="20"/>
          <w:szCs w:val="20"/>
        </w:rPr>
        <w:t>, Appeals Chamber, ICC-01/04-01/07-3615, 13 November 2015</w:t>
      </w:r>
      <w:r w:rsidR="00B46EDD">
        <w:rPr>
          <w:color w:val="000000" w:themeColor="text1"/>
          <w:sz w:val="20"/>
          <w:szCs w:val="20"/>
        </w:rPr>
        <w:t>.</w:t>
      </w:r>
    </w:p>
  </w:footnote>
  <w:footnote w:id="1145">
    <w:p w14:paraId="47D38F90" w14:textId="00E64029" w:rsidR="00C310AB" w:rsidRPr="00E76EA2" w:rsidRDefault="00C310AB" w:rsidP="00B46ED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Ralph </w:t>
      </w:r>
      <w:proofErr w:type="spellStart"/>
      <w:r w:rsidRPr="00E76EA2">
        <w:rPr>
          <w:sz w:val="20"/>
          <w:szCs w:val="20"/>
        </w:rPr>
        <w:t>Henham</w:t>
      </w:r>
      <w:proofErr w:type="spellEnd"/>
      <w:r w:rsidRPr="00E76EA2">
        <w:rPr>
          <w:sz w:val="20"/>
          <w:szCs w:val="20"/>
        </w:rPr>
        <w:t xml:space="preserve">, “Sentencing as Social Reality” Ralph </w:t>
      </w:r>
      <w:proofErr w:type="spellStart"/>
      <w:r w:rsidRPr="00E76EA2">
        <w:rPr>
          <w:sz w:val="20"/>
          <w:szCs w:val="20"/>
        </w:rPr>
        <w:t>Henham</w:t>
      </w:r>
      <w:proofErr w:type="spellEnd"/>
      <w:r w:rsidRPr="00E76EA2">
        <w:rPr>
          <w:sz w:val="20"/>
          <w:szCs w:val="20"/>
        </w:rPr>
        <w:t xml:space="preserve"> and Mark Findlay (eds) in </w:t>
      </w:r>
      <w:r w:rsidRPr="00B46EDD">
        <w:rPr>
          <w:i/>
          <w:iCs/>
          <w:sz w:val="20"/>
          <w:szCs w:val="20"/>
        </w:rPr>
        <w:t>Punishment and Process in International Criminal Trials</w:t>
      </w:r>
      <w:r w:rsidRPr="00E76EA2">
        <w:rPr>
          <w:sz w:val="20"/>
          <w:szCs w:val="20"/>
        </w:rPr>
        <w:t xml:space="preserve">(Ashgate 2005)p.98;Ralph </w:t>
      </w:r>
      <w:proofErr w:type="spellStart"/>
      <w:r w:rsidRPr="00E76EA2">
        <w:rPr>
          <w:sz w:val="20"/>
          <w:szCs w:val="20"/>
        </w:rPr>
        <w:t>Henham</w:t>
      </w:r>
      <w:proofErr w:type="spellEnd"/>
      <w:r w:rsidRPr="00E76EA2">
        <w:rPr>
          <w:sz w:val="20"/>
          <w:szCs w:val="20"/>
        </w:rPr>
        <w:t xml:space="preserve">, “Reconceptualising International Penalty” in Ralph </w:t>
      </w:r>
      <w:proofErr w:type="spellStart"/>
      <w:r w:rsidRPr="00E76EA2">
        <w:rPr>
          <w:sz w:val="20"/>
          <w:szCs w:val="20"/>
        </w:rPr>
        <w:t>Henham</w:t>
      </w:r>
      <w:proofErr w:type="spellEnd"/>
      <w:r w:rsidRPr="00E76EA2">
        <w:rPr>
          <w:sz w:val="20"/>
          <w:szCs w:val="20"/>
        </w:rPr>
        <w:t xml:space="preserve"> and Mark Findlay (eds) in </w:t>
      </w:r>
      <w:r w:rsidRPr="00B46EDD">
        <w:rPr>
          <w:i/>
          <w:iCs/>
          <w:sz w:val="20"/>
          <w:szCs w:val="20"/>
        </w:rPr>
        <w:t>Punishment and Process in international Criminal Trials</w:t>
      </w:r>
      <w:r w:rsidRPr="00E76EA2">
        <w:rPr>
          <w:sz w:val="20"/>
          <w:szCs w:val="20"/>
        </w:rPr>
        <w:t xml:space="preserve"> (Ashgate 2005)p.218-219</w:t>
      </w:r>
    </w:p>
  </w:footnote>
  <w:footnote w:id="1146">
    <w:p w14:paraId="1A376247" w14:textId="77777777" w:rsidR="00C310AB" w:rsidRPr="00E76EA2" w:rsidRDefault="00C310AB" w:rsidP="00B46ED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Juan Pablo Perez-Leon-Acevedo, “Assessing Victim Participation during Sentencing at the International Criminal Court” (2019) 17</w:t>
      </w:r>
      <w:r w:rsidRPr="00E76EA2">
        <w:rPr>
          <w:i/>
          <w:sz w:val="20"/>
          <w:szCs w:val="20"/>
        </w:rPr>
        <w:t xml:space="preserve"> Journal of Criminal Justice , </w:t>
      </w:r>
      <w:r w:rsidRPr="00E76EA2">
        <w:rPr>
          <w:sz w:val="20"/>
          <w:szCs w:val="20"/>
        </w:rPr>
        <w:t>431-451,p.451</w:t>
      </w:r>
    </w:p>
  </w:footnote>
  <w:footnote w:id="1147">
    <w:p w14:paraId="59C204E6" w14:textId="77777777" w:rsidR="00C310AB" w:rsidRPr="00E76EA2" w:rsidRDefault="00C310AB" w:rsidP="00B46ED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148">
    <w:p w14:paraId="010B2C73" w14:textId="68443887" w:rsidR="00C310AB" w:rsidRPr="00E76EA2" w:rsidRDefault="00C310AB" w:rsidP="00B46ED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John </w:t>
      </w:r>
      <w:proofErr w:type="spellStart"/>
      <w:r w:rsidRPr="00E76EA2">
        <w:rPr>
          <w:sz w:val="20"/>
          <w:szCs w:val="20"/>
        </w:rPr>
        <w:t>Scheb</w:t>
      </w:r>
      <w:proofErr w:type="spellEnd"/>
      <w:r w:rsidRPr="00E76EA2">
        <w:rPr>
          <w:sz w:val="20"/>
          <w:szCs w:val="20"/>
        </w:rPr>
        <w:t xml:space="preserve">, Thomas </w:t>
      </w:r>
      <w:proofErr w:type="spellStart"/>
      <w:r w:rsidRPr="00E76EA2">
        <w:rPr>
          <w:sz w:val="20"/>
          <w:szCs w:val="20"/>
        </w:rPr>
        <w:t>Ungs</w:t>
      </w:r>
      <w:proofErr w:type="spellEnd"/>
      <w:r w:rsidRPr="00E76EA2">
        <w:rPr>
          <w:sz w:val="20"/>
          <w:szCs w:val="20"/>
        </w:rPr>
        <w:t xml:space="preserve"> and Allison Hayes, “Judicial Role Orientations, Attitudes and Decision </w:t>
      </w:r>
      <w:proofErr w:type="spellStart"/>
      <w:r w:rsidRPr="00E76EA2">
        <w:rPr>
          <w:sz w:val="20"/>
          <w:szCs w:val="20"/>
        </w:rPr>
        <w:t>Making:A</w:t>
      </w:r>
      <w:proofErr w:type="spellEnd"/>
      <w:r w:rsidRPr="00E76EA2">
        <w:rPr>
          <w:sz w:val="20"/>
          <w:szCs w:val="20"/>
        </w:rPr>
        <w:t xml:space="preserve"> Research Note”(1989)42(3)</w:t>
      </w:r>
      <w:r w:rsidRPr="00E76EA2">
        <w:rPr>
          <w:i/>
          <w:iCs/>
          <w:sz w:val="20"/>
          <w:szCs w:val="20"/>
        </w:rPr>
        <w:t>The Western Political Quarterly</w:t>
      </w:r>
      <w:r w:rsidRPr="00E76EA2">
        <w:rPr>
          <w:sz w:val="20"/>
          <w:szCs w:val="20"/>
        </w:rPr>
        <w:t>,427-435.</w:t>
      </w:r>
    </w:p>
  </w:footnote>
  <w:footnote w:id="1149">
    <w:p w14:paraId="76CAEF73" w14:textId="35BC7033" w:rsidR="00C310AB" w:rsidRPr="00E76EA2" w:rsidRDefault="00C310AB" w:rsidP="00B46ED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James Gibson, “From Simplicity to </w:t>
      </w:r>
      <w:proofErr w:type="spellStart"/>
      <w:r w:rsidRPr="00E76EA2">
        <w:rPr>
          <w:sz w:val="20"/>
          <w:szCs w:val="20"/>
        </w:rPr>
        <w:t>Complexity:The</w:t>
      </w:r>
      <w:proofErr w:type="spellEnd"/>
      <w:r w:rsidRPr="00E76EA2">
        <w:rPr>
          <w:sz w:val="20"/>
          <w:szCs w:val="20"/>
        </w:rPr>
        <w:t xml:space="preserve"> Development of Theory in the Study of Judicial Behaviour”(1983) 5(1)</w:t>
      </w:r>
      <w:r w:rsidRPr="00E76EA2">
        <w:rPr>
          <w:i/>
          <w:iCs/>
          <w:sz w:val="20"/>
          <w:szCs w:val="20"/>
        </w:rPr>
        <w:t>Political Behaviour</w:t>
      </w:r>
      <w:r w:rsidRPr="00E76EA2">
        <w:rPr>
          <w:sz w:val="20"/>
          <w:szCs w:val="20"/>
        </w:rPr>
        <w:t xml:space="preserve">,7-49  ;James Gibson, “Judges Role Orientations, Attitudes and </w:t>
      </w:r>
      <w:proofErr w:type="spellStart"/>
      <w:r w:rsidRPr="00E76EA2">
        <w:rPr>
          <w:sz w:val="20"/>
          <w:szCs w:val="20"/>
        </w:rPr>
        <w:t>Decisions:An</w:t>
      </w:r>
      <w:proofErr w:type="spellEnd"/>
      <w:r w:rsidRPr="00E76EA2">
        <w:rPr>
          <w:sz w:val="20"/>
          <w:szCs w:val="20"/>
        </w:rPr>
        <w:t xml:space="preserve"> Interactive Model”(1978)72(1) </w:t>
      </w:r>
      <w:r w:rsidRPr="00E76EA2">
        <w:rPr>
          <w:i/>
          <w:iCs/>
          <w:sz w:val="20"/>
          <w:szCs w:val="20"/>
        </w:rPr>
        <w:t xml:space="preserve">American Political Science </w:t>
      </w:r>
      <w:r w:rsidRPr="00E76EA2">
        <w:rPr>
          <w:sz w:val="20"/>
          <w:szCs w:val="20"/>
        </w:rPr>
        <w:t xml:space="preserve">Review,911-924.Woodford Howard, “Role Perceptions and Behaviour in Three U.S Courts of Appeal”(1977) 39 </w:t>
      </w:r>
      <w:r w:rsidRPr="00E76EA2">
        <w:rPr>
          <w:i/>
          <w:iCs/>
          <w:sz w:val="20"/>
          <w:szCs w:val="20"/>
        </w:rPr>
        <w:t xml:space="preserve">Journal of Politics </w:t>
      </w:r>
      <w:r w:rsidRPr="00E76EA2">
        <w:rPr>
          <w:sz w:val="20"/>
          <w:szCs w:val="20"/>
        </w:rPr>
        <w:t>,916-938.</w:t>
      </w:r>
    </w:p>
  </w:footnote>
  <w:footnote w:id="1150">
    <w:p w14:paraId="78620B48" w14:textId="1BA86FBF" w:rsidR="00C310AB" w:rsidRPr="00E76EA2" w:rsidRDefault="00C310AB" w:rsidP="006F403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Neal </w:t>
      </w:r>
      <w:proofErr w:type="spellStart"/>
      <w:r w:rsidRPr="00E76EA2">
        <w:rPr>
          <w:sz w:val="20"/>
          <w:szCs w:val="20"/>
        </w:rPr>
        <w:t>Feigenson’Emotional</w:t>
      </w:r>
      <w:proofErr w:type="spellEnd"/>
      <w:r w:rsidRPr="00E76EA2">
        <w:rPr>
          <w:sz w:val="20"/>
          <w:szCs w:val="20"/>
        </w:rPr>
        <w:t xml:space="preserve"> Influences on judgments of legal </w:t>
      </w:r>
      <w:proofErr w:type="spellStart"/>
      <w:r w:rsidRPr="00E76EA2">
        <w:rPr>
          <w:sz w:val="20"/>
          <w:szCs w:val="20"/>
        </w:rPr>
        <w:t>blame.How</w:t>
      </w:r>
      <w:proofErr w:type="spellEnd"/>
      <w:r w:rsidRPr="00E76EA2">
        <w:rPr>
          <w:sz w:val="20"/>
          <w:szCs w:val="20"/>
        </w:rPr>
        <w:t xml:space="preserve"> they happen , whether they should, and what to do about </w:t>
      </w:r>
      <w:proofErr w:type="spellStart"/>
      <w:r w:rsidRPr="00E76EA2">
        <w:rPr>
          <w:sz w:val="20"/>
          <w:szCs w:val="20"/>
        </w:rPr>
        <w:t>it’.In</w:t>
      </w:r>
      <w:proofErr w:type="spellEnd"/>
      <w:r w:rsidRPr="00E76EA2">
        <w:rPr>
          <w:sz w:val="20"/>
          <w:szCs w:val="20"/>
        </w:rPr>
        <w:t xml:space="preserve">  Brian Bornstein &amp; Richard Weiner (Eds</w:t>
      </w:r>
      <w:r w:rsidRPr="00E76EA2">
        <w:rPr>
          <w:i/>
          <w:iCs/>
          <w:sz w:val="20"/>
          <w:szCs w:val="20"/>
        </w:rPr>
        <w:t xml:space="preserve">), Emotion and the </w:t>
      </w:r>
      <w:proofErr w:type="spellStart"/>
      <w:r w:rsidRPr="00E76EA2">
        <w:rPr>
          <w:i/>
          <w:iCs/>
          <w:sz w:val="20"/>
          <w:szCs w:val="20"/>
        </w:rPr>
        <w:t>law:Pyschological</w:t>
      </w:r>
      <w:proofErr w:type="spellEnd"/>
      <w:r w:rsidRPr="00E76EA2">
        <w:rPr>
          <w:i/>
          <w:iCs/>
          <w:sz w:val="20"/>
          <w:szCs w:val="20"/>
        </w:rPr>
        <w:t xml:space="preserve"> perspectives</w:t>
      </w:r>
      <w:r w:rsidRPr="00E76EA2">
        <w:rPr>
          <w:sz w:val="20"/>
          <w:szCs w:val="20"/>
        </w:rPr>
        <w:t xml:space="preserve">(New York Springer 2010) 45-96;Neal </w:t>
      </w:r>
      <w:proofErr w:type="spellStart"/>
      <w:r w:rsidRPr="00E76EA2">
        <w:rPr>
          <w:sz w:val="20"/>
          <w:szCs w:val="20"/>
        </w:rPr>
        <w:t>Feigenson</w:t>
      </w:r>
      <w:proofErr w:type="spellEnd"/>
      <w:r w:rsidRPr="00E76EA2">
        <w:rPr>
          <w:sz w:val="20"/>
          <w:szCs w:val="20"/>
        </w:rPr>
        <w:t>, “Jurors Emotions and Judgments of Legal Responsibility and Blame :What Does the Experimental; Research Tell Us?(2015) 8</w:t>
      </w:r>
      <w:r w:rsidRPr="00E76EA2">
        <w:rPr>
          <w:i/>
          <w:iCs/>
          <w:sz w:val="20"/>
          <w:szCs w:val="20"/>
        </w:rPr>
        <w:t>Emotional Review</w:t>
      </w:r>
      <w:r w:rsidRPr="00E76EA2">
        <w:rPr>
          <w:sz w:val="20"/>
          <w:szCs w:val="20"/>
        </w:rPr>
        <w:t>26-31.</w:t>
      </w:r>
    </w:p>
  </w:footnote>
  <w:footnote w:id="1151">
    <w:p w14:paraId="0342D3DC" w14:textId="50A1B97C" w:rsidR="00C310AB" w:rsidRPr="00E76EA2" w:rsidRDefault="00C310AB" w:rsidP="006F4035">
      <w:pPr>
        <w:pStyle w:val="NoSpacing1"/>
        <w:spacing w:line="276" w:lineRule="auto"/>
        <w:jc w:val="both"/>
        <w:rPr>
          <w:sz w:val="20"/>
          <w:szCs w:val="20"/>
          <w:lang w:val="en-US"/>
        </w:rPr>
      </w:pPr>
      <w:r w:rsidRPr="00E76EA2">
        <w:rPr>
          <w:rStyle w:val="FootnoteReference"/>
          <w:sz w:val="20"/>
          <w:szCs w:val="20"/>
        </w:rPr>
        <w:footnoteRef/>
      </w:r>
      <w:proofErr w:type="spellStart"/>
      <w:r w:rsidRPr="00E76EA2">
        <w:rPr>
          <w:sz w:val="20"/>
          <w:szCs w:val="20"/>
        </w:rPr>
        <w:t>Jeffrie</w:t>
      </w:r>
      <w:proofErr w:type="spellEnd"/>
      <w:r w:rsidRPr="00E76EA2">
        <w:rPr>
          <w:sz w:val="20"/>
          <w:szCs w:val="20"/>
        </w:rPr>
        <w:t xml:space="preserve"> </w:t>
      </w:r>
      <w:proofErr w:type="spellStart"/>
      <w:r w:rsidRPr="00E76EA2">
        <w:rPr>
          <w:sz w:val="20"/>
          <w:szCs w:val="20"/>
        </w:rPr>
        <w:t>Murphy,</w:t>
      </w:r>
      <w:r w:rsidRPr="00E76EA2">
        <w:rPr>
          <w:i/>
          <w:iCs/>
          <w:sz w:val="20"/>
          <w:szCs w:val="20"/>
        </w:rPr>
        <w:t>Remorse,Apology</w:t>
      </w:r>
      <w:proofErr w:type="spellEnd"/>
      <w:r w:rsidRPr="00E76EA2">
        <w:rPr>
          <w:i/>
          <w:iCs/>
          <w:sz w:val="20"/>
          <w:szCs w:val="20"/>
        </w:rPr>
        <w:t xml:space="preserve"> and Mercy in Punishment and the Moral Emotions</w:t>
      </w:r>
      <w:r w:rsidRPr="00E76EA2">
        <w:rPr>
          <w:sz w:val="20"/>
          <w:szCs w:val="20"/>
        </w:rPr>
        <w:t>(Oxford University Press 2012)129-180;</w:t>
      </w:r>
      <w:r w:rsidRPr="00E76EA2">
        <w:rPr>
          <w:i/>
          <w:iCs/>
          <w:sz w:val="20"/>
          <w:szCs w:val="20"/>
        </w:rPr>
        <w:t xml:space="preserve"> </w:t>
      </w:r>
      <w:r w:rsidRPr="00E76EA2">
        <w:rPr>
          <w:sz w:val="20"/>
          <w:szCs w:val="20"/>
        </w:rPr>
        <w:t>Samuel Pillsbury , “Emotion and Criminal Punishment :In Principle and in Practice” available at &lt;</w:t>
      </w:r>
      <w:hyperlink r:id="rId72" w:history="1">
        <w:r w:rsidRPr="00E76EA2">
          <w:rPr>
            <w:rStyle w:val="Hyperlink"/>
            <w:rFonts w:eastAsiaTheme="majorEastAsia"/>
            <w:sz w:val="20"/>
            <w:szCs w:val="20"/>
          </w:rPr>
          <w:t>https://emotionresearcher.com/emotion-and-criminal-punishment-in-principle-and-in-practice/</w:t>
        </w:r>
      </w:hyperlink>
      <w:r w:rsidRPr="00E76EA2">
        <w:rPr>
          <w:sz w:val="20"/>
          <w:szCs w:val="20"/>
        </w:rPr>
        <w:t xml:space="preserve">&gt;last accessed 13 January 2020;Jonathan </w:t>
      </w:r>
      <w:proofErr w:type="spellStart"/>
      <w:r w:rsidRPr="00E76EA2">
        <w:rPr>
          <w:sz w:val="20"/>
          <w:szCs w:val="20"/>
        </w:rPr>
        <w:t>Doak</w:t>
      </w:r>
      <w:proofErr w:type="spellEnd"/>
      <w:r w:rsidRPr="00E76EA2">
        <w:rPr>
          <w:sz w:val="20"/>
          <w:szCs w:val="20"/>
        </w:rPr>
        <w:t xml:space="preserve"> and Louise Taylor, 2Hearing the voices of victims and </w:t>
      </w:r>
      <w:proofErr w:type="spellStart"/>
      <w:r w:rsidRPr="00E76EA2">
        <w:rPr>
          <w:sz w:val="20"/>
          <w:szCs w:val="20"/>
        </w:rPr>
        <w:t>offenders:the</w:t>
      </w:r>
      <w:proofErr w:type="spellEnd"/>
      <w:r w:rsidRPr="00E76EA2">
        <w:rPr>
          <w:sz w:val="20"/>
          <w:szCs w:val="20"/>
        </w:rPr>
        <w:t xml:space="preserve"> role of emotions in criminal sentencing”(2013) 64(1)</w:t>
      </w:r>
      <w:r w:rsidRPr="00E76EA2">
        <w:rPr>
          <w:i/>
          <w:iCs/>
          <w:sz w:val="20"/>
          <w:szCs w:val="20"/>
        </w:rPr>
        <w:t>Northern  Ireland Legal Quarterly.</w:t>
      </w:r>
      <w:r w:rsidRPr="00E76EA2">
        <w:rPr>
          <w:sz w:val="20"/>
          <w:szCs w:val="20"/>
        </w:rPr>
        <w:t>22-46.</w:t>
      </w:r>
    </w:p>
  </w:footnote>
  <w:footnote w:id="1152">
    <w:p w14:paraId="35C64C68" w14:textId="77777777" w:rsidR="00C310AB" w:rsidRPr="00E76EA2" w:rsidRDefault="00C310AB" w:rsidP="006F403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153">
    <w:p w14:paraId="136DEF14" w14:textId="68D7B013" w:rsidR="00C310AB" w:rsidRPr="00E76EA2" w:rsidRDefault="00C310AB" w:rsidP="006F4035">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Samuel Pillsbury , “Emotion and Criminal Punishment :In Principle and in Practice” available at &lt;</w:t>
      </w:r>
      <w:hyperlink r:id="rId73" w:history="1">
        <w:r w:rsidRPr="00E76EA2">
          <w:rPr>
            <w:rStyle w:val="Hyperlink"/>
            <w:rFonts w:eastAsiaTheme="majorEastAsia"/>
            <w:sz w:val="20"/>
            <w:szCs w:val="20"/>
          </w:rPr>
          <w:t>https://emotionresearcher.com/emotion-and-criminal-punishment-in-principle-and-in-practice/</w:t>
        </w:r>
      </w:hyperlink>
      <w:r w:rsidRPr="00E76EA2">
        <w:rPr>
          <w:sz w:val="20"/>
          <w:szCs w:val="20"/>
        </w:rPr>
        <w:t>&gt;last accessed 13 January 2020</w:t>
      </w:r>
      <w:r w:rsidR="006F4035">
        <w:rPr>
          <w:sz w:val="20"/>
          <w:szCs w:val="20"/>
        </w:rPr>
        <w:t>.</w:t>
      </w:r>
    </w:p>
  </w:footnote>
  <w:footnote w:id="1154">
    <w:p w14:paraId="7B798CB5" w14:textId="77777777" w:rsidR="00C310AB" w:rsidRPr="00E76EA2" w:rsidRDefault="00C310AB" w:rsidP="006F403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Some States in United States of America gives higher sentence for grave </w:t>
      </w:r>
      <w:proofErr w:type="spellStart"/>
      <w:r w:rsidRPr="00E76EA2">
        <w:rPr>
          <w:sz w:val="20"/>
          <w:szCs w:val="20"/>
        </w:rPr>
        <w:t>crimes.Congo</w:t>
      </w:r>
      <w:proofErr w:type="spellEnd"/>
      <w:r w:rsidRPr="00E76EA2">
        <w:rPr>
          <w:sz w:val="20"/>
          <w:szCs w:val="20"/>
        </w:rPr>
        <w:t xml:space="preserve"> also has a higher sentence or death penalty for serious crimes.</w:t>
      </w:r>
    </w:p>
  </w:footnote>
  <w:footnote w:id="1155">
    <w:p w14:paraId="0117EFAC" w14:textId="77777777" w:rsidR="00C310AB" w:rsidRPr="00E76EA2" w:rsidRDefault="00C310AB" w:rsidP="006F403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Victims’ submissions ,para 47; ICC-01/04-01/07-3615,13 November 2015.p.27para71; Observations of the DRC authorities.p.4 ,ICC-01/04-01/07 p.27para 72.</w:t>
      </w:r>
    </w:p>
  </w:footnote>
  <w:footnote w:id="1156">
    <w:p w14:paraId="0E524CF7" w14:textId="12E16FF8" w:rsidR="00C310AB" w:rsidRPr="00E76EA2" w:rsidRDefault="00C310AB" w:rsidP="006F403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Katanga sentencing</w:t>
      </w:r>
      <w:r w:rsidR="006F4035">
        <w:rPr>
          <w:sz w:val="20"/>
          <w:szCs w:val="20"/>
        </w:rPr>
        <w:t>.</w:t>
      </w:r>
    </w:p>
  </w:footnote>
  <w:footnote w:id="1157">
    <w:p w14:paraId="065F4B0B" w14:textId="02EF5A24" w:rsidR="00C310AB" w:rsidRPr="00E76EA2" w:rsidRDefault="00C310AB" w:rsidP="00B52B4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Oliver </w:t>
      </w:r>
      <w:proofErr w:type="spellStart"/>
      <w:r w:rsidRPr="00E76EA2">
        <w:rPr>
          <w:sz w:val="20"/>
          <w:szCs w:val="20"/>
        </w:rPr>
        <w:t>Lungwe</w:t>
      </w:r>
      <w:proofErr w:type="spellEnd"/>
      <w:r w:rsidRPr="00E76EA2">
        <w:rPr>
          <w:sz w:val="20"/>
          <w:szCs w:val="20"/>
        </w:rPr>
        <w:t xml:space="preserve"> </w:t>
      </w:r>
      <w:proofErr w:type="spellStart"/>
      <w:r w:rsidRPr="00E76EA2">
        <w:rPr>
          <w:sz w:val="20"/>
          <w:szCs w:val="20"/>
        </w:rPr>
        <w:t>Fataki</w:t>
      </w:r>
      <w:proofErr w:type="spellEnd"/>
      <w:r w:rsidRPr="00E76EA2">
        <w:rPr>
          <w:sz w:val="20"/>
          <w:szCs w:val="20"/>
        </w:rPr>
        <w:t xml:space="preserve">, World Coalition  Against Death Penalty , Africa Towards the Abolition of the death Penalty in DRC: Advances to be confirmed , published on 13 December , 2016. Accessible at </w:t>
      </w:r>
      <w:hyperlink r:id="rId74" w:history="1">
        <w:r w:rsidR="00B52B40" w:rsidRPr="006308A2">
          <w:rPr>
            <w:rStyle w:val="Hyperlink"/>
            <w:sz w:val="20"/>
            <w:szCs w:val="20"/>
          </w:rPr>
          <w:t xml:space="preserve">www.worldcoalition.org/Towards-the-abolition-of -the -death-penaalty-in-DRC-advances-to-be-confirmed.html </w:t>
        </w:r>
      </w:hyperlink>
      <w:r w:rsidR="00B52B40">
        <w:rPr>
          <w:sz w:val="20"/>
          <w:szCs w:val="20"/>
        </w:rPr>
        <w:t>&gt;Last accessed 12 November 2</w:t>
      </w:r>
      <w:r w:rsidR="00303C19">
        <w:rPr>
          <w:sz w:val="20"/>
          <w:szCs w:val="20"/>
        </w:rPr>
        <w:t>019.</w:t>
      </w:r>
    </w:p>
  </w:footnote>
  <w:footnote w:id="1158">
    <w:p w14:paraId="10CEA387" w14:textId="56080A08" w:rsidR="00C310AB" w:rsidRPr="00E76EA2" w:rsidRDefault="00C310AB" w:rsidP="00B52B4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Article 21</w:t>
      </w:r>
      <w:r w:rsidR="00B52B40">
        <w:rPr>
          <w:sz w:val="20"/>
          <w:szCs w:val="20"/>
        </w:rPr>
        <w:t>.</w:t>
      </w:r>
    </w:p>
  </w:footnote>
  <w:footnote w:id="1159">
    <w:p w14:paraId="6264288D" w14:textId="0D75BF02" w:rsidR="00C310AB" w:rsidRPr="00E76EA2" w:rsidRDefault="00C310AB" w:rsidP="00B52B4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Robert Cryer, ‘Royalism  and the King Article  21 of the Rome Statute and the Politics of Sources (2009) 12 </w:t>
      </w:r>
      <w:r w:rsidRPr="00E76EA2">
        <w:rPr>
          <w:i/>
          <w:sz w:val="20"/>
          <w:szCs w:val="20"/>
        </w:rPr>
        <w:t>New Criminal Law Review ,</w:t>
      </w:r>
      <w:r w:rsidRPr="00E76EA2">
        <w:rPr>
          <w:sz w:val="20"/>
          <w:szCs w:val="20"/>
        </w:rPr>
        <w:t>390,391; David Hunt, The International  Criminal Court :High Hopes , Creative Ambiguity “ and the Unfortunate Mistrust in international Judges; (2004) 2</w:t>
      </w:r>
      <w:r w:rsidRPr="00E76EA2">
        <w:rPr>
          <w:i/>
          <w:sz w:val="20"/>
          <w:szCs w:val="20"/>
        </w:rPr>
        <w:t>Journal of Criminal Justice ,</w:t>
      </w:r>
      <w:r w:rsidRPr="00E76EA2">
        <w:rPr>
          <w:sz w:val="20"/>
          <w:szCs w:val="20"/>
        </w:rPr>
        <w:t>56</w:t>
      </w:r>
      <w:r w:rsidR="00B52B40">
        <w:rPr>
          <w:sz w:val="20"/>
          <w:szCs w:val="20"/>
        </w:rPr>
        <w:t>.</w:t>
      </w:r>
    </w:p>
  </w:footnote>
  <w:footnote w:id="1160">
    <w:p w14:paraId="4A5FCD6A" w14:textId="77777777" w:rsidR="00C310AB" w:rsidRPr="00E76EA2" w:rsidRDefault="00C310AB" w:rsidP="00303C1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Victims Submission, para .54.</w:t>
      </w:r>
    </w:p>
  </w:footnote>
  <w:footnote w:id="1161">
    <w:p w14:paraId="37749BC0" w14:textId="31268803" w:rsidR="00C310AB" w:rsidRPr="00E76EA2" w:rsidRDefault="00C310AB" w:rsidP="00303C19">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Mark </w:t>
      </w:r>
      <w:proofErr w:type="spellStart"/>
      <w:r w:rsidRPr="00E76EA2">
        <w:rPr>
          <w:sz w:val="20"/>
          <w:szCs w:val="20"/>
        </w:rPr>
        <w:t>Drumbl</w:t>
      </w:r>
      <w:proofErr w:type="spellEnd"/>
      <w:r w:rsidRPr="00E76EA2">
        <w:rPr>
          <w:sz w:val="20"/>
          <w:szCs w:val="20"/>
        </w:rPr>
        <w:t xml:space="preserve">, </w:t>
      </w:r>
      <w:r w:rsidRPr="00E76EA2">
        <w:rPr>
          <w:i/>
          <w:sz w:val="20"/>
          <w:szCs w:val="20"/>
        </w:rPr>
        <w:t xml:space="preserve">Atrocity Punishment , and International Law </w:t>
      </w:r>
      <w:r w:rsidRPr="00E76EA2">
        <w:rPr>
          <w:sz w:val="20"/>
          <w:szCs w:val="20"/>
        </w:rPr>
        <w:t xml:space="preserve">(Cambridge University Press,2007) p.56-57;Marissa Basset, “Defending International Sentencing :Past Criticism to the Promise of the ICC” (2009) 16(2) </w:t>
      </w:r>
      <w:r w:rsidRPr="00E76EA2">
        <w:rPr>
          <w:i/>
          <w:sz w:val="20"/>
          <w:szCs w:val="20"/>
        </w:rPr>
        <w:t>Human Rights Brief</w:t>
      </w:r>
      <w:r w:rsidRPr="00303C19">
        <w:rPr>
          <w:iCs/>
          <w:sz w:val="20"/>
          <w:szCs w:val="20"/>
        </w:rPr>
        <w:t xml:space="preserve"> 22,23</w:t>
      </w:r>
    </w:p>
  </w:footnote>
  <w:footnote w:id="1162">
    <w:p w14:paraId="0F87F3EA" w14:textId="14197EEA" w:rsidR="00C310AB" w:rsidRPr="00E76EA2" w:rsidRDefault="00C310AB" w:rsidP="00303C1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303C19">
        <w:rPr>
          <w:sz w:val="20"/>
          <w:szCs w:val="20"/>
        </w:rPr>
        <w:t>.</w:t>
      </w:r>
    </w:p>
  </w:footnote>
  <w:footnote w:id="1163">
    <w:p w14:paraId="6DA4FF58" w14:textId="512DE910" w:rsidR="00C310AB" w:rsidRPr="00E76EA2" w:rsidRDefault="00C310AB" w:rsidP="00C5640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Williams Schabas, ‘Sentencing by International Tribunals: A Human Rights Approach (1997) 7</w:t>
      </w:r>
      <w:r w:rsidRPr="00E76EA2">
        <w:rPr>
          <w:i/>
          <w:sz w:val="20"/>
          <w:szCs w:val="20"/>
        </w:rPr>
        <w:t>Duke Journal of Comparative and International Law,</w:t>
      </w:r>
      <w:r w:rsidRPr="00E76EA2">
        <w:rPr>
          <w:sz w:val="20"/>
          <w:szCs w:val="20"/>
        </w:rPr>
        <w:t>461,481</w:t>
      </w:r>
      <w:r w:rsidR="00C5640F">
        <w:rPr>
          <w:sz w:val="20"/>
          <w:szCs w:val="20"/>
        </w:rPr>
        <w:t>.</w:t>
      </w:r>
    </w:p>
  </w:footnote>
  <w:footnote w:id="1164">
    <w:p w14:paraId="6DE4BAAB" w14:textId="46F6BA0E" w:rsidR="00C310AB" w:rsidRPr="00E76EA2" w:rsidRDefault="00C310AB" w:rsidP="00C5640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Von Hirsh and Andrew Ashworth,  </w:t>
      </w:r>
      <w:r w:rsidRPr="00E76EA2">
        <w:rPr>
          <w:i/>
          <w:sz w:val="20"/>
          <w:szCs w:val="20"/>
        </w:rPr>
        <w:t>Principled Sentencing :Readings on Theory and Policy Oxford (</w:t>
      </w:r>
      <w:r w:rsidRPr="00E76EA2">
        <w:rPr>
          <w:sz w:val="20"/>
          <w:szCs w:val="20"/>
        </w:rPr>
        <w:t>Hart Publishing  1998)</w:t>
      </w:r>
      <w:r w:rsidR="00303C19">
        <w:rPr>
          <w:sz w:val="20"/>
          <w:szCs w:val="20"/>
        </w:rPr>
        <w:t>.</w:t>
      </w:r>
    </w:p>
  </w:footnote>
  <w:footnote w:id="1165">
    <w:p w14:paraId="7ADA1AF1" w14:textId="2319E17C" w:rsidR="00C310AB" w:rsidRPr="00E76EA2" w:rsidRDefault="00C310AB" w:rsidP="00C5640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Robert Sloane, ‘The Expressive Capacity of International Punishment: The Limits of the National Law Analogy and the Potential of International Criminal Law(2007) 43 </w:t>
      </w:r>
      <w:r w:rsidRPr="00E76EA2">
        <w:rPr>
          <w:i/>
          <w:sz w:val="20"/>
          <w:szCs w:val="20"/>
        </w:rPr>
        <w:t>Stanford Journal of International Law</w:t>
      </w:r>
      <w:r w:rsidRPr="00E76EA2">
        <w:rPr>
          <w:sz w:val="20"/>
          <w:szCs w:val="20"/>
        </w:rPr>
        <w:t xml:space="preserve"> ,39,44</w:t>
      </w:r>
      <w:r w:rsidR="00303C19">
        <w:rPr>
          <w:sz w:val="20"/>
          <w:szCs w:val="20"/>
        </w:rPr>
        <w:t>.</w:t>
      </w:r>
    </w:p>
  </w:footnote>
  <w:footnote w:id="1166">
    <w:p w14:paraId="1C489440" w14:textId="4ABFBED9" w:rsidR="00C310AB" w:rsidRPr="00E76EA2" w:rsidRDefault="00C310AB" w:rsidP="00C5640F">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303C19">
        <w:rPr>
          <w:sz w:val="20"/>
          <w:szCs w:val="20"/>
        </w:rPr>
        <w:t>.</w:t>
      </w:r>
    </w:p>
  </w:footnote>
  <w:footnote w:id="1167">
    <w:p w14:paraId="12FC4C4E" w14:textId="6C934947" w:rsidR="00C310AB" w:rsidRPr="00E76EA2" w:rsidRDefault="00C310AB" w:rsidP="001C4054">
      <w:pPr>
        <w:pStyle w:val="NoSpacing1"/>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r w:rsidRPr="00E76EA2">
        <w:rPr>
          <w:i/>
          <w:iCs/>
          <w:sz w:val="20"/>
          <w:szCs w:val="20"/>
        </w:rPr>
        <w:t>Sentencing</w:t>
      </w:r>
      <w:proofErr w:type="spellEnd"/>
      <w:r w:rsidRPr="00E76EA2">
        <w:rPr>
          <w:i/>
          <w:iCs/>
          <w:sz w:val="20"/>
          <w:szCs w:val="20"/>
        </w:rPr>
        <w:t xml:space="preserve"> and the Legitimacy of Trial Justice(</w:t>
      </w:r>
      <w:r w:rsidRPr="00E76EA2">
        <w:rPr>
          <w:sz w:val="20"/>
          <w:szCs w:val="20"/>
        </w:rPr>
        <w:t>Routledge 2012)1</w:t>
      </w:r>
    </w:p>
  </w:footnote>
  <w:footnote w:id="1168">
    <w:p w14:paraId="69D3AA78" w14:textId="32EC18DB" w:rsidR="00C310AB" w:rsidRPr="00E76EA2" w:rsidRDefault="00C310AB" w:rsidP="001C4054">
      <w:pPr>
        <w:pStyle w:val="NoSpacing1"/>
        <w:jc w:val="both"/>
        <w:rPr>
          <w:sz w:val="20"/>
          <w:szCs w:val="20"/>
        </w:rPr>
      </w:pPr>
      <w:r w:rsidRPr="00E76EA2">
        <w:rPr>
          <w:rStyle w:val="FootnoteReference"/>
          <w:sz w:val="20"/>
          <w:szCs w:val="20"/>
        </w:rPr>
        <w:footnoteRef/>
      </w:r>
      <w:r w:rsidRPr="00E76EA2">
        <w:rPr>
          <w:sz w:val="20"/>
          <w:szCs w:val="20"/>
        </w:rPr>
        <w:t xml:space="preserve"> Ibid</w:t>
      </w:r>
      <w:r w:rsidR="001C4054">
        <w:rPr>
          <w:sz w:val="20"/>
          <w:szCs w:val="20"/>
        </w:rPr>
        <w:t>.</w:t>
      </w:r>
    </w:p>
  </w:footnote>
  <w:footnote w:id="1169">
    <w:p w14:paraId="1228325D" w14:textId="137B648F" w:rsidR="00C310AB" w:rsidRPr="00E76EA2" w:rsidRDefault="00C310AB" w:rsidP="001C4054">
      <w:pPr>
        <w:pStyle w:val="NoSpacing1"/>
        <w:jc w:val="both"/>
        <w:rPr>
          <w:sz w:val="20"/>
          <w:szCs w:val="20"/>
        </w:rPr>
      </w:pPr>
      <w:r w:rsidRPr="00E76EA2">
        <w:rPr>
          <w:rStyle w:val="FootnoteReference"/>
          <w:sz w:val="20"/>
          <w:szCs w:val="20"/>
        </w:rPr>
        <w:footnoteRef/>
      </w:r>
      <w:r w:rsidRPr="00E76EA2">
        <w:rPr>
          <w:sz w:val="20"/>
          <w:szCs w:val="20"/>
        </w:rPr>
        <w:t xml:space="preserve"> Also known as Victim Personal Statement in United Kingdom.</w:t>
      </w:r>
    </w:p>
  </w:footnote>
  <w:footnote w:id="1170">
    <w:p w14:paraId="085300A6" w14:textId="70AB0E4C" w:rsidR="00C310AB" w:rsidRPr="00E76EA2" w:rsidRDefault="00C310AB" w:rsidP="001C4054">
      <w:pPr>
        <w:pStyle w:val="NoSpacing1"/>
        <w:jc w:val="both"/>
        <w:rPr>
          <w:sz w:val="20"/>
          <w:szCs w:val="20"/>
        </w:rPr>
      </w:pPr>
      <w:r w:rsidRPr="00E76EA2">
        <w:rPr>
          <w:rStyle w:val="FootnoteReference"/>
          <w:sz w:val="20"/>
          <w:szCs w:val="20"/>
        </w:rPr>
        <w:footnoteRef/>
      </w:r>
      <w:r w:rsidRPr="00E76EA2">
        <w:rPr>
          <w:sz w:val="20"/>
          <w:szCs w:val="20"/>
        </w:rPr>
        <w:t xml:space="preserve"> Andrew Ashworth, ‘Victim Impact Statements and Sentencing’. (1993) 7</w:t>
      </w:r>
      <w:r w:rsidRPr="00E76EA2">
        <w:rPr>
          <w:i/>
          <w:iCs/>
          <w:sz w:val="20"/>
          <w:szCs w:val="20"/>
        </w:rPr>
        <w:t>Criminal Law Review</w:t>
      </w:r>
      <w:r w:rsidRPr="00E76EA2">
        <w:rPr>
          <w:sz w:val="20"/>
          <w:szCs w:val="20"/>
        </w:rPr>
        <w:t>,498-509.</w:t>
      </w:r>
    </w:p>
  </w:footnote>
  <w:footnote w:id="1171">
    <w:p w14:paraId="39B97EA0" w14:textId="77777777"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Carolyn Hoyle, “Empowerment through emotion: The use and abuse of victim impact evidence. . In Edna </w:t>
      </w:r>
      <w:proofErr w:type="spellStart"/>
      <w:r w:rsidRPr="00E76EA2">
        <w:rPr>
          <w:sz w:val="20"/>
          <w:szCs w:val="20"/>
        </w:rPr>
        <w:t>Erez</w:t>
      </w:r>
      <w:proofErr w:type="spellEnd"/>
      <w:r w:rsidRPr="00E76EA2">
        <w:rPr>
          <w:sz w:val="20"/>
          <w:szCs w:val="20"/>
        </w:rPr>
        <w:t xml:space="preserve">, Michael </w:t>
      </w:r>
      <w:proofErr w:type="spellStart"/>
      <w:r w:rsidRPr="00E76EA2">
        <w:rPr>
          <w:sz w:val="20"/>
          <w:szCs w:val="20"/>
        </w:rPr>
        <w:t>Kilchlinh</w:t>
      </w:r>
      <w:proofErr w:type="spellEnd"/>
      <w:r w:rsidRPr="00E76EA2">
        <w:rPr>
          <w:sz w:val="20"/>
          <w:szCs w:val="20"/>
        </w:rPr>
        <w:t xml:space="preserve"> and Jo-Anne </w:t>
      </w:r>
      <w:proofErr w:type="spellStart"/>
      <w:r w:rsidRPr="00E76EA2">
        <w:rPr>
          <w:sz w:val="20"/>
          <w:szCs w:val="20"/>
        </w:rPr>
        <w:t>Wemmers</w:t>
      </w:r>
      <w:proofErr w:type="spellEnd"/>
      <w:r w:rsidRPr="00E76EA2">
        <w:rPr>
          <w:sz w:val="20"/>
          <w:szCs w:val="20"/>
        </w:rPr>
        <w:t>(Eds) ,</w:t>
      </w:r>
      <w:r w:rsidRPr="00E76EA2">
        <w:rPr>
          <w:i/>
          <w:iCs/>
          <w:sz w:val="20"/>
          <w:szCs w:val="20"/>
        </w:rPr>
        <w:t xml:space="preserve">Therapeutic jurisprudence and victim participation in justice :International perspectives </w:t>
      </w:r>
      <w:r w:rsidRPr="00E76EA2">
        <w:rPr>
          <w:sz w:val="20"/>
          <w:szCs w:val="20"/>
        </w:rPr>
        <w:t xml:space="preserve">(Hart Publishing 2011).294-283. </w:t>
      </w:r>
    </w:p>
  </w:footnote>
  <w:footnote w:id="1172">
    <w:p w14:paraId="1C3B9C11" w14:textId="77777777"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Deborah Kelly and Edna </w:t>
      </w:r>
      <w:proofErr w:type="spellStart"/>
      <w:r w:rsidRPr="00E76EA2">
        <w:rPr>
          <w:sz w:val="20"/>
          <w:szCs w:val="20"/>
        </w:rPr>
        <w:t>Erez</w:t>
      </w:r>
      <w:proofErr w:type="spellEnd"/>
      <w:r w:rsidRPr="00E76EA2">
        <w:rPr>
          <w:sz w:val="20"/>
          <w:szCs w:val="20"/>
        </w:rPr>
        <w:t xml:space="preserve">, “Victim Participation  in the Criminal Justice System “ in Roberts Davis , Arthur </w:t>
      </w:r>
      <w:proofErr w:type="spellStart"/>
      <w:r w:rsidRPr="00E76EA2">
        <w:rPr>
          <w:sz w:val="20"/>
          <w:szCs w:val="20"/>
        </w:rPr>
        <w:t>Lurigo</w:t>
      </w:r>
      <w:proofErr w:type="spellEnd"/>
      <w:r w:rsidRPr="00E76EA2">
        <w:rPr>
          <w:sz w:val="20"/>
          <w:szCs w:val="20"/>
        </w:rPr>
        <w:t xml:space="preserve"> and Wesley </w:t>
      </w:r>
      <w:proofErr w:type="spellStart"/>
      <w:r w:rsidRPr="00E76EA2">
        <w:rPr>
          <w:sz w:val="20"/>
          <w:szCs w:val="20"/>
        </w:rPr>
        <w:t>Skogan</w:t>
      </w:r>
      <w:proofErr w:type="spellEnd"/>
      <w:r w:rsidRPr="00E76EA2">
        <w:rPr>
          <w:sz w:val="20"/>
          <w:szCs w:val="20"/>
        </w:rPr>
        <w:t xml:space="preserve"> (eds) </w:t>
      </w:r>
      <w:r w:rsidRPr="00E76EA2">
        <w:rPr>
          <w:i/>
          <w:sz w:val="20"/>
          <w:szCs w:val="20"/>
        </w:rPr>
        <w:t>Victims of Crime  (</w:t>
      </w:r>
      <w:r w:rsidRPr="00E76EA2">
        <w:rPr>
          <w:sz w:val="20"/>
          <w:szCs w:val="20"/>
        </w:rPr>
        <w:t>Sage  1997).</w:t>
      </w:r>
    </w:p>
  </w:footnote>
  <w:footnote w:id="1173">
    <w:p w14:paraId="35DEE6C8" w14:textId="77777777"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Andrews Sanders, Carolyn  Hoyle, Rod Morgan and Ed Cape “Victim Impact Statements: Don’t Work, Can’t Work (2001) </w:t>
      </w:r>
      <w:r w:rsidRPr="00E76EA2">
        <w:rPr>
          <w:i/>
          <w:sz w:val="20"/>
          <w:szCs w:val="20"/>
        </w:rPr>
        <w:t>Criminal Law Review</w:t>
      </w:r>
      <w:r w:rsidRPr="00E76EA2">
        <w:rPr>
          <w:sz w:val="20"/>
          <w:szCs w:val="20"/>
        </w:rPr>
        <w:t>, 447-458.</w:t>
      </w:r>
    </w:p>
  </w:footnote>
  <w:footnote w:id="1174">
    <w:p w14:paraId="4A8DFB1A" w14:textId="2C6B2149" w:rsidR="00C310AB" w:rsidRPr="00255FF0" w:rsidRDefault="00C310AB" w:rsidP="001C4054">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Edna </w:t>
      </w:r>
      <w:proofErr w:type="spellStart"/>
      <w:r w:rsidRPr="00E76EA2">
        <w:rPr>
          <w:sz w:val="20"/>
          <w:szCs w:val="20"/>
          <w:lang w:val="en-US"/>
        </w:rPr>
        <w:t>Erez</w:t>
      </w:r>
      <w:proofErr w:type="spellEnd"/>
      <w:r w:rsidRPr="00E76EA2">
        <w:rPr>
          <w:sz w:val="20"/>
          <w:szCs w:val="20"/>
          <w:lang w:val="en-US"/>
        </w:rPr>
        <w:t xml:space="preserve"> and Julian Roberts,  Victim Participation in the Criminal Justice System , in Roberts Davis, Arthur </w:t>
      </w:r>
      <w:proofErr w:type="spellStart"/>
      <w:r w:rsidRPr="00E76EA2">
        <w:rPr>
          <w:sz w:val="20"/>
          <w:szCs w:val="20"/>
          <w:lang w:val="en-US"/>
        </w:rPr>
        <w:t>Lurigo</w:t>
      </w:r>
      <w:proofErr w:type="spellEnd"/>
      <w:r w:rsidRPr="00E76EA2">
        <w:rPr>
          <w:sz w:val="20"/>
          <w:szCs w:val="20"/>
          <w:lang w:val="en-US"/>
        </w:rPr>
        <w:t xml:space="preserve">  and </w:t>
      </w:r>
      <w:proofErr w:type="spellStart"/>
      <w:r w:rsidRPr="00E76EA2">
        <w:rPr>
          <w:sz w:val="20"/>
          <w:szCs w:val="20"/>
          <w:lang w:val="en-US"/>
        </w:rPr>
        <w:t>Susan.Herman</w:t>
      </w:r>
      <w:proofErr w:type="spellEnd"/>
      <w:r w:rsidRPr="00E76EA2">
        <w:rPr>
          <w:sz w:val="20"/>
          <w:szCs w:val="20"/>
          <w:lang w:val="en-US"/>
        </w:rPr>
        <w:t xml:space="preserve"> (eds) </w:t>
      </w:r>
      <w:r w:rsidRPr="00E76EA2">
        <w:rPr>
          <w:i/>
          <w:iCs/>
          <w:sz w:val="20"/>
          <w:szCs w:val="20"/>
          <w:lang w:val="en-US"/>
        </w:rPr>
        <w:t>Victims of Crime</w:t>
      </w:r>
      <w:r w:rsidRPr="00E76EA2">
        <w:rPr>
          <w:sz w:val="20"/>
          <w:szCs w:val="20"/>
          <w:lang w:val="en-US"/>
        </w:rPr>
        <w:t xml:space="preserve"> ( 4</w:t>
      </w:r>
      <w:r w:rsidRPr="00E76EA2">
        <w:rPr>
          <w:sz w:val="20"/>
          <w:szCs w:val="20"/>
          <w:vertAlign w:val="superscript"/>
          <w:lang w:val="en-US"/>
        </w:rPr>
        <w:t>th</w:t>
      </w:r>
      <w:r w:rsidRPr="00E76EA2">
        <w:rPr>
          <w:sz w:val="20"/>
          <w:szCs w:val="20"/>
          <w:lang w:val="en-US"/>
        </w:rPr>
        <w:t xml:space="preserve"> Edition, Sage Publications 2013)251</w:t>
      </w:r>
    </w:p>
  </w:footnote>
  <w:footnote w:id="1175">
    <w:p w14:paraId="43E6F0AF" w14:textId="77777777"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176">
    <w:p w14:paraId="0DAC340E" w14:textId="1707E55A"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 n218).</w:t>
      </w:r>
    </w:p>
  </w:footnote>
  <w:footnote w:id="1177">
    <w:p w14:paraId="0458B87A" w14:textId="5ABE039B" w:rsidR="00C310AB" w:rsidRPr="00E76EA2" w:rsidRDefault="00C310AB" w:rsidP="001C4054">
      <w:pPr>
        <w:pStyle w:val="NoSpacing1"/>
        <w:spacing w:line="276" w:lineRule="auto"/>
        <w:jc w:val="both"/>
        <w:rPr>
          <w:i/>
          <w:sz w:val="20"/>
          <w:szCs w:val="20"/>
        </w:rPr>
      </w:pPr>
      <w:r w:rsidRPr="00E76EA2">
        <w:rPr>
          <w:rStyle w:val="FootnoteReference"/>
          <w:sz w:val="20"/>
          <w:szCs w:val="20"/>
        </w:rPr>
        <w:footnoteRef/>
      </w:r>
      <w:r w:rsidRPr="00E76EA2">
        <w:rPr>
          <w:sz w:val="20"/>
          <w:szCs w:val="20"/>
        </w:rPr>
        <w:t xml:space="preserve"> Marie </w:t>
      </w:r>
      <w:proofErr w:type="spellStart"/>
      <w:r w:rsidRPr="00E76EA2">
        <w:rPr>
          <w:sz w:val="20"/>
          <w:szCs w:val="20"/>
        </w:rPr>
        <w:t>Manikis</w:t>
      </w:r>
      <w:proofErr w:type="spellEnd"/>
      <w:r w:rsidRPr="00E76EA2">
        <w:rPr>
          <w:sz w:val="20"/>
          <w:szCs w:val="20"/>
        </w:rPr>
        <w:t xml:space="preserve">, “Victim Impact Statement  at Sentencing: Towards a Clearer Understanding of their Aims.” (2015) </w:t>
      </w:r>
      <w:r w:rsidRPr="00E76EA2">
        <w:rPr>
          <w:i/>
          <w:sz w:val="20"/>
          <w:szCs w:val="20"/>
        </w:rPr>
        <w:t xml:space="preserve"> 65University of Toronto Law Journa1</w:t>
      </w:r>
      <w:r w:rsidRPr="00E76EA2">
        <w:rPr>
          <w:sz w:val="20"/>
          <w:szCs w:val="20"/>
        </w:rPr>
        <w:t xml:space="preserve"> 85—111, 85.</w:t>
      </w:r>
    </w:p>
  </w:footnote>
  <w:footnote w:id="1178">
    <w:p w14:paraId="5AA9C5DC" w14:textId="1A372F94"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1C4054">
        <w:rPr>
          <w:sz w:val="20"/>
          <w:szCs w:val="20"/>
        </w:rPr>
        <w:t>.</w:t>
      </w:r>
    </w:p>
  </w:footnote>
  <w:footnote w:id="1179">
    <w:p w14:paraId="3E1862D6" w14:textId="77777777"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180">
    <w:p w14:paraId="723EE030" w14:textId="5228F4B1"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Tracy Booth, Alice </w:t>
      </w:r>
      <w:proofErr w:type="spellStart"/>
      <w:r w:rsidRPr="00E76EA2">
        <w:rPr>
          <w:sz w:val="20"/>
          <w:szCs w:val="20"/>
        </w:rPr>
        <w:t>Bosma</w:t>
      </w:r>
      <w:proofErr w:type="spellEnd"/>
      <w:r w:rsidRPr="00E76EA2">
        <w:rPr>
          <w:sz w:val="20"/>
          <w:szCs w:val="20"/>
        </w:rPr>
        <w:t xml:space="preserve"> and Kim Lens,  ‘Accommodating the Expressive Function of Victim Impact Statements: The Scope for Victims’ Voices in Dutch Courtrooms (2018) 58(6) </w:t>
      </w:r>
      <w:r w:rsidRPr="00E76EA2">
        <w:rPr>
          <w:i/>
          <w:sz w:val="20"/>
          <w:szCs w:val="20"/>
        </w:rPr>
        <w:t xml:space="preserve">British Journal of Criminology </w:t>
      </w:r>
      <w:r w:rsidRPr="00E76EA2">
        <w:rPr>
          <w:sz w:val="20"/>
          <w:szCs w:val="20"/>
        </w:rPr>
        <w:t>, 1480-1498</w:t>
      </w:r>
      <w:r w:rsidR="001C4054">
        <w:rPr>
          <w:sz w:val="20"/>
          <w:szCs w:val="20"/>
        </w:rPr>
        <w:t>.</w:t>
      </w:r>
    </w:p>
  </w:footnote>
  <w:footnote w:id="1181">
    <w:p w14:paraId="7248BAF1" w14:textId="469D4213"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Carolyn Hoyle,  “Empowerment through emotions: The use and abuse of victim impact evidence In Edna </w:t>
      </w:r>
      <w:proofErr w:type="spellStart"/>
      <w:r w:rsidRPr="00E76EA2">
        <w:rPr>
          <w:sz w:val="20"/>
          <w:szCs w:val="20"/>
        </w:rPr>
        <w:t>Erez</w:t>
      </w:r>
      <w:proofErr w:type="spellEnd"/>
      <w:r w:rsidRPr="00E76EA2">
        <w:rPr>
          <w:sz w:val="20"/>
          <w:szCs w:val="20"/>
        </w:rPr>
        <w:t xml:space="preserve"> Michael </w:t>
      </w:r>
      <w:proofErr w:type="spellStart"/>
      <w:r w:rsidRPr="00E76EA2">
        <w:rPr>
          <w:sz w:val="20"/>
          <w:szCs w:val="20"/>
        </w:rPr>
        <w:t>Kilching</w:t>
      </w:r>
      <w:proofErr w:type="spellEnd"/>
      <w:r w:rsidRPr="00E76EA2">
        <w:rPr>
          <w:sz w:val="20"/>
          <w:szCs w:val="20"/>
        </w:rPr>
        <w:t xml:space="preserve"> and Jo-Anne </w:t>
      </w:r>
      <w:proofErr w:type="spellStart"/>
      <w:r w:rsidRPr="00E76EA2">
        <w:rPr>
          <w:sz w:val="20"/>
          <w:szCs w:val="20"/>
        </w:rPr>
        <w:t>Wemmers</w:t>
      </w:r>
      <w:proofErr w:type="spellEnd"/>
      <w:r w:rsidRPr="00E76EA2">
        <w:rPr>
          <w:sz w:val="20"/>
          <w:szCs w:val="20"/>
        </w:rPr>
        <w:t xml:space="preserve">(Eds.), </w:t>
      </w:r>
      <w:r w:rsidRPr="00E76EA2">
        <w:rPr>
          <w:i/>
          <w:iCs/>
          <w:sz w:val="20"/>
          <w:szCs w:val="20"/>
        </w:rPr>
        <w:t>Therapeutic Jurisprudence and victim participation in justice :International perspectives</w:t>
      </w:r>
      <w:r w:rsidRPr="00E76EA2">
        <w:rPr>
          <w:sz w:val="20"/>
          <w:szCs w:val="20"/>
        </w:rPr>
        <w:t xml:space="preserve">(Hart Publishing 2011)249-283. </w:t>
      </w:r>
    </w:p>
  </w:footnote>
  <w:footnote w:id="1182">
    <w:p w14:paraId="6A49C128" w14:textId="1F185B61" w:rsidR="00C310AB" w:rsidRPr="00E76EA2" w:rsidRDefault="00C310AB" w:rsidP="001C4054">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Antony Pemberton and Sandra </w:t>
      </w:r>
      <w:proofErr w:type="spellStart"/>
      <w:r w:rsidRPr="00E76EA2">
        <w:rPr>
          <w:sz w:val="20"/>
          <w:szCs w:val="20"/>
        </w:rPr>
        <w:t>Reynaers</w:t>
      </w:r>
      <w:proofErr w:type="spellEnd"/>
      <w:r w:rsidRPr="00E76EA2">
        <w:rPr>
          <w:sz w:val="20"/>
          <w:szCs w:val="20"/>
        </w:rPr>
        <w:t xml:space="preserve">, “The Controversial Nature of Victim Participation: Therapeutic Benefits in Victim Impact Statement. In Edna </w:t>
      </w:r>
      <w:proofErr w:type="spellStart"/>
      <w:r w:rsidRPr="00E76EA2">
        <w:rPr>
          <w:sz w:val="20"/>
          <w:szCs w:val="20"/>
        </w:rPr>
        <w:t>Erez</w:t>
      </w:r>
      <w:proofErr w:type="spellEnd"/>
      <w:r w:rsidRPr="00E76EA2">
        <w:rPr>
          <w:sz w:val="20"/>
          <w:szCs w:val="20"/>
        </w:rPr>
        <w:t xml:space="preserve">, Michael </w:t>
      </w:r>
      <w:proofErr w:type="spellStart"/>
      <w:r w:rsidRPr="00E76EA2">
        <w:rPr>
          <w:sz w:val="20"/>
          <w:szCs w:val="20"/>
        </w:rPr>
        <w:t>Kilchlinh</w:t>
      </w:r>
      <w:proofErr w:type="spellEnd"/>
      <w:r w:rsidRPr="00E76EA2">
        <w:rPr>
          <w:sz w:val="20"/>
          <w:szCs w:val="20"/>
        </w:rPr>
        <w:t xml:space="preserve"> and Jo-Anne </w:t>
      </w:r>
      <w:proofErr w:type="spellStart"/>
      <w:r w:rsidRPr="00E76EA2">
        <w:rPr>
          <w:sz w:val="20"/>
          <w:szCs w:val="20"/>
        </w:rPr>
        <w:t>Wemmers</w:t>
      </w:r>
      <w:proofErr w:type="spellEnd"/>
      <w:r w:rsidRPr="00E76EA2">
        <w:rPr>
          <w:sz w:val="20"/>
          <w:szCs w:val="20"/>
        </w:rPr>
        <w:t>(Eds),</w:t>
      </w:r>
      <w:r w:rsidRPr="00E76EA2">
        <w:rPr>
          <w:i/>
          <w:iCs/>
          <w:sz w:val="20"/>
          <w:szCs w:val="20"/>
        </w:rPr>
        <w:t xml:space="preserve">Therapeutic jurisprudence and victim participation in justice :International perspectives </w:t>
      </w:r>
      <w:r w:rsidRPr="00E76EA2">
        <w:rPr>
          <w:sz w:val="20"/>
          <w:szCs w:val="20"/>
        </w:rPr>
        <w:t xml:space="preserve">(Hart Publishing 2011). </w:t>
      </w:r>
    </w:p>
  </w:footnote>
  <w:footnote w:id="1183">
    <w:p w14:paraId="693C3A44" w14:textId="77777777" w:rsidR="00C310AB" w:rsidRPr="00E76EA2" w:rsidRDefault="00C310AB" w:rsidP="00E7766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184">
    <w:p w14:paraId="6F413CCF" w14:textId="6BFA084F" w:rsidR="00C310AB" w:rsidRPr="00E76EA2" w:rsidRDefault="00C310AB" w:rsidP="00E7766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Antony Pemberton and Sandra </w:t>
      </w:r>
      <w:proofErr w:type="spellStart"/>
      <w:r w:rsidRPr="00E76EA2">
        <w:rPr>
          <w:sz w:val="20"/>
          <w:szCs w:val="20"/>
        </w:rPr>
        <w:t>Reynaers</w:t>
      </w:r>
      <w:proofErr w:type="spellEnd"/>
      <w:r w:rsidRPr="00E76EA2">
        <w:rPr>
          <w:sz w:val="20"/>
          <w:szCs w:val="20"/>
        </w:rPr>
        <w:t xml:space="preserve">, “The Controversial Nature of Victim Participation: Therapeutic Benefits in Victim Impact Statement. In Edna </w:t>
      </w:r>
      <w:proofErr w:type="spellStart"/>
      <w:r w:rsidRPr="00E76EA2">
        <w:rPr>
          <w:sz w:val="20"/>
          <w:szCs w:val="20"/>
        </w:rPr>
        <w:t>Erez</w:t>
      </w:r>
      <w:proofErr w:type="spellEnd"/>
      <w:r w:rsidRPr="00E76EA2">
        <w:rPr>
          <w:sz w:val="20"/>
          <w:szCs w:val="20"/>
        </w:rPr>
        <w:t xml:space="preserve">, Michael </w:t>
      </w:r>
      <w:proofErr w:type="spellStart"/>
      <w:r w:rsidRPr="00E76EA2">
        <w:rPr>
          <w:sz w:val="20"/>
          <w:szCs w:val="20"/>
        </w:rPr>
        <w:t>Kilchlinh</w:t>
      </w:r>
      <w:proofErr w:type="spellEnd"/>
      <w:r w:rsidRPr="00E76EA2">
        <w:rPr>
          <w:sz w:val="20"/>
          <w:szCs w:val="20"/>
        </w:rPr>
        <w:t xml:space="preserve"> and Jo-Anne </w:t>
      </w:r>
      <w:proofErr w:type="spellStart"/>
      <w:r w:rsidRPr="00E76EA2">
        <w:rPr>
          <w:sz w:val="20"/>
          <w:szCs w:val="20"/>
        </w:rPr>
        <w:t>Wemmers</w:t>
      </w:r>
      <w:proofErr w:type="spellEnd"/>
      <w:r w:rsidRPr="00E76EA2">
        <w:rPr>
          <w:sz w:val="20"/>
          <w:szCs w:val="20"/>
        </w:rPr>
        <w:t>(Eds) ,</w:t>
      </w:r>
      <w:r w:rsidRPr="00E76EA2">
        <w:rPr>
          <w:i/>
          <w:iCs/>
          <w:sz w:val="20"/>
          <w:szCs w:val="20"/>
        </w:rPr>
        <w:t xml:space="preserve">Therapeutic jurisprudence and victim participation in justice :International perspectives </w:t>
      </w:r>
      <w:r w:rsidRPr="00E76EA2">
        <w:rPr>
          <w:sz w:val="20"/>
          <w:szCs w:val="20"/>
        </w:rPr>
        <w:t>(Hart Publishing 2011).</w:t>
      </w:r>
    </w:p>
  </w:footnote>
  <w:footnote w:id="1185">
    <w:p w14:paraId="5699B15B" w14:textId="017C9C97" w:rsidR="00C310AB" w:rsidRPr="00E76EA2" w:rsidRDefault="00C310AB" w:rsidP="00E7766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Julian Roberts and Edna </w:t>
      </w:r>
      <w:proofErr w:type="spellStart"/>
      <w:r w:rsidRPr="00E76EA2">
        <w:rPr>
          <w:sz w:val="20"/>
          <w:szCs w:val="20"/>
        </w:rPr>
        <w:t>Erez</w:t>
      </w:r>
      <w:proofErr w:type="spellEnd"/>
      <w:r w:rsidRPr="00E76EA2">
        <w:rPr>
          <w:sz w:val="20"/>
          <w:szCs w:val="20"/>
        </w:rPr>
        <w:t>,  ‘Communication in Sentencing: Exploring the Expressive Function of Victim Impact Statements’, (2004) 10</w:t>
      </w:r>
      <w:r w:rsidRPr="00E76EA2">
        <w:rPr>
          <w:i/>
          <w:iCs/>
          <w:sz w:val="20"/>
          <w:szCs w:val="20"/>
        </w:rPr>
        <w:t>International Review of Victimology</w:t>
      </w:r>
      <w:r w:rsidRPr="00E76EA2">
        <w:rPr>
          <w:sz w:val="20"/>
          <w:szCs w:val="20"/>
        </w:rPr>
        <w:t>223-244</w:t>
      </w:r>
      <w:r w:rsidR="00E7766D">
        <w:rPr>
          <w:sz w:val="20"/>
          <w:szCs w:val="20"/>
        </w:rPr>
        <w:t>.</w:t>
      </w:r>
    </w:p>
  </w:footnote>
  <w:footnote w:id="1186">
    <w:p w14:paraId="5667C7FE" w14:textId="0FE7264E" w:rsidR="00C310AB" w:rsidRPr="00E76EA2" w:rsidRDefault="00C310AB" w:rsidP="00E7766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E7766D">
        <w:rPr>
          <w:sz w:val="20"/>
          <w:szCs w:val="20"/>
        </w:rPr>
        <w:t>.</w:t>
      </w:r>
    </w:p>
  </w:footnote>
  <w:footnote w:id="1187">
    <w:p w14:paraId="56991A43" w14:textId="7F92C639" w:rsidR="00C310AB" w:rsidRPr="00E76EA2" w:rsidRDefault="00C310AB" w:rsidP="00E7766D">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Van Ness, “The shape of things to </w:t>
      </w:r>
      <w:proofErr w:type="spellStart"/>
      <w:r w:rsidRPr="00E76EA2">
        <w:rPr>
          <w:sz w:val="20"/>
          <w:szCs w:val="20"/>
        </w:rPr>
        <w:t>come:a</w:t>
      </w:r>
      <w:proofErr w:type="spellEnd"/>
      <w:r w:rsidRPr="00E76EA2">
        <w:rPr>
          <w:sz w:val="20"/>
          <w:szCs w:val="20"/>
        </w:rPr>
        <w:t xml:space="preserve"> framework for thinking about a restorative justice </w:t>
      </w:r>
      <w:proofErr w:type="spellStart"/>
      <w:r w:rsidRPr="00E76EA2">
        <w:rPr>
          <w:sz w:val="20"/>
          <w:szCs w:val="20"/>
        </w:rPr>
        <w:t>system.In</w:t>
      </w:r>
      <w:proofErr w:type="spellEnd"/>
      <w:r w:rsidRPr="00E76EA2">
        <w:rPr>
          <w:sz w:val="20"/>
          <w:szCs w:val="20"/>
        </w:rPr>
        <w:t xml:space="preserve"> Elmar </w:t>
      </w:r>
      <w:proofErr w:type="spellStart"/>
      <w:r w:rsidRPr="00E76EA2">
        <w:rPr>
          <w:sz w:val="20"/>
          <w:szCs w:val="20"/>
        </w:rPr>
        <w:t>Weitekemp</w:t>
      </w:r>
      <w:proofErr w:type="spellEnd"/>
      <w:r w:rsidRPr="00E76EA2">
        <w:rPr>
          <w:sz w:val="20"/>
          <w:szCs w:val="20"/>
        </w:rPr>
        <w:t xml:space="preserve"> &amp; Han-Jurgen (eds), </w:t>
      </w:r>
      <w:r w:rsidRPr="00E76EA2">
        <w:rPr>
          <w:i/>
          <w:iCs/>
          <w:sz w:val="20"/>
          <w:szCs w:val="20"/>
        </w:rPr>
        <w:t xml:space="preserve">Restorative </w:t>
      </w:r>
      <w:proofErr w:type="spellStart"/>
      <w:r w:rsidRPr="00E76EA2">
        <w:rPr>
          <w:i/>
          <w:iCs/>
          <w:sz w:val="20"/>
          <w:szCs w:val="20"/>
        </w:rPr>
        <w:t>Justice:Theoretical</w:t>
      </w:r>
      <w:proofErr w:type="spellEnd"/>
      <w:r w:rsidRPr="00E76EA2">
        <w:rPr>
          <w:i/>
          <w:iCs/>
          <w:sz w:val="20"/>
          <w:szCs w:val="20"/>
        </w:rPr>
        <w:t xml:space="preserve"> Foundations</w:t>
      </w:r>
      <w:r w:rsidRPr="00E76EA2">
        <w:rPr>
          <w:sz w:val="20"/>
          <w:szCs w:val="20"/>
        </w:rPr>
        <w:t>(Willan Publishing 2002)1-20</w:t>
      </w:r>
      <w:r w:rsidR="00E7766D">
        <w:rPr>
          <w:sz w:val="20"/>
          <w:szCs w:val="20"/>
        </w:rPr>
        <w:t>.</w:t>
      </w:r>
    </w:p>
  </w:footnote>
  <w:footnote w:id="1188">
    <w:p w14:paraId="7B094FAB" w14:textId="24B4F9A1" w:rsidR="00C310AB" w:rsidRPr="00E76EA2" w:rsidRDefault="00C310AB" w:rsidP="00E7766D">
      <w:pPr>
        <w:pStyle w:val="NoSpacing1"/>
        <w:spacing w:line="276" w:lineRule="auto"/>
        <w:jc w:val="both"/>
        <w:rPr>
          <w:sz w:val="20"/>
          <w:szCs w:val="20"/>
        </w:rPr>
      </w:pPr>
      <w:r w:rsidRPr="00E76EA2">
        <w:rPr>
          <w:rStyle w:val="FootnoteReference"/>
          <w:sz w:val="20"/>
          <w:szCs w:val="20"/>
        </w:rPr>
        <w:footnoteRef/>
      </w:r>
      <w:proofErr w:type="spellStart"/>
      <w:r w:rsidRPr="00E76EA2">
        <w:rPr>
          <w:sz w:val="20"/>
          <w:szCs w:val="20"/>
        </w:rPr>
        <w:t>Obiora</w:t>
      </w:r>
      <w:proofErr w:type="spellEnd"/>
      <w:r w:rsidRPr="00E76EA2">
        <w:rPr>
          <w:sz w:val="20"/>
          <w:szCs w:val="20"/>
        </w:rPr>
        <w:t xml:space="preserve"> Okafor and </w:t>
      </w:r>
      <w:proofErr w:type="spellStart"/>
      <w:r w:rsidRPr="00E76EA2">
        <w:rPr>
          <w:sz w:val="20"/>
          <w:szCs w:val="20"/>
        </w:rPr>
        <w:t>Uchechukwu</w:t>
      </w:r>
      <w:proofErr w:type="spellEnd"/>
      <w:r w:rsidRPr="00E76EA2">
        <w:rPr>
          <w:sz w:val="20"/>
          <w:szCs w:val="20"/>
        </w:rPr>
        <w:t xml:space="preserve"> </w:t>
      </w:r>
      <w:proofErr w:type="spellStart"/>
      <w:r w:rsidRPr="00E76EA2">
        <w:rPr>
          <w:sz w:val="20"/>
          <w:szCs w:val="20"/>
        </w:rPr>
        <w:t>Ngwaba</w:t>
      </w:r>
      <w:proofErr w:type="spellEnd"/>
      <w:r w:rsidRPr="00E76EA2">
        <w:rPr>
          <w:sz w:val="20"/>
          <w:szCs w:val="20"/>
        </w:rPr>
        <w:t>, “The International Criminal Court as a ‘Transitional Justice’ Mechanism in Africa:</w:t>
      </w:r>
      <w:r w:rsidR="00DF5D0B">
        <w:rPr>
          <w:sz w:val="20"/>
          <w:szCs w:val="20"/>
        </w:rPr>
        <w:t xml:space="preserve"> </w:t>
      </w:r>
      <w:r w:rsidRPr="00E76EA2">
        <w:rPr>
          <w:sz w:val="20"/>
          <w:szCs w:val="20"/>
        </w:rPr>
        <w:t xml:space="preserve">Some Critical Reflections” (2015) 9(1)  </w:t>
      </w:r>
      <w:r w:rsidRPr="00E76EA2">
        <w:rPr>
          <w:i/>
          <w:iCs/>
          <w:sz w:val="20"/>
          <w:szCs w:val="20"/>
        </w:rPr>
        <w:t xml:space="preserve">International Journal of Transitional </w:t>
      </w:r>
      <w:r w:rsidRPr="00E76EA2">
        <w:rPr>
          <w:sz w:val="20"/>
          <w:szCs w:val="20"/>
        </w:rPr>
        <w:t xml:space="preserve">Justice.90-108;Makau Mutua, “What is Transitional Justice?”(2015) 9(1) </w:t>
      </w:r>
      <w:r w:rsidRPr="00E76EA2">
        <w:rPr>
          <w:i/>
          <w:iCs/>
          <w:sz w:val="20"/>
          <w:szCs w:val="20"/>
        </w:rPr>
        <w:t>International Journal of Transitional Justice,1-9;</w:t>
      </w:r>
      <w:r w:rsidRPr="00E76EA2">
        <w:rPr>
          <w:sz w:val="20"/>
          <w:szCs w:val="20"/>
        </w:rPr>
        <w:t xml:space="preserve"> Ray Nickson, “Participation as restoration:</w:t>
      </w:r>
      <w:r w:rsidR="00DF5D0B">
        <w:rPr>
          <w:sz w:val="20"/>
          <w:szCs w:val="20"/>
        </w:rPr>
        <w:t xml:space="preserve"> </w:t>
      </w:r>
      <w:r w:rsidRPr="00E76EA2">
        <w:rPr>
          <w:sz w:val="20"/>
          <w:szCs w:val="20"/>
        </w:rPr>
        <w:t xml:space="preserve">the current limits of restorative justice for victim </w:t>
      </w:r>
      <w:proofErr w:type="spellStart"/>
      <w:r w:rsidRPr="00E76EA2">
        <w:rPr>
          <w:sz w:val="20"/>
          <w:szCs w:val="20"/>
        </w:rPr>
        <w:t>particpants</w:t>
      </w:r>
      <w:proofErr w:type="spellEnd"/>
      <w:r w:rsidRPr="00E76EA2">
        <w:rPr>
          <w:sz w:val="20"/>
          <w:szCs w:val="20"/>
        </w:rPr>
        <w:t xml:space="preserve"> in international criminal trials” in  Kerry Clamp(ed) </w:t>
      </w:r>
      <w:r w:rsidRPr="00E76EA2">
        <w:rPr>
          <w:i/>
          <w:iCs/>
          <w:sz w:val="20"/>
          <w:szCs w:val="20"/>
        </w:rPr>
        <w:t>Restorative Justice in Transitional Settings</w:t>
      </w:r>
      <w:r w:rsidRPr="00E76EA2">
        <w:rPr>
          <w:sz w:val="20"/>
          <w:szCs w:val="20"/>
        </w:rPr>
        <w:t xml:space="preserve"> (First published 2016,Routlege 2016)95</w:t>
      </w:r>
    </w:p>
  </w:footnote>
  <w:footnote w:id="1189">
    <w:p w14:paraId="4CCDA102" w14:textId="5B4EC2C2" w:rsidR="00C310AB" w:rsidRPr="00E76EA2" w:rsidRDefault="00C310AB" w:rsidP="00DF5D0B">
      <w:pPr>
        <w:pStyle w:val="NoSpacing1"/>
        <w:spacing w:line="276" w:lineRule="auto"/>
        <w:jc w:val="both"/>
        <w:rPr>
          <w:sz w:val="20"/>
          <w:szCs w:val="20"/>
        </w:rPr>
      </w:pPr>
      <w:r w:rsidRPr="00E76EA2">
        <w:rPr>
          <w:rStyle w:val="FootnoteReference"/>
          <w:sz w:val="20"/>
          <w:szCs w:val="20"/>
        </w:rPr>
        <w:footnoteRef/>
      </w:r>
      <w:r w:rsidRPr="00E76EA2">
        <w:rPr>
          <w:sz w:val="20"/>
          <w:szCs w:val="20"/>
        </w:rPr>
        <w:t>David Webster, ‘</w:t>
      </w:r>
      <w:proofErr w:type="spellStart"/>
      <w:r w:rsidRPr="00E76EA2">
        <w:rPr>
          <w:sz w:val="20"/>
          <w:szCs w:val="20"/>
        </w:rPr>
        <w:t>History,nation</w:t>
      </w:r>
      <w:proofErr w:type="spellEnd"/>
      <w:r w:rsidRPr="00E76EA2">
        <w:rPr>
          <w:sz w:val="20"/>
          <w:szCs w:val="20"/>
        </w:rPr>
        <w:t xml:space="preserve"> and narrative in East Timor’s Truth Commission report, (2007) 80(4)Pacific Affairs, 581;Sofia </w:t>
      </w:r>
      <w:proofErr w:type="spellStart"/>
      <w:r w:rsidRPr="00E76EA2">
        <w:rPr>
          <w:sz w:val="20"/>
          <w:szCs w:val="20"/>
        </w:rPr>
        <w:t>Stolk</w:t>
      </w:r>
      <w:proofErr w:type="spellEnd"/>
      <w:r w:rsidRPr="00E76EA2">
        <w:rPr>
          <w:sz w:val="20"/>
          <w:szCs w:val="20"/>
        </w:rPr>
        <w:t xml:space="preserve">  ‘The Victim , the International Criminal Court and the Search for Truth: On the Interdependence and Incompatibility of Truth about Mass Atrocity (2016) 13(5) </w:t>
      </w:r>
      <w:r w:rsidRPr="00E76EA2">
        <w:rPr>
          <w:i/>
          <w:iCs/>
          <w:sz w:val="20"/>
          <w:szCs w:val="20"/>
        </w:rPr>
        <w:t>Journal of International Criminal Justice</w:t>
      </w:r>
      <w:r w:rsidRPr="00E76EA2">
        <w:rPr>
          <w:sz w:val="20"/>
          <w:szCs w:val="20"/>
        </w:rPr>
        <w:t xml:space="preserve">, 973-994.;Mirjam </w:t>
      </w:r>
      <w:proofErr w:type="spellStart"/>
      <w:r w:rsidRPr="00E76EA2">
        <w:rPr>
          <w:sz w:val="20"/>
          <w:szCs w:val="20"/>
        </w:rPr>
        <w:t>Damaska</w:t>
      </w:r>
      <w:proofErr w:type="spellEnd"/>
      <w:r w:rsidRPr="00E76EA2">
        <w:rPr>
          <w:sz w:val="20"/>
          <w:szCs w:val="20"/>
        </w:rPr>
        <w:t xml:space="preserve">, “What is the point of International Criminal Justice”(2008) 83 Chicago Kent Law Review ,329.; Erin  Baines, Beth Stewart, “I cannot accept what I have not </w:t>
      </w:r>
      <w:proofErr w:type="spellStart"/>
      <w:r w:rsidRPr="00E76EA2">
        <w:rPr>
          <w:sz w:val="20"/>
          <w:szCs w:val="20"/>
        </w:rPr>
        <w:t>done”:Storytelling</w:t>
      </w:r>
      <w:proofErr w:type="spellEnd"/>
      <w:r w:rsidRPr="00E76EA2">
        <w:rPr>
          <w:sz w:val="20"/>
          <w:szCs w:val="20"/>
        </w:rPr>
        <w:t xml:space="preserve"> , gender and transitional justice(2011) 3(3) </w:t>
      </w:r>
      <w:r w:rsidRPr="00E76EA2">
        <w:rPr>
          <w:i/>
          <w:iCs/>
          <w:sz w:val="20"/>
          <w:szCs w:val="20"/>
        </w:rPr>
        <w:t xml:space="preserve">Journal of Human Rights Practice , </w:t>
      </w:r>
      <w:r w:rsidRPr="00E76EA2">
        <w:rPr>
          <w:sz w:val="20"/>
          <w:szCs w:val="20"/>
        </w:rPr>
        <w:t>245-263.</w:t>
      </w:r>
    </w:p>
  </w:footnote>
  <w:footnote w:id="1190">
    <w:p w14:paraId="49717D6A" w14:textId="308156E7" w:rsidR="00C310AB" w:rsidRPr="00E76EA2" w:rsidRDefault="00C310AB" w:rsidP="00DF5D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David </w:t>
      </w:r>
      <w:proofErr w:type="spellStart"/>
      <w:r w:rsidRPr="00E76EA2">
        <w:rPr>
          <w:sz w:val="20"/>
          <w:szCs w:val="20"/>
        </w:rPr>
        <w:t>Androff</w:t>
      </w:r>
      <w:proofErr w:type="spellEnd"/>
      <w:r w:rsidRPr="00E76EA2">
        <w:rPr>
          <w:sz w:val="20"/>
          <w:szCs w:val="20"/>
        </w:rPr>
        <w:t xml:space="preserve">, “Narrative healing among victims of </w:t>
      </w:r>
      <w:proofErr w:type="spellStart"/>
      <w:r w:rsidRPr="00E76EA2">
        <w:rPr>
          <w:sz w:val="20"/>
          <w:szCs w:val="20"/>
        </w:rPr>
        <w:t>violence:The</w:t>
      </w:r>
      <w:proofErr w:type="spellEnd"/>
      <w:r w:rsidRPr="00E76EA2">
        <w:rPr>
          <w:sz w:val="20"/>
          <w:szCs w:val="20"/>
        </w:rPr>
        <w:t xml:space="preserve"> Impact of the </w:t>
      </w:r>
      <w:proofErr w:type="spellStart"/>
      <w:r w:rsidRPr="00E76EA2">
        <w:rPr>
          <w:sz w:val="20"/>
          <w:szCs w:val="20"/>
        </w:rPr>
        <w:t>Greensbro</w:t>
      </w:r>
      <w:proofErr w:type="spellEnd"/>
      <w:r w:rsidRPr="00E76EA2">
        <w:rPr>
          <w:sz w:val="20"/>
          <w:szCs w:val="20"/>
        </w:rPr>
        <w:t xml:space="preserve"> Truth and Reconciliation Commission. Families in Society, (2012) 93(1) </w:t>
      </w:r>
      <w:r w:rsidRPr="00E76EA2">
        <w:rPr>
          <w:i/>
          <w:iCs/>
          <w:sz w:val="20"/>
          <w:szCs w:val="20"/>
        </w:rPr>
        <w:t>The Journal of Contemporary Social Services,</w:t>
      </w:r>
      <w:r w:rsidRPr="00E76EA2">
        <w:rPr>
          <w:sz w:val="20"/>
          <w:szCs w:val="20"/>
        </w:rPr>
        <w:t>38-46.</w:t>
      </w:r>
      <w:r w:rsidRPr="00E76EA2">
        <w:rPr>
          <w:i/>
          <w:iCs/>
          <w:sz w:val="20"/>
          <w:szCs w:val="20"/>
        </w:rPr>
        <w:t xml:space="preserve"> </w:t>
      </w:r>
      <w:r w:rsidRPr="00E76EA2">
        <w:rPr>
          <w:sz w:val="20"/>
          <w:szCs w:val="20"/>
        </w:rPr>
        <w:t xml:space="preserve"> </w:t>
      </w:r>
    </w:p>
  </w:footnote>
  <w:footnote w:id="1191">
    <w:p w14:paraId="221BA94D" w14:textId="736AF39B" w:rsidR="00C310AB" w:rsidRPr="00E76EA2" w:rsidRDefault="00C310AB" w:rsidP="00DF5D0B">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Kirk Simpson, “Voices silenced , voices rediscovered :Victims of violence and the reclamation of language in transitional societies (2007)3(2) </w:t>
      </w:r>
      <w:r w:rsidRPr="00E76EA2">
        <w:rPr>
          <w:i/>
          <w:iCs/>
          <w:sz w:val="20"/>
          <w:szCs w:val="20"/>
        </w:rPr>
        <w:t>International Journal of Law in Context,</w:t>
      </w:r>
      <w:r w:rsidRPr="00E76EA2">
        <w:rPr>
          <w:sz w:val="20"/>
          <w:szCs w:val="20"/>
        </w:rPr>
        <w:t xml:space="preserve">89-103.;Marie-Benedicte </w:t>
      </w:r>
      <w:proofErr w:type="spellStart"/>
      <w:r w:rsidRPr="00E76EA2">
        <w:rPr>
          <w:sz w:val="20"/>
          <w:szCs w:val="20"/>
        </w:rPr>
        <w:t>Dembour</w:t>
      </w:r>
      <w:proofErr w:type="spellEnd"/>
      <w:r w:rsidRPr="00E76EA2">
        <w:rPr>
          <w:sz w:val="20"/>
          <w:szCs w:val="20"/>
        </w:rPr>
        <w:t xml:space="preserve"> and Emily Haslam, “Silencing Hearings? Victim-witnesses at War Crimes Trials.”(2004)15(1)</w:t>
      </w:r>
      <w:r w:rsidRPr="00E76EA2">
        <w:rPr>
          <w:i/>
          <w:iCs/>
          <w:sz w:val="20"/>
          <w:szCs w:val="20"/>
        </w:rPr>
        <w:t>European Journal of International Law,151-177.</w:t>
      </w:r>
    </w:p>
  </w:footnote>
  <w:footnote w:id="1192">
    <w:p w14:paraId="4B246E04" w14:textId="23A38993" w:rsidR="00C310AB" w:rsidRPr="00E76EA2" w:rsidRDefault="00C310AB" w:rsidP="00DF5D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Nancy Combs, </w:t>
      </w:r>
      <w:r w:rsidRPr="00E76EA2">
        <w:rPr>
          <w:i/>
          <w:iCs/>
          <w:sz w:val="20"/>
          <w:szCs w:val="20"/>
        </w:rPr>
        <w:t>Fact-Finding Without Facts. The Uncertain Evidentiary Foundations of International Criminal Conviction</w:t>
      </w:r>
      <w:r w:rsidRPr="00E76EA2">
        <w:rPr>
          <w:sz w:val="20"/>
          <w:szCs w:val="20"/>
        </w:rPr>
        <w:t>s(First published 2010, Cambridge University Press 2010)430.</w:t>
      </w:r>
    </w:p>
  </w:footnote>
  <w:footnote w:id="1193">
    <w:p w14:paraId="712B87BF" w14:textId="69106928" w:rsidR="00C310AB" w:rsidRPr="00E76EA2" w:rsidRDefault="00C310AB" w:rsidP="00DF5D0B">
      <w:pPr>
        <w:pStyle w:val="NoSpacing1"/>
        <w:spacing w:line="276" w:lineRule="auto"/>
        <w:jc w:val="both"/>
        <w:rPr>
          <w:iCs/>
          <w:sz w:val="20"/>
          <w:szCs w:val="20"/>
        </w:rPr>
      </w:pPr>
      <w:r w:rsidRPr="00E76EA2">
        <w:rPr>
          <w:rStyle w:val="FootnoteReference"/>
          <w:sz w:val="20"/>
          <w:szCs w:val="20"/>
        </w:rPr>
        <w:footnoteRef/>
      </w:r>
      <w:r w:rsidRPr="00E76EA2">
        <w:rPr>
          <w:sz w:val="20"/>
          <w:szCs w:val="20"/>
        </w:rPr>
        <w:t xml:space="preserve"> Luke Moffett, ‘Victim Personal Statements in Managing Victims’ Voices in Sentencing in Northern Ireland: Taking a more Procedural Justice Approach’ (2017)  68(4) </w:t>
      </w:r>
      <w:r w:rsidRPr="00E76EA2">
        <w:rPr>
          <w:i/>
          <w:sz w:val="20"/>
          <w:szCs w:val="20"/>
        </w:rPr>
        <w:t xml:space="preserve">Northern Ireland Legal Quarterly </w:t>
      </w:r>
      <w:r w:rsidRPr="00E76EA2">
        <w:rPr>
          <w:iCs/>
          <w:sz w:val="20"/>
          <w:szCs w:val="20"/>
        </w:rPr>
        <w:t>,1-22.</w:t>
      </w:r>
    </w:p>
  </w:footnote>
  <w:footnote w:id="1194">
    <w:p w14:paraId="2E03A366" w14:textId="77777777" w:rsidR="00C310AB" w:rsidRPr="00E76EA2" w:rsidRDefault="00C310AB" w:rsidP="00DF5D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w:t>
      </w:r>
    </w:p>
  </w:footnote>
  <w:footnote w:id="1195">
    <w:p w14:paraId="7FFCE8EA" w14:textId="5A05C8B2" w:rsidR="00C310AB" w:rsidRPr="00E76EA2" w:rsidRDefault="00C310AB" w:rsidP="00DF5D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Carolyn Hoyle, “Victims, the criminal process and restorative justice.” In Mike Maguire , Rod Morgan and Robert Reiner(eds), </w:t>
      </w:r>
      <w:r w:rsidRPr="00E76EA2">
        <w:rPr>
          <w:i/>
          <w:iCs/>
          <w:sz w:val="20"/>
          <w:szCs w:val="20"/>
        </w:rPr>
        <w:t>The Oxford Handbook of Criminology</w:t>
      </w:r>
      <w:r w:rsidRPr="00E76EA2">
        <w:rPr>
          <w:sz w:val="20"/>
          <w:szCs w:val="20"/>
        </w:rPr>
        <w:t xml:space="preserve"> (Oxford University Press, Fifth Edition, 2012) 398-425.</w:t>
      </w:r>
    </w:p>
  </w:footnote>
  <w:footnote w:id="1196">
    <w:p w14:paraId="58BC0C63" w14:textId="68A2C1F1" w:rsidR="00C310AB" w:rsidRPr="00E76EA2" w:rsidRDefault="00C310AB" w:rsidP="00DF5D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Nils Christie, “Conflicts of Property” (1977)17(1) </w:t>
      </w:r>
      <w:r w:rsidRPr="00E76EA2">
        <w:rPr>
          <w:i/>
          <w:iCs/>
          <w:sz w:val="20"/>
          <w:szCs w:val="20"/>
        </w:rPr>
        <w:t>British Journal of Criminology</w:t>
      </w:r>
      <w:r w:rsidRPr="00E76EA2">
        <w:rPr>
          <w:sz w:val="20"/>
          <w:szCs w:val="20"/>
        </w:rPr>
        <w:t>,1-15</w:t>
      </w:r>
    </w:p>
  </w:footnote>
  <w:footnote w:id="1197">
    <w:p w14:paraId="13C57C62" w14:textId="0742A4C9" w:rsidR="00C310AB" w:rsidRPr="00E76EA2" w:rsidRDefault="00C310AB" w:rsidP="00DF5D0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Katherine Doolin, ‘But what does it mean ?Seeking definitional clarity in restorative justice, </w:t>
      </w:r>
      <w:r w:rsidRPr="00E76EA2">
        <w:rPr>
          <w:i/>
          <w:sz w:val="20"/>
          <w:szCs w:val="20"/>
        </w:rPr>
        <w:t>Journal of Criminal Law</w:t>
      </w:r>
      <w:r w:rsidRPr="00E76EA2">
        <w:rPr>
          <w:sz w:val="20"/>
          <w:szCs w:val="20"/>
        </w:rPr>
        <w:t xml:space="preserve">(2007) , </w:t>
      </w:r>
      <w:r w:rsidRPr="00E76EA2">
        <w:rPr>
          <w:i/>
          <w:sz w:val="20"/>
          <w:szCs w:val="20"/>
        </w:rPr>
        <w:t>The Journal of Criminal Law</w:t>
      </w:r>
      <w:r w:rsidRPr="00E76EA2">
        <w:rPr>
          <w:sz w:val="20"/>
          <w:szCs w:val="20"/>
        </w:rPr>
        <w:t xml:space="preserve"> accessible at &lt;</w:t>
      </w:r>
      <w:hyperlink r:id="rId75" w:history="1">
        <w:r w:rsidRPr="00E76EA2">
          <w:rPr>
            <w:rStyle w:val="Hyperlink"/>
            <w:sz w:val="20"/>
            <w:szCs w:val="20"/>
          </w:rPr>
          <w:t>https://journals.sagepub.com/doi/pdf/10.1350/jcla.2007.71.5.427</w:t>
        </w:r>
      </w:hyperlink>
      <w:r w:rsidRPr="00E76EA2">
        <w:rPr>
          <w:sz w:val="20"/>
          <w:szCs w:val="20"/>
        </w:rPr>
        <w:t>&gt; last accessed 16 January 2020</w:t>
      </w:r>
      <w:r w:rsidR="00DF5D0B">
        <w:rPr>
          <w:sz w:val="20"/>
          <w:szCs w:val="20"/>
        </w:rPr>
        <w:t>.</w:t>
      </w:r>
    </w:p>
  </w:footnote>
  <w:footnote w:id="1198">
    <w:p w14:paraId="5CF69E92" w14:textId="5758A160"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Tinneke</w:t>
      </w:r>
      <w:proofErr w:type="spellEnd"/>
      <w:r w:rsidRPr="00E76EA2">
        <w:rPr>
          <w:sz w:val="20"/>
          <w:szCs w:val="20"/>
        </w:rPr>
        <w:t xml:space="preserve"> Van Camp and Jo-Anne </w:t>
      </w:r>
      <w:proofErr w:type="spellStart"/>
      <w:r w:rsidRPr="00E76EA2">
        <w:rPr>
          <w:sz w:val="20"/>
          <w:szCs w:val="20"/>
        </w:rPr>
        <w:t>Wemmers</w:t>
      </w:r>
      <w:proofErr w:type="spellEnd"/>
      <w:r w:rsidRPr="00E76EA2">
        <w:rPr>
          <w:sz w:val="20"/>
          <w:szCs w:val="20"/>
        </w:rPr>
        <w:t xml:space="preserve">, “Victim satisfaction with restorative </w:t>
      </w:r>
      <w:proofErr w:type="spellStart"/>
      <w:r w:rsidRPr="00E76EA2">
        <w:rPr>
          <w:sz w:val="20"/>
          <w:szCs w:val="20"/>
        </w:rPr>
        <w:t>justice:More</w:t>
      </w:r>
      <w:proofErr w:type="spellEnd"/>
      <w:r w:rsidRPr="00E76EA2">
        <w:rPr>
          <w:sz w:val="20"/>
          <w:szCs w:val="20"/>
        </w:rPr>
        <w:t xml:space="preserve"> than simply procedural justice” (2013)</w:t>
      </w:r>
      <w:r w:rsidRPr="00E76EA2">
        <w:rPr>
          <w:i/>
          <w:iCs/>
          <w:sz w:val="20"/>
          <w:szCs w:val="20"/>
        </w:rPr>
        <w:t>International Review of Victimology</w:t>
      </w:r>
      <w:r w:rsidRPr="00E76EA2">
        <w:rPr>
          <w:sz w:val="20"/>
          <w:szCs w:val="20"/>
        </w:rPr>
        <w:t>,1</w:t>
      </w:r>
    </w:p>
  </w:footnote>
  <w:footnote w:id="1199">
    <w:p w14:paraId="7D4AE4DB" w14:textId="465F241F"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00">
    <w:p w14:paraId="7855C3DE" w14:textId="6A11000B"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Nancy Combs, </w:t>
      </w:r>
      <w:r w:rsidRPr="00E76EA2">
        <w:rPr>
          <w:i/>
          <w:iCs/>
          <w:sz w:val="20"/>
          <w:szCs w:val="20"/>
        </w:rPr>
        <w:t xml:space="preserve">Guilty Pleas in international criminal </w:t>
      </w:r>
      <w:proofErr w:type="spellStart"/>
      <w:r w:rsidRPr="00E76EA2">
        <w:rPr>
          <w:i/>
          <w:iCs/>
          <w:sz w:val="20"/>
          <w:szCs w:val="20"/>
        </w:rPr>
        <w:t>alw</w:t>
      </w:r>
      <w:proofErr w:type="spellEnd"/>
      <w:r w:rsidRPr="00E76EA2">
        <w:rPr>
          <w:i/>
          <w:iCs/>
          <w:sz w:val="20"/>
          <w:szCs w:val="20"/>
        </w:rPr>
        <w:t xml:space="preserve"> :constructing a restorative justice approach</w:t>
      </w:r>
      <w:r w:rsidRPr="00E76EA2">
        <w:rPr>
          <w:sz w:val="20"/>
          <w:szCs w:val="20"/>
        </w:rPr>
        <w:t xml:space="preserve">  (Stanford University Press 2007)8.</w:t>
      </w:r>
    </w:p>
  </w:footnote>
  <w:footnote w:id="1201">
    <w:p w14:paraId="21203EE4" w14:textId="77736DF0"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Daniel Van Ness &amp; Karen </w:t>
      </w:r>
      <w:proofErr w:type="spellStart"/>
      <w:r w:rsidRPr="00E76EA2">
        <w:rPr>
          <w:sz w:val="20"/>
          <w:szCs w:val="20"/>
        </w:rPr>
        <w:t>Heetderks</w:t>
      </w:r>
      <w:proofErr w:type="spellEnd"/>
      <w:r w:rsidRPr="00E76EA2">
        <w:rPr>
          <w:sz w:val="20"/>
          <w:szCs w:val="20"/>
        </w:rPr>
        <w:t xml:space="preserve">, </w:t>
      </w:r>
      <w:r w:rsidRPr="00E76EA2">
        <w:rPr>
          <w:i/>
          <w:iCs/>
          <w:sz w:val="20"/>
          <w:szCs w:val="20"/>
        </w:rPr>
        <w:t xml:space="preserve">Restoring </w:t>
      </w:r>
      <w:proofErr w:type="spellStart"/>
      <w:r w:rsidRPr="00E76EA2">
        <w:rPr>
          <w:i/>
          <w:iCs/>
          <w:sz w:val="20"/>
          <w:szCs w:val="20"/>
        </w:rPr>
        <w:t>Justice:An</w:t>
      </w:r>
      <w:proofErr w:type="spellEnd"/>
      <w:r w:rsidRPr="00E76EA2">
        <w:rPr>
          <w:i/>
          <w:iCs/>
          <w:sz w:val="20"/>
          <w:szCs w:val="20"/>
        </w:rPr>
        <w:t xml:space="preserve"> Introduction to Restorative Justice</w:t>
      </w:r>
      <w:r w:rsidRPr="00E76EA2">
        <w:rPr>
          <w:sz w:val="20"/>
          <w:szCs w:val="20"/>
        </w:rPr>
        <w:t>(Second Edition, Anderson Publishing 2006)</w:t>
      </w:r>
      <w:r w:rsidR="001A1B95">
        <w:rPr>
          <w:sz w:val="20"/>
          <w:szCs w:val="20"/>
        </w:rPr>
        <w:t>.</w:t>
      </w:r>
    </w:p>
  </w:footnote>
  <w:footnote w:id="1202">
    <w:p w14:paraId="12E98D48" w14:textId="1150E2BF"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Mark Vander </w:t>
      </w:r>
      <w:proofErr w:type="spellStart"/>
      <w:r w:rsidRPr="00E76EA2">
        <w:rPr>
          <w:sz w:val="20"/>
          <w:szCs w:val="20"/>
        </w:rPr>
        <w:t>Vennen</w:t>
      </w:r>
      <w:proofErr w:type="spellEnd"/>
      <w:r w:rsidRPr="00E76EA2">
        <w:rPr>
          <w:sz w:val="20"/>
          <w:szCs w:val="20"/>
        </w:rPr>
        <w:t xml:space="preserve">, ‘Towards a relational theory of restorative justice’ in Belinda Hopkins (ed.), </w:t>
      </w:r>
      <w:r w:rsidRPr="00E76EA2">
        <w:rPr>
          <w:i/>
          <w:sz w:val="20"/>
          <w:szCs w:val="20"/>
        </w:rPr>
        <w:t>Restorative  Justice in Practice: Insights into what works and why(</w:t>
      </w:r>
      <w:r w:rsidRPr="00E76EA2">
        <w:rPr>
          <w:sz w:val="20"/>
          <w:szCs w:val="20"/>
        </w:rPr>
        <w:t xml:space="preserve">Jessica Kingsley Publishers) 121-137; Van Ness, “The shape of things to </w:t>
      </w:r>
      <w:proofErr w:type="spellStart"/>
      <w:r w:rsidRPr="00E76EA2">
        <w:rPr>
          <w:sz w:val="20"/>
          <w:szCs w:val="20"/>
        </w:rPr>
        <w:t>come:a</w:t>
      </w:r>
      <w:proofErr w:type="spellEnd"/>
      <w:r w:rsidRPr="00E76EA2">
        <w:rPr>
          <w:sz w:val="20"/>
          <w:szCs w:val="20"/>
        </w:rPr>
        <w:t xml:space="preserve"> framework for thinking about a restorative justice </w:t>
      </w:r>
      <w:proofErr w:type="spellStart"/>
      <w:r w:rsidRPr="00E76EA2">
        <w:rPr>
          <w:sz w:val="20"/>
          <w:szCs w:val="20"/>
        </w:rPr>
        <w:t>system.In</w:t>
      </w:r>
      <w:proofErr w:type="spellEnd"/>
      <w:r w:rsidRPr="00E76EA2">
        <w:rPr>
          <w:sz w:val="20"/>
          <w:szCs w:val="20"/>
        </w:rPr>
        <w:t xml:space="preserve"> Elmar </w:t>
      </w:r>
      <w:proofErr w:type="spellStart"/>
      <w:r w:rsidRPr="00E76EA2">
        <w:rPr>
          <w:sz w:val="20"/>
          <w:szCs w:val="20"/>
        </w:rPr>
        <w:t>Weitekemp</w:t>
      </w:r>
      <w:proofErr w:type="spellEnd"/>
      <w:r w:rsidRPr="00E76EA2">
        <w:rPr>
          <w:sz w:val="20"/>
          <w:szCs w:val="20"/>
        </w:rPr>
        <w:t xml:space="preserve"> &amp; Han-Jurgen (eds), </w:t>
      </w:r>
      <w:r w:rsidRPr="00E76EA2">
        <w:rPr>
          <w:i/>
          <w:iCs/>
          <w:sz w:val="20"/>
          <w:szCs w:val="20"/>
        </w:rPr>
        <w:t xml:space="preserve">Restorative </w:t>
      </w:r>
      <w:proofErr w:type="spellStart"/>
      <w:r w:rsidRPr="00E76EA2">
        <w:rPr>
          <w:i/>
          <w:iCs/>
          <w:sz w:val="20"/>
          <w:szCs w:val="20"/>
        </w:rPr>
        <w:t>Justice:Theoretical</w:t>
      </w:r>
      <w:proofErr w:type="spellEnd"/>
      <w:r w:rsidRPr="00E76EA2">
        <w:rPr>
          <w:i/>
          <w:iCs/>
          <w:sz w:val="20"/>
          <w:szCs w:val="20"/>
        </w:rPr>
        <w:t xml:space="preserve"> Foundations</w:t>
      </w:r>
      <w:r w:rsidRPr="00E76EA2">
        <w:rPr>
          <w:sz w:val="20"/>
          <w:szCs w:val="20"/>
        </w:rPr>
        <w:t>(Willan Publishing 2002)1-20,3</w:t>
      </w:r>
    </w:p>
  </w:footnote>
  <w:footnote w:id="1203">
    <w:p w14:paraId="10CEA68F" w14:textId="1683EEC0"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Paul </w:t>
      </w:r>
      <w:proofErr w:type="spellStart"/>
      <w:r w:rsidRPr="00E76EA2">
        <w:rPr>
          <w:sz w:val="20"/>
          <w:szCs w:val="20"/>
        </w:rPr>
        <w:t>McCold</w:t>
      </w:r>
      <w:proofErr w:type="spellEnd"/>
      <w:r w:rsidRPr="00E76EA2">
        <w:rPr>
          <w:sz w:val="20"/>
          <w:szCs w:val="20"/>
        </w:rPr>
        <w:t xml:space="preserve"> and Ted </w:t>
      </w:r>
      <w:proofErr w:type="spellStart"/>
      <w:r w:rsidRPr="00E76EA2">
        <w:rPr>
          <w:sz w:val="20"/>
          <w:szCs w:val="20"/>
        </w:rPr>
        <w:t>Wachel</w:t>
      </w:r>
      <w:proofErr w:type="spellEnd"/>
      <w:r w:rsidRPr="00E76EA2">
        <w:rPr>
          <w:sz w:val="20"/>
          <w:szCs w:val="20"/>
        </w:rPr>
        <w:t xml:space="preserve">, ‘Restorative Theory validation. In Elmer </w:t>
      </w:r>
      <w:proofErr w:type="spellStart"/>
      <w:r w:rsidRPr="00E76EA2">
        <w:rPr>
          <w:sz w:val="20"/>
          <w:szCs w:val="20"/>
        </w:rPr>
        <w:t>Weitekamp</w:t>
      </w:r>
      <w:proofErr w:type="spellEnd"/>
      <w:r w:rsidRPr="00E76EA2">
        <w:rPr>
          <w:sz w:val="20"/>
          <w:szCs w:val="20"/>
        </w:rPr>
        <w:t xml:space="preserve"> and Han-</w:t>
      </w:r>
      <w:proofErr w:type="spellStart"/>
      <w:r w:rsidRPr="00E76EA2">
        <w:rPr>
          <w:sz w:val="20"/>
          <w:szCs w:val="20"/>
        </w:rPr>
        <w:t>burgKerner</w:t>
      </w:r>
      <w:proofErr w:type="spellEnd"/>
      <w:r w:rsidRPr="00E76EA2">
        <w:rPr>
          <w:sz w:val="20"/>
          <w:szCs w:val="20"/>
        </w:rPr>
        <w:t xml:space="preserve"> (eds.), </w:t>
      </w:r>
      <w:r w:rsidRPr="00E76EA2">
        <w:rPr>
          <w:i/>
          <w:sz w:val="20"/>
          <w:szCs w:val="20"/>
        </w:rPr>
        <w:t xml:space="preserve">Restorative Justice: theoretical foundations (Willan Publishing 2003) </w:t>
      </w:r>
      <w:r w:rsidRPr="001A1B95">
        <w:rPr>
          <w:iCs/>
          <w:sz w:val="20"/>
          <w:szCs w:val="20"/>
        </w:rPr>
        <w:t>110-142</w:t>
      </w:r>
      <w:r w:rsidRPr="00E76EA2">
        <w:rPr>
          <w:i/>
          <w:sz w:val="20"/>
          <w:szCs w:val="20"/>
        </w:rPr>
        <w:t>.</w:t>
      </w:r>
    </w:p>
  </w:footnote>
  <w:footnote w:id="1204">
    <w:p w14:paraId="12DC51DD" w14:textId="60FD6260"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Prosecutor V. Thomas Lubanga </w:t>
      </w:r>
      <w:proofErr w:type="spellStart"/>
      <w:r w:rsidRPr="00E76EA2">
        <w:rPr>
          <w:sz w:val="20"/>
          <w:szCs w:val="20"/>
        </w:rPr>
        <w:t>Dyilo</w:t>
      </w:r>
      <w:proofErr w:type="spellEnd"/>
      <w:r w:rsidRPr="00E76EA2">
        <w:rPr>
          <w:sz w:val="20"/>
          <w:szCs w:val="20"/>
        </w:rPr>
        <w:t xml:space="preserve">, Observations of the V02 group of victims on sentencing and reparations, ICC-01/04-01/06, 18 April 2012.,para 6, p.3-4; Le Procureur </w:t>
      </w:r>
      <w:proofErr w:type="spellStart"/>
      <w:r w:rsidRPr="00E76EA2">
        <w:rPr>
          <w:sz w:val="20"/>
          <w:szCs w:val="20"/>
        </w:rPr>
        <w:t>v.Thomas</w:t>
      </w:r>
      <w:proofErr w:type="spellEnd"/>
      <w:r w:rsidRPr="00E76EA2">
        <w:rPr>
          <w:sz w:val="20"/>
          <w:szCs w:val="20"/>
        </w:rPr>
        <w:t xml:space="preserve"> </w:t>
      </w:r>
      <w:proofErr w:type="spellStart"/>
      <w:r w:rsidRPr="00E76EA2">
        <w:rPr>
          <w:sz w:val="20"/>
          <w:szCs w:val="20"/>
        </w:rPr>
        <w:t>Dyilo</w:t>
      </w:r>
      <w:proofErr w:type="spellEnd"/>
      <w:r w:rsidRPr="00E76EA2">
        <w:rPr>
          <w:sz w:val="20"/>
          <w:szCs w:val="20"/>
        </w:rPr>
        <w:t xml:space="preserve">, Observations du </w:t>
      </w:r>
      <w:proofErr w:type="spellStart"/>
      <w:r w:rsidRPr="00E76EA2">
        <w:rPr>
          <w:sz w:val="20"/>
          <w:szCs w:val="20"/>
        </w:rPr>
        <w:t>groupe</w:t>
      </w:r>
      <w:proofErr w:type="spellEnd"/>
      <w:r w:rsidRPr="00E76EA2">
        <w:rPr>
          <w:sz w:val="20"/>
          <w:szCs w:val="20"/>
        </w:rPr>
        <w:t xml:space="preserve"> de victims VO2 Sur des elements de prevue </w:t>
      </w:r>
      <w:proofErr w:type="spellStart"/>
      <w:r w:rsidRPr="00E76EA2">
        <w:rPr>
          <w:sz w:val="20"/>
          <w:szCs w:val="20"/>
        </w:rPr>
        <w:t>establissant</w:t>
      </w:r>
      <w:proofErr w:type="spellEnd"/>
      <w:r w:rsidRPr="00E76EA2">
        <w:rPr>
          <w:sz w:val="20"/>
          <w:szCs w:val="20"/>
        </w:rPr>
        <w:t xml:space="preserve"> des </w:t>
      </w:r>
      <w:proofErr w:type="spellStart"/>
      <w:r w:rsidRPr="00E76EA2">
        <w:rPr>
          <w:sz w:val="20"/>
          <w:szCs w:val="20"/>
        </w:rPr>
        <w:t>circonstances</w:t>
      </w:r>
      <w:proofErr w:type="spellEnd"/>
      <w:r w:rsidRPr="00E76EA2">
        <w:rPr>
          <w:sz w:val="20"/>
          <w:szCs w:val="20"/>
        </w:rPr>
        <w:t xml:space="preserve"> </w:t>
      </w:r>
      <w:proofErr w:type="spellStart"/>
      <w:r w:rsidRPr="00E76EA2">
        <w:rPr>
          <w:sz w:val="20"/>
          <w:szCs w:val="20"/>
        </w:rPr>
        <w:t>aggravantes</w:t>
      </w:r>
      <w:proofErr w:type="spellEnd"/>
      <w:r w:rsidRPr="00E76EA2">
        <w:rPr>
          <w:sz w:val="20"/>
          <w:szCs w:val="20"/>
        </w:rPr>
        <w:t xml:space="preserve"> </w:t>
      </w:r>
      <w:proofErr w:type="spellStart"/>
      <w:r w:rsidRPr="00E76EA2">
        <w:rPr>
          <w:sz w:val="20"/>
          <w:szCs w:val="20"/>
        </w:rPr>
        <w:t>ou</w:t>
      </w:r>
      <w:proofErr w:type="spellEnd"/>
      <w:r w:rsidRPr="00E76EA2">
        <w:rPr>
          <w:sz w:val="20"/>
          <w:szCs w:val="20"/>
        </w:rPr>
        <w:t xml:space="preserve"> des </w:t>
      </w:r>
      <w:proofErr w:type="spellStart"/>
      <w:r w:rsidRPr="00E76EA2">
        <w:rPr>
          <w:sz w:val="20"/>
          <w:szCs w:val="20"/>
        </w:rPr>
        <w:t>cironstances</w:t>
      </w:r>
      <w:proofErr w:type="spellEnd"/>
      <w:r w:rsidRPr="00E76EA2">
        <w:rPr>
          <w:sz w:val="20"/>
          <w:szCs w:val="20"/>
        </w:rPr>
        <w:t xml:space="preserve"> </w:t>
      </w:r>
      <w:proofErr w:type="spellStart"/>
      <w:r w:rsidRPr="00E76EA2">
        <w:rPr>
          <w:sz w:val="20"/>
          <w:szCs w:val="20"/>
        </w:rPr>
        <w:t>attenuantes</w:t>
      </w:r>
      <w:proofErr w:type="spellEnd"/>
      <w:r w:rsidRPr="00E76EA2">
        <w:rPr>
          <w:sz w:val="20"/>
          <w:szCs w:val="20"/>
        </w:rPr>
        <w:t xml:space="preserve"> des faits </w:t>
      </w:r>
      <w:proofErr w:type="spellStart"/>
      <w:r w:rsidRPr="00E76EA2">
        <w:rPr>
          <w:sz w:val="20"/>
          <w:szCs w:val="20"/>
        </w:rPr>
        <w:t>portes</w:t>
      </w:r>
      <w:proofErr w:type="spellEnd"/>
      <w:r w:rsidRPr="00E76EA2">
        <w:rPr>
          <w:sz w:val="20"/>
          <w:szCs w:val="20"/>
        </w:rPr>
        <w:t xml:space="preserve"> a la </w:t>
      </w:r>
      <w:proofErr w:type="spellStart"/>
      <w:r w:rsidRPr="00E76EA2">
        <w:rPr>
          <w:sz w:val="20"/>
          <w:szCs w:val="20"/>
        </w:rPr>
        <w:t>chrge</w:t>
      </w:r>
      <w:proofErr w:type="spellEnd"/>
      <w:r w:rsidRPr="00E76EA2">
        <w:rPr>
          <w:sz w:val="20"/>
          <w:szCs w:val="20"/>
        </w:rPr>
        <w:t xml:space="preserve"> de </w:t>
      </w:r>
      <w:proofErr w:type="spellStart"/>
      <w:r w:rsidRPr="00E76EA2">
        <w:rPr>
          <w:sz w:val="20"/>
          <w:szCs w:val="20"/>
        </w:rPr>
        <w:t>l’accuse</w:t>
      </w:r>
      <w:proofErr w:type="spellEnd"/>
      <w:r w:rsidRPr="00E76EA2">
        <w:rPr>
          <w:sz w:val="20"/>
          <w:szCs w:val="20"/>
        </w:rPr>
        <w:t xml:space="preserve"> </w:t>
      </w:r>
      <w:proofErr w:type="spellStart"/>
      <w:r w:rsidRPr="00E76EA2">
        <w:rPr>
          <w:sz w:val="20"/>
          <w:szCs w:val="20"/>
        </w:rPr>
        <w:t>reconnu</w:t>
      </w:r>
      <w:proofErr w:type="spellEnd"/>
      <w:r w:rsidRPr="00E76EA2">
        <w:rPr>
          <w:sz w:val="20"/>
          <w:szCs w:val="20"/>
        </w:rPr>
        <w:t xml:space="preserve"> coupable,ICC-01/04-01/06-2882, 14 May 2012,,p.3,para 1;Observations of the Victims’ Group VO2 on Evidence establishing Aggravating Circumstances or Mitigating Circumstances of the facts alleged against the accused person ; Observations of Legal of Victims V01; Prosecutor v Germain Katanga, Reduction of Sentence, p.14, para 47,lines 5-10; Prosecutor v Germain Katanga, Observations of the DRC authorities.p.4 ,ICC-01/04-01/07 p.27para 72.</w:t>
      </w:r>
    </w:p>
  </w:footnote>
  <w:footnote w:id="1205">
    <w:p w14:paraId="3AE76C81" w14:textId="77777777"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case of Prosecutor </w:t>
      </w:r>
      <w:proofErr w:type="spellStart"/>
      <w:r w:rsidRPr="00E76EA2">
        <w:rPr>
          <w:sz w:val="20"/>
          <w:szCs w:val="20"/>
        </w:rPr>
        <w:t>v.Thomas</w:t>
      </w:r>
      <w:proofErr w:type="spellEnd"/>
      <w:r w:rsidRPr="00E76EA2">
        <w:rPr>
          <w:sz w:val="20"/>
          <w:szCs w:val="20"/>
        </w:rPr>
        <w:t xml:space="preserve"> Lubanga Dyilo,ICC-01/04-01/06-3375,03-11-2017, Para 94</w:t>
      </w:r>
    </w:p>
    <w:p w14:paraId="65325F3C" w14:textId="5B3A5D5D" w:rsidR="00C310AB" w:rsidRPr="00E76EA2" w:rsidRDefault="00C310AB" w:rsidP="001A1B95">
      <w:pPr>
        <w:pStyle w:val="NoSpacing1"/>
        <w:spacing w:line="276" w:lineRule="auto"/>
        <w:jc w:val="both"/>
        <w:rPr>
          <w:sz w:val="20"/>
          <w:szCs w:val="20"/>
        </w:rPr>
      </w:pPr>
    </w:p>
  </w:footnote>
  <w:footnote w:id="1206">
    <w:p w14:paraId="7B55775E" w14:textId="12890A1F"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Transcripts of Sentence Review Hearing; Mr Katanga’s Submission, paras 82.84; HRC/TJI Observations on Reparations,para.86.</w:t>
      </w:r>
    </w:p>
  </w:footnote>
  <w:footnote w:id="1207">
    <w:p w14:paraId="0CE36F9C" w14:textId="28FDC242"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Katherine Van Wormer and </w:t>
      </w:r>
      <w:proofErr w:type="spellStart"/>
      <w:r w:rsidRPr="00E76EA2">
        <w:rPr>
          <w:sz w:val="20"/>
          <w:szCs w:val="20"/>
        </w:rPr>
        <w:t>Lorenn</w:t>
      </w:r>
      <w:proofErr w:type="spellEnd"/>
      <w:r w:rsidRPr="00E76EA2">
        <w:rPr>
          <w:sz w:val="20"/>
          <w:szCs w:val="20"/>
        </w:rPr>
        <w:t xml:space="preserve"> Walker, In Van Warmer and </w:t>
      </w:r>
      <w:proofErr w:type="spellStart"/>
      <w:r w:rsidRPr="00E76EA2">
        <w:rPr>
          <w:sz w:val="20"/>
          <w:szCs w:val="20"/>
        </w:rPr>
        <w:t>Lorenn</w:t>
      </w:r>
      <w:proofErr w:type="spellEnd"/>
      <w:r w:rsidRPr="00E76EA2">
        <w:rPr>
          <w:sz w:val="20"/>
          <w:szCs w:val="20"/>
        </w:rPr>
        <w:t xml:space="preserve"> Walker (eds) ,</w:t>
      </w:r>
      <w:r w:rsidRPr="00E76EA2">
        <w:rPr>
          <w:i/>
          <w:sz w:val="20"/>
          <w:szCs w:val="20"/>
        </w:rPr>
        <w:t xml:space="preserve">Restorative justice </w:t>
      </w:r>
      <w:proofErr w:type="spellStart"/>
      <w:r w:rsidRPr="00E76EA2">
        <w:rPr>
          <w:i/>
          <w:sz w:val="20"/>
          <w:szCs w:val="20"/>
        </w:rPr>
        <w:t>today:Practical</w:t>
      </w:r>
      <w:proofErr w:type="spellEnd"/>
      <w:r w:rsidRPr="00E76EA2">
        <w:rPr>
          <w:i/>
          <w:sz w:val="20"/>
          <w:szCs w:val="20"/>
        </w:rPr>
        <w:t xml:space="preserve"> applications (</w:t>
      </w:r>
      <w:r w:rsidRPr="00E76EA2">
        <w:rPr>
          <w:sz w:val="20"/>
          <w:szCs w:val="20"/>
        </w:rPr>
        <w:t xml:space="preserve"> 2013) </w:t>
      </w:r>
      <w:r w:rsidRPr="00E76EA2">
        <w:rPr>
          <w:i/>
          <w:sz w:val="20"/>
          <w:szCs w:val="20"/>
        </w:rPr>
        <w:t>Journal of Restorative Justice</w:t>
      </w:r>
      <w:r w:rsidRPr="00E76EA2">
        <w:rPr>
          <w:iCs/>
          <w:sz w:val="20"/>
          <w:szCs w:val="20"/>
        </w:rPr>
        <w:t>, 255</w:t>
      </w:r>
    </w:p>
  </w:footnote>
  <w:footnote w:id="1208">
    <w:p w14:paraId="131B90F9" w14:textId="609650BD"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09">
    <w:p w14:paraId="174A8E52" w14:textId="3A129B5C"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ICC-01/04-01/06-2901,P.23, Para 59,lines 2-4;The Prosecutor v Lubanga </w:t>
      </w:r>
      <w:proofErr w:type="spellStart"/>
      <w:r w:rsidRPr="00E76EA2">
        <w:rPr>
          <w:sz w:val="20"/>
          <w:szCs w:val="20"/>
        </w:rPr>
        <w:t>Dyilo</w:t>
      </w:r>
      <w:proofErr w:type="spellEnd"/>
      <w:r w:rsidRPr="00E76EA2">
        <w:rPr>
          <w:sz w:val="20"/>
          <w:szCs w:val="20"/>
        </w:rPr>
        <w:t xml:space="preserve">, Observations of the V01 Group of Victims on the Possibility of Review of Mr Thomas Lubanga </w:t>
      </w:r>
      <w:proofErr w:type="spellStart"/>
      <w:r w:rsidRPr="00E76EA2">
        <w:rPr>
          <w:sz w:val="20"/>
          <w:szCs w:val="20"/>
        </w:rPr>
        <w:t>Dyilo’s</w:t>
      </w:r>
      <w:proofErr w:type="spellEnd"/>
      <w:r w:rsidRPr="00E76EA2">
        <w:rPr>
          <w:sz w:val="20"/>
          <w:szCs w:val="20"/>
        </w:rPr>
        <w:t xml:space="preserve"> Sentence With Two Annexes ICC-01/04-01/06-3366, 14 September 2017,p.9</w:t>
      </w:r>
    </w:p>
  </w:footnote>
  <w:footnote w:id="1210">
    <w:p w14:paraId="50054D99" w14:textId="30B9111A"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Second Decision on the Review concerning reduction of sentence of Mr Thomas Lubanga  </w:t>
      </w:r>
      <w:proofErr w:type="spellStart"/>
      <w:r w:rsidRPr="00E76EA2">
        <w:rPr>
          <w:sz w:val="20"/>
          <w:szCs w:val="20"/>
        </w:rPr>
        <w:t>Dyilo</w:t>
      </w:r>
      <w:proofErr w:type="spellEnd"/>
      <w:r w:rsidRPr="00E76EA2">
        <w:rPr>
          <w:sz w:val="20"/>
          <w:szCs w:val="20"/>
        </w:rPr>
        <w:t xml:space="preserve"> P.9 Para.20; para 39; Observations of Legal Representatives of Victims V01,para.12; Situation in the Democratic Republic of the Congo, Decision on Sentence pursuant to article 76 of the Statute, ICC-01/04-01/07-3484-Teng-Corr 23 May 2014, p.47,</w:t>
      </w:r>
      <w:r w:rsidRPr="00E76EA2">
        <w:rPr>
          <w:sz w:val="20"/>
          <w:szCs w:val="20"/>
          <w:lang w:val="en-US"/>
        </w:rPr>
        <w:t>Para116;</w:t>
      </w:r>
      <w:r w:rsidRPr="00E76EA2">
        <w:rPr>
          <w:sz w:val="20"/>
          <w:szCs w:val="20"/>
        </w:rPr>
        <w:t xml:space="preserve"> ‘Defence Submission of a Video Recording of Mr Germain Katanga’ ICC-01/04-01/07-3606 (RW)  with Annex 1, icc-01/04-01/07-3606-Conf-Anx (</w:t>
      </w:r>
      <w:proofErr w:type="spellStart"/>
      <w:r w:rsidRPr="00E76EA2">
        <w:rPr>
          <w:sz w:val="20"/>
          <w:szCs w:val="20"/>
        </w:rPr>
        <w:t>rw</w:t>
      </w:r>
      <w:proofErr w:type="spellEnd"/>
      <w:r w:rsidRPr="00E76EA2">
        <w:rPr>
          <w:sz w:val="20"/>
          <w:szCs w:val="20"/>
        </w:rPr>
        <w:t>), and Transcript Translation of Video Recording’;</w:t>
      </w:r>
      <w:r w:rsidRPr="00E76EA2">
        <w:rPr>
          <w:rStyle w:val="FootnoteReference"/>
          <w:sz w:val="20"/>
          <w:szCs w:val="20"/>
        </w:rPr>
        <w:t xml:space="preserve"> </w:t>
      </w:r>
      <w:r w:rsidRPr="00E76EA2">
        <w:rPr>
          <w:rStyle w:val="FootnoteReference"/>
          <w:sz w:val="20"/>
          <w:szCs w:val="20"/>
        </w:rPr>
        <w:footnoteRef/>
      </w:r>
      <w:r w:rsidRPr="00E76EA2">
        <w:rPr>
          <w:sz w:val="20"/>
          <w:szCs w:val="20"/>
        </w:rPr>
        <w:t xml:space="preserve"> Defence Notice of Discontinuance of Appeal against the judgement rendered in pursuant to article 74 ,Trial Chamber II on 7 April 2014,25 June 2014, ICC-01/04-01/07-3497-AnxA</w:t>
      </w:r>
      <w:r w:rsidR="001A1B95">
        <w:rPr>
          <w:sz w:val="20"/>
          <w:szCs w:val="20"/>
        </w:rPr>
        <w:t>.</w:t>
      </w:r>
      <w:r w:rsidRPr="00E76EA2">
        <w:rPr>
          <w:sz w:val="20"/>
          <w:szCs w:val="20"/>
        </w:rPr>
        <w:t xml:space="preserve"> </w:t>
      </w:r>
    </w:p>
  </w:footnote>
  <w:footnote w:id="1211">
    <w:p w14:paraId="7932D37D" w14:textId="46D1E6BE"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Katherine Doolin, “But what Does it mean? Seeking  definitional clarity in restorative justice, (2007)71(5)</w:t>
      </w:r>
      <w:r w:rsidRPr="00E76EA2">
        <w:rPr>
          <w:i/>
          <w:sz w:val="20"/>
          <w:szCs w:val="20"/>
        </w:rPr>
        <w:t>Journal of Criminal Law</w:t>
      </w:r>
      <w:r w:rsidRPr="00E76EA2">
        <w:rPr>
          <w:sz w:val="20"/>
          <w:szCs w:val="20"/>
        </w:rPr>
        <w:t xml:space="preserve"> 427-440</w:t>
      </w:r>
      <w:r w:rsidR="001A1B95">
        <w:rPr>
          <w:sz w:val="20"/>
          <w:szCs w:val="20"/>
        </w:rPr>
        <w:t>.</w:t>
      </w:r>
    </w:p>
  </w:footnote>
  <w:footnote w:id="1212">
    <w:p w14:paraId="7507EA7E" w14:textId="32609990" w:rsidR="00C310AB" w:rsidRPr="00E76EA2" w:rsidRDefault="00C310AB" w:rsidP="001A1B9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Rule 145(2) of the RPE</w:t>
      </w:r>
    </w:p>
  </w:footnote>
  <w:footnote w:id="1213">
    <w:p w14:paraId="6AA95681" w14:textId="45C8581F" w:rsidR="00C310AB" w:rsidRPr="00E76EA2" w:rsidRDefault="00C310AB" w:rsidP="001A1B95">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Lawrance</w:t>
      </w:r>
      <w:proofErr w:type="spellEnd"/>
      <w:r w:rsidRPr="00E76EA2">
        <w:rPr>
          <w:sz w:val="20"/>
          <w:szCs w:val="20"/>
        </w:rPr>
        <w:t xml:space="preserve"> Sherman, Heather Strang , Caroline Angel, Daniel Woods, Geoffrey Branes, Sarah Bennet and Nova </w:t>
      </w:r>
      <w:proofErr w:type="spellStart"/>
      <w:r w:rsidRPr="00E76EA2">
        <w:rPr>
          <w:sz w:val="20"/>
          <w:szCs w:val="20"/>
        </w:rPr>
        <w:t>Inkpen</w:t>
      </w:r>
      <w:proofErr w:type="spellEnd"/>
      <w:r w:rsidRPr="00E76EA2">
        <w:rPr>
          <w:sz w:val="20"/>
          <w:szCs w:val="20"/>
        </w:rPr>
        <w:t>, ‘Effects of face-to-face restorative justice on victims of crime in four randomised, controlled trial’ (2005)</w:t>
      </w:r>
      <w:r w:rsidRPr="00E76EA2">
        <w:rPr>
          <w:i/>
          <w:iCs/>
          <w:sz w:val="20"/>
          <w:szCs w:val="20"/>
        </w:rPr>
        <w:t>Journal of Experimental Criminology,</w:t>
      </w:r>
      <w:r w:rsidRPr="001A1B95">
        <w:rPr>
          <w:sz w:val="20"/>
          <w:szCs w:val="20"/>
        </w:rPr>
        <w:t>367-395,368</w:t>
      </w:r>
      <w:r w:rsidR="00195F96">
        <w:rPr>
          <w:sz w:val="20"/>
          <w:szCs w:val="20"/>
        </w:rPr>
        <w:t>.</w:t>
      </w:r>
    </w:p>
  </w:footnote>
  <w:footnote w:id="1214">
    <w:p w14:paraId="30E13B3E" w14:textId="236E6C1B" w:rsidR="00C310AB" w:rsidRPr="00E76EA2" w:rsidRDefault="00C310AB" w:rsidP="00DA2BB2">
      <w:pPr>
        <w:pStyle w:val="NoSpacing1"/>
        <w:spacing w:line="276" w:lineRule="auto"/>
        <w:jc w:val="both"/>
        <w:rPr>
          <w:sz w:val="20"/>
          <w:szCs w:val="20"/>
        </w:rPr>
      </w:pPr>
      <w:r w:rsidRPr="00E76EA2">
        <w:rPr>
          <w:rStyle w:val="FootnoteReference"/>
          <w:sz w:val="20"/>
          <w:szCs w:val="20"/>
        </w:rPr>
        <w:footnoteRef/>
      </w:r>
      <w:r w:rsidRPr="00E76EA2">
        <w:rPr>
          <w:sz w:val="20"/>
          <w:szCs w:val="20"/>
        </w:rPr>
        <w:t>Ministry of Justice, ‘Pre-Sentence restorative justice’ &lt;</w:t>
      </w:r>
      <w:hyperlink r:id="rId76" w:history="1">
        <w:r w:rsidRPr="00E76EA2">
          <w:rPr>
            <w:rStyle w:val="Hyperlink"/>
            <w:sz w:val="20"/>
            <w:szCs w:val="20"/>
          </w:rPr>
          <w:t>https://assets.publishing.service.gov.uk/government/uploads/system/uploads/attachment_data/file/312426/pre-sentence-restorative-justice.pdf</w:t>
        </w:r>
      </w:hyperlink>
      <w:r w:rsidRPr="00E76EA2">
        <w:rPr>
          <w:sz w:val="20"/>
          <w:szCs w:val="20"/>
        </w:rPr>
        <w:t>&gt;P.7</w:t>
      </w:r>
    </w:p>
  </w:footnote>
  <w:footnote w:id="1215">
    <w:p w14:paraId="5E219ED5" w14:textId="6B577DB9" w:rsidR="00A00ADD" w:rsidRPr="005256AC" w:rsidRDefault="00A00ADD" w:rsidP="005256AC">
      <w:pPr>
        <w:pStyle w:val="FootnoteText"/>
        <w:spacing w:line="276" w:lineRule="auto"/>
        <w:jc w:val="both"/>
        <w:rPr>
          <w:rFonts w:ascii="Times New Roman" w:hAnsi="Times New Roman"/>
        </w:rPr>
      </w:pPr>
      <w:r w:rsidRPr="005256AC">
        <w:rPr>
          <w:rStyle w:val="FootnoteReference"/>
          <w:rFonts w:ascii="Times New Roman" w:hAnsi="Times New Roman"/>
        </w:rPr>
        <w:footnoteRef/>
      </w:r>
      <w:r w:rsidRPr="005256AC">
        <w:rPr>
          <w:rFonts w:ascii="Times New Roman" w:hAnsi="Times New Roman"/>
        </w:rPr>
        <w:t xml:space="preserve"> Howard </w:t>
      </w:r>
      <w:proofErr w:type="spellStart"/>
      <w:r w:rsidRPr="005256AC">
        <w:rPr>
          <w:rFonts w:ascii="Times New Roman" w:hAnsi="Times New Roman"/>
        </w:rPr>
        <w:t>Zehr</w:t>
      </w:r>
      <w:proofErr w:type="spellEnd"/>
      <w:r w:rsidRPr="005256AC">
        <w:rPr>
          <w:rFonts w:ascii="Times New Roman" w:hAnsi="Times New Roman"/>
        </w:rPr>
        <w:t xml:space="preserve"> and Ali </w:t>
      </w:r>
      <w:proofErr w:type="spellStart"/>
      <w:r w:rsidRPr="005256AC">
        <w:rPr>
          <w:rFonts w:ascii="Times New Roman" w:hAnsi="Times New Roman"/>
        </w:rPr>
        <w:t>Gohar,</w:t>
      </w:r>
      <w:r w:rsidRPr="005256AC">
        <w:rPr>
          <w:rFonts w:ascii="Times New Roman" w:hAnsi="Times New Roman"/>
          <w:i/>
          <w:iCs/>
        </w:rPr>
        <w:t>The</w:t>
      </w:r>
      <w:proofErr w:type="spellEnd"/>
      <w:r w:rsidRPr="005256AC">
        <w:rPr>
          <w:rFonts w:ascii="Times New Roman" w:hAnsi="Times New Roman"/>
          <w:i/>
          <w:iCs/>
        </w:rPr>
        <w:t xml:space="preserve"> Little Book of Restorative Justice</w:t>
      </w:r>
      <w:r w:rsidRPr="005256AC">
        <w:rPr>
          <w:rFonts w:ascii="Times New Roman" w:hAnsi="Times New Roman"/>
        </w:rPr>
        <w:t>(Good Books 2002)</w:t>
      </w:r>
      <w:r w:rsidRPr="005256AC">
        <w:rPr>
          <w:rFonts w:ascii="Times New Roman" w:hAnsi="Times New Roman"/>
          <w:i/>
          <w:iCs/>
        </w:rPr>
        <w:t xml:space="preserve"> </w:t>
      </w:r>
      <w:r w:rsidRPr="005256AC">
        <w:rPr>
          <w:rFonts w:ascii="Times New Roman" w:hAnsi="Times New Roman"/>
        </w:rPr>
        <w:t>10,11.</w:t>
      </w:r>
    </w:p>
  </w:footnote>
  <w:footnote w:id="1216">
    <w:p w14:paraId="24CECC32" w14:textId="2B0FB33D" w:rsidR="00C310AB" w:rsidRPr="005256AC" w:rsidRDefault="00C310AB" w:rsidP="005256AC">
      <w:pPr>
        <w:pStyle w:val="NoSpacing1"/>
        <w:spacing w:line="276" w:lineRule="auto"/>
        <w:jc w:val="both"/>
        <w:rPr>
          <w:sz w:val="20"/>
          <w:szCs w:val="20"/>
        </w:rPr>
      </w:pPr>
      <w:r w:rsidRPr="005256AC">
        <w:rPr>
          <w:rStyle w:val="FootnoteReference"/>
          <w:sz w:val="20"/>
          <w:szCs w:val="20"/>
        </w:rPr>
        <w:footnoteRef/>
      </w:r>
      <w:r w:rsidRPr="005256AC">
        <w:rPr>
          <w:sz w:val="20"/>
          <w:szCs w:val="20"/>
        </w:rPr>
        <w:t xml:space="preserve"> Gordon Bazemore, ‘Restorative  Justice and earned  redemption: communities, victims  and offender reintegration.(1998) 41(6) </w:t>
      </w:r>
      <w:r w:rsidRPr="005256AC">
        <w:rPr>
          <w:i/>
          <w:sz w:val="20"/>
          <w:szCs w:val="20"/>
        </w:rPr>
        <w:t>American Behavioural Scientist, 768-813</w:t>
      </w:r>
      <w:r w:rsidRPr="005256AC">
        <w:rPr>
          <w:sz w:val="20"/>
          <w:szCs w:val="20"/>
        </w:rPr>
        <w:t>, 789</w:t>
      </w:r>
      <w:r w:rsidR="00195F96" w:rsidRPr="005256AC">
        <w:rPr>
          <w:sz w:val="20"/>
          <w:szCs w:val="20"/>
        </w:rPr>
        <w:t>.</w:t>
      </w:r>
    </w:p>
  </w:footnote>
  <w:footnote w:id="1217">
    <w:p w14:paraId="276F657F" w14:textId="464D4C8E" w:rsidR="00C310AB" w:rsidRPr="005256AC" w:rsidRDefault="00C310AB" w:rsidP="005256AC">
      <w:pPr>
        <w:pStyle w:val="NoSpacing1"/>
        <w:spacing w:line="276" w:lineRule="auto"/>
        <w:jc w:val="both"/>
        <w:rPr>
          <w:sz w:val="20"/>
          <w:szCs w:val="20"/>
        </w:rPr>
      </w:pPr>
      <w:r w:rsidRPr="005256AC">
        <w:rPr>
          <w:rStyle w:val="FootnoteReference"/>
          <w:sz w:val="20"/>
          <w:szCs w:val="20"/>
        </w:rPr>
        <w:footnoteRef/>
      </w:r>
      <w:r w:rsidRPr="005256AC">
        <w:rPr>
          <w:sz w:val="20"/>
          <w:szCs w:val="20"/>
        </w:rPr>
        <w:t xml:space="preserve"> Ibid.</w:t>
      </w:r>
    </w:p>
  </w:footnote>
  <w:footnote w:id="1218">
    <w:p w14:paraId="78F4FE3B" w14:textId="6B7F0031" w:rsidR="00C310AB" w:rsidRPr="005256AC" w:rsidRDefault="00C310AB" w:rsidP="005256AC">
      <w:pPr>
        <w:pStyle w:val="NoSpacing1"/>
        <w:spacing w:line="276" w:lineRule="auto"/>
        <w:jc w:val="both"/>
        <w:rPr>
          <w:sz w:val="20"/>
          <w:szCs w:val="20"/>
        </w:rPr>
      </w:pPr>
      <w:r w:rsidRPr="005256AC">
        <w:rPr>
          <w:rStyle w:val="FootnoteReference"/>
          <w:sz w:val="20"/>
          <w:szCs w:val="20"/>
        </w:rPr>
        <w:footnoteRef/>
      </w:r>
      <w:r w:rsidRPr="005256AC">
        <w:rPr>
          <w:sz w:val="20"/>
          <w:szCs w:val="20"/>
        </w:rPr>
        <w:t xml:space="preserve"> Daniel Van Ness and Karen </w:t>
      </w:r>
      <w:proofErr w:type="spellStart"/>
      <w:r w:rsidRPr="005256AC">
        <w:rPr>
          <w:sz w:val="20"/>
          <w:szCs w:val="20"/>
        </w:rPr>
        <w:t>Heetderks</w:t>
      </w:r>
      <w:proofErr w:type="spellEnd"/>
      <w:r w:rsidRPr="005256AC">
        <w:rPr>
          <w:sz w:val="20"/>
          <w:szCs w:val="20"/>
        </w:rPr>
        <w:t xml:space="preserve"> Strong, “Reintegration” In , </w:t>
      </w:r>
      <w:r w:rsidRPr="005256AC">
        <w:rPr>
          <w:i/>
          <w:iCs/>
          <w:sz w:val="20"/>
          <w:szCs w:val="20"/>
        </w:rPr>
        <w:t>Restoring Justice</w:t>
      </w:r>
      <w:r w:rsidRPr="005256AC">
        <w:rPr>
          <w:sz w:val="20"/>
          <w:szCs w:val="20"/>
        </w:rPr>
        <w:t xml:space="preserve"> (2</w:t>
      </w:r>
      <w:r w:rsidRPr="005256AC">
        <w:rPr>
          <w:sz w:val="20"/>
          <w:szCs w:val="20"/>
          <w:vertAlign w:val="superscript"/>
        </w:rPr>
        <w:t>nd</w:t>
      </w:r>
      <w:r w:rsidRPr="005256AC">
        <w:rPr>
          <w:sz w:val="20"/>
          <w:szCs w:val="20"/>
        </w:rPr>
        <w:t xml:space="preserve"> Edition , Anderson Publishing) Chapter 6.</w:t>
      </w:r>
    </w:p>
  </w:footnote>
  <w:footnote w:id="1219">
    <w:p w14:paraId="06017759" w14:textId="2DDDA500" w:rsidR="00C310AB" w:rsidRPr="005256AC" w:rsidRDefault="00C310AB" w:rsidP="005256AC">
      <w:pPr>
        <w:pStyle w:val="NoSpacing1"/>
        <w:spacing w:line="276" w:lineRule="auto"/>
        <w:jc w:val="both"/>
        <w:rPr>
          <w:sz w:val="20"/>
          <w:szCs w:val="20"/>
        </w:rPr>
      </w:pPr>
      <w:r w:rsidRPr="005256AC">
        <w:rPr>
          <w:rStyle w:val="FootnoteReference"/>
          <w:sz w:val="20"/>
          <w:szCs w:val="20"/>
        </w:rPr>
        <w:footnoteRef/>
      </w:r>
      <w:r w:rsidRPr="005256AC">
        <w:rPr>
          <w:sz w:val="20"/>
          <w:szCs w:val="20"/>
        </w:rPr>
        <w:t xml:space="preserve"> Ibid (n 116)</w:t>
      </w:r>
      <w:r w:rsidR="00195F96" w:rsidRPr="005256AC">
        <w:rPr>
          <w:sz w:val="20"/>
          <w:szCs w:val="20"/>
        </w:rPr>
        <w:t>.</w:t>
      </w:r>
    </w:p>
  </w:footnote>
  <w:footnote w:id="1220">
    <w:p w14:paraId="41C5BC6C" w14:textId="333E4E85" w:rsidR="00C310AB" w:rsidRPr="00E76EA2" w:rsidRDefault="00C310AB" w:rsidP="00195F96">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John </w:t>
      </w:r>
      <w:proofErr w:type="spellStart"/>
      <w:r w:rsidRPr="00E76EA2">
        <w:rPr>
          <w:sz w:val="20"/>
          <w:szCs w:val="20"/>
        </w:rPr>
        <w:t>Braithwaite,’Restorative</w:t>
      </w:r>
      <w:proofErr w:type="spellEnd"/>
      <w:r w:rsidRPr="00E76EA2">
        <w:rPr>
          <w:sz w:val="20"/>
          <w:szCs w:val="20"/>
        </w:rPr>
        <w:t xml:space="preserve"> Justice :Assessing optimistic and pessimistic accounts’(1999)</w:t>
      </w:r>
      <w:r w:rsidRPr="00E76EA2">
        <w:rPr>
          <w:i/>
          <w:iCs/>
          <w:sz w:val="20"/>
          <w:szCs w:val="20"/>
        </w:rPr>
        <w:t>Crime and Justice</w:t>
      </w:r>
      <w:r w:rsidRPr="00195F96">
        <w:rPr>
          <w:sz w:val="20"/>
          <w:szCs w:val="20"/>
        </w:rPr>
        <w:t>, 1-127</w:t>
      </w:r>
      <w:r w:rsidR="00195F96">
        <w:rPr>
          <w:sz w:val="20"/>
          <w:szCs w:val="20"/>
        </w:rPr>
        <w:t>.</w:t>
      </w:r>
      <w:r w:rsidRPr="00E76EA2">
        <w:rPr>
          <w:i/>
          <w:iCs/>
          <w:sz w:val="20"/>
          <w:szCs w:val="20"/>
        </w:rPr>
        <w:t xml:space="preserve"> </w:t>
      </w:r>
    </w:p>
  </w:footnote>
  <w:footnote w:id="1221">
    <w:p w14:paraId="3D472E32" w14:textId="26A42D15" w:rsidR="00C310AB" w:rsidRPr="00E76EA2" w:rsidRDefault="00C310AB" w:rsidP="00195F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Paul </w:t>
      </w:r>
      <w:proofErr w:type="spellStart"/>
      <w:r w:rsidRPr="00E76EA2">
        <w:rPr>
          <w:sz w:val="20"/>
          <w:szCs w:val="20"/>
        </w:rPr>
        <w:t>McCold</w:t>
      </w:r>
      <w:proofErr w:type="spellEnd"/>
      <w:r w:rsidRPr="00E76EA2">
        <w:rPr>
          <w:sz w:val="20"/>
          <w:szCs w:val="20"/>
        </w:rPr>
        <w:t>, “What is the role of community in restorative justice theory and practice” (2004)</w:t>
      </w:r>
      <w:r w:rsidRPr="00E76EA2">
        <w:rPr>
          <w:i/>
          <w:iCs/>
          <w:sz w:val="20"/>
          <w:szCs w:val="20"/>
        </w:rPr>
        <w:t>Critical Issues in Restorative Justice</w:t>
      </w:r>
      <w:r w:rsidRPr="00E76EA2">
        <w:rPr>
          <w:sz w:val="20"/>
          <w:szCs w:val="20"/>
        </w:rPr>
        <w:t>.155-172</w:t>
      </w:r>
      <w:r w:rsidRPr="00E76EA2">
        <w:rPr>
          <w:i/>
          <w:iCs/>
          <w:sz w:val="20"/>
          <w:szCs w:val="20"/>
        </w:rPr>
        <w:t>.</w:t>
      </w:r>
    </w:p>
  </w:footnote>
  <w:footnote w:id="1222">
    <w:p w14:paraId="1A1AB79A" w14:textId="0A451CCE" w:rsidR="00C310AB" w:rsidRPr="00E76EA2" w:rsidRDefault="00C310AB" w:rsidP="00195F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23">
    <w:p w14:paraId="636781E8" w14:textId="186ECD4D" w:rsidR="00C310AB" w:rsidRPr="00E76EA2" w:rsidRDefault="00C310AB" w:rsidP="00195F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24">
    <w:p w14:paraId="710EB212" w14:textId="5A9BC42D" w:rsidR="00C310AB" w:rsidRPr="00E76EA2" w:rsidRDefault="00C310AB" w:rsidP="00195F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Rome Statute 1998, Article 110(4) and The ICC Rules of Evidence and Procedure Rule 223.</w:t>
      </w:r>
    </w:p>
  </w:footnote>
  <w:footnote w:id="1225">
    <w:p w14:paraId="1EAE2980" w14:textId="400A6344" w:rsidR="00C310AB" w:rsidRPr="00E76EA2" w:rsidRDefault="00C310AB" w:rsidP="00195F96">
      <w:pPr>
        <w:pStyle w:val="NoSpacing1"/>
        <w:spacing w:line="276" w:lineRule="auto"/>
        <w:jc w:val="both"/>
        <w:rPr>
          <w:sz w:val="20"/>
          <w:szCs w:val="20"/>
        </w:rPr>
      </w:pPr>
      <w:r w:rsidRPr="00E76EA2">
        <w:rPr>
          <w:rStyle w:val="FootnoteReference"/>
          <w:sz w:val="20"/>
          <w:szCs w:val="20"/>
        </w:rPr>
        <w:footnoteRef/>
      </w:r>
      <w:proofErr w:type="spellStart"/>
      <w:r w:rsidRPr="00E76EA2">
        <w:rPr>
          <w:sz w:val="20"/>
          <w:szCs w:val="20"/>
        </w:rPr>
        <w:t>Rold</w:t>
      </w:r>
      <w:proofErr w:type="spellEnd"/>
      <w:r w:rsidRPr="00E76EA2">
        <w:rPr>
          <w:sz w:val="20"/>
          <w:szCs w:val="20"/>
        </w:rPr>
        <w:t xml:space="preserve"> Einar Fife, ‘</w:t>
      </w:r>
      <w:proofErr w:type="spellStart"/>
      <w:r w:rsidRPr="00E76EA2">
        <w:rPr>
          <w:sz w:val="20"/>
          <w:szCs w:val="20"/>
        </w:rPr>
        <w:t>Appplicable</w:t>
      </w:r>
      <w:proofErr w:type="spellEnd"/>
      <w:r w:rsidRPr="00E76EA2">
        <w:rPr>
          <w:sz w:val="20"/>
          <w:szCs w:val="20"/>
        </w:rPr>
        <w:t xml:space="preserve"> Penalties’ in Otto </w:t>
      </w:r>
      <w:proofErr w:type="spellStart"/>
      <w:r w:rsidRPr="00E76EA2">
        <w:rPr>
          <w:sz w:val="20"/>
          <w:szCs w:val="20"/>
        </w:rPr>
        <w:t>Triffrere</w:t>
      </w:r>
      <w:proofErr w:type="spellEnd"/>
      <w:r w:rsidRPr="00E76EA2">
        <w:rPr>
          <w:sz w:val="20"/>
          <w:szCs w:val="20"/>
        </w:rPr>
        <w:t xml:space="preserve"> and Kia Ambos (eds) </w:t>
      </w:r>
      <w:r w:rsidRPr="00E76EA2">
        <w:rPr>
          <w:i/>
          <w:iCs/>
          <w:sz w:val="20"/>
          <w:szCs w:val="20"/>
        </w:rPr>
        <w:t xml:space="preserve">Rome Statute of the International Criminal Court :A </w:t>
      </w:r>
      <w:r w:rsidRPr="00E76EA2">
        <w:rPr>
          <w:sz w:val="20"/>
          <w:szCs w:val="20"/>
        </w:rPr>
        <w:t>Commentary (Third Edition  Beck and Hart 2016)</w:t>
      </w:r>
      <w:r w:rsidRPr="00E76EA2">
        <w:rPr>
          <w:i/>
          <w:iCs/>
          <w:sz w:val="20"/>
          <w:szCs w:val="20"/>
        </w:rPr>
        <w:t xml:space="preserve"> </w:t>
      </w:r>
      <w:r w:rsidRPr="00E76EA2">
        <w:rPr>
          <w:sz w:val="20"/>
          <w:szCs w:val="20"/>
        </w:rPr>
        <w:t xml:space="preserve">1879; UN </w:t>
      </w:r>
      <w:proofErr w:type="spellStart"/>
      <w:r w:rsidRPr="00E76EA2">
        <w:rPr>
          <w:sz w:val="20"/>
          <w:szCs w:val="20"/>
        </w:rPr>
        <w:t>Statndard</w:t>
      </w:r>
      <w:proofErr w:type="spellEnd"/>
      <w:r w:rsidRPr="00E76EA2">
        <w:rPr>
          <w:sz w:val="20"/>
          <w:szCs w:val="20"/>
        </w:rPr>
        <w:t xml:space="preserve"> minimum rules for the treatment of prisoners , ESC Resolution 663 C XXIV 31 July 1957;United Nations Covenant on Civil and Political Rights 1966, Article 7.</w:t>
      </w:r>
    </w:p>
  </w:footnote>
  <w:footnote w:id="1226">
    <w:p w14:paraId="393BDF68" w14:textId="217CB7CD" w:rsidR="00C310AB" w:rsidRPr="00E76EA2" w:rsidRDefault="00C310AB" w:rsidP="00195F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374,377;Jessica </w:t>
      </w:r>
      <w:proofErr w:type="spellStart"/>
      <w:r w:rsidRPr="00E76EA2">
        <w:rPr>
          <w:sz w:val="20"/>
          <w:szCs w:val="20"/>
        </w:rPr>
        <w:t>Kelder</w:t>
      </w:r>
      <w:proofErr w:type="spellEnd"/>
      <w:r w:rsidRPr="00E76EA2">
        <w:rPr>
          <w:sz w:val="20"/>
          <w:szCs w:val="20"/>
        </w:rPr>
        <w:t xml:space="preserve">, </w:t>
      </w:r>
      <w:proofErr w:type="spellStart"/>
      <w:r w:rsidRPr="00E76EA2">
        <w:rPr>
          <w:sz w:val="20"/>
          <w:szCs w:val="20"/>
        </w:rPr>
        <w:t>Barbora</w:t>
      </w:r>
      <w:proofErr w:type="spellEnd"/>
      <w:r w:rsidRPr="00E76EA2">
        <w:rPr>
          <w:sz w:val="20"/>
          <w:szCs w:val="20"/>
        </w:rPr>
        <w:t xml:space="preserve"> Hola and Joris van </w:t>
      </w:r>
      <w:proofErr w:type="spellStart"/>
      <w:r w:rsidRPr="00E76EA2">
        <w:rPr>
          <w:sz w:val="20"/>
          <w:szCs w:val="20"/>
        </w:rPr>
        <w:t>Wijk</w:t>
      </w:r>
      <w:proofErr w:type="spellEnd"/>
      <w:r w:rsidRPr="00E76EA2">
        <w:rPr>
          <w:sz w:val="20"/>
          <w:szCs w:val="20"/>
        </w:rPr>
        <w:t>, ‘</w:t>
      </w:r>
      <w:proofErr w:type="spellStart"/>
      <w:r w:rsidRPr="00E76EA2">
        <w:rPr>
          <w:sz w:val="20"/>
          <w:szCs w:val="20"/>
        </w:rPr>
        <w:t>Rehabiltation</w:t>
      </w:r>
      <w:proofErr w:type="spellEnd"/>
      <w:r w:rsidRPr="00E76EA2">
        <w:rPr>
          <w:sz w:val="20"/>
          <w:szCs w:val="20"/>
        </w:rPr>
        <w:t xml:space="preserve"> and early Release of Perpetrators of International </w:t>
      </w:r>
      <w:proofErr w:type="spellStart"/>
      <w:r w:rsidRPr="00E76EA2">
        <w:rPr>
          <w:sz w:val="20"/>
          <w:szCs w:val="20"/>
        </w:rPr>
        <w:t>Crimes:Case</w:t>
      </w:r>
      <w:proofErr w:type="spellEnd"/>
      <w:r w:rsidRPr="00E76EA2">
        <w:rPr>
          <w:sz w:val="20"/>
          <w:szCs w:val="20"/>
        </w:rPr>
        <w:t xml:space="preserve"> Study of ICTY and  ICTR(2014)14(14)</w:t>
      </w:r>
      <w:r w:rsidRPr="00E76EA2">
        <w:rPr>
          <w:i/>
          <w:iCs/>
          <w:sz w:val="20"/>
          <w:szCs w:val="20"/>
        </w:rPr>
        <w:t>International Criminal Law Review,</w:t>
      </w:r>
      <w:r w:rsidRPr="00E76EA2">
        <w:rPr>
          <w:sz w:val="20"/>
          <w:szCs w:val="20"/>
        </w:rPr>
        <w:t>1177-1203.</w:t>
      </w:r>
    </w:p>
  </w:footnote>
  <w:footnote w:id="1227">
    <w:p w14:paraId="75197ED2" w14:textId="60F89DF3" w:rsidR="00C310AB" w:rsidRPr="00E76EA2" w:rsidRDefault="00C310AB" w:rsidP="00195F96">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28">
    <w:p w14:paraId="32E48070" w14:textId="7C3A66AF" w:rsidR="00C310AB" w:rsidRPr="00E76EA2" w:rsidRDefault="00C310AB" w:rsidP="0037701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Justice Hub, ‘</w:t>
      </w:r>
      <w:proofErr w:type="spellStart"/>
      <w:r w:rsidRPr="00E76EA2">
        <w:rPr>
          <w:sz w:val="20"/>
          <w:szCs w:val="20"/>
        </w:rPr>
        <w:t>Expert:Rehabiltation</w:t>
      </w:r>
      <w:proofErr w:type="spellEnd"/>
      <w:r w:rsidRPr="00E76EA2">
        <w:rPr>
          <w:sz w:val="20"/>
          <w:szCs w:val="20"/>
        </w:rPr>
        <w:t xml:space="preserve"> of those convicted by international criminal tribunals is woefully inadequate’ accessible at </w:t>
      </w:r>
      <w:hyperlink r:id="rId77" w:history="1">
        <w:r w:rsidRPr="00E76EA2">
          <w:rPr>
            <w:rStyle w:val="Hyperlink"/>
            <w:sz w:val="20"/>
            <w:szCs w:val="20"/>
          </w:rPr>
          <w:t>https://justicehub.org/article/expert-rehabilitation-of-those-convicted-by-international-criminal-tribunals-is-woefully-inadequate/</w:t>
        </w:r>
      </w:hyperlink>
      <w:r w:rsidRPr="00E76EA2">
        <w:rPr>
          <w:sz w:val="20"/>
          <w:szCs w:val="20"/>
        </w:rPr>
        <w:t xml:space="preserve"> last accessed 17 November 2020;Barbora Hola and Jessica </w:t>
      </w:r>
      <w:proofErr w:type="spellStart"/>
      <w:r w:rsidRPr="00E76EA2">
        <w:rPr>
          <w:sz w:val="20"/>
          <w:szCs w:val="20"/>
        </w:rPr>
        <w:t>Kelder</w:t>
      </w:r>
      <w:proofErr w:type="spellEnd"/>
      <w:r w:rsidRPr="00E76EA2">
        <w:rPr>
          <w:sz w:val="20"/>
          <w:szCs w:val="20"/>
        </w:rPr>
        <w:t xml:space="preserve"> ‘Life after conviction at the international criminal </w:t>
      </w:r>
      <w:proofErr w:type="spellStart"/>
      <w:r w:rsidRPr="00E76EA2">
        <w:rPr>
          <w:sz w:val="20"/>
          <w:szCs w:val="20"/>
        </w:rPr>
        <w:t>Tribunals:An</w:t>
      </w:r>
      <w:proofErr w:type="spellEnd"/>
      <w:r w:rsidRPr="00E76EA2">
        <w:rPr>
          <w:sz w:val="20"/>
          <w:szCs w:val="20"/>
        </w:rPr>
        <w:t xml:space="preserve"> Empirical Overview’ (2014) 12International </w:t>
      </w:r>
      <w:proofErr w:type="spellStart"/>
      <w:r w:rsidRPr="00E76EA2">
        <w:rPr>
          <w:sz w:val="20"/>
          <w:szCs w:val="20"/>
        </w:rPr>
        <w:t>Crimianl</w:t>
      </w:r>
      <w:proofErr w:type="spellEnd"/>
      <w:r w:rsidRPr="00E76EA2">
        <w:rPr>
          <w:sz w:val="20"/>
          <w:szCs w:val="20"/>
        </w:rPr>
        <w:t xml:space="preserve"> Justice, 109-132; </w:t>
      </w:r>
      <w:proofErr w:type="spellStart"/>
      <w:r w:rsidRPr="00E76EA2">
        <w:rPr>
          <w:sz w:val="20"/>
          <w:szCs w:val="20"/>
        </w:rPr>
        <w:t>Barbora</w:t>
      </w:r>
      <w:proofErr w:type="spellEnd"/>
      <w:r w:rsidRPr="00E76EA2">
        <w:rPr>
          <w:sz w:val="20"/>
          <w:szCs w:val="20"/>
        </w:rPr>
        <w:t xml:space="preserve"> Hola, Jessica </w:t>
      </w:r>
      <w:proofErr w:type="spellStart"/>
      <w:r w:rsidRPr="00E76EA2">
        <w:rPr>
          <w:sz w:val="20"/>
          <w:szCs w:val="20"/>
        </w:rPr>
        <w:t>Kelder</w:t>
      </w:r>
      <w:proofErr w:type="spellEnd"/>
      <w:r w:rsidRPr="00E76EA2">
        <w:rPr>
          <w:sz w:val="20"/>
          <w:szCs w:val="20"/>
        </w:rPr>
        <w:t xml:space="preserve"> and Joris van </w:t>
      </w:r>
      <w:proofErr w:type="spellStart"/>
      <w:r w:rsidRPr="00E76EA2">
        <w:rPr>
          <w:sz w:val="20"/>
          <w:szCs w:val="20"/>
        </w:rPr>
        <w:t>Wijk</w:t>
      </w:r>
      <w:proofErr w:type="spellEnd"/>
      <w:r w:rsidRPr="00E76EA2">
        <w:rPr>
          <w:sz w:val="20"/>
          <w:szCs w:val="20"/>
        </w:rPr>
        <w:t xml:space="preserve">,’Effectiveness of International criminal tribunals :Empirical assessment of </w:t>
      </w:r>
      <w:proofErr w:type="spellStart"/>
      <w:r w:rsidRPr="00E76EA2">
        <w:rPr>
          <w:sz w:val="20"/>
          <w:szCs w:val="20"/>
        </w:rPr>
        <w:t>rehabiltaion</w:t>
      </w:r>
      <w:proofErr w:type="spellEnd"/>
      <w:r w:rsidRPr="00E76EA2">
        <w:rPr>
          <w:sz w:val="20"/>
          <w:szCs w:val="20"/>
        </w:rPr>
        <w:t xml:space="preserve"> as sentencing goal’ in  </w:t>
      </w:r>
      <w:proofErr w:type="spellStart"/>
      <w:r w:rsidRPr="00E76EA2">
        <w:rPr>
          <w:sz w:val="20"/>
          <w:szCs w:val="20"/>
        </w:rPr>
        <w:t>Nobio</w:t>
      </w:r>
      <w:proofErr w:type="spellEnd"/>
      <w:r w:rsidRPr="00E76EA2">
        <w:rPr>
          <w:sz w:val="20"/>
          <w:szCs w:val="20"/>
        </w:rPr>
        <w:t xml:space="preserve"> Hayashi and  Cecilia </w:t>
      </w:r>
      <w:proofErr w:type="spellStart"/>
      <w:r w:rsidRPr="00E76EA2">
        <w:rPr>
          <w:sz w:val="20"/>
          <w:szCs w:val="20"/>
        </w:rPr>
        <w:t>Bailliet</w:t>
      </w:r>
      <w:proofErr w:type="spellEnd"/>
      <w:r w:rsidRPr="00E76EA2">
        <w:rPr>
          <w:sz w:val="20"/>
          <w:szCs w:val="20"/>
        </w:rPr>
        <w:t xml:space="preserve">, </w:t>
      </w:r>
      <w:r w:rsidRPr="00E76EA2">
        <w:rPr>
          <w:i/>
          <w:iCs/>
          <w:sz w:val="20"/>
          <w:szCs w:val="20"/>
        </w:rPr>
        <w:t xml:space="preserve">The legitimacy of international criminal tribunals </w:t>
      </w:r>
      <w:r w:rsidRPr="00E76EA2">
        <w:rPr>
          <w:sz w:val="20"/>
          <w:szCs w:val="20"/>
        </w:rPr>
        <w:t>(Cambridge University Press 2017) 351-375.</w:t>
      </w:r>
    </w:p>
  </w:footnote>
  <w:footnote w:id="1229">
    <w:p w14:paraId="326E4910" w14:textId="3A9D8ACE" w:rsidR="00C310AB" w:rsidRPr="00E76EA2" w:rsidRDefault="00C310AB" w:rsidP="0037701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30">
    <w:p w14:paraId="2877E82A" w14:textId="7D39AFA4" w:rsidR="00C310AB" w:rsidRPr="00E76EA2" w:rsidRDefault="00C310AB" w:rsidP="0037701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The Africa  Report, </w:t>
      </w:r>
      <w:proofErr w:type="spellStart"/>
      <w:r w:rsidRPr="00E76EA2">
        <w:rPr>
          <w:sz w:val="20"/>
          <w:szCs w:val="20"/>
        </w:rPr>
        <w:t>DRC:Former</w:t>
      </w:r>
      <w:proofErr w:type="spellEnd"/>
      <w:r w:rsidRPr="00E76EA2">
        <w:rPr>
          <w:sz w:val="20"/>
          <w:szCs w:val="20"/>
        </w:rPr>
        <w:t xml:space="preserve"> warlord Thomas Lubanga freed after serving 14-year sentence. Accessible at </w:t>
      </w:r>
      <w:hyperlink r:id="rId78" w:history="1">
        <w:r w:rsidRPr="00E76EA2">
          <w:rPr>
            <w:rStyle w:val="Hyperlink"/>
            <w:sz w:val="20"/>
            <w:szCs w:val="20"/>
          </w:rPr>
          <w:t>https://www.theafricareport.com/24712/drc-former-warlord-thomas-lubanga-freed-after-serving-14-year-sentence/</w:t>
        </w:r>
      </w:hyperlink>
      <w:r w:rsidRPr="00E76EA2">
        <w:rPr>
          <w:sz w:val="20"/>
          <w:szCs w:val="20"/>
        </w:rPr>
        <w:t xml:space="preserve"> last accessed 18 November 2020.; Aljazeera, DR</w:t>
      </w:r>
      <w:r w:rsidR="00EA23C5">
        <w:rPr>
          <w:sz w:val="20"/>
          <w:szCs w:val="20"/>
        </w:rPr>
        <w:t xml:space="preserve"> </w:t>
      </w:r>
      <w:r w:rsidRPr="00E76EA2">
        <w:rPr>
          <w:sz w:val="20"/>
          <w:szCs w:val="20"/>
        </w:rPr>
        <w:t xml:space="preserve">Congo warlord Thomas Lubanga released from prison, accessible at </w:t>
      </w:r>
      <w:hyperlink r:id="rId79" w:history="1">
        <w:r w:rsidRPr="00E76EA2">
          <w:rPr>
            <w:rStyle w:val="Hyperlink"/>
            <w:sz w:val="20"/>
            <w:szCs w:val="20"/>
          </w:rPr>
          <w:t>https://www.aljazeera.com/videos/2020/03/16/dr-congo-warlord-thomas-lubanga-released-from-prison/</w:t>
        </w:r>
      </w:hyperlink>
      <w:r w:rsidRPr="00E76EA2">
        <w:rPr>
          <w:sz w:val="20"/>
          <w:szCs w:val="20"/>
        </w:rPr>
        <w:t xml:space="preserve"> last accessed 18 November 2020.</w:t>
      </w:r>
    </w:p>
  </w:footnote>
  <w:footnote w:id="1231">
    <w:p w14:paraId="1B126CBA" w14:textId="77777777" w:rsidR="00C310AB" w:rsidRPr="00E76EA2" w:rsidRDefault="00C310AB" w:rsidP="00377019">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32">
    <w:p w14:paraId="2CE1CA67" w14:textId="77777777" w:rsidR="00C310AB" w:rsidRPr="00E76EA2" w:rsidRDefault="00C310AB" w:rsidP="00EA23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Aljazeera , DR Congo warlord Thomas Lubanga released from prison, accessible at </w:t>
      </w:r>
      <w:hyperlink r:id="rId80" w:history="1">
        <w:r w:rsidRPr="00E76EA2">
          <w:rPr>
            <w:rStyle w:val="Hyperlink"/>
            <w:sz w:val="20"/>
            <w:szCs w:val="20"/>
          </w:rPr>
          <w:t>https://www.aljazeera.com/videos/2020/03/16/dr-congo-warlord-thomas-lubanga-released-from-prison/</w:t>
        </w:r>
      </w:hyperlink>
      <w:r w:rsidRPr="00E76EA2">
        <w:rPr>
          <w:sz w:val="20"/>
          <w:szCs w:val="20"/>
        </w:rPr>
        <w:t xml:space="preserve"> last accessed 18 November 2020.</w:t>
      </w:r>
    </w:p>
    <w:p w14:paraId="6D1E990C" w14:textId="77777777" w:rsidR="00C310AB" w:rsidRPr="00E76EA2" w:rsidRDefault="00C310AB" w:rsidP="00EA23C5">
      <w:pPr>
        <w:pStyle w:val="NoSpacing1"/>
        <w:spacing w:line="276" w:lineRule="auto"/>
        <w:jc w:val="both"/>
        <w:rPr>
          <w:sz w:val="20"/>
          <w:szCs w:val="20"/>
        </w:rPr>
      </w:pPr>
    </w:p>
  </w:footnote>
  <w:footnote w:id="1233">
    <w:p w14:paraId="276C291A" w14:textId="77777777" w:rsidR="00C310AB" w:rsidRPr="00E76EA2" w:rsidRDefault="00C310AB" w:rsidP="00EA23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Brianne McGonigle </w:t>
      </w:r>
      <w:proofErr w:type="spellStart"/>
      <w:r w:rsidRPr="00E76EA2">
        <w:rPr>
          <w:sz w:val="20"/>
          <w:szCs w:val="20"/>
        </w:rPr>
        <w:t>Leyh</w:t>
      </w:r>
      <w:proofErr w:type="spellEnd"/>
      <w:r w:rsidRPr="00E76EA2">
        <w:rPr>
          <w:sz w:val="20"/>
          <w:szCs w:val="20"/>
        </w:rPr>
        <w:t xml:space="preserve">,  ‘Two for the Price of One: Attempt by the Extraordinary Chambers in the Courts of Cambodia to Combine Retributive and Restorative Justice Principles’(2009) 22(1) </w:t>
      </w:r>
      <w:r w:rsidRPr="00E76EA2">
        <w:rPr>
          <w:i/>
          <w:sz w:val="20"/>
          <w:szCs w:val="20"/>
        </w:rPr>
        <w:t>Leiden Journal of International Law</w:t>
      </w:r>
      <w:r w:rsidRPr="00E76EA2">
        <w:rPr>
          <w:sz w:val="20"/>
          <w:szCs w:val="20"/>
        </w:rPr>
        <w:t xml:space="preserve">, 127-149. </w:t>
      </w:r>
    </w:p>
  </w:footnote>
  <w:footnote w:id="1234">
    <w:p w14:paraId="2C3F652B" w14:textId="77777777" w:rsidR="00C310AB" w:rsidRPr="00E76EA2" w:rsidRDefault="00C310AB" w:rsidP="00EA23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Katanga sentencing decision.</w:t>
      </w:r>
    </w:p>
  </w:footnote>
  <w:footnote w:id="1235">
    <w:p w14:paraId="7B7199B7" w14:textId="57342286" w:rsidR="00C310AB" w:rsidRPr="00E76EA2" w:rsidRDefault="00C310AB" w:rsidP="00EA23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Andrew </w:t>
      </w:r>
      <w:proofErr w:type="spellStart"/>
      <w:r w:rsidRPr="00E76EA2">
        <w:rPr>
          <w:sz w:val="20"/>
          <w:szCs w:val="20"/>
        </w:rPr>
        <w:t>Ashworth,</w:t>
      </w:r>
      <w:r w:rsidRPr="00E76EA2">
        <w:rPr>
          <w:i/>
          <w:sz w:val="20"/>
          <w:szCs w:val="20"/>
        </w:rPr>
        <w:t>Sentencing</w:t>
      </w:r>
      <w:proofErr w:type="spellEnd"/>
      <w:r w:rsidRPr="00E76EA2">
        <w:rPr>
          <w:i/>
          <w:sz w:val="20"/>
          <w:szCs w:val="20"/>
        </w:rPr>
        <w:t xml:space="preserve"> and Criminal Justice </w:t>
      </w:r>
      <w:r w:rsidRPr="00E76EA2">
        <w:rPr>
          <w:sz w:val="20"/>
          <w:szCs w:val="20"/>
        </w:rPr>
        <w:t>(6th Edition Cambridge University Press 2015)</w:t>
      </w:r>
      <w:r w:rsidR="00EA23C5">
        <w:rPr>
          <w:sz w:val="20"/>
          <w:szCs w:val="20"/>
        </w:rPr>
        <w:t>.</w:t>
      </w:r>
    </w:p>
  </w:footnote>
  <w:footnote w:id="1236">
    <w:p w14:paraId="6B071CAE" w14:textId="4BF95B5A" w:rsidR="00C310AB" w:rsidRPr="00E76EA2" w:rsidRDefault="00C310AB" w:rsidP="00EA23C5">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Criminal justice system of United States of America; Oliver </w:t>
      </w:r>
      <w:proofErr w:type="spellStart"/>
      <w:r w:rsidRPr="00E76EA2">
        <w:rPr>
          <w:sz w:val="20"/>
          <w:szCs w:val="20"/>
        </w:rPr>
        <w:t>Lungwe</w:t>
      </w:r>
      <w:proofErr w:type="spellEnd"/>
      <w:r w:rsidRPr="00E76EA2">
        <w:rPr>
          <w:sz w:val="20"/>
          <w:szCs w:val="20"/>
        </w:rPr>
        <w:t xml:space="preserve"> </w:t>
      </w:r>
      <w:proofErr w:type="spellStart"/>
      <w:r w:rsidRPr="00E76EA2">
        <w:rPr>
          <w:sz w:val="20"/>
          <w:szCs w:val="20"/>
        </w:rPr>
        <w:t>Fataki</w:t>
      </w:r>
      <w:proofErr w:type="spellEnd"/>
      <w:r w:rsidRPr="00E76EA2">
        <w:rPr>
          <w:sz w:val="20"/>
          <w:szCs w:val="20"/>
        </w:rPr>
        <w:t>, World Coalition  Against Death Penalty , Africa Towards the Abolition of the death Penalty in DRC: Advances to be confirmed , published on 13 December, 2016. Accessible at &lt;</w:t>
      </w:r>
      <w:hyperlink r:id="rId81" w:history="1">
        <w:r w:rsidRPr="00E76EA2">
          <w:rPr>
            <w:rStyle w:val="Hyperlink"/>
            <w:sz w:val="20"/>
            <w:szCs w:val="20"/>
          </w:rPr>
          <w:t xml:space="preserve">www.worldcoalition.org/Towards-the-abolition-of -the -death-penaalty-in-DRC-advances-to-be-confirmed.html&gt; </w:t>
        </w:r>
      </w:hyperlink>
      <w:r w:rsidRPr="00E76EA2">
        <w:rPr>
          <w:sz w:val="20"/>
          <w:szCs w:val="20"/>
        </w:rPr>
        <w:t xml:space="preserve"> </w:t>
      </w:r>
      <w:r w:rsidR="003B7C6B">
        <w:rPr>
          <w:sz w:val="20"/>
          <w:szCs w:val="20"/>
        </w:rPr>
        <w:t>last accessed 07 July 2019</w:t>
      </w:r>
    </w:p>
  </w:footnote>
  <w:footnote w:id="1237">
    <w:p w14:paraId="123ABC14" w14:textId="1EC82300" w:rsidR="00C310AB" w:rsidRPr="00E76EA2" w:rsidRDefault="00C310AB" w:rsidP="003B7C6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and Ali </w:t>
      </w:r>
      <w:proofErr w:type="spellStart"/>
      <w:r w:rsidRPr="00E76EA2">
        <w:rPr>
          <w:sz w:val="20"/>
          <w:szCs w:val="20"/>
        </w:rPr>
        <w:t>Gohar,</w:t>
      </w:r>
      <w:r w:rsidRPr="00E76EA2">
        <w:rPr>
          <w:i/>
          <w:iCs/>
          <w:sz w:val="20"/>
          <w:szCs w:val="20"/>
        </w:rPr>
        <w:t>The</w:t>
      </w:r>
      <w:proofErr w:type="spellEnd"/>
      <w:r w:rsidRPr="00E76EA2">
        <w:rPr>
          <w:i/>
          <w:iCs/>
          <w:sz w:val="20"/>
          <w:szCs w:val="20"/>
        </w:rPr>
        <w:t xml:space="preserve"> Little Book of Restorative Justice</w:t>
      </w:r>
      <w:r w:rsidRPr="00E76EA2">
        <w:rPr>
          <w:sz w:val="20"/>
          <w:szCs w:val="20"/>
        </w:rPr>
        <w:t>(Good Books 2002)</w:t>
      </w:r>
      <w:r w:rsidRPr="00E76EA2">
        <w:rPr>
          <w:i/>
          <w:iCs/>
          <w:sz w:val="20"/>
          <w:szCs w:val="20"/>
        </w:rPr>
        <w:t xml:space="preserve"> </w:t>
      </w:r>
      <w:r w:rsidRPr="00E76EA2">
        <w:rPr>
          <w:sz w:val="20"/>
          <w:szCs w:val="20"/>
        </w:rPr>
        <w:t>10,11</w:t>
      </w:r>
      <w:r w:rsidR="003B7C6B">
        <w:rPr>
          <w:sz w:val="20"/>
          <w:szCs w:val="20"/>
        </w:rPr>
        <w:t>.</w:t>
      </w:r>
    </w:p>
  </w:footnote>
  <w:footnote w:id="1238">
    <w:p w14:paraId="21C448CB" w14:textId="7EF37E7A" w:rsidR="00C310AB" w:rsidRPr="00E76EA2" w:rsidRDefault="00C310AB" w:rsidP="003B7C6B">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Howard </w:t>
      </w:r>
      <w:proofErr w:type="spellStart"/>
      <w:r w:rsidRPr="00E76EA2">
        <w:rPr>
          <w:sz w:val="20"/>
          <w:szCs w:val="20"/>
        </w:rPr>
        <w:t>Zehr</w:t>
      </w:r>
      <w:proofErr w:type="spellEnd"/>
      <w:r w:rsidRPr="00E76EA2">
        <w:rPr>
          <w:sz w:val="20"/>
          <w:szCs w:val="20"/>
        </w:rPr>
        <w:t xml:space="preserve"> and Ali </w:t>
      </w:r>
      <w:proofErr w:type="spellStart"/>
      <w:r w:rsidRPr="00E76EA2">
        <w:rPr>
          <w:sz w:val="20"/>
          <w:szCs w:val="20"/>
        </w:rPr>
        <w:t>Gohar,</w:t>
      </w:r>
      <w:r w:rsidRPr="00E76EA2">
        <w:rPr>
          <w:i/>
          <w:iCs/>
          <w:sz w:val="20"/>
          <w:szCs w:val="20"/>
        </w:rPr>
        <w:t>The</w:t>
      </w:r>
      <w:proofErr w:type="spellEnd"/>
      <w:r w:rsidRPr="00E76EA2">
        <w:rPr>
          <w:i/>
          <w:iCs/>
          <w:sz w:val="20"/>
          <w:szCs w:val="20"/>
        </w:rPr>
        <w:t xml:space="preserve"> Little Book of Restorative Justice</w:t>
      </w:r>
      <w:r w:rsidRPr="00E76EA2">
        <w:rPr>
          <w:sz w:val="20"/>
          <w:szCs w:val="20"/>
        </w:rPr>
        <w:t>(Good Books 2002)</w:t>
      </w:r>
      <w:r w:rsidRPr="00E76EA2">
        <w:rPr>
          <w:i/>
          <w:iCs/>
          <w:sz w:val="20"/>
          <w:szCs w:val="20"/>
        </w:rPr>
        <w:t xml:space="preserve"> </w:t>
      </w:r>
      <w:r w:rsidRPr="00E76EA2">
        <w:rPr>
          <w:sz w:val="20"/>
          <w:szCs w:val="20"/>
        </w:rPr>
        <w:t>10,11</w:t>
      </w:r>
      <w:r w:rsidR="003B7C6B">
        <w:rPr>
          <w:sz w:val="20"/>
          <w:szCs w:val="20"/>
        </w:rPr>
        <w:t>.</w:t>
      </w:r>
    </w:p>
    <w:p w14:paraId="724E09C1" w14:textId="02294DF8" w:rsidR="00C310AB" w:rsidRPr="00E76EA2" w:rsidRDefault="00C310AB" w:rsidP="003B7C6B">
      <w:pPr>
        <w:pStyle w:val="NoSpacing1"/>
        <w:spacing w:line="276" w:lineRule="auto"/>
        <w:jc w:val="both"/>
        <w:rPr>
          <w:sz w:val="20"/>
          <w:szCs w:val="20"/>
        </w:rPr>
      </w:pPr>
    </w:p>
  </w:footnote>
  <w:footnote w:id="1239">
    <w:p w14:paraId="0AE42C4F" w14:textId="48DD1F24" w:rsidR="00C310AB" w:rsidRPr="00E76EA2" w:rsidRDefault="00C310AB" w:rsidP="00C27209">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The Prosecutor v. Thomas Lubanga </w:t>
      </w:r>
      <w:proofErr w:type="spellStart"/>
      <w:r w:rsidRPr="00E76EA2">
        <w:rPr>
          <w:sz w:val="20"/>
          <w:szCs w:val="20"/>
          <w:lang w:val="en-US"/>
        </w:rPr>
        <w:t>Dyilo</w:t>
      </w:r>
      <w:proofErr w:type="spellEnd"/>
      <w:r w:rsidRPr="00E76EA2">
        <w:rPr>
          <w:sz w:val="20"/>
          <w:szCs w:val="20"/>
          <w:lang w:val="en-US"/>
        </w:rPr>
        <w:t xml:space="preserve">, 13 June 2007, International Criminal Court, Appeals Chamber, Separate Opinion of Judge </w:t>
      </w:r>
      <w:proofErr w:type="spellStart"/>
      <w:r w:rsidRPr="00E76EA2">
        <w:rPr>
          <w:sz w:val="20"/>
          <w:szCs w:val="20"/>
          <w:lang w:val="en-US"/>
        </w:rPr>
        <w:t>Georghios</w:t>
      </w:r>
      <w:proofErr w:type="spellEnd"/>
      <w:r w:rsidRPr="00E76EA2">
        <w:rPr>
          <w:sz w:val="20"/>
          <w:szCs w:val="20"/>
          <w:lang w:val="en-US"/>
        </w:rPr>
        <w:t xml:space="preserve"> Pikis, Decision of the Appeals Chamber  on the Joint Application of Victims a/0001/06 to a/0003/06 and a/0105/06 concerning  the ‘Directions and Decision of the Appeals Chamber ‘ of 2 February 2007, ICC-01/04-01/06-92513-06-2007 CB PT 0A8, para.11</w:t>
      </w:r>
    </w:p>
  </w:footnote>
  <w:footnote w:id="1240">
    <w:p w14:paraId="5D7D9442" w14:textId="77777777" w:rsidR="00C310AB" w:rsidRPr="00E76EA2" w:rsidRDefault="00C310AB" w:rsidP="00C27209">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Cecile </w:t>
      </w:r>
      <w:proofErr w:type="spellStart"/>
      <w:r w:rsidRPr="00E76EA2">
        <w:rPr>
          <w:sz w:val="20"/>
          <w:szCs w:val="20"/>
          <w:lang w:val="en-US"/>
        </w:rPr>
        <w:t>Aptel</w:t>
      </w:r>
      <w:proofErr w:type="spellEnd"/>
      <w:r w:rsidRPr="00E76EA2">
        <w:rPr>
          <w:sz w:val="20"/>
          <w:szCs w:val="20"/>
          <w:lang w:val="en-US"/>
        </w:rPr>
        <w:t xml:space="preserve">, “Prosecutorial Discretion and Victims’ Right to </w:t>
      </w:r>
      <w:proofErr w:type="spellStart"/>
      <w:r w:rsidRPr="00E76EA2">
        <w:rPr>
          <w:sz w:val="20"/>
          <w:szCs w:val="20"/>
          <w:lang w:val="en-US"/>
        </w:rPr>
        <w:t>Remedy:Narrowing</w:t>
      </w:r>
      <w:proofErr w:type="spellEnd"/>
      <w:r w:rsidRPr="00E76EA2">
        <w:rPr>
          <w:sz w:val="20"/>
          <w:szCs w:val="20"/>
          <w:lang w:val="en-US"/>
        </w:rPr>
        <w:t xml:space="preserve"> the Impunity Gap”(2012)10(5)  Journal of International Criminal justice, 1357-1375.</w:t>
      </w:r>
    </w:p>
  </w:footnote>
  <w:footnote w:id="1241">
    <w:p w14:paraId="09D5859B" w14:textId="29E58ADD" w:rsidR="00C310AB" w:rsidRPr="00E76EA2" w:rsidRDefault="00C310AB" w:rsidP="00893542">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Silvia Fernandez de </w:t>
      </w:r>
      <w:proofErr w:type="spellStart"/>
      <w:r w:rsidRPr="00E76EA2">
        <w:rPr>
          <w:sz w:val="20"/>
          <w:szCs w:val="20"/>
          <w:lang w:val="en-US"/>
        </w:rPr>
        <w:t>Gurmendi</w:t>
      </w:r>
      <w:proofErr w:type="spellEnd"/>
      <w:r w:rsidRPr="00E76EA2">
        <w:rPr>
          <w:sz w:val="20"/>
          <w:szCs w:val="20"/>
          <w:lang w:val="en-US"/>
        </w:rPr>
        <w:t>, ‘The Role of the Prosecuto</w:t>
      </w:r>
      <w:r w:rsidR="00893542">
        <w:rPr>
          <w:sz w:val="20"/>
          <w:szCs w:val="20"/>
          <w:lang w:val="en-US"/>
        </w:rPr>
        <w:t>r</w:t>
      </w:r>
      <w:r w:rsidRPr="00E76EA2">
        <w:rPr>
          <w:sz w:val="20"/>
          <w:szCs w:val="20"/>
          <w:lang w:val="en-US"/>
        </w:rPr>
        <w:t xml:space="preserve">’ in Roy Lee (ed), </w:t>
      </w:r>
      <w:r w:rsidRPr="00893542">
        <w:rPr>
          <w:i/>
          <w:iCs/>
          <w:sz w:val="20"/>
          <w:szCs w:val="20"/>
          <w:lang w:val="en-US"/>
        </w:rPr>
        <w:t xml:space="preserve">The International Criminal </w:t>
      </w:r>
      <w:proofErr w:type="spellStart"/>
      <w:r w:rsidRPr="00893542">
        <w:rPr>
          <w:i/>
          <w:iCs/>
          <w:sz w:val="20"/>
          <w:szCs w:val="20"/>
          <w:lang w:val="en-US"/>
        </w:rPr>
        <w:t>Court:The</w:t>
      </w:r>
      <w:proofErr w:type="spellEnd"/>
      <w:r w:rsidRPr="00893542">
        <w:rPr>
          <w:i/>
          <w:iCs/>
          <w:sz w:val="20"/>
          <w:szCs w:val="20"/>
          <w:lang w:val="en-US"/>
        </w:rPr>
        <w:t xml:space="preserve"> Making of the Rome Statute-Issues, Negotiations and Results</w:t>
      </w:r>
      <w:r w:rsidRPr="00E76EA2">
        <w:rPr>
          <w:sz w:val="20"/>
          <w:szCs w:val="20"/>
          <w:lang w:val="en-US"/>
        </w:rPr>
        <w:t>(Kluwer Law International 1999)</w:t>
      </w:r>
    </w:p>
  </w:footnote>
  <w:footnote w:id="1242">
    <w:p w14:paraId="600A4740" w14:textId="2462E912" w:rsidR="00C310AB" w:rsidRPr="00E76EA2" w:rsidRDefault="00C310AB" w:rsidP="00893542">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Rome </w:t>
      </w:r>
      <w:proofErr w:type="spellStart"/>
      <w:r w:rsidRPr="00E76EA2">
        <w:rPr>
          <w:sz w:val="20"/>
          <w:szCs w:val="20"/>
          <w:lang w:val="fr-FR"/>
        </w:rPr>
        <w:t>Statute</w:t>
      </w:r>
      <w:proofErr w:type="spellEnd"/>
      <w:r w:rsidRPr="00E76EA2">
        <w:rPr>
          <w:sz w:val="20"/>
          <w:szCs w:val="20"/>
          <w:lang w:val="fr-FR"/>
        </w:rPr>
        <w:t xml:space="preserve"> 1998, Article 54(1)(a).</w:t>
      </w:r>
    </w:p>
  </w:footnote>
  <w:footnote w:id="1243">
    <w:p w14:paraId="6B07617B" w14:textId="77777777" w:rsidR="00C310AB" w:rsidRPr="00E76EA2" w:rsidRDefault="00C310AB" w:rsidP="00893542">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Rome </w:t>
      </w:r>
      <w:proofErr w:type="spellStart"/>
      <w:r w:rsidRPr="00E76EA2">
        <w:rPr>
          <w:sz w:val="20"/>
          <w:szCs w:val="20"/>
          <w:lang w:val="fr-FR"/>
        </w:rPr>
        <w:t>Statute</w:t>
      </w:r>
      <w:proofErr w:type="spellEnd"/>
      <w:r w:rsidRPr="00E76EA2">
        <w:rPr>
          <w:sz w:val="20"/>
          <w:szCs w:val="20"/>
          <w:lang w:val="fr-FR"/>
        </w:rPr>
        <w:t>, 1998, Article 53(2).</w:t>
      </w:r>
    </w:p>
  </w:footnote>
  <w:footnote w:id="1244">
    <w:p w14:paraId="1533939D" w14:textId="3C9EA2FC" w:rsidR="00C310AB" w:rsidRPr="00E76EA2" w:rsidRDefault="00C310AB" w:rsidP="00893542">
      <w:pPr>
        <w:pStyle w:val="NoSpacing1"/>
        <w:spacing w:line="276" w:lineRule="auto"/>
        <w:jc w:val="both"/>
        <w:rPr>
          <w:sz w:val="20"/>
          <w:szCs w:val="20"/>
          <w:lang w:val="fr-FR"/>
        </w:rPr>
      </w:pPr>
      <w:r w:rsidRPr="00E76EA2">
        <w:rPr>
          <w:rStyle w:val="FootnoteReference"/>
          <w:sz w:val="20"/>
          <w:szCs w:val="20"/>
        </w:rPr>
        <w:footnoteRef/>
      </w:r>
      <w:r w:rsidRPr="00E76EA2">
        <w:rPr>
          <w:sz w:val="20"/>
          <w:szCs w:val="20"/>
          <w:lang w:val="fr-FR"/>
        </w:rPr>
        <w:t xml:space="preserve"> Rome Statue 1998,Article 15(3), and 15(6), Article 19(3), Article 53; Article 54(1)(a); Rome </w:t>
      </w:r>
      <w:proofErr w:type="spellStart"/>
      <w:r w:rsidRPr="00E76EA2">
        <w:rPr>
          <w:sz w:val="20"/>
          <w:szCs w:val="20"/>
          <w:lang w:val="fr-FR"/>
        </w:rPr>
        <w:t>Statute</w:t>
      </w:r>
      <w:proofErr w:type="spellEnd"/>
      <w:r w:rsidRPr="00E76EA2">
        <w:rPr>
          <w:sz w:val="20"/>
          <w:szCs w:val="20"/>
          <w:lang w:val="fr-FR"/>
        </w:rPr>
        <w:t xml:space="preserve"> ,</w:t>
      </w:r>
      <w:proofErr w:type="spellStart"/>
      <w:r w:rsidRPr="00E76EA2">
        <w:rPr>
          <w:sz w:val="20"/>
          <w:szCs w:val="20"/>
          <w:lang w:val="fr-FR"/>
        </w:rPr>
        <w:t>Preamble</w:t>
      </w:r>
      <w:proofErr w:type="spellEnd"/>
      <w:r w:rsidRPr="00E76EA2">
        <w:rPr>
          <w:sz w:val="20"/>
          <w:szCs w:val="20"/>
          <w:lang w:val="fr-FR"/>
        </w:rPr>
        <w:t>;;Article 61(4), Article 67, Article 69(4).</w:t>
      </w:r>
    </w:p>
  </w:footnote>
  <w:footnote w:id="1245">
    <w:p w14:paraId="4900406E" w14:textId="223AAA2A"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Situation in the Democratic Republic of  the Congo, The  Prosecutor  v. Thomas Lubanga  </w:t>
      </w:r>
      <w:proofErr w:type="spellStart"/>
      <w:r w:rsidRPr="00E76EA2">
        <w:rPr>
          <w:sz w:val="20"/>
          <w:szCs w:val="20"/>
        </w:rPr>
        <w:t>Dyilo</w:t>
      </w:r>
      <w:proofErr w:type="spellEnd"/>
      <w:r w:rsidRPr="00E76EA2">
        <w:rPr>
          <w:sz w:val="20"/>
          <w:szCs w:val="20"/>
        </w:rPr>
        <w:t>, Judgment on the appeals of The Prosecutor and The Defence against Trial Chamber I's Decision on Victims' Participation of 18 January 2008, Appeal Chamber, par.2 and 3, paras 67-104.;ICC-01/04-01/06-1432 11-07-2008 1/44 ICC-01/04-01/06-1135;ICC-01/04-01/06-1136;Decision Granting Leave to Appeal.</w:t>
      </w:r>
    </w:p>
  </w:footnote>
  <w:footnote w:id="1246">
    <w:p w14:paraId="15B1D991" w14:textId="140C60AF"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paras 67-104.</w:t>
      </w:r>
    </w:p>
  </w:footnote>
  <w:footnote w:id="1247">
    <w:p w14:paraId="2FE93401" w14:textId="11A0A54C"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Ian Edwards,</w:t>
      </w:r>
      <w:r w:rsidR="00C27209">
        <w:rPr>
          <w:sz w:val="20"/>
          <w:szCs w:val="20"/>
        </w:rPr>
        <w:t xml:space="preserve"> ‘</w:t>
      </w:r>
      <w:r w:rsidRPr="00E76EA2">
        <w:rPr>
          <w:sz w:val="20"/>
          <w:szCs w:val="20"/>
        </w:rPr>
        <w:t xml:space="preserve">The Ambiguous </w:t>
      </w:r>
      <w:proofErr w:type="spellStart"/>
      <w:r w:rsidRPr="00E76EA2">
        <w:rPr>
          <w:sz w:val="20"/>
          <w:szCs w:val="20"/>
        </w:rPr>
        <w:t>Participant:The</w:t>
      </w:r>
      <w:proofErr w:type="spellEnd"/>
      <w:r w:rsidRPr="00E76EA2">
        <w:rPr>
          <w:sz w:val="20"/>
          <w:szCs w:val="20"/>
        </w:rPr>
        <w:t xml:space="preserve"> Crime Victims and Criminal Justice Decision-Making</w:t>
      </w:r>
      <w:r w:rsidR="00C27209">
        <w:rPr>
          <w:sz w:val="20"/>
          <w:szCs w:val="20"/>
        </w:rPr>
        <w:t>’</w:t>
      </w:r>
      <w:r w:rsidRPr="00E76EA2">
        <w:rPr>
          <w:sz w:val="20"/>
          <w:szCs w:val="20"/>
        </w:rPr>
        <w:t>(2004)44(6)</w:t>
      </w:r>
      <w:r w:rsidRPr="00E76EA2">
        <w:rPr>
          <w:i/>
          <w:iCs/>
          <w:sz w:val="20"/>
          <w:szCs w:val="20"/>
        </w:rPr>
        <w:t>The British Journal of Criminology</w:t>
      </w:r>
      <w:r w:rsidRPr="00E76EA2">
        <w:rPr>
          <w:sz w:val="20"/>
          <w:szCs w:val="20"/>
        </w:rPr>
        <w:t>, 967-982.</w:t>
      </w:r>
    </w:p>
  </w:footnote>
  <w:footnote w:id="1248">
    <w:p w14:paraId="6ECF1A2D" w14:textId="54599504"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49">
    <w:p w14:paraId="7EEA263D" w14:textId="0B2F7D25"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United Nations Charter 1945; International Covenant on Civil and Political Rights 1966.</w:t>
      </w:r>
    </w:p>
  </w:footnote>
  <w:footnote w:id="1250">
    <w:p w14:paraId="3DFA3534" w14:textId="76658FE6"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Rome Statute 1998, Article 68(3).</w:t>
      </w:r>
    </w:p>
  </w:footnote>
  <w:footnote w:id="1251">
    <w:p w14:paraId="33192EB7" w14:textId="29BE3680"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Situation in the Democratic Republic of Congo, the Prosecutor </w:t>
      </w:r>
      <w:proofErr w:type="spellStart"/>
      <w:r w:rsidRPr="00E76EA2">
        <w:rPr>
          <w:sz w:val="20"/>
          <w:szCs w:val="20"/>
        </w:rPr>
        <w:t>v.Germain</w:t>
      </w:r>
      <w:proofErr w:type="spellEnd"/>
      <w:r w:rsidRPr="00E76EA2">
        <w:rPr>
          <w:sz w:val="20"/>
          <w:szCs w:val="20"/>
        </w:rPr>
        <w:t xml:space="preserve"> Katanga and Mathieu </w:t>
      </w:r>
      <w:proofErr w:type="spellStart"/>
      <w:r w:rsidRPr="00E76EA2">
        <w:rPr>
          <w:sz w:val="20"/>
          <w:szCs w:val="20"/>
        </w:rPr>
        <w:t>Ngudjolo</w:t>
      </w:r>
      <w:proofErr w:type="spellEnd"/>
      <w:r w:rsidRPr="00E76EA2">
        <w:rPr>
          <w:sz w:val="20"/>
          <w:szCs w:val="20"/>
        </w:rPr>
        <w:t>, Decision on the Set of Procedural Rights Attached to Procedural Status of Victim at the Pre-Trial Stage of the Case, Pre-Trial Chamber 1,p.61.</w:t>
      </w:r>
    </w:p>
  </w:footnote>
  <w:footnote w:id="1252">
    <w:p w14:paraId="669FEB38" w14:textId="5E98BDF1"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Phil Clark,</w:t>
      </w:r>
      <w:r w:rsidR="008F6FDA">
        <w:rPr>
          <w:sz w:val="20"/>
          <w:szCs w:val="20"/>
        </w:rPr>
        <w:t xml:space="preserve"> </w:t>
      </w:r>
      <w:r w:rsidRPr="00E76EA2">
        <w:rPr>
          <w:i/>
          <w:iCs/>
          <w:sz w:val="20"/>
          <w:szCs w:val="20"/>
        </w:rPr>
        <w:t xml:space="preserve">Distance </w:t>
      </w:r>
      <w:proofErr w:type="spellStart"/>
      <w:r w:rsidRPr="00E76EA2">
        <w:rPr>
          <w:i/>
          <w:iCs/>
          <w:sz w:val="20"/>
          <w:szCs w:val="20"/>
        </w:rPr>
        <w:t>Justice:The</w:t>
      </w:r>
      <w:proofErr w:type="spellEnd"/>
      <w:r w:rsidRPr="00E76EA2">
        <w:rPr>
          <w:i/>
          <w:iCs/>
          <w:sz w:val="20"/>
          <w:szCs w:val="20"/>
        </w:rPr>
        <w:t xml:space="preserve"> Impact of the International Criminal Court on African Politics(</w:t>
      </w:r>
      <w:r w:rsidRPr="00E76EA2">
        <w:rPr>
          <w:sz w:val="20"/>
          <w:szCs w:val="20"/>
        </w:rPr>
        <w:t xml:space="preserve"> Cambridge University Press 2018)25,304,379.</w:t>
      </w:r>
    </w:p>
  </w:footnote>
  <w:footnote w:id="1253">
    <w:p w14:paraId="1FBB0529" w14:textId="3D6D25B6"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 Christian De Vos, “Investigating from A </w:t>
      </w:r>
      <w:proofErr w:type="spellStart"/>
      <w:r w:rsidRPr="00E76EA2">
        <w:rPr>
          <w:sz w:val="20"/>
          <w:szCs w:val="20"/>
        </w:rPr>
        <w:t>far:The</w:t>
      </w:r>
      <w:proofErr w:type="spellEnd"/>
      <w:r w:rsidRPr="00E76EA2">
        <w:rPr>
          <w:sz w:val="20"/>
          <w:szCs w:val="20"/>
        </w:rPr>
        <w:t xml:space="preserve"> ICC’s Evidence Problem”(2013) 26(4)</w:t>
      </w:r>
      <w:r w:rsidRPr="00E76EA2">
        <w:rPr>
          <w:i/>
          <w:iCs/>
          <w:sz w:val="20"/>
          <w:szCs w:val="20"/>
        </w:rPr>
        <w:t>Leiden Journal of International La</w:t>
      </w:r>
      <w:r w:rsidR="00893542">
        <w:rPr>
          <w:i/>
          <w:iCs/>
          <w:sz w:val="20"/>
          <w:szCs w:val="20"/>
        </w:rPr>
        <w:t>w</w:t>
      </w:r>
      <w:r w:rsidRPr="00E76EA2">
        <w:rPr>
          <w:sz w:val="20"/>
          <w:szCs w:val="20"/>
        </w:rPr>
        <w:t>, 1009-1024.</w:t>
      </w:r>
    </w:p>
  </w:footnote>
  <w:footnote w:id="1254">
    <w:p w14:paraId="079C59DD" w14:textId="684E2C6E"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p>
  </w:footnote>
  <w:footnote w:id="1255">
    <w:p w14:paraId="5187651D" w14:textId="77777777"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England and Wales Criminal Justice  Act 2003, c44pt12 s142; Criminal Code of Sentencing  1985, C c-46 ,s 718,4</w:t>
      </w:r>
    </w:p>
  </w:footnote>
  <w:footnote w:id="1256">
    <w:p w14:paraId="523EF2F5" w14:textId="77777777"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w:t>
      </w:r>
      <w:r w:rsidRPr="00E76EA2">
        <w:rPr>
          <w:i/>
          <w:sz w:val="20"/>
          <w:szCs w:val="20"/>
        </w:rPr>
        <w:t>Punishment and Process in International Criminal Trials</w:t>
      </w:r>
      <w:r w:rsidRPr="00E76EA2">
        <w:rPr>
          <w:sz w:val="20"/>
          <w:szCs w:val="20"/>
        </w:rPr>
        <w:t xml:space="preserve">(( Ashgate 2005)15-17;Ralph </w:t>
      </w:r>
      <w:proofErr w:type="spellStart"/>
      <w:r w:rsidRPr="00E76EA2">
        <w:rPr>
          <w:sz w:val="20"/>
          <w:szCs w:val="20"/>
        </w:rPr>
        <w:t>Henham</w:t>
      </w:r>
      <w:proofErr w:type="spellEnd"/>
      <w:r w:rsidRPr="00E76EA2">
        <w:rPr>
          <w:sz w:val="20"/>
          <w:szCs w:val="20"/>
        </w:rPr>
        <w:t xml:space="preserve">, “The Philosophical Foundations of International Sentencing”  (2003) 2 </w:t>
      </w:r>
      <w:r w:rsidRPr="00E76EA2">
        <w:rPr>
          <w:i/>
          <w:sz w:val="20"/>
          <w:szCs w:val="20"/>
        </w:rPr>
        <w:t>Journal of International Criminal Justice ,</w:t>
      </w:r>
      <w:r w:rsidRPr="00E76EA2">
        <w:rPr>
          <w:sz w:val="20"/>
          <w:szCs w:val="20"/>
        </w:rPr>
        <w:t xml:space="preserve">64,85; </w:t>
      </w:r>
      <w:proofErr w:type="spellStart"/>
      <w:r w:rsidRPr="00E76EA2">
        <w:rPr>
          <w:sz w:val="20"/>
          <w:szCs w:val="20"/>
        </w:rPr>
        <w:t>Margeret</w:t>
      </w:r>
      <w:proofErr w:type="spellEnd"/>
      <w:r w:rsidRPr="00E76EA2">
        <w:rPr>
          <w:sz w:val="20"/>
          <w:szCs w:val="20"/>
        </w:rPr>
        <w:t xml:space="preserve"> Guzman,  ‘Proportionate Sentencing at the International Criminal Court ‘(2014)Temple University Legal Studies  Research Series(Research Paper  No. 2014-2015.</w:t>
      </w:r>
    </w:p>
  </w:footnote>
  <w:footnote w:id="1257">
    <w:p w14:paraId="413190AC" w14:textId="1AE59BCF" w:rsidR="00C310AB" w:rsidRPr="00E76EA2" w:rsidRDefault="00C310AB" w:rsidP="00893542">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Prosecutor v Lubanga, Decision on Sentence, Trial Chamber I ,para. 16, Preamble of Rome Statute, paragraphs 4,5 and 9;Prosecutor v Germain Katanga, Decision on  Sentence Pursuant to Article 74 of the </w:t>
      </w:r>
      <w:proofErr w:type="spellStart"/>
      <w:r w:rsidRPr="00E76EA2">
        <w:rPr>
          <w:sz w:val="20"/>
          <w:szCs w:val="20"/>
        </w:rPr>
        <w:t>Statute,Trial</w:t>
      </w:r>
      <w:proofErr w:type="spellEnd"/>
      <w:r w:rsidRPr="00E76EA2">
        <w:rPr>
          <w:sz w:val="20"/>
          <w:szCs w:val="20"/>
        </w:rPr>
        <w:t xml:space="preserve"> Chamber II, paras 37--38</w:t>
      </w:r>
    </w:p>
  </w:footnote>
  <w:footnote w:id="1258">
    <w:p w14:paraId="16D7932E" w14:textId="6241C9E3" w:rsidR="00C310AB" w:rsidRPr="00E76EA2" w:rsidRDefault="00C310AB" w:rsidP="00D84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00E91401">
        <w:rPr>
          <w:sz w:val="20"/>
          <w:szCs w:val="20"/>
        </w:rPr>
        <w:t>Rolf</w:t>
      </w:r>
      <w:r w:rsidR="00545531">
        <w:rPr>
          <w:sz w:val="20"/>
          <w:szCs w:val="20"/>
        </w:rPr>
        <w:t xml:space="preserve"> Eina</w:t>
      </w:r>
      <w:r w:rsidR="00E91401">
        <w:rPr>
          <w:sz w:val="20"/>
          <w:szCs w:val="20"/>
        </w:rPr>
        <w:t xml:space="preserve"> Fife</w:t>
      </w:r>
      <w:r w:rsidRPr="00E76EA2">
        <w:rPr>
          <w:sz w:val="20"/>
          <w:szCs w:val="20"/>
        </w:rPr>
        <w:t xml:space="preserve"> “Article 77:Applicable Penalties”, in Otto </w:t>
      </w:r>
      <w:proofErr w:type="spellStart"/>
      <w:r w:rsidRPr="00E76EA2">
        <w:rPr>
          <w:sz w:val="20"/>
          <w:szCs w:val="20"/>
        </w:rPr>
        <w:t>Triffterer</w:t>
      </w:r>
      <w:proofErr w:type="spellEnd"/>
      <w:r w:rsidRPr="00E76EA2">
        <w:rPr>
          <w:sz w:val="20"/>
          <w:szCs w:val="20"/>
        </w:rPr>
        <w:t xml:space="preserve"> and Kai Ambos ,</w:t>
      </w:r>
      <w:r w:rsidR="00893542">
        <w:rPr>
          <w:sz w:val="20"/>
          <w:szCs w:val="20"/>
        </w:rPr>
        <w:t xml:space="preserve"> In </w:t>
      </w:r>
      <w:r w:rsidRPr="00E76EA2">
        <w:rPr>
          <w:i/>
          <w:iCs/>
          <w:sz w:val="20"/>
          <w:szCs w:val="20"/>
        </w:rPr>
        <w:t xml:space="preserve">Rome Statute  of the International Criminal Court: A Commentary </w:t>
      </w:r>
      <w:r w:rsidRPr="00E76EA2">
        <w:rPr>
          <w:sz w:val="20"/>
          <w:szCs w:val="20"/>
        </w:rPr>
        <w:t>(Hart Publishing  2016)1881</w:t>
      </w:r>
      <w:r w:rsidR="00D84EB1">
        <w:rPr>
          <w:sz w:val="20"/>
          <w:szCs w:val="20"/>
        </w:rPr>
        <w:t>.</w:t>
      </w:r>
    </w:p>
  </w:footnote>
  <w:footnote w:id="1259">
    <w:p w14:paraId="303B6D68" w14:textId="0E6560DD" w:rsidR="00C310AB" w:rsidRPr="00E76EA2" w:rsidRDefault="00C310AB" w:rsidP="00D84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r w:rsidR="00545531">
        <w:rPr>
          <w:sz w:val="20"/>
          <w:szCs w:val="20"/>
        </w:rPr>
        <w:t xml:space="preserve">Rolf Eina Fife </w:t>
      </w:r>
      <w:r w:rsidRPr="00E76EA2">
        <w:rPr>
          <w:sz w:val="20"/>
          <w:szCs w:val="20"/>
        </w:rPr>
        <w:t xml:space="preserve">“Penalties” in Otto </w:t>
      </w:r>
      <w:proofErr w:type="spellStart"/>
      <w:r w:rsidRPr="00E76EA2">
        <w:rPr>
          <w:sz w:val="20"/>
          <w:szCs w:val="20"/>
        </w:rPr>
        <w:t>Triffterer</w:t>
      </w:r>
      <w:proofErr w:type="spellEnd"/>
      <w:r w:rsidRPr="00E76EA2">
        <w:rPr>
          <w:sz w:val="20"/>
          <w:szCs w:val="20"/>
        </w:rPr>
        <w:t xml:space="preserve"> and Kai Ambos ,</w:t>
      </w:r>
      <w:r w:rsidRPr="00E76EA2">
        <w:rPr>
          <w:i/>
          <w:iCs/>
          <w:sz w:val="20"/>
          <w:szCs w:val="20"/>
        </w:rPr>
        <w:t xml:space="preserve">Rome Statute  of the International Criminal Court: A Commentary </w:t>
      </w:r>
      <w:r w:rsidRPr="00E76EA2">
        <w:rPr>
          <w:sz w:val="20"/>
          <w:szCs w:val="20"/>
        </w:rPr>
        <w:t>(Hart Publishing  2016)1501</w:t>
      </w:r>
      <w:r w:rsidR="00D84EB1">
        <w:rPr>
          <w:sz w:val="20"/>
          <w:szCs w:val="20"/>
        </w:rPr>
        <w:t>.</w:t>
      </w:r>
    </w:p>
  </w:footnote>
  <w:footnote w:id="1260">
    <w:p w14:paraId="0D05FAFD" w14:textId="65E8B835" w:rsidR="00C310AB" w:rsidRPr="00E76EA2" w:rsidRDefault="00C310AB" w:rsidP="00D84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w:t>
      </w:r>
      <w:proofErr w:type="spellStart"/>
      <w:r w:rsidRPr="00E76EA2">
        <w:rPr>
          <w:sz w:val="20"/>
          <w:szCs w:val="20"/>
        </w:rPr>
        <w:t>Ibid;</w:t>
      </w:r>
      <w:r w:rsidR="00545531">
        <w:rPr>
          <w:sz w:val="20"/>
          <w:szCs w:val="20"/>
        </w:rPr>
        <w:t>Rolf</w:t>
      </w:r>
      <w:proofErr w:type="spellEnd"/>
      <w:r w:rsidR="00545531">
        <w:rPr>
          <w:sz w:val="20"/>
          <w:szCs w:val="20"/>
        </w:rPr>
        <w:t xml:space="preserve"> Eina Fife</w:t>
      </w:r>
      <w:r w:rsidRPr="00E76EA2">
        <w:rPr>
          <w:sz w:val="20"/>
          <w:szCs w:val="20"/>
        </w:rPr>
        <w:t xml:space="preserve"> “Article 77:Applicable Penalties”, in Otto </w:t>
      </w:r>
      <w:proofErr w:type="spellStart"/>
      <w:r w:rsidRPr="00E76EA2">
        <w:rPr>
          <w:sz w:val="20"/>
          <w:szCs w:val="20"/>
        </w:rPr>
        <w:t>Triffterer</w:t>
      </w:r>
      <w:proofErr w:type="spellEnd"/>
      <w:r w:rsidRPr="00E76EA2">
        <w:rPr>
          <w:sz w:val="20"/>
          <w:szCs w:val="20"/>
        </w:rPr>
        <w:t xml:space="preserve"> and Kai Ambos ,</w:t>
      </w:r>
      <w:r w:rsidRPr="00E76EA2">
        <w:rPr>
          <w:i/>
          <w:iCs/>
          <w:sz w:val="20"/>
          <w:szCs w:val="20"/>
        </w:rPr>
        <w:t xml:space="preserve">Rome Statute  of the International Criminal Court: A Commentary </w:t>
      </w:r>
      <w:r w:rsidRPr="00E76EA2">
        <w:rPr>
          <w:sz w:val="20"/>
          <w:szCs w:val="20"/>
        </w:rPr>
        <w:t>(Hart Publishing  2016)1879</w:t>
      </w:r>
    </w:p>
  </w:footnote>
  <w:footnote w:id="1261">
    <w:p w14:paraId="53FB90A5" w14:textId="77777777" w:rsidR="00C310AB" w:rsidRPr="00E76EA2" w:rsidRDefault="00C310AB" w:rsidP="00D84EB1">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Punishment and Process in International Criminal Trials(Ashgate Aldershot, 2005)</w:t>
      </w:r>
    </w:p>
  </w:footnote>
  <w:footnote w:id="1262">
    <w:p w14:paraId="16AD2FB6" w14:textId="77777777" w:rsidR="00C310AB" w:rsidRPr="00E76EA2" w:rsidRDefault="00C310AB" w:rsidP="00D84EB1">
      <w:pPr>
        <w:pStyle w:val="NoSpacing1"/>
        <w:spacing w:line="276" w:lineRule="auto"/>
        <w:jc w:val="both"/>
        <w:rPr>
          <w:i/>
          <w:iCs/>
          <w:sz w:val="20"/>
          <w:szCs w:val="20"/>
        </w:rPr>
      </w:pPr>
      <w:r w:rsidRPr="00E76EA2">
        <w:rPr>
          <w:rStyle w:val="FootnoteReference"/>
          <w:sz w:val="20"/>
          <w:szCs w:val="20"/>
        </w:rPr>
        <w:footnoteRef/>
      </w:r>
      <w:r w:rsidRPr="00E76EA2">
        <w:rPr>
          <w:sz w:val="20"/>
          <w:szCs w:val="20"/>
        </w:rPr>
        <w:t xml:space="preserve"> Report of the Preparatory Committee on the Establishment of an International Criminal Court ,228-234;United Nations Document A/AC.249/WP.35;Decisions taken by the Preparatory Committee at its Session held from  1 to 12 December 1997, Annex V, Report of the Working Group on Penalties , UN Doc. A/AC.249/1997/l.9/Rev.1,p.18;Rolf Einar Fife, “Penalties” in Roy Lee(ed.) </w:t>
      </w:r>
      <w:r w:rsidRPr="00E76EA2">
        <w:rPr>
          <w:i/>
          <w:iCs/>
          <w:sz w:val="20"/>
          <w:szCs w:val="20"/>
        </w:rPr>
        <w:t>The International Criminal Court: The Making of the Rome Statute</w:t>
      </w:r>
      <w:r w:rsidRPr="00E76EA2">
        <w:rPr>
          <w:sz w:val="20"/>
          <w:szCs w:val="20"/>
        </w:rPr>
        <w:t xml:space="preserve"> (The Hague Kluwer 1999)319-344;Rolf Einar Fife, “Article 77”, in Otto </w:t>
      </w:r>
      <w:proofErr w:type="spellStart"/>
      <w:r w:rsidRPr="00E76EA2">
        <w:rPr>
          <w:sz w:val="20"/>
          <w:szCs w:val="20"/>
        </w:rPr>
        <w:t>Triffterer</w:t>
      </w:r>
      <w:proofErr w:type="spellEnd"/>
      <w:r w:rsidRPr="00E76EA2">
        <w:rPr>
          <w:sz w:val="20"/>
          <w:szCs w:val="20"/>
        </w:rPr>
        <w:t xml:space="preserve">(ed.), </w:t>
      </w:r>
      <w:r w:rsidRPr="00E76EA2">
        <w:rPr>
          <w:i/>
          <w:iCs/>
          <w:sz w:val="20"/>
          <w:szCs w:val="20"/>
        </w:rPr>
        <w:t>Commentary on the Rome Statute for the International Criminal Court: Observers Notes, Article by Article(</w:t>
      </w:r>
      <w:r w:rsidRPr="00E76EA2">
        <w:rPr>
          <w:sz w:val="20"/>
          <w:szCs w:val="20"/>
        </w:rPr>
        <w:t xml:space="preserve">Brill </w:t>
      </w:r>
      <w:proofErr w:type="spellStart"/>
      <w:r w:rsidRPr="00E76EA2">
        <w:rPr>
          <w:sz w:val="20"/>
          <w:szCs w:val="20"/>
        </w:rPr>
        <w:t>Nijhoff</w:t>
      </w:r>
      <w:proofErr w:type="spellEnd"/>
      <w:r w:rsidRPr="00E76EA2">
        <w:rPr>
          <w:sz w:val="20"/>
          <w:szCs w:val="20"/>
        </w:rPr>
        <w:t xml:space="preserve"> 1999</w:t>
      </w:r>
      <w:r w:rsidRPr="00E76EA2">
        <w:rPr>
          <w:i/>
          <w:iCs/>
          <w:sz w:val="20"/>
          <w:szCs w:val="20"/>
        </w:rPr>
        <w:t>)985-998.</w:t>
      </w:r>
    </w:p>
    <w:p w14:paraId="723F702C" w14:textId="0D0C0E65" w:rsidR="00C310AB" w:rsidRPr="00E76EA2" w:rsidRDefault="00C310AB" w:rsidP="00E76EA2">
      <w:pPr>
        <w:pStyle w:val="NoSpacing1"/>
        <w:rPr>
          <w:sz w:val="20"/>
          <w:szCs w:val="20"/>
        </w:rPr>
      </w:pPr>
    </w:p>
  </w:footnote>
  <w:footnote w:id="1263">
    <w:p w14:paraId="6D7AAF5F" w14:textId="3BB0275A" w:rsidR="00C310AB" w:rsidRPr="00E76EA2" w:rsidRDefault="00C310AB" w:rsidP="001454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Justice Hub, ‘</w:t>
      </w:r>
      <w:proofErr w:type="spellStart"/>
      <w:r w:rsidRPr="00E76EA2">
        <w:rPr>
          <w:sz w:val="20"/>
          <w:szCs w:val="20"/>
        </w:rPr>
        <w:t>Expert:Rehabiltation</w:t>
      </w:r>
      <w:proofErr w:type="spellEnd"/>
      <w:r w:rsidRPr="00E76EA2">
        <w:rPr>
          <w:sz w:val="20"/>
          <w:szCs w:val="20"/>
        </w:rPr>
        <w:t xml:space="preserve"> of those convicted by international criminal tribunals is woefully inadequate’ accessible at </w:t>
      </w:r>
      <w:hyperlink r:id="rId82" w:history="1">
        <w:r w:rsidRPr="00E76EA2">
          <w:rPr>
            <w:rStyle w:val="Hyperlink"/>
            <w:sz w:val="20"/>
            <w:szCs w:val="20"/>
          </w:rPr>
          <w:t>https://justicehub.org/article/expert-rehabilitation-of-those-convicted-by-international-criminal-tribunals-is-woefully-inadequate/</w:t>
        </w:r>
      </w:hyperlink>
      <w:r w:rsidRPr="00E76EA2">
        <w:rPr>
          <w:sz w:val="20"/>
          <w:szCs w:val="20"/>
        </w:rPr>
        <w:t xml:space="preserve"> last accessed 17 November 2020;Barbora Hola and Jessica </w:t>
      </w:r>
      <w:proofErr w:type="spellStart"/>
      <w:r w:rsidRPr="00E76EA2">
        <w:rPr>
          <w:sz w:val="20"/>
          <w:szCs w:val="20"/>
        </w:rPr>
        <w:t>Kelder</w:t>
      </w:r>
      <w:proofErr w:type="spellEnd"/>
      <w:r w:rsidRPr="00E76EA2">
        <w:rPr>
          <w:sz w:val="20"/>
          <w:szCs w:val="20"/>
        </w:rPr>
        <w:t xml:space="preserve"> ‘Life after conviction at the international criminal </w:t>
      </w:r>
      <w:proofErr w:type="spellStart"/>
      <w:r w:rsidRPr="00E76EA2">
        <w:rPr>
          <w:sz w:val="20"/>
          <w:szCs w:val="20"/>
        </w:rPr>
        <w:t>Tribunals:An</w:t>
      </w:r>
      <w:proofErr w:type="spellEnd"/>
      <w:r w:rsidRPr="00E76EA2">
        <w:rPr>
          <w:sz w:val="20"/>
          <w:szCs w:val="20"/>
        </w:rPr>
        <w:t xml:space="preserve"> Empirical Overview’ (2014) 12 </w:t>
      </w:r>
      <w:r w:rsidRPr="00E76EA2">
        <w:rPr>
          <w:i/>
          <w:iCs/>
          <w:sz w:val="20"/>
          <w:szCs w:val="20"/>
        </w:rPr>
        <w:t xml:space="preserve">International </w:t>
      </w:r>
      <w:proofErr w:type="spellStart"/>
      <w:r w:rsidRPr="00E76EA2">
        <w:rPr>
          <w:i/>
          <w:iCs/>
          <w:sz w:val="20"/>
          <w:szCs w:val="20"/>
        </w:rPr>
        <w:t>Crimianl</w:t>
      </w:r>
      <w:proofErr w:type="spellEnd"/>
      <w:r w:rsidRPr="00E76EA2">
        <w:rPr>
          <w:i/>
          <w:iCs/>
          <w:sz w:val="20"/>
          <w:szCs w:val="20"/>
        </w:rPr>
        <w:t xml:space="preserve"> Justice</w:t>
      </w:r>
      <w:r w:rsidRPr="00E76EA2">
        <w:rPr>
          <w:sz w:val="20"/>
          <w:szCs w:val="20"/>
        </w:rPr>
        <w:t xml:space="preserve">, 109-132; </w:t>
      </w:r>
      <w:proofErr w:type="spellStart"/>
      <w:r w:rsidRPr="00E76EA2">
        <w:rPr>
          <w:sz w:val="20"/>
          <w:szCs w:val="20"/>
        </w:rPr>
        <w:t>Barbora</w:t>
      </w:r>
      <w:proofErr w:type="spellEnd"/>
      <w:r w:rsidRPr="00E76EA2">
        <w:rPr>
          <w:sz w:val="20"/>
          <w:szCs w:val="20"/>
        </w:rPr>
        <w:t xml:space="preserve"> Hola, Jessica </w:t>
      </w:r>
      <w:proofErr w:type="spellStart"/>
      <w:r w:rsidRPr="00E76EA2">
        <w:rPr>
          <w:sz w:val="20"/>
          <w:szCs w:val="20"/>
        </w:rPr>
        <w:t>Kelder</w:t>
      </w:r>
      <w:proofErr w:type="spellEnd"/>
      <w:r w:rsidRPr="00E76EA2">
        <w:rPr>
          <w:sz w:val="20"/>
          <w:szCs w:val="20"/>
        </w:rPr>
        <w:t xml:space="preserve"> and Joris van </w:t>
      </w:r>
      <w:proofErr w:type="spellStart"/>
      <w:r w:rsidRPr="00E76EA2">
        <w:rPr>
          <w:sz w:val="20"/>
          <w:szCs w:val="20"/>
        </w:rPr>
        <w:t>Wijk</w:t>
      </w:r>
      <w:proofErr w:type="spellEnd"/>
      <w:r w:rsidRPr="00E76EA2">
        <w:rPr>
          <w:sz w:val="20"/>
          <w:szCs w:val="20"/>
        </w:rPr>
        <w:t xml:space="preserve">,’Effectiveness of International criminal tribunals :Empirical assessment of </w:t>
      </w:r>
      <w:proofErr w:type="spellStart"/>
      <w:r w:rsidRPr="00E76EA2">
        <w:rPr>
          <w:sz w:val="20"/>
          <w:szCs w:val="20"/>
        </w:rPr>
        <w:t>rehabiltaion</w:t>
      </w:r>
      <w:proofErr w:type="spellEnd"/>
      <w:r w:rsidRPr="00E76EA2">
        <w:rPr>
          <w:sz w:val="20"/>
          <w:szCs w:val="20"/>
        </w:rPr>
        <w:t xml:space="preserve"> as sentencing goal’ in  </w:t>
      </w:r>
      <w:proofErr w:type="spellStart"/>
      <w:r w:rsidRPr="00E76EA2">
        <w:rPr>
          <w:sz w:val="20"/>
          <w:szCs w:val="20"/>
        </w:rPr>
        <w:t>Nobio</w:t>
      </w:r>
      <w:proofErr w:type="spellEnd"/>
      <w:r w:rsidRPr="00E76EA2">
        <w:rPr>
          <w:sz w:val="20"/>
          <w:szCs w:val="20"/>
        </w:rPr>
        <w:t xml:space="preserve"> Hayashi and  Cecilia </w:t>
      </w:r>
      <w:proofErr w:type="spellStart"/>
      <w:r w:rsidRPr="00E76EA2">
        <w:rPr>
          <w:sz w:val="20"/>
          <w:szCs w:val="20"/>
        </w:rPr>
        <w:t>Bailliet</w:t>
      </w:r>
      <w:proofErr w:type="spellEnd"/>
      <w:r w:rsidRPr="00E76EA2">
        <w:rPr>
          <w:sz w:val="20"/>
          <w:szCs w:val="20"/>
        </w:rPr>
        <w:t xml:space="preserve">, </w:t>
      </w:r>
      <w:r w:rsidRPr="00E76EA2">
        <w:rPr>
          <w:i/>
          <w:iCs/>
          <w:sz w:val="20"/>
          <w:szCs w:val="20"/>
        </w:rPr>
        <w:t xml:space="preserve">The legitimacy of international criminal tribunals </w:t>
      </w:r>
      <w:r w:rsidRPr="00E76EA2">
        <w:rPr>
          <w:sz w:val="20"/>
          <w:szCs w:val="20"/>
        </w:rPr>
        <w:t>(Cambridge University Press 2017) 351-375.</w:t>
      </w:r>
    </w:p>
  </w:footnote>
  <w:footnote w:id="1264">
    <w:p w14:paraId="4FC4BEDF" w14:textId="25EC3DB1" w:rsidR="00C310AB" w:rsidRPr="00E76EA2" w:rsidRDefault="00C310AB" w:rsidP="001454D8">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Ibid</w:t>
      </w:r>
      <w:r w:rsidR="001454D8">
        <w:rPr>
          <w:sz w:val="20"/>
          <w:szCs w:val="20"/>
        </w:rPr>
        <w:t>.</w:t>
      </w:r>
    </w:p>
  </w:footnote>
  <w:footnote w:id="1265">
    <w:p w14:paraId="1AB6E972" w14:textId="77777777" w:rsidR="00C310AB" w:rsidRPr="00E76EA2" w:rsidRDefault="00C310AB" w:rsidP="00C306A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Ralph </w:t>
      </w:r>
      <w:proofErr w:type="spellStart"/>
      <w:r w:rsidRPr="00E76EA2">
        <w:rPr>
          <w:sz w:val="20"/>
          <w:szCs w:val="20"/>
        </w:rPr>
        <w:t>Henham</w:t>
      </w:r>
      <w:proofErr w:type="spellEnd"/>
      <w:r w:rsidRPr="00E76EA2">
        <w:rPr>
          <w:sz w:val="20"/>
          <w:szCs w:val="20"/>
        </w:rPr>
        <w:t xml:space="preserve">, </w:t>
      </w:r>
      <w:r w:rsidRPr="00E76EA2">
        <w:rPr>
          <w:i/>
          <w:sz w:val="20"/>
          <w:szCs w:val="20"/>
        </w:rPr>
        <w:t>Punishment and Process in International Criminal Trials(</w:t>
      </w:r>
      <w:r w:rsidRPr="00E76EA2">
        <w:rPr>
          <w:sz w:val="20"/>
          <w:szCs w:val="20"/>
        </w:rPr>
        <w:t>Ashgate 2005)p.148</w:t>
      </w:r>
    </w:p>
  </w:footnote>
  <w:footnote w:id="1266">
    <w:p w14:paraId="6BD3C732" w14:textId="2E775C67" w:rsidR="00C310AB" w:rsidRPr="00E76EA2" w:rsidRDefault="00C310AB" w:rsidP="00C306A0">
      <w:pPr>
        <w:pStyle w:val="NoSpacing1"/>
        <w:spacing w:line="276" w:lineRule="auto"/>
        <w:jc w:val="both"/>
        <w:rPr>
          <w:sz w:val="20"/>
          <w:szCs w:val="20"/>
        </w:rPr>
      </w:pPr>
      <w:r w:rsidRPr="00E76EA2">
        <w:rPr>
          <w:rStyle w:val="FootnoteReference"/>
          <w:sz w:val="20"/>
          <w:szCs w:val="20"/>
        </w:rPr>
        <w:footnoteRef/>
      </w:r>
      <w:r w:rsidRPr="00E76EA2">
        <w:rPr>
          <w:sz w:val="20"/>
          <w:szCs w:val="20"/>
        </w:rPr>
        <w:t xml:space="preserve"> Elias Van </w:t>
      </w:r>
      <w:proofErr w:type="spellStart"/>
      <w:r w:rsidRPr="00E76EA2">
        <w:rPr>
          <w:sz w:val="20"/>
          <w:szCs w:val="20"/>
        </w:rPr>
        <w:t>Sliedregt</w:t>
      </w:r>
      <w:proofErr w:type="spellEnd"/>
      <w:r w:rsidRPr="00E76EA2">
        <w:rPr>
          <w:sz w:val="20"/>
          <w:szCs w:val="20"/>
        </w:rPr>
        <w:t xml:space="preserve"> and Sergey </w:t>
      </w:r>
      <w:proofErr w:type="spellStart"/>
      <w:r w:rsidRPr="00E76EA2">
        <w:rPr>
          <w:sz w:val="20"/>
          <w:szCs w:val="20"/>
        </w:rPr>
        <w:t>Vasiev</w:t>
      </w:r>
      <w:proofErr w:type="spellEnd"/>
      <w:r w:rsidRPr="00E76EA2">
        <w:rPr>
          <w:sz w:val="20"/>
          <w:szCs w:val="20"/>
        </w:rPr>
        <w:t xml:space="preserve">, “Pluralism :A New Framework” in </w:t>
      </w:r>
      <w:r w:rsidRPr="00E76EA2">
        <w:rPr>
          <w:i/>
          <w:sz w:val="20"/>
          <w:szCs w:val="20"/>
        </w:rPr>
        <w:t xml:space="preserve">Pluralism in International Criminal Law  </w:t>
      </w:r>
      <w:r w:rsidRPr="00E76EA2">
        <w:rPr>
          <w:sz w:val="20"/>
          <w:szCs w:val="20"/>
        </w:rPr>
        <w:t xml:space="preserve">in, Elias Van </w:t>
      </w:r>
      <w:proofErr w:type="spellStart"/>
      <w:r w:rsidRPr="00E76EA2">
        <w:rPr>
          <w:sz w:val="20"/>
          <w:szCs w:val="20"/>
        </w:rPr>
        <w:t>Sliedregt</w:t>
      </w:r>
      <w:proofErr w:type="spellEnd"/>
      <w:r w:rsidRPr="00E76EA2">
        <w:rPr>
          <w:sz w:val="20"/>
          <w:szCs w:val="20"/>
        </w:rPr>
        <w:t xml:space="preserve"> &amp; </w:t>
      </w:r>
      <w:proofErr w:type="spellStart"/>
      <w:r w:rsidRPr="00E76EA2">
        <w:rPr>
          <w:sz w:val="20"/>
          <w:szCs w:val="20"/>
        </w:rPr>
        <w:t>Serhey</w:t>
      </w:r>
      <w:proofErr w:type="spellEnd"/>
      <w:r w:rsidRPr="00E76EA2">
        <w:rPr>
          <w:sz w:val="20"/>
          <w:szCs w:val="20"/>
        </w:rPr>
        <w:t xml:space="preserve"> </w:t>
      </w:r>
      <w:proofErr w:type="spellStart"/>
      <w:r w:rsidRPr="00E76EA2">
        <w:rPr>
          <w:sz w:val="20"/>
          <w:szCs w:val="20"/>
        </w:rPr>
        <w:t>Vasiliev</w:t>
      </w:r>
      <w:proofErr w:type="spellEnd"/>
      <w:r w:rsidRPr="00E76EA2">
        <w:rPr>
          <w:sz w:val="20"/>
          <w:szCs w:val="20"/>
        </w:rPr>
        <w:t>(eds) (2014)3, 10-11</w:t>
      </w:r>
      <w:r w:rsidR="00C306A0">
        <w:rPr>
          <w:sz w:val="20"/>
          <w:szCs w:val="20"/>
        </w:rPr>
        <w:t>.</w:t>
      </w:r>
      <w:r w:rsidRPr="00E76EA2">
        <w:rPr>
          <w:sz w:val="20"/>
          <w:szCs w:val="20"/>
        </w:rPr>
        <w:t xml:space="preserve"> </w:t>
      </w:r>
    </w:p>
    <w:p w14:paraId="368DB895" w14:textId="77777777" w:rsidR="00C310AB" w:rsidRPr="00E76EA2" w:rsidRDefault="00C310AB" w:rsidP="00C306A0">
      <w:pPr>
        <w:pStyle w:val="NoSpacing1"/>
        <w:spacing w:line="276" w:lineRule="auto"/>
        <w:jc w:val="both"/>
        <w:rPr>
          <w:sz w:val="20"/>
          <w:szCs w:val="20"/>
        </w:rPr>
      </w:pPr>
    </w:p>
  </w:footnote>
  <w:footnote w:id="1267">
    <w:p w14:paraId="75EF09DC" w14:textId="2D3FA56C" w:rsidR="00C310AB" w:rsidRPr="00E76EA2" w:rsidRDefault="00C310AB" w:rsidP="00C306A0">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Jo-Anne </w:t>
      </w:r>
      <w:proofErr w:type="spellStart"/>
      <w:r w:rsidRPr="00E76EA2">
        <w:rPr>
          <w:sz w:val="20"/>
          <w:szCs w:val="20"/>
          <w:lang w:val="en-US"/>
        </w:rPr>
        <w:t>Wemmers</w:t>
      </w:r>
      <w:proofErr w:type="spellEnd"/>
      <w:r w:rsidRPr="00E76EA2">
        <w:rPr>
          <w:sz w:val="20"/>
          <w:szCs w:val="20"/>
          <w:lang w:val="en-US"/>
        </w:rPr>
        <w:t xml:space="preserve">,  ‘Victims’ Need for Justice :Individual  versus Collective Justice’, In Rianne  </w:t>
      </w:r>
      <w:proofErr w:type="spellStart"/>
      <w:r w:rsidRPr="00E76EA2">
        <w:rPr>
          <w:sz w:val="20"/>
          <w:szCs w:val="20"/>
          <w:lang w:val="en-US"/>
        </w:rPr>
        <w:t>Letschert</w:t>
      </w:r>
      <w:proofErr w:type="spellEnd"/>
      <w:r w:rsidRPr="00E76EA2">
        <w:rPr>
          <w:sz w:val="20"/>
          <w:szCs w:val="20"/>
          <w:lang w:val="en-US"/>
        </w:rPr>
        <w:t xml:space="preserve">, </w:t>
      </w:r>
      <w:proofErr w:type="spellStart"/>
      <w:r w:rsidRPr="00E76EA2">
        <w:rPr>
          <w:sz w:val="20"/>
          <w:szCs w:val="20"/>
          <w:lang w:val="en-US"/>
        </w:rPr>
        <w:t>Roelof</w:t>
      </w:r>
      <w:proofErr w:type="spellEnd"/>
      <w:r w:rsidRPr="00E76EA2">
        <w:rPr>
          <w:sz w:val="20"/>
          <w:szCs w:val="20"/>
          <w:lang w:val="en-US"/>
        </w:rPr>
        <w:t xml:space="preserve"> </w:t>
      </w:r>
      <w:proofErr w:type="spellStart"/>
      <w:r w:rsidRPr="00E76EA2">
        <w:rPr>
          <w:sz w:val="20"/>
          <w:szCs w:val="20"/>
          <w:lang w:val="en-US"/>
        </w:rPr>
        <w:t>Haveman</w:t>
      </w:r>
      <w:proofErr w:type="spellEnd"/>
      <w:r w:rsidRPr="00E76EA2">
        <w:rPr>
          <w:sz w:val="20"/>
          <w:szCs w:val="20"/>
          <w:lang w:val="en-US"/>
        </w:rPr>
        <w:t xml:space="preserve">, Anne-Marie de Brouwer and Antony Pemberton (eds.), </w:t>
      </w:r>
      <w:r w:rsidRPr="00E76EA2">
        <w:rPr>
          <w:i/>
          <w:iCs/>
          <w:sz w:val="20"/>
          <w:szCs w:val="20"/>
          <w:lang w:val="en-US"/>
        </w:rPr>
        <w:t xml:space="preserve">Victimological Approaches to International </w:t>
      </w:r>
      <w:proofErr w:type="spellStart"/>
      <w:r w:rsidRPr="00E76EA2">
        <w:rPr>
          <w:i/>
          <w:iCs/>
          <w:sz w:val="20"/>
          <w:szCs w:val="20"/>
          <w:lang w:val="en-US"/>
        </w:rPr>
        <w:t>Crimes:Africa</w:t>
      </w:r>
      <w:proofErr w:type="spellEnd"/>
      <w:r w:rsidRPr="00E76EA2">
        <w:rPr>
          <w:sz w:val="20"/>
          <w:szCs w:val="20"/>
          <w:lang w:val="en-US"/>
        </w:rPr>
        <w:t>(</w:t>
      </w:r>
      <w:proofErr w:type="spellStart"/>
      <w:r w:rsidRPr="00E76EA2">
        <w:rPr>
          <w:sz w:val="20"/>
          <w:szCs w:val="20"/>
          <w:lang w:val="en-US"/>
        </w:rPr>
        <w:t>Intersentia</w:t>
      </w:r>
      <w:proofErr w:type="spellEnd"/>
      <w:r w:rsidRPr="00E76EA2">
        <w:rPr>
          <w:sz w:val="20"/>
          <w:szCs w:val="20"/>
          <w:lang w:val="en-US"/>
        </w:rPr>
        <w:t xml:space="preserve"> 2011) 148.</w:t>
      </w:r>
    </w:p>
  </w:footnote>
  <w:footnote w:id="1268">
    <w:p w14:paraId="6E5A460A" w14:textId="335013FD" w:rsidR="00C310AB" w:rsidRPr="00E76EA2" w:rsidRDefault="00C310AB" w:rsidP="00C306A0">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proofErr w:type="spellStart"/>
      <w:r w:rsidRPr="00E76EA2">
        <w:rPr>
          <w:sz w:val="20"/>
          <w:szCs w:val="20"/>
          <w:lang w:val="en-US"/>
        </w:rPr>
        <w:t>Cheriff</w:t>
      </w:r>
      <w:proofErr w:type="spellEnd"/>
      <w:r w:rsidRPr="00E76EA2">
        <w:rPr>
          <w:sz w:val="20"/>
          <w:szCs w:val="20"/>
          <w:lang w:val="en-US"/>
        </w:rPr>
        <w:t xml:space="preserve"> </w:t>
      </w:r>
      <w:proofErr w:type="spellStart"/>
      <w:r w:rsidRPr="00E76EA2">
        <w:rPr>
          <w:sz w:val="20"/>
          <w:szCs w:val="20"/>
          <w:lang w:val="en-US"/>
        </w:rPr>
        <w:t>Bassiouni</w:t>
      </w:r>
      <w:proofErr w:type="spellEnd"/>
      <w:r w:rsidRPr="00E76EA2">
        <w:rPr>
          <w:sz w:val="20"/>
          <w:szCs w:val="20"/>
          <w:lang w:val="en-US"/>
        </w:rPr>
        <w:t>,  ‘International Recognition of Victims’ Rights’  (2006) (6(2),.</w:t>
      </w:r>
      <w:r w:rsidRPr="00E76EA2">
        <w:rPr>
          <w:i/>
          <w:iCs/>
          <w:sz w:val="20"/>
          <w:szCs w:val="20"/>
          <w:lang w:val="en-US"/>
        </w:rPr>
        <w:t>Human Rights Law Review</w:t>
      </w:r>
      <w:r w:rsidRPr="00E76EA2">
        <w:rPr>
          <w:sz w:val="20"/>
          <w:szCs w:val="20"/>
          <w:lang w:val="en-US"/>
        </w:rPr>
        <w:t>,203-279</w:t>
      </w:r>
      <w:r w:rsidR="00C306A0">
        <w:rPr>
          <w:sz w:val="20"/>
          <w:szCs w:val="20"/>
          <w:lang w:val="en-US"/>
        </w:rPr>
        <w:t>.</w:t>
      </w:r>
    </w:p>
  </w:footnote>
  <w:footnote w:id="1269">
    <w:p w14:paraId="0859A88F" w14:textId="77777777" w:rsidR="00C310AB" w:rsidRPr="00E76EA2" w:rsidRDefault="00C310AB" w:rsidP="00C306A0">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Marijke </w:t>
      </w:r>
      <w:proofErr w:type="spellStart"/>
      <w:r w:rsidRPr="00E76EA2">
        <w:rPr>
          <w:sz w:val="20"/>
          <w:szCs w:val="20"/>
          <w:lang w:val="en-US"/>
        </w:rPr>
        <w:t>Malsch</w:t>
      </w:r>
      <w:proofErr w:type="spellEnd"/>
      <w:r w:rsidRPr="00E76EA2">
        <w:rPr>
          <w:sz w:val="20"/>
          <w:szCs w:val="20"/>
          <w:lang w:val="en-US"/>
        </w:rPr>
        <w:t xml:space="preserve"> and </w:t>
      </w:r>
      <w:proofErr w:type="spellStart"/>
      <w:r w:rsidRPr="00E76EA2">
        <w:rPr>
          <w:sz w:val="20"/>
          <w:szCs w:val="20"/>
          <w:lang w:val="en-US"/>
        </w:rPr>
        <w:t>Raphaela</w:t>
      </w:r>
      <w:proofErr w:type="spellEnd"/>
      <w:r w:rsidRPr="00E76EA2">
        <w:rPr>
          <w:sz w:val="20"/>
          <w:szCs w:val="20"/>
          <w:lang w:val="en-US"/>
        </w:rPr>
        <w:t xml:space="preserve"> Carrier, “Victims’ wishes for compensation : the immaterial aspect” (1999) 3 Journal of Criminal Justice.p239-239;Mina </w:t>
      </w:r>
      <w:proofErr w:type="spellStart"/>
      <w:r w:rsidRPr="00E76EA2">
        <w:rPr>
          <w:sz w:val="20"/>
          <w:szCs w:val="20"/>
          <w:lang w:val="en-US"/>
        </w:rPr>
        <w:t>Rauschenbach</w:t>
      </w:r>
      <w:proofErr w:type="spellEnd"/>
      <w:r w:rsidRPr="00E76EA2">
        <w:rPr>
          <w:sz w:val="20"/>
          <w:szCs w:val="20"/>
          <w:lang w:val="en-US"/>
        </w:rPr>
        <w:t xml:space="preserve"> and Damien Scalia , ‘Victims and International Criminal Justice: a vexed question? (2008) 90(870) International Review of the Red Cross,441-459,p.444. </w:t>
      </w:r>
    </w:p>
  </w:footnote>
  <w:footnote w:id="1270">
    <w:p w14:paraId="72A42C0B" w14:textId="77777777" w:rsidR="00C310AB" w:rsidRPr="00E76EA2" w:rsidRDefault="00C310AB" w:rsidP="00C306A0">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Principle (a) and (b) ,United Nations Declaration of  Basic Principles  for Victims of Crime and Abuse, 1985.</w:t>
      </w:r>
    </w:p>
  </w:footnote>
  <w:footnote w:id="1271">
    <w:p w14:paraId="1F3AA7BF" w14:textId="77777777" w:rsidR="00C310AB" w:rsidRPr="00E76EA2" w:rsidRDefault="00C310AB" w:rsidP="00C306A0">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Heather Strang Repair and Revenge: Victims and Restorative Justice (Oxford University Press 2002).</w:t>
      </w:r>
    </w:p>
  </w:footnote>
  <w:footnote w:id="1272">
    <w:p w14:paraId="284206B5" w14:textId="77777777" w:rsidR="00C310AB" w:rsidRPr="00E76EA2" w:rsidRDefault="00C310AB" w:rsidP="00A15D0F">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Howard </w:t>
      </w:r>
      <w:proofErr w:type="spellStart"/>
      <w:r w:rsidRPr="00E76EA2">
        <w:rPr>
          <w:sz w:val="20"/>
          <w:szCs w:val="20"/>
          <w:lang w:val="en-US"/>
        </w:rPr>
        <w:t>Zehr</w:t>
      </w:r>
      <w:proofErr w:type="spellEnd"/>
      <w:r w:rsidRPr="00E76EA2">
        <w:rPr>
          <w:sz w:val="20"/>
          <w:szCs w:val="20"/>
          <w:lang w:val="en-US"/>
        </w:rPr>
        <w:t xml:space="preserve"> , The Little Book of Restorative Justice: Revised and Updated. (The Little Book of Justice and Peace building)13-14</w:t>
      </w:r>
    </w:p>
  </w:footnote>
  <w:footnote w:id="1273">
    <w:p w14:paraId="080809B3" w14:textId="77777777" w:rsidR="00C310AB" w:rsidRPr="00E76EA2" w:rsidRDefault="00C310AB" w:rsidP="00A15D0F">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 xml:space="preserve">Ibid </w:t>
      </w:r>
    </w:p>
  </w:footnote>
  <w:footnote w:id="1274">
    <w:p w14:paraId="3768D77E" w14:textId="77777777" w:rsidR="00C310AB" w:rsidRPr="00E76EA2" w:rsidRDefault="00C310AB" w:rsidP="00A15D0F">
      <w:pPr>
        <w:pStyle w:val="NoSpacing1"/>
        <w:spacing w:line="276" w:lineRule="auto"/>
        <w:jc w:val="both"/>
        <w:rPr>
          <w:sz w:val="20"/>
          <w:szCs w:val="20"/>
          <w:lang w:val="en-US"/>
        </w:rPr>
      </w:pPr>
      <w:r w:rsidRPr="00E76EA2">
        <w:rPr>
          <w:rStyle w:val="FootnoteReference"/>
          <w:sz w:val="20"/>
          <w:szCs w:val="20"/>
        </w:rPr>
        <w:footnoteRef/>
      </w:r>
      <w:r w:rsidRPr="00E76EA2">
        <w:rPr>
          <w:sz w:val="20"/>
          <w:szCs w:val="20"/>
        </w:rPr>
        <w:t xml:space="preserve"> </w:t>
      </w:r>
      <w:r w:rsidRPr="00E76EA2">
        <w:rPr>
          <w:sz w:val="20"/>
          <w:szCs w:val="20"/>
          <w:lang w:val="en-US"/>
        </w:rPr>
        <w:t>Rome Statute 1998, Article 68(1);</w:t>
      </w:r>
      <w:r w:rsidRPr="00E76EA2">
        <w:rPr>
          <w:rStyle w:val="FootnoteTextChar"/>
          <w:rFonts w:ascii="Times New Roman" w:hAnsi="Times New Roman"/>
          <w:sz w:val="20"/>
          <w:szCs w:val="20"/>
        </w:rPr>
        <w:t xml:space="preserve"> </w:t>
      </w:r>
      <w:r w:rsidRPr="00E76EA2">
        <w:rPr>
          <w:sz w:val="20"/>
          <w:szCs w:val="20"/>
          <w:lang w:val="en-US"/>
        </w:rPr>
        <w:t xml:space="preserve">Campbell McLaughlin, ‘Victim and Witness Measures of the International Criminal Court: A Comparative Analysis “ (2007) 6 The Law and Practice of the International Courts and tribunals,189; Robert Cryer, </w:t>
      </w:r>
      <w:proofErr w:type="spellStart"/>
      <w:r w:rsidRPr="00E76EA2">
        <w:rPr>
          <w:sz w:val="20"/>
          <w:szCs w:val="20"/>
          <w:lang w:val="en-US"/>
        </w:rPr>
        <w:t>Hakan</w:t>
      </w:r>
      <w:proofErr w:type="spellEnd"/>
      <w:r w:rsidRPr="00E76EA2">
        <w:rPr>
          <w:sz w:val="20"/>
          <w:szCs w:val="20"/>
          <w:lang w:val="en-US"/>
        </w:rPr>
        <w:t xml:space="preserve"> </w:t>
      </w:r>
      <w:proofErr w:type="spellStart"/>
      <w:r w:rsidRPr="00E76EA2">
        <w:rPr>
          <w:sz w:val="20"/>
          <w:szCs w:val="20"/>
          <w:lang w:val="en-US"/>
        </w:rPr>
        <w:t>Friman</w:t>
      </w:r>
      <w:proofErr w:type="spellEnd"/>
      <w:r w:rsidRPr="00E76EA2">
        <w:rPr>
          <w:sz w:val="20"/>
          <w:szCs w:val="20"/>
          <w:lang w:val="en-US"/>
        </w:rPr>
        <w:t xml:space="preserve">, Darryl Robinson, Elizabeth </w:t>
      </w:r>
      <w:proofErr w:type="spellStart"/>
      <w:r w:rsidRPr="00E76EA2">
        <w:rPr>
          <w:sz w:val="20"/>
          <w:szCs w:val="20"/>
          <w:lang w:val="en-US"/>
        </w:rPr>
        <w:t>Wimshurst</w:t>
      </w:r>
      <w:proofErr w:type="spellEnd"/>
      <w:r w:rsidRPr="00E76EA2">
        <w:rPr>
          <w:sz w:val="20"/>
          <w:szCs w:val="20"/>
          <w:lang w:val="en-US"/>
        </w:rPr>
        <w:t>, An Introduction to International Criminal Law and Procedure (First published 2007, Third Edition Cambridge University Press 2014 )486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20BDB" w14:textId="77777777" w:rsidR="00C310AB" w:rsidRDefault="00BD7B40">
    <w:pPr>
      <w:pStyle w:val="Header"/>
    </w:pPr>
    <w:sdt>
      <w:sdtPr>
        <w:id w:val="171999623"/>
        <w:placeholder>
          <w:docPart w:val="3B422FBC5C19EE4FB6D89AA43F0E6A2A"/>
        </w:placeholder>
        <w:temporary/>
        <w:showingPlcHdr/>
      </w:sdtPr>
      <w:sdtEndPr/>
      <w:sdtContent>
        <w:r w:rsidR="00C310AB">
          <w:t>[Type text]</w:t>
        </w:r>
      </w:sdtContent>
    </w:sdt>
    <w:r w:rsidR="00C310AB">
      <w:ptab w:relativeTo="margin" w:alignment="center" w:leader="none"/>
    </w:r>
    <w:sdt>
      <w:sdtPr>
        <w:id w:val="171999624"/>
        <w:temporary/>
        <w:showingPlcHdr/>
      </w:sdtPr>
      <w:sdtEndPr/>
      <w:sdtContent>
        <w:r w:rsidR="00C310AB">
          <w:t>[Type text]</w:t>
        </w:r>
      </w:sdtContent>
    </w:sdt>
    <w:r w:rsidR="00C310AB">
      <w:ptab w:relativeTo="margin" w:alignment="right" w:leader="none"/>
    </w:r>
    <w:sdt>
      <w:sdtPr>
        <w:id w:val="171999625"/>
        <w:temporary/>
        <w:showingPlcHdr/>
      </w:sdtPr>
      <w:sdtEndPr/>
      <w:sdtContent>
        <w:r w:rsidR="00C310AB">
          <w:t>[Type text]</w:t>
        </w:r>
      </w:sdtContent>
    </w:sdt>
  </w:p>
  <w:p w14:paraId="1D9D841D" w14:textId="77777777" w:rsidR="00C310AB" w:rsidRDefault="00C310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946D4" w14:textId="77777777" w:rsidR="00C310AB" w:rsidRDefault="00C310AB">
    <w:pPr>
      <w:pStyle w:val="Header"/>
    </w:pPr>
    <w:r>
      <w:t>1527927</w:t>
    </w:r>
    <w:r>
      <w:ptab w:relativeTo="margin" w:alignment="center" w:leader="none"/>
    </w:r>
    <w:r>
      <w:ptab w:relativeTo="margin" w:alignment="right" w:leader="none"/>
    </w:r>
  </w:p>
  <w:p w14:paraId="3C1F27FB" w14:textId="77777777" w:rsidR="00C310AB" w:rsidRDefault="00C31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85B2E"/>
    <w:multiLevelType w:val="hybridMultilevel"/>
    <w:tmpl w:val="85C2D428"/>
    <w:lvl w:ilvl="0" w:tplc="D9FAFBC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2B1289"/>
    <w:multiLevelType w:val="hybridMultilevel"/>
    <w:tmpl w:val="98E62892"/>
    <w:lvl w:ilvl="0" w:tplc="F74E0D82">
      <w:start w:val="1"/>
      <w:numFmt w:val="decimal"/>
      <w:lvlText w:val="(%1)"/>
      <w:lvlJc w:val="left"/>
      <w:pPr>
        <w:ind w:left="825" w:hanging="360"/>
      </w:pPr>
      <w:rPr>
        <w:rFonts w:hint="default"/>
      </w:rPr>
    </w:lvl>
    <w:lvl w:ilvl="1" w:tplc="08090019" w:tentative="1">
      <w:start w:val="1"/>
      <w:numFmt w:val="lowerLetter"/>
      <w:lvlText w:val="%2."/>
      <w:lvlJc w:val="left"/>
      <w:pPr>
        <w:ind w:left="1545" w:hanging="360"/>
      </w:pPr>
    </w:lvl>
    <w:lvl w:ilvl="2" w:tplc="0809001B" w:tentative="1">
      <w:start w:val="1"/>
      <w:numFmt w:val="lowerRoman"/>
      <w:lvlText w:val="%3."/>
      <w:lvlJc w:val="right"/>
      <w:pPr>
        <w:ind w:left="2265" w:hanging="180"/>
      </w:pPr>
    </w:lvl>
    <w:lvl w:ilvl="3" w:tplc="0809000F" w:tentative="1">
      <w:start w:val="1"/>
      <w:numFmt w:val="decimal"/>
      <w:lvlText w:val="%4."/>
      <w:lvlJc w:val="left"/>
      <w:pPr>
        <w:ind w:left="2985" w:hanging="360"/>
      </w:pPr>
    </w:lvl>
    <w:lvl w:ilvl="4" w:tplc="08090019" w:tentative="1">
      <w:start w:val="1"/>
      <w:numFmt w:val="lowerLetter"/>
      <w:lvlText w:val="%5."/>
      <w:lvlJc w:val="left"/>
      <w:pPr>
        <w:ind w:left="3705" w:hanging="360"/>
      </w:pPr>
    </w:lvl>
    <w:lvl w:ilvl="5" w:tplc="0809001B" w:tentative="1">
      <w:start w:val="1"/>
      <w:numFmt w:val="lowerRoman"/>
      <w:lvlText w:val="%6."/>
      <w:lvlJc w:val="right"/>
      <w:pPr>
        <w:ind w:left="4425" w:hanging="180"/>
      </w:pPr>
    </w:lvl>
    <w:lvl w:ilvl="6" w:tplc="0809000F" w:tentative="1">
      <w:start w:val="1"/>
      <w:numFmt w:val="decimal"/>
      <w:lvlText w:val="%7."/>
      <w:lvlJc w:val="left"/>
      <w:pPr>
        <w:ind w:left="5145" w:hanging="360"/>
      </w:pPr>
    </w:lvl>
    <w:lvl w:ilvl="7" w:tplc="08090019" w:tentative="1">
      <w:start w:val="1"/>
      <w:numFmt w:val="lowerLetter"/>
      <w:lvlText w:val="%8."/>
      <w:lvlJc w:val="left"/>
      <w:pPr>
        <w:ind w:left="5865" w:hanging="360"/>
      </w:pPr>
    </w:lvl>
    <w:lvl w:ilvl="8" w:tplc="0809001B" w:tentative="1">
      <w:start w:val="1"/>
      <w:numFmt w:val="lowerRoman"/>
      <w:lvlText w:val="%9."/>
      <w:lvlJc w:val="right"/>
      <w:pPr>
        <w:ind w:left="6585" w:hanging="180"/>
      </w:pPr>
    </w:lvl>
  </w:abstractNum>
  <w:abstractNum w:abstractNumId="2" w15:restartNumberingAfterBreak="0">
    <w:nsid w:val="058C6CD7"/>
    <w:multiLevelType w:val="hybridMultilevel"/>
    <w:tmpl w:val="A44A3A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C2320C"/>
    <w:multiLevelType w:val="hybridMultilevel"/>
    <w:tmpl w:val="52420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244CDB"/>
    <w:multiLevelType w:val="hybridMultilevel"/>
    <w:tmpl w:val="9D6CA1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7125174"/>
    <w:multiLevelType w:val="hybridMultilevel"/>
    <w:tmpl w:val="4B86A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E346246"/>
    <w:multiLevelType w:val="multilevel"/>
    <w:tmpl w:val="BB44C7F6"/>
    <w:lvl w:ilvl="0">
      <w:start w:val="1"/>
      <w:numFmt w:val="decimal"/>
      <w:lvlText w:val="%1."/>
      <w:lvlJc w:val="left"/>
      <w:pPr>
        <w:ind w:left="720" w:hanging="360"/>
      </w:pPr>
    </w:lvl>
    <w:lvl w:ilvl="1">
      <w:start w:val="6"/>
      <w:numFmt w:val="decimal"/>
      <w:isLgl/>
      <w:lvlText w:val="%1.%2."/>
      <w:lvlJc w:val="left"/>
      <w:pPr>
        <w:ind w:left="1080" w:hanging="72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440" w:hanging="1080"/>
      </w:pPr>
      <w:rPr>
        <w:rFonts w:hint="default"/>
        <w:color w:val="000000" w:themeColor="text1"/>
      </w:rPr>
    </w:lvl>
    <w:lvl w:ilvl="4">
      <w:start w:val="1"/>
      <w:numFmt w:val="decimal"/>
      <w:isLgl/>
      <w:lvlText w:val="%1.%2.%3.%4.%5."/>
      <w:lvlJc w:val="left"/>
      <w:pPr>
        <w:ind w:left="1800" w:hanging="1440"/>
      </w:pPr>
      <w:rPr>
        <w:rFonts w:hint="default"/>
        <w:color w:val="000000" w:themeColor="text1"/>
      </w:rPr>
    </w:lvl>
    <w:lvl w:ilvl="5">
      <w:start w:val="1"/>
      <w:numFmt w:val="decimal"/>
      <w:isLgl/>
      <w:lvlText w:val="%1.%2.%3.%4.%5.%6."/>
      <w:lvlJc w:val="left"/>
      <w:pPr>
        <w:ind w:left="1800" w:hanging="1440"/>
      </w:pPr>
      <w:rPr>
        <w:rFonts w:hint="default"/>
        <w:color w:val="000000" w:themeColor="text1"/>
      </w:rPr>
    </w:lvl>
    <w:lvl w:ilvl="6">
      <w:start w:val="1"/>
      <w:numFmt w:val="decimal"/>
      <w:isLgl/>
      <w:lvlText w:val="%1.%2.%3.%4.%5.%6.%7."/>
      <w:lvlJc w:val="left"/>
      <w:pPr>
        <w:ind w:left="2160" w:hanging="1800"/>
      </w:pPr>
      <w:rPr>
        <w:rFonts w:hint="default"/>
        <w:color w:val="000000" w:themeColor="text1"/>
      </w:rPr>
    </w:lvl>
    <w:lvl w:ilvl="7">
      <w:start w:val="1"/>
      <w:numFmt w:val="decimal"/>
      <w:isLgl/>
      <w:lvlText w:val="%1.%2.%3.%4.%5.%6.%7.%8."/>
      <w:lvlJc w:val="left"/>
      <w:pPr>
        <w:ind w:left="2520" w:hanging="2160"/>
      </w:pPr>
      <w:rPr>
        <w:rFonts w:hint="default"/>
        <w:color w:val="000000" w:themeColor="text1"/>
      </w:rPr>
    </w:lvl>
    <w:lvl w:ilvl="8">
      <w:start w:val="1"/>
      <w:numFmt w:val="decimal"/>
      <w:isLgl/>
      <w:lvlText w:val="%1.%2.%3.%4.%5.%6.%7.%8.%9."/>
      <w:lvlJc w:val="left"/>
      <w:pPr>
        <w:ind w:left="2880" w:hanging="2520"/>
      </w:pPr>
      <w:rPr>
        <w:rFonts w:hint="default"/>
        <w:color w:val="000000" w:themeColor="text1"/>
      </w:rPr>
    </w:lvl>
  </w:abstractNum>
  <w:abstractNum w:abstractNumId="7" w15:restartNumberingAfterBreak="0">
    <w:nsid w:val="4F9960D3"/>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2284"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544A56F3"/>
    <w:multiLevelType w:val="hybridMultilevel"/>
    <w:tmpl w:val="BC1CF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6A220F"/>
    <w:multiLevelType w:val="hybridMultilevel"/>
    <w:tmpl w:val="9620C438"/>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0" w15:restartNumberingAfterBreak="0">
    <w:nsid w:val="6C874494"/>
    <w:multiLevelType w:val="hybridMultilevel"/>
    <w:tmpl w:val="325419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F5386C"/>
    <w:multiLevelType w:val="hybridMultilevel"/>
    <w:tmpl w:val="84A2B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614B14"/>
    <w:multiLevelType w:val="hybridMultilevel"/>
    <w:tmpl w:val="400A43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F344220"/>
    <w:multiLevelType w:val="hybridMultilevel"/>
    <w:tmpl w:val="5992B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0"/>
  </w:num>
  <w:num w:numId="4">
    <w:abstractNumId w:val="12"/>
  </w:num>
  <w:num w:numId="5">
    <w:abstractNumId w:val="0"/>
  </w:num>
  <w:num w:numId="6">
    <w:abstractNumId w:val="1"/>
  </w:num>
  <w:num w:numId="7">
    <w:abstractNumId w:val="7"/>
  </w:num>
  <w:num w:numId="8">
    <w:abstractNumId w:val="5"/>
  </w:num>
  <w:num w:numId="9">
    <w:abstractNumId w:val="8"/>
  </w:num>
  <w:num w:numId="10">
    <w:abstractNumId w:val="11"/>
  </w:num>
  <w:num w:numId="11">
    <w:abstractNumId w:val="6"/>
  </w:num>
  <w:num w:numId="12">
    <w:abstractNumId w:val="3"/>
  </w:num>
  <w:num w:numId="13">
    <w:abstractNumId w:val="13"/>
  </w:num>
  <w:num w:numId="1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pos w:val="beneathText"/>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yMzEztDQysTQ0MzZT0lEKTi0uzszPAykws6wFAPTerCUtAAAA"/>
  </w:docVars>
  <w:rsids>
    <w:rsidRoot w:val="000B5A1F"/>
    <w:rsid w:val="0000011C"/>
    <w:rsid w:val="00000173"/>
    <w:rsid w:val="000004AB"/>
    <w:rsid w:val="0000056E"/>
    <w:rsid w:val="0000072C"/>
    <w:rsid w:val="0000084A"/>
    <w:rsid w:val="0000086A"/>
    <w:rsid w:val="00001CFE"/>
    <w:rsid w:val="00001D2A"/>
    <w:rsid w:val="00002066"/>
    <w:rsid w:val="00002BE2"/>
    <w:rsid w:val="00002EBC"/>
    <w:rsid w:val="0000319E"/>
    <w:rsid w:val="00004A00"/>
    <w:rsid w:val="00005C6D"/>
    <w:rsid w:val="0000602B"/>
    <w:rsid w:val="000060B1"/>
    <w:rsid w:val="00006E85"/>
    <w:rsid w:val="0001014B"/>
    <w:rsid w:val="000108F4"/>
    <w:rsid w:val="00010D33"/>
    <w:rsid w:val="0001137A"/>
    <w:rsid w:val="0001176E"/>
    <w:rsid w:val="00011A24"/>
    <w:rsid w:val="00013E60"/>
    <w:rsid w:val="00014C5E"/>
    <w:rsid w:val="00014CBB"/>
    <w:rsid w:val="00015D9D"/>
    <w:rsid w:val="00016E62"/>
    <w:rsid w:val="00017176"/>
    <w:rsid w:val="00020CA7"/>
    <w:rsid w:val="00020CF0"/>
    <w:rsid w:val="0002137C"/>
    <w:rsid w:val="0002243F"/>
    <w:rsid w:val="000225A2"/>
    <w:rsid w:val="000229AA"/>
    <w:rsid w:val="00023435"/>
    <w:rsid w:val="00023F2E"/>
    <w:rsid w:val="00024029"/>
    <w:rsid w:val="00024051"/>
    <w:rsid w:val="00024169"/>
    <w:rsid w:val="0002448A"/>
    <w:rsid w:val="000244AC"/>
    <w:rsid w:val="000244EF"/>
    <w:rsid w:val="00024B23"/>
    <w:rsid w:val="00024CE3"/>
    <w:rsid w:val="00024CF3"/>
    <w:rsid w:val="00024DA2"/>
    <w:rsid w:val="000254CB"/>
    <w:rsid w:val="000258D2"/>
    <w:rsid w:val="0002656A"/>
    <w:rsid w:val="00026905"/>
    <w:rsid w:val="00026C7A"/>
    <w:rsid w:val="0002771D"/>
    <w:rsid w:val="0003017A"/>
    <w:rsid w:val="00030212"/>
    <w:rsid w:val="0003032F"/>
    <w:rsid w:val="000308EF"/>
    <w:rsid w:val="0003140D"/>
    <w:rsid w:val="000322D9"/>
    <w:rsid w:val="000326F1"/>
    <w:rsid w:val="00032B24"/>
    <w:rsid w:val="00032D5B"/>
    <w:rsid w:val="0003377F"/>
    <w:rsid w:val="00033A5A"/>
    <w:rsid w:val="00034142"/>
    <w:rsid w:val="000341DB"/>
    <w:rsid w:val="000346AA"/>
    <w:rsid w:val="000346BD"/>
    <w:rsid w:val="00034B5B"/>
    <w:rsid w:val="000358AC"/>
    <w:rsid w:val="000368EA"/>
    <w:rsid w:val="00036CE7"/>
    <w:rsid w:val="000372B9"/>
    <w:rsid w:val="000376AC"/>
    <w:rsid w:val="00037714"/>
    <w:rsid w:val="000377B5"/>
    <w:rsid w:val="00037AAD"/>
    <w:rsid w:val="00037C8F"/>
    <w:rsid w:val="00037FC3"/>
    <w:rsid w:val="00040926"/>
    <w:rsid w:val="000415C2"/>
    <w:rsid w:val="000418B7"/>
    <w:rsid w:val="00041934"/>
    <w:rsid w:val="00041F0C"/>
    <w:rsid w:val="0004227A"/>
    <w:rsid w:val="000425CF"/>
    <w:rsid w:val="00043320"/>
    <w:rsid w:val="0004351F"/>
    <w:rsid w:val="0004374D"/>
    <w:rsid w:val="0004421E"/>
    <w:rsid w:val="00044E76"/>
    <w:rsid w:val="00045251"/>
    <w:rsid w:val="00045361"/>
    <w:rsid w:val="000457CE"/>
    <w:rsid w:val="00045A75"/>
    <w:rsid w:val="00045CAA"/>
    <w:rsid w:val="00046156"/>
    <w:rsid w:val="0004618B"/>
    <w:rsid w:val="00047353"/>
    <w:rsid w:val="000504F4"/>
    <w:rsid w:val="000509B2"/>
    <w:rsid w:val="000526C1"/>
    <w:rsid w:val="0005302B"/>
    <w:rsid w:val="000539A7"/>
    <w:rsid w:val="00053BC3"/>
    <w:rsid w:val="00054132"/>
    <w:rsid w:val="000543F0"/>
    <w:rsid w:val="000554D9"/>
    <w:rsid w:val="00055A21"/>
    <w:rsid w:val="000562DB"/>
    <w:rsid w:val="000566BC"/>
    <w:rsid w:val="000568E5"/>
    <w:rsid w:val="00056C12"/>
    <w:rsid w:val="00056EAB"/>
    <w:rsid w:val="000572E1"/>
    <w:rsid w:val="000573D7"/>
    <w:rsid w:val="00057ADB"/>
    <w:rsid w:val="00060467"/>
    <w:rsid w:val="0006065C"/>
    <w:rsid w:val="000606BD"/>
    <w:rsid w:val="000614AD"/>
    <w:rsid w:val="00061A37"/>
    <w:rsid w:val="00061CC7"/>
    <w:rsid w:val="00062186"/>
    <w:rsid w:val="00062E1C"/>
    <w:rsid w:val="000637C5"/>
    <w:rsid w:val="00063F6C"/>
    <w:rsid w:val="00064A40"/>
    <w:rsid w:val="00065D1C"/>
    <w:rsid w:val="000664C7"/>
    <w:rsid w:val="00066AE9"/>
    <w:rsid w:val="000670F4"/>
    <w:rsid w:val="000672F7"/>
    <w:rsid w:val="000676A4"/>
    <w:rsid w:val="000707EF"/>
    <w:rsid w:val="0007191E"/>
    <w:rsid w:val="00071960"/>
    <w:rsid w:val="00071CDE"/>
    <w:rsid w:val="00071EA0"/>
    <w:rsid w:val="00071F36"/>
    <w:rsid w:val="000721CD"/>
    <w:rsid w:val="00072361"/>
    <w:rsid w:val="0007269A"/>
    <w:rsid w:val="000739C8"/>
    <w:rsid w:val="00074565"/>
    <w:rsid w:val="00074A2E"/>
    <w:rsid w:val="00075535"/>
    <w:rsid w:val="00075A69"/>
    <w:rsid w:val="000763D1"/>
    <w:rsid w:val="000775D1"/>
    <w:rsid w:val="00077B45"/>
    <w:rsid w:val="00077F47"/>
    <w:rsid w:val="00080E15"/>
    <w:rsid w:val="00080E56"/>
    <w:rsid w:val="00080F10"/>
    <w:rsid w:val="00081493"/>
    <w:rsid w:val="000825EA"/>
    <w:rsid w:val="000840B6"/>
    <w:rsid w:val="00084AE0"/>
    <w:rsid w:val="00084CDC"/>
    <w:rsid w:val="00084F8B"/>
    <w:rsid w:val="000858FB"/>
    <w:rsid w:val="00085B81"/>
    <w:rsid w:val="00086BAE"/>
    <w:rsid w:val="00087E50"/>
    <w:rsid w:val="00090102"/>
    <w:rsid w:val="000903C2"/>
    <w:rsid w:val="000904DB"/>
    <w:rsid w:val="000908F8"/>
    <w:rsid w:val="00090AB5"/>
    <w:rsid w:val="00090F25"/>
    <w:rsid w:val="000913F7"/>
    <w:rsid w:val="0009145D"/>
    <w:rsid w:val="000916AA"/>
    <w:rsid w:val="0009173F"/>
    <w:rsid w:val="000917C2"/>
    <w:rsid w:val="00091A42"/>
    <w:rsid w:val="00091EEC"/>
    <w:rsid w:val="00092134"/>
    <w:rsid w:val="0009260D"/>
    <w:rsid w:val="000931C0"/>
    <w:rsid w:val="00093A4F"/>
    <w:rsid w:val="000943DD"/>
    <w:rsid w:val="00094E81"/>
    <w:rsid w:val="0009645B"/>
    <w:rsid w:val="0009677F"/>
    <w:rsid w:val="00096B80"/>
    <w:rsid w:val="00097853"/>
    <w:rsid w:val="00097A30"/>
    <w:rsid w:val="00097C2D"/>
    <w:rsid w:val="00097C80"/>
    <w:rsid w:val="000A0010"/>
    <w:rsid w:val="000A0884"/>
    <w:rsid w:val="000A0D25"/>
    <w:rsid w:val="000A0D87"/>
    <w:rsid w:val="000A0EF1"/>
    <w:rsid w:val="000A0FC5"/>
    <w:rsid w:val="000A16A9"/>
    <w:rsid w:val="000A173F"/>
    <w:rsid w:val="000A17E6"/>
    <w:rsid w:val="000A1C27"/>
    <w:rsid w:val="000A36C0"/>
    <w:rsid w:val="000A4041"/>
    <w:rsid w:val="000A455E"/>
    <w:rsid w:val="000A6C0A"/>
    <w:rsid w:val="000A713B"/>
    <w:rsid w:val="000A78B6"/>
    <w:rsid w:val="000B0125"/>
    <w:rsid w:val="000B029C"/>
    <w:rsid w:val="000B134D"/>
    <w:rsid w:val="000B135D"/>
    <w:rsid w:val="000B1DF4"/>
    <w:rsid w:val="000B39E0"/>
    <w:rsid w:val="000B3D9C"/>
    <w:rsid w:val="000B4AF2"/>
    <w:rsid w:val="000B53CA"/>
    <w:rsid w:val="000B5849"/>
    <w:rsid w:val="000B5A1F"/>
    <w:rsid w:val="000B6657"/>
    <w:rsid w:val="000B7720"/>
    <w:rsid w:val="000B7C62"/>
    <w:rsid w:val="000C0604"/>
    <w:rsid w:val="000C0D06"/>
    <w:rsid w:val="000C0FB4"/>
    <w:rsid w:val="000C1B89"/>
    <w:rsid w:val="000C283F"/>
    <w:rsid w:val="000C3728"/>
    <w:rsid w:val="000C403B"/>
    <w:rsid w:val="000C40C4"/>
    <w:rsid w:val="000C4174"/>
    <w:rsid w:val="000C4500"/>
    <w:rsid w:val="000C46D9"/>
    <w:rsid w:val="000C4C6A"/>
    <w:rsid w:val="000C5787"/>
    <w:rsid w:val="000C63AD"/>
    <w:rsid w:val="000C68DE"/>
    <w:rsid w:val="000C6FA0"/>
    <w:rsid w:val="000C73D1"/>
    <w:rsid w:val="000C78FF"/>
    <w:rsid w:val="000C7B6D"/>
    <w:rsid w:val="000D049D"/>
    <w:rsid w:val="000D0922"/>
    <w:rsid w:val="000D11D8"/>
    <w:rsid w:val="000D1990"/>
    <w:rsid w:val="000D1FAD"/>
    <w:rsid w:val="000D1FD4"/>
    <w:rsid w:val="000D2432"/>
    <w:rsid w:val="000D2440"/>
    <w:rsid w:val="000D249B"/>
    <w:rsid w:val="000D252A"/>
    <w:rsid w:val="000D37C6"/>
    <w:rsid w:val="000D37F3"/>
    <w:rsid w:val="000D3A6B"/>
    <w:rsid w:val="000D3B3C"/>
    <w:rsid w:val="000D3B43"/>
    <w:rsid w:val="000D4E7C"/>
    <w:rsid w:val="000D4FDC"/>
    <w:rsid w:val="000D521C"/>
    <w:rsid w:val="000D53A0"/>
    <w:rsid w:val="000D6A2A"/>
    <w:rsid w:val="000E0024"/>
    <w:rsid w:val="000E0094"/>
    <w:rsid w:val="000E1A99"/>
    <w:rsid w:val="000E1BDD"/>
    <w:rsid w:val="000E1E20"/>
    <w:rsid w:val="000E360E"/>
    <w:rsid w:val="000E36E1"/>
    <w:rsid w:val="000E3856"/>
    <w:rsid w:val="000E3AC8"/>
    <w:rsid w:val="000E3BF2"/>
    <w:rsid w:val="000E42F8"/>
    <w:rsid w:val="000E4DA0"/>
    <w:rsid w:val="000E5346"/>
    <w:rsid w:val="000E5592"/>
    <w:rsid w:val="000E5A7F"/>
    <w:rsid w:val="000E6E2D"/>
    <w:rsid w:val="000E76BB"/>
    <w:rsid w:val="000E7768"/>
    <w:rsid w:val="000F076E"/>
    <w:rsid w:val="000F0F27"/>
    <w:rsid w:val="000F1472"/>
    <w:rsid w:val="000F16BE"/>
    <w:rsid w:val="000F17C6"/>
    <w:rsid w:val="000F1D42"/>
    <w:rsid w:val="000F243C"/>
    <w:rsid w:val="000F25B9"/>
    <w:rsid w:val="000F2772"/>
    <w:rsid w:val="000F2F94"/>
    <w:rsid w:val="000F3786"/>
    <w:rsid w:val="000F3F38"/>
    <w:rsid w:val="000F58A3"/>
    <w:rsid w:val="000F66C9"/>
    <w:rsid w:val="000F74C5"/>
    <w:rsid w:val="000F78C5"/>
    <w:rsid w:val="000F7A08"/>
    <w:rsid w:val="000F7FE7"/>
    <w:rsid w:val="001003F9"/>
    <w:rsid w:val="00100B41"/>
    <w:rsid w:val="00100DEB"/>
    <w:rsid w:val="0010124B"/>
    <w:rsid w:val="001012B6"/>
    <w:rsid w:val="00101793"/>
    <w:rsid w:val="00101897"/>
    <w:rsid w:val="00101AAB"/>
    <w:rsid w:val="00101C69"/>
    <w:rsid w:val="00101F9D"/>
    <w:rsid w:val="001027D5"/>
    <w:rsid w:val="001027DC"/>
    <w:rsid w:val="00104471"/>
    <w:rsid w:val="00105416"/>
    <w:rsid w:val="00105CDE"/>
    <w:rsid w:val="001062D2"/>
    <w:rsid w:val="00106313"/>
    <w:rsid w:val="001063B8"/>
    <w:rsid w:val="0010645A"/>
    <w:rsid w:val="0010656B"/>
    <w:rsid w:val="00106910"/>
    <w:rsid w:val="00106929"/>
    <w:rsid w:val="00106BF7"/>
    <w:rsid w:val="001073BB"/>
    <w:rsid w:val="00107536"/>
    <w:rsid w:val="001078AC"/>
    <w:rsid w:val="00107E1E"/>
    <w:rsid w:val="00110A7E"/>
    <w:rsid w:val="00110AA0"/>
    <w:rsid w:val="00110BB0"/>
    <w:rsid w:val="00111405"/>
    <w:rsid w:val="0011155E"/>
    <w:rsid w:val="001116F3"/>
    <w:rsid w:val="00111CCE"/>
    <w:rsid w:val="00111ED6"/>
    <w:rsid w:val="00111F78"/>
    <w:rsid w:val="00113105"/>
    <w:rsid w:val="00113B44"/>
    <w:rsid w:val="00113D6B"/>
    <w:rsid w:val="001140C4"/>
    <w:rsid w:val="00114293"/>
    <w:rsid w:val="00114353"/>
    <w:rsid w:val="00114419"/>
    <w:rsid w:val="001144A9"/>
    <w:rsid w:val="00115040"/>
    <w:rsid w:val="00117BAD"/>
    <w:rsid w:val="001205D1"/>
    <w:rsid w:val="00120BAF"/>
    <w:rsid w:val="001215EA"/>
    <w:rsid w:val="001219B1"/>
    <w:rsid w:val="0012272D"/>
    <w:rsid w:val="0012291B"/>
    <w:rsid w:val="0012316B"/>
    <w:rsid w:val="00123FC4"/>
    <w:rsid w:val="0012441F"/>
    <w:rsid w:val="001247B8"/>
    <w:rsid w:val="0012481D"/>
    <w:rsid w:val="00125FA5"/>
    <w:rsid w:val="00126822"/>
    <w:rsid w:val="001308D9"/>
    <w:rsid w:val="00130F8B"/>
    <w:rsid w:val="0013199F"/>
    <w:rsid w:val="00131B78"/>
    <w:rsid w:val="001322FF"/>
    <w:rsid w:val="001324BC"/>
    <w:rsid w:val="001332F7"/>
    <w:rsid w:val="00133B5E"/>
    <w:rsid w:val="00133DE6"/>
    <w:rsid w:val="001341E3"/>
    <w:rsid w:val="00134204"/>
    <w:rsid w:val="00134A1B"/>
    <w:rsid w:val="00135450"/>
    <w:rsid w:val="00135624"/>
    <w:rsid w:val="001356EF"/>
    <w:rsid w:val="00135865"/>
    <w:rsid w:val="001358EF"/>
    <w:rsid w:val="00140278"/>
    <w:rsid w:val="0014042B"/>
    <w:rsid w:val="001406C4"/>
    <w:rsid w:val="00140EBC"/>
    <w:rsid w:val="00140F27"/>
    <w:rsid w:val="0014111A"/>
    <w:rsid w:val="00141F20"/>
    <w:rsid w:val="001420EA"/>
    <w:rsid w:val="00142141"/>
    <w:rsid w:val="00142EBF"/>
    <w:rsid w:val="00143337"/>
    <w:rsid w:val="00143D48"/>
    <w:rsid w:val="00144F82"/>
    <w:rsid w:val="00145224"/>
    <w:rsid w:val="001454D8"/>
    <w:rsid w:val="00145A5B"/>
    <w:rsid w:val="00146136"/>
    <w:rsid w:val="001462C6"/>
    <w:rsid w:val="0014700D"/>
    <w:rsid w:val="00150071"/>
    <w:rsid w:val="001505E4"/>
    <w:rsid w:val="00150870"/>
    <w:rsid w:val="00151B02"/>
    <w:rsid w:val="00152100"/>
    <w:rsid w:val="00152DFF"/>
    <w:rsid w:val="001532C5"/>
    <w:rsid w:val="00153A18"/>
    <w:rsid w:val="00153D67"/>
    <w:rsid w:val="00153FB4"/>
    <w:rsid w:val="00154476"/>
    <w:rsid w:val="0015495D"/>
    <w:rsid w:val="001549D7"/>
    <w:rsid w:val="001557CF"/>
    <w:rsid w:val="00156197"/>
    <w:rsid w:val="00156622"/>
    <w:rsid w:val="00157018"/>
    <w:rsid w:val="00157BCC"/>
    <w:rsid w:val="00157E54"/>
    <w:rsid w:val="0016017D"/>
    <w:rsid w:val="00160807"/>
    <w:rsid w:val="00160BF5"/>
    <w:rsid w:val="0016156C"/>
    <w:rsid w:val="00161612"/>
    <w:rsid w:val="001622C4"/>
    <w:rsid w:val="001627E8"/>
    <w:rsid w:val="00162CF8"/>
    <w:rsid w:val="001630A5"/>
    <w:rsid w:val="001630EC"/>
    <w:rsid w:val="00163380"/>
    <w:rsid w:val="00164079"/>
    <w:rsid w:val="00164440"/>
    <w:rsid w:val="00164AF8"/>
    <w:rsid w:val="00164F3C"/>
    <w:rsid w:val="001651E1"/>
    <w:rsid w:val="001657D2"/>
    <w:rsid w:val="00165907"/>
    <w:rsid w:val="001661CD"/>
    <w:rsid w:val="00166728"/>
    <w:rsid w:val="00166C0B"/>
    <w:rsid w:val="00166F07"/>
    <w:rsid w:val="001679E7"/>
    <w:rsid w:val="00167ABD"/>
    <w:rsid w:val="00167C84"/>
    <w:rsid w:val="00170347"/>
    <w:rsid w:val="00170C34"/>
    <w:rsid w:val="00173492"/>
    <w:rsid w:val="0017392A"/>
    <w:rsid w:val="00174387"/>
    <w:rsid w:val="001746FC"/>
    <w:rsid w:val="001747C0"/>
    <w:rsid w:val="00174B14"/>
    <w:rsid w:val="00174D58"/>
    <w:rsid w:val="00175321"/>
    <w:rsid w:val="001757C4"/>
    <w:rsid w:val="00177F11"/>
    <w:rsid w:val="00181265"/>
    <w:rsid w:val="00181E40"/>
    <w:rsid w:val="00182279"/>
    <w:rsid w:val="001828F3"/>
    <w:rsid w:val="001829B3"/>
    <w:rsid w:val="00182D4B"/>
    <w:rsid w:val="00182E91"/>
    <w:rsid w:val="00183F52"/>
    <w:rsid w:val="00184E09"/>
    <w:rsid w:val="00185B01"/>
    <w:rsid w:val="00185C55"/>
    <w:rsid w:val="00185CA1"/>
    <w:rsid w:val="001861BC"/>
    <w:rsid w:val="001864E9"/>
    <w:rsid w:val="001874CD"/>
    <w:rsid w:val="00187FED"/>
    <w:rsid w:val="001905DC"/>
    <w:rsid w:val="0019071A"/>
    <w:rsid w:val="00191873"/>
    <w:rsid w:val="00191DF6"/>
    <w:rsid w:val="001920EA"/>
    <w:rsid w:val="001927B8"/>
    <w:rsid w:val="001927CD"/>
    <w:rsid w:val="001927E3"/>
    <w:rsid w:val="00192A7D"/>
    <w:rsid w:val="001930FC"/>
    <w:rsid w:val="0019338E"/>
    <w:rsid w:val="00193AE2"/>
    <w:rsid w:val="0019467C"/>
    <w:rsid w:val="00195F96"/>
    <w:rsid w:val="00196891"/>
    <w:rsid w:val="00196986"/>
    <w:rsid w:val="001969D3"/>
    <w:rsid w:val="00196D09"/>
    <w:rsid w:val="001972A1"/>
    <w:rsid w:val="0019782D"/>
    <w:rsid w:val="001A06E6"/>
    <w:rsid w:val="001A0720"/>
    <w:rsid w:val="001A0A3A"/>
    <w:rsid w:val="001A0AB5"/>
    <w:rsid w:val="001A0F9A"/>
    <w:rsid w:val="001A127D"/>
    <w:rsid w:val="001A1B95"/>
    <w:rsid w:val="001A1DD9"/>
    <w:rsid w:val="001A2BAD"/>
    <w:rsid w:val="001A2C06"/>
    <w:rsid w:val="001A2E0B"/>
    <w:rsid w:val="001A3A12"/>
    <w:rsid w:val="001A4B2E"/>
    <w:rsid w:val="001A4E2D"/>
    <w:rsid w:val="001A5678"/>
    <w:rsid w:val="001A5D49"/>
    <w:rsid w:val="001A5E76"/>
    <w:rsid w:val="001A7353"/>
    <w:rsid w:val="001A7362"/>
    <w:rsid w:val="001A7806"/>
    <w:rsid w:val="001A7BD2"/>
    <w:rsid w:val="001A7DF8"/>
    <w:rsid w:val="001B0316"/>
    <w:rsid w:val="001B05AC"/>
    <w:rsid w:val="001B101D"/>
    <w:rsid w:val="001B131E"/>
    <w:rsid w:val="001B1A2F"/>
    <w:rsid w:val="001B1EE2"/>
    <w:rsid w:val="001B28C4"/>
    <w:rsid w:val="001B3955"/>
    <w:rsid w:val="001B3D44"/>
    <w:rsid w:val="001B4218"/>
    <w:rsid w:val="001B4321"/>
    <w:rsid w:val="001B47C2"/>
    <w:rsid w:val="001B4EFB"/>
    <w:rsid w:val="001B5436"/>
    <w:rsid w:val="001B5662"/>
    <w:rsid w:val="001B5A99"/>
    <w:rsid w:val="001B5ADF"/>
    <w:rsid w:val="001B5D07"/>
    <w:rsid w:val="001B5D76"/>
    <w:rsid w:val="001B64F5"/>
    <w:rsid w:val="001B6656"/>
    <w:rsid w:val="001B6D0F"/>
    <w:rsid w:val="001B751C"/>
    <w:rsid w:val="001B7D14"/>
    <w:rsid w:val="001B7E86"/>
    <w:rsid w:val="001C00D9"/>
    <w:rsid w:val="001C06D7"/>
    <w:rsid w:val="001C0EEC"/>
    <w:rsid w:val="001C145D"/>
    <w:rsid w:val="001C15F2"/>
    <w:rsid w:val="001C15F7"/>
    <w:rsid w:val="001C17B2"/>
    <w:rsid w:val="001C1B32"/>
    <w:rsid w:val="001C253B"/>
    <w:rsid w:val="001C2A92"/>
    <w:rsid w:val="001C2EBD"/>
    <w:rsid w:val="001C3C88"/>
    <w:rsid w:val="001C4054"/>
    <w:rsid w:val="001C410C"/>
    <w:rsid w:val="001C4692"/>
    <w:rsid w:val="001C489B"/>
    <w:rsid w:val="001C498C"/>
    <w:rsid w:val="001C53B7"/>
    <w:rsid w:val="001C5F53"/>
    <w:rsid w:val="001C7AED"/>
    <w:rsid w:val="001D017F"/>
    <w:rsid w:val="001D0643"/>
    <w:rsid w:val="001D071A"/>
    <w:rsid w:val="001D0B6F"/>
    <w:rsid w:val="001D1797"/>
    <w:rsid w:val="001D1979"/>
    <w:rsid w:val="001D1D45"/>
    <w:rsid w:val="001D1EE2"/>
    <w:rsid w:val="001D27C2"/>
    <w:rsid w:val="001D2B5A"/>
    <w:rsid w:val="001D2F26"/>
    <w:rsid w:val="001D3082"/>
    <w:rsid w:val="001D369F"/>
    <w:rsid w:val="001D3830"/>
    <w:rsid w:val="001D38D1"/>
    <w:rsid w:val="001D3963"/>
    <w:rsid w:val="001D3AC7"/>
    <w:rsid w:val="001D3EA7"/>
    <w:rsid w:val="001D3F1E"/>
    <w:rsid w:val="001D3F91"/>
    <w:rsid w:val="001D4096"/>
    <w:rsid w:val="001D4288"/>
    <w:rsid w:val="001D4324"/>
    <w:rsid w:val="001D52BF"/>
    <w:rsid w:val="001D550A"/>
    <w:rsid w:val="001D5527"/>
    <w:rsid w:val="001D6252"/>
    <w:rsid w:val="001D6816"/>
    <w:rsid w:val="001D6B0A"/>
    <w:rsid w:val="001E01DA"/>
    <w:rsid w:val="001E06EE"/>
    <w:rsid w:val="001E14A7"/>
    <w:rsid w:val="001E17E0"/>
    <w:rsid w:val="001E1B26"/>
    <w:rsid w:val="001E1D1E"/>
    <w:rsid w:val="001E2804"/>
    <w:rsid w:val="001E3305"/>
    <w:rsid w:val="001E33B4"/>
    <w:rsid w:val="001E3A2D"/>
    <w:rsid w:val="001E3FD7"/>
    <w:rsid w:val="001E40C5"/>
    <w:rsid w:val="001E48B5"/>
    <w:rsid w:val="001E4E39"/>
    <w:rsid w:val="001E4E3F"/>
    <w:rsid w:val="001E5798"/>
    <w:rsid w:val="001E74FC"/>
    <w:rsid w:val="001F10C8"/>
    <w:rsid w:val="001F1590"/>
    <w:rsid w:val="001F17A8"/>
    <w:rsid w:val="001F1EE6"/>
    <w:rsid w:val="001F29C2"/>
    <w:rsid w:val="001F3E64"/>
    <w:rsid w:val="001F4511"/>
    <w:rsid w:val="001F5101"/>
    <w:rsid w:val="001F5F21"/>
    <w:rsid w:val="001F6CC6"/>
    <w:rsid w:val="001F7186"/>
    <w:rsid w:val="001F7428"/>
    <w:rsid w:val="001F76DB"/>
    <w:rsid w:val="001F7C7C"/>
    <w:rsid w:val="001F7CA6"/>
    <w:rsid w:val="00200CAD"/>
    <w:rsid w:val="00200F46"/>
    <w:rsid w:val="0020199D"/>
    <w:rsid w:val="00202097"/>
    <w:rsid w:val="00202DC2"/>
    <w:rsid w:val="0020323A"/>
    <w:rsid w:val="00203866"/>
    <w:rsid w:val="002038E3"/>
    <w:rsid w:val="00203D91"/>
    <w:rsid w:val="00204819"/>
    <w:rsid w:val="00204AA7"/>
    <w:rsid w:val="00205078"/>
    <w:rsid w:val="00205729"/>
    <w:rsid w:val="00205912"/>
    <w:rsid w:val="0020594B"/>
    <w:rsid w:val="00205C2C"/>
    <w:rsid w:val="00206168"/>
    <w:rsid w:val="002068D0"/>
    <w:rsid w:val="00206AC6"/>
    <w:rsid w:val="0020727A"/>
    <w:rsid w:val="00207BAA"/>
    <w:rsid w:val="00207C93"/>
    <w:rsid w:val="002105F6"/>
    <w:rsid w:val="00210687"/>
    <w:rsid w:val="00210E2C"/>
    <w:rsid w:val="0021119A"/>
    <w:rsid w:val="00211A62"/>
    <w:rsid w:val="002120E3"/>
    <w:rsid w:val="00212BC7"/>
    <w:rsid w:val="002139CD"/>
    <w:rsid w:val="002139F7"/>
    <w:rsid w:val="00213FD6"/>
    <w:rsid w:val="002147FE"/>
    <w:rsid w:val="00214DD5"/>
    <w:rsid w:val="00215407"/>
    <w:rsid w:val="002154F6"/>
    <w:rsid w:val="002164E9"/>
    <w:rsid w:val="002170C1"/>
    <w:rsid w:val="002171CD"/>
    <w:rsid w:val="0021753A"/>
    <w:rsid w:val="002178D1"/>
    <w:rsid w:val="002210E0"/>
    <w:rsid w:val="002211CF"/>
    <w:rsid w:val="00221BCF"/>
    <w:rsid w:val="00221F28"/>
    <w:rsid w:val="00222028"/>
    <w:rsid w:val="00222458"/>
    <w:rsid w:val="00222DE2"/>
    <w:rsid w:val="00223696"/>
    <w:rsid w:val="00223843"/>
    <w:rsid w:val="0022485D"/>
    <w:rsid w:val="002250A4"/>
    <w:rsid w:val="00225868"/>
    <w:rsid w:val="002261A1"/>
    <w:rsid w:val="002262EB"/>
    <w:rsid w:val="00226300"/>
    <w:rsid w:val="0022704F"/>
    <w:rsid w:val="00227AA1"/>
    <w:rsid w:val="00227B2A"/>
    <w:rsid w:val="002304EB"/>
    <w:rsid w:val="00230C45"/>
    <w:rsid w:val="00231308"/>
    <w:rsid w:val="002315CE"/>
    <w:rsid w:val="00231ED9"/>
    <w:rsid w:val="002328E6"/>
    <w:rsid w:val="00232C83"/>
    <w:rsid w:val="00232E6E"/>
    <w:rsid w:val="00233391"/>
    <w:rsid w:val="0023380D"/>
    <w:rsid w:val="002338BD"/>
    <w:rsid w:val="00233951"/>
    <w:rsid w:val="002339FF"/>
    <w:rsid w:val="00234975"/>
    <w:rsid w:val="002349E3"/>
    <w:rsid w:val="00234DE1"/>
    <w:rsid w:val="00234DF4"/>
    <w:rsid w:val="0023507F"/>
    <w:rsid w:val="002358DB"/>
    <w:rsid w:val="00236B56"/>
    <w:rsid w:val="002373C1"/>
    <w:rsid w:val="00240BF1"/>
    <w:rsid w:val="00240FFC"/>
    <w:rsid w:val="002419FB"/>
    <w:rsid w:val="00241DC6"/>
    <w:rsid w:val="0024290C"/>
    <w:rsid w:val="00242BE5"/>
    <w:rsid w:val="00242DAF"/>
    <w:rsid w:val="00243674"/>
    <w:rsid w:val="00244240"/>
    <w:rsid w:val="00244C60"/>
    <w:rsid w:val="002458C7"/>
    <w:rsid w:val="00245CE2"/>
    <w:rsid w:val="00245D5F"/>
    <w:rsid w:val="00245DFC"/>
    <w:rsid w:val="0024636A"/>
    <w:rsid w:val="002463C1"/>
    <w:rsid w:val="002468FB"/>
    <w:rsid w:val="00250753"/>
    <w:rsid w:val="00250AD8"/>
    <w:rsid w:val="00251223"/>
    <w:rsid w:val="00251A32"/>
    <w:rsid w:val="00251EA4"/>
    <w:rsid w:val="00252014"/>
    <w:rsid w:val="002522EE"/>
    <w:rsid w:val="0025257A"/>
    <w:rsid w:val="00252F62"/>
    <w:rsid w:val="00253187"/>
    <w:rsid w:val="002535D8"/>
    <w:rsid w:val="00253611"/>
    <w:rsid w:val="00253C54"/>
    <w:rsid w:val="00253F3B"/>
    <w:rsid w:val="002541DC"/>
    <w:rsid w:val="002542C6"/>
    <w:rsid w:val="002544C9"/>
    <w:rsid w:val="0025481E"/>
    <w:rsid w:val="00255EF8"/>
    <w:rsid w:val="00255FF0"/>
    <w:rsid w:val="002571A9"/>
    <w:rsid w:val="002576BF"/>
    <w:rsid w:val="002603E0"/>
    <w:rsid w:val="002604D6"/>
    <w:rsid w:val="002605D5"/>
    <w:rsid w:val="00260AAE"/>
    <w:rsid w:val="00260ADE"/>
    <w:rsid w:val="00260CAC"/>
    <w:rsid w:val="00260E21"/>
    <w:rsid w:val="00262346"/>
    <w:rsid w:val="0026254A"/>
    <w:rsid w:val="002626B4"/>
    <w:rsid w:val="00263CE9"/>
    <w:rsid w:val="00264319"/>
    <w:rsid w:val="00264B15"/>
    <w:rsid w:val="00265D34"/>
    <w:rsid w:val="00266CF8"/>
    <w:rsid w:val="00266E31"/>
    <w:rsid w:val="00266F4C"/>
    <w:rsid w:val="0026727E"/>
    <w:rsid w:val="00267783"/>
    <w:rsid w:val="00267B1D"/>
    <w:rsid w:val="00270305"/>
    <w:rsid w:val="002706A7"/>
    <w:rsid w:val="00271A08"/>
    <w:rsid w:val="00271D8B"/>
    <w:rsid w:val="0027232D"/>
    <w:rsid w:val="002729E4"/>
    <w:rsid w:val="00273200"/>
    <w:rsid w:val="002735AF"/>
    <w:rsid w:val="00274707"/>
    <w:rsid w:val="00274B52"/>
    <w:rsid w:val="00275225"/>
    <w:rsid w:val="002753BA"/>
    <w:rsid w:val="00275811"/>
    <w:rsid w:val="00275A08"/>
    <w:rsid w:val="00275C68"/>
    <w:rsid w:val="00276152"/>
    <w:rsid w:val="002803A8"/>
    <w:rsid w:val="002803F6"/>
    <w:rsid w:val="00280C23"/>
    <w:rsid w:val="00281058"/>
    <w:rsid w:val="00281AB6"/>
    <w:rsid w:val="00281DCB"/>
    <w:rsid w:val="00281F11"/>
    <w:rsid w:val="00281F76"/>
    <w:rsid w:val="002829FE"/>
    <w:rsid w:val="00282A44"/>
    <w:rsid w:val="00282ABA"/>
    <w:rsid w:val="00282F03"/>
    <w:rsid w:val="002831CB"/>
    <w:rsid w:val="00283319"/>
    <w:rsid w:val="002834FD"/>
    <w:rsid w:val="00283589"/>
    <w:rsid w:val="0028393E"/>
    <w:rsid w:val="00283B11"/>
    <w:rsid w:val="002840D5"/>
    <w:rsid w:val="00284CD2"/>
    <w:rsid w:val="00286488"/>
    <w:rsid w:val="002867CA"/>
    <w:rsid w:val="00286FC5"/>
    <w:rsid w:val="0028721C"/>
    <w:rsid w:val="0028736A"/>
    <w:rsid w:val="00290AD8"/>
    <w:rsid w:val="00291266"/>
    <w:rsid w:val="0029137B"/>
    <w:rsid w:val="00291673"/>
    <w:rsid w:val="00291773"/>
    <w:rsid w:val="002917CE"/>
    <w:rsid w:val="00292629"/>
    <w:rsid w:val="00292A77"/>
    <w:rsid w:val="00292B57"/>
    <w:rsid w:val="002931B6"/>
    <w:rsid w:val="002931C3"/>
    <w:rsid w:val="00293966"/>
    <w:rsid w:val="00293E6B"/>
    <w:rsid w:val="00293EB7"/>
    <w:rsid w:val="0029422B"/>
    <w:rsid w:val="00294294"/>
    <w:rsid w:val="00295DBA"/>
    <w:rsid w:val="00295DE2"/>
    <w:rsid w:val="002965F8"/>
    <w:rsid w:val="00296912"/>
    <w:rsid w:val="002969D9"/>
    <w:rsid w:val="00297A54"/>
    <w:rsid w:val="002A0F21"/>
    <w:rsid w:val="002A16B5"/>
    <w:rsid w:val="002A194F"/>
    <w:rsid w:val="002A1C83"/>
    <w:rsid w:val="002A1D42"/>
    <w:rsid w:val="002A224D"/>
    <w:rsid w:val="002A226A"/>
    <w:rsid w:val="002A22F0"/>
    <w:rsid w:val="002A29F2"/>
    <w:rsid w:val="002A2EAD"/>
    <w:rsid w:val="002A3249"/>
    <w:rsid w:val="002A34DB"/>
    <w:rsid w:val="002A48B7"/>
    <w:rsid w:val="002A4A99"/>
    <w:rsid w:val="002A4AF5"/>
    <w:rsid w:val="002A5BAB"/>
    <w:rsid w:val="002A62C8"/>
    <w:rsid w:val="002A62D1"/>
    <w:rsid w:val="002A6EBF"/>
    <w:rsid w:val="002A74CE"/>
    <w:rsid w:val="002A7B46"/>
    <w:rsid w:val="002A7C07"/>
    <w:rsid w:val="002A7E10"/>
    <w:rsid w:val="002A7F2E"/>
    <w:rsid w:val="002B044E"/>
    <w:rsid w:val="002B0471"/>
    <w:rsid w:val="002B10C7"/>
    <w:rsid w:val="002B12BE"/>
    <w:rsid w:val="002B130D"/>
    <w:rsid w:val="002B1B67"/>
    <w:rsid w:val="002B24F5"/>
    <w:rsid w:val="002B291B"/>
    <w:rsid w:val="002B2E1C"/>
    <w:rsid w:val="002B327F"/>
    <w:rsid w:val="002B3B55"/>
    <w:rsid w:val="002B3BCD"/>
    <w:rsid w:val="002B489D"/>
    <w:rsid w:val="002B490C"/>
    <w:rsid w:val="002B5119"/>
    <w:rsid w:val="002B56B6"/>
    <w:rsid w:val="002B6C49"/>
    <w:rsid w:val="002B6EDF"/>
    <w:rsid w:val="002B7B93"/>
    <w:rsid w:val="002C0006"/>
    <w:rsid w:val="002C0D22"/>
    <w:rsid w:val="002C0EDA"/>
    <w:rsid w:val="002C13ED"/>
    <w:rsid w:val="002C17EA"/>
    <w:rsid w:val="002C1D18"/>
    <w:rsid w:val="002C22AD"/>
    <w:rsid w:val="002C275F"/>
    <w:rsid w:val="002C2E94"/>
    <w:rsid w:val="002C3914"/>
    <w:rsid w:val="002C3DC6"/>
    <w:rsid w:val="002C460C"/>
    <w:rsid w:val="002C4B17"/>
    <w:rsid w:val="002C4F91"/>
    <w:rsid w:val="002C52DF"/>
    <w:rsid w:val="002C57CC"/>
    <w:rsid w:val="002C6A2B"/>
    <w:rsid w:val="002C6E6F"/>
    <w:rsid w:val="002C6F42"/>
    <w:rsid w:val="002C73F4"/>
    <w:rsid w:val="002C79E1"/>
    <w:rsid w:val="002C7CCD"/>
    <w:rsid w:val="002C7E32"/>
    <w:rsid w:val="002D094B"/>
    <w:rsid w:val="002D0BA3"/>
    <w:rsid w:val="002D0F34"/>
    <w:rsid w:val="002D15CA"/>
    <w:rsid w:val="002D1F18"/>
    <w:rsid w:val="002D2075"/>
    <w:rsid w:val="002D289D"/>
    <w:rsid w:val="002D28DF"/>
    <w:rsid w:val="002D290E"/>
    <w:rsid w:val="002D29EA"/>
    <w:rsid w:val="002D31A6"/>
    <w:rsid w:val="002D39B5"/>
    <w:rsid w:val="002D3B0D"/>
    <w:rsid w:val="002D487E"/>
    <w:rsid w:val="002D5314"/>
    <w:rsid w:val="002D63A5"/>
    <w:rsid w:val="002D6683"/>
    <w:rsid w:val="002D69F8"/>
    <w:rsid w:val="002D6A2E"/>
    <w:rsid w:val="002D6A7A"/>
    <w:rsid w:val="002D6B20"/>
    <w:rsid w:val="002D700D"/>
    <w:rsid w:val="002D7451"/>
    <w:rsid w:val="002D7DF0"/>
    <w:rsid w:val="002D7E0D"/>
    <w:rsid w:val="002E0E3A"/>
    <w:rsid w:val="002E0ECC"/>
    <w:rsid w:val="002E1E12"/>
    <w:rsid w:val="002E22FE"/>
    <w:rsid w:val="002E2760"/>
    <w:rsid w:val="002E2F46"/>
    <w:rsid w:val="002E2F64"/>
    <w:rsid w:val="002E305F"/>
    <w:rsid w:val="002E3AAD"/>
    <w:rsid w:val="002E5448"/>
    <w:rsid w:val="002E54E2"/>
    <w:rsid w:val="002E57B5"/>
    <w:rsid w:val="002E5B61"/>
    <w:rsid w:val="002E648F"/>
    <w:rsid w:val="002E64FB"/>
    <w:rsid w:val="002E6AB8"/>
    <w:rsid w:val="002F11B9"/>
    <w:rsid w:val="002F12C9"/>
    <w:rsid w:val="002F1B57"/>
    <w:rsid w:val="002F2701"/>
    <w:rsid w:val="002F2C2C"/>
    <w:rsid w:val="002F2E7B"/>
    <w:rsid w:val="002F3014"/>
    <w:rsid w:val="002F3795"/>
    <w:rsid w:val="002F3B26"/>
    <w:rsid w:val="002F50C3"/>
    <w:rsid w:val="002F5222"/>
    <w:rsid w:val="002F5419"/>
    <w:rsid w:val="002F55E9"/>
    <w:rsid w:val="002F5C9C"/>
    <w:rsid w:val="002F5E30"/>
    <w:rsid w:val="002F5F52"/>
    <w:rsid w:val="002F612A"/>
    <w:rsid w:val="002F6AA0"/>
    <w:rsid w:val="002F6B28"/>
    <w:rsid w:val="002F7A92"/>
    <w:rsid w:val="00300311"/>
    <w:rsid w:val="0030072B"/>
    <w:rsid w:val="00301540"/>
    <w:rsid w:val="00301F1A"/>
    <w:rsid w:val="003022D9"/>
    <w:rsid w:val="0030289F"/>
    <w:rsid w:val="00302B28"/>
    <w:rsid w:val="00302BDC"/>
    <w:rsid w:val="003032B6"/>
    <w:rsid w:val="00303C19"/>
    <w:rsid w:val="00304569"/>
    <w:rsid w:val="00304BC3"/>
    <w:rsid w:val="00304FA4"/>
    <w:rsid w:val="003053BD"/>
    <w:rsid w:val="003053F3"/>
    <w:rsid w:val="0030577D"/>
    <w:rsid w:val="00305B0C"/>
    <w:rsid w:val="00305BF0"/>
    <w:rsid w:val="00305E73"/>
    <w:rsid w:val="003060D6"/>
    <w:rsid w:val="00306AF2"/>
    <w:rsid w:val="00306C67"/>
    <w:rsid w:val="00307220"/>
    <w:rsid w:val="003102FA"/>
    <w:rsid w:val="00310C19"/>
    <w:rsid w:val="00311E23"/>
    <w:rsid w:val="0031290E"/>
    <w:rsid w:val="00312E95"/>
    <w:rsid w:val="003137B8"/>
    <w:rsid w:val="00313D67"/>
    <w:rsid w:val="003140E7"/>
    <w:rsid w:val="003148B3"/>
    <w:rsid w:val="003148D7"/>
    <w:rsid w:val="00314B08"/>
    <w:rsid w:val="0031762E"/>
    <w:rsid w:val="00317942"/>
    <w:rsid w:val="003179DD"/>
    <w:rsid w:val="00320275"/>
    <w:rsid w:val="00320BA0"/>
    <w:rsid w:val="00320F74"/>
    <w:rsid w:val="0032222E"/>
    <w:rsid w:val="003227C9"/>
    <w:rsid w:val="0032281B"/>
    <w:rsid w:val="003228C9"/>
    <w:rsid w:val="003236DB"/>
    <w:rsid w:val="00323D0C"/>
    <w:rsid w:val="003241B6"/>
    <w:rsid w:val="00324624"/>
    <w:rsid w:val="00324B50"/>
    <w:rsid w:val="00325F8B"/>
    <w:rsid w:val="003264AF"/>
    <w:rsid w:val="00326DE9"/>
    <w:rsid w:val="00327669"/>
    <w:rsid w:val="003278EB"/>
    <w:rsid w:val="003279CE"/>
    <w:rsid w:val="00327C67"/>
    <w:rsid w:val="00330010"/>
    <w:rsid w:val="00330BAA"/>
    <w:rsid w:val="00330D19"/>
    <w:rsid w:val="003316F8"/>
    <w:rsid w:val="00331A7D"/>
    <w:rsid w:val="00331AAD"/>
    <w:rsid w:val="00331F05"/>
    <w:rsid w:val="003325C2"/>
    <w:rsid w:val="0033301E"/>
    <w:rsid w:val="003333A2"/>
    <w:rsid w:val="003335B1"/>
    <w:rsid w:val="00334106"/>
    <w:rsid w:val="003347C3"/>
    <w:rsid w:val="0033496A"/>
    <w:rsid w:val="00334ECF"/>
    <w:rsid w:val="003351C1"/>
    <w:rsid w:val="00335A5F"/>
    <w:rsid w:val="00336020"/>
    <w:rsid w:val="00336242"/>
    <w:rsid w:val="0033682D"/>
    <w:rsid w:val="00336874"/>
    <w:rsid w:val="00336A6D"/>
    <w:rsid w:val="00336B80"/>
    <w:rsid w:val="00337875"/>
    <w:rsid w:val="00340D66"/>
    <w:rsid w:val="00341404"/>
    <w:rsid w:val="00342056"/>
    <w:rsid w:val="0034294E"/>
    <w:rsid w:val="00342C41"/>
    <w:rsid w:val="0034323B"/>
    <w:rsid w:val="00343B15"/>
    <w:rsid w:val="00343BC5"/>
    <w:rsid w:val="00343DD8"/>
    <w:rsid w:val="00344856"/>
    <w:rsid w:val="003448DC"/>
    <w:rsid w:val="00344AB1"/>
    <w:rsid w:val="00344F11"/>
    <w:rsid w:val="00345102"/>
    <w:rsid w:val="0034588B"/>
    <w:rsid w:val="00345EB1"/>
    <w:rsid w:val="00346236"/>
    <w:rsid w:val="003471F4"/>
    <w:rsid w:val="00347507"/>
    <w:rsid w:val="003475A8"/>
    <w:rsid w:val="00347FDB"/>
    <w:rsid w:val="00350356"/>
    <w:rsid w:val="0035091F"/>
    <w:rsid w:val="003518F9"/>
    <w:rsid w:val="00351B6C"/>
    <w:rsid w:val="00352629"/>
    <w:rsid w:val="003527A0"/>
    <w:rsid w:val="003527EB"/>
    <w:rsid w:val="003527EF"/>
    <w:rsid w:val="00352CF5"/>
    <w:rsid w:val="0035398A"/>
    <w:rsid w:val="00353A25"/>
    <w:rsid w:val="00353DBF"/>
    <w:rsid w:val="003541A2"/>
    <w:rsid w:val="00354423"/>
    <w:rsid w:val="00354886"/>
    <w:rsid w:val="00354995"/>
    <w:rsid w:val="00354DC8"/>
    <w:rsid w:val="00354F70"/>
    <w:rsid w:val="00355C6D"/>
    <w:rsid w:val="00356124"/>
    <w:rsid w:val="00356332"/>
    <w:rsid w:val="00356477"/>
    <w:rsid w:val="003567CF"/>
    <w:rsid w:val="00357668"/>
    <w:rsid w:val="00360090"/>
    <w:rsid w:val="00360BBA"/>
    <w:rsid w:val="00360EE1"/>
    <w:rsid w:val="00361EE5"/>
    <w:rsid w:val="00362668"/>
    <w:rsid w:val="00362F3B"/>
    <w:rsid w:val="00362F4E"/>
    <w:rsid w:val="003635BA"/>
    <w:rsid w:val="0036403E"/>
    <w:rsid w:val="00364668"/>
    <w:rsid w:val="003648B2"/>
    <w:rsid w:val="0036491D"/>
    <w:rsid w:val="00364C3A"/>
    <w:rsid w:val="00364EC8"/>
    <w:rsid w:val="0036520F"/>
    <w:rsid w:val="0036528D"/>
    <w:rsid w:val="00365B99"/>
    <w:rsid w:val="00366695"/>
    <w:rsid w:val="00366923"/>
    <w:rsid w:val="00366FF7"/>
    <w:rsid w:val="003670C7"/>
    <w:rsid w:val="0036739D"/>
    <w:rsid w:val="00367711"/>
    <w:rsid w:val="00367EED"/>
    <w:rsid w:val="0037028B"/>
    <w:rsid w:val="003705E6"/>
    <w:rsid w:val="00370CC2"/>
    <w:rsid w:val="003710E3"/>
    <w:rsid w:val="003724AD"/>
    <w:rsid w:val="00372669"/>
    <w:rsid w:val="003728A4"/>
    <w:rsid w:val="003734DE"/>
    <w:rsid w:val="00373790"/>
    <w:rsid w:val="00373B33"/>
    <w:rsid w:val="00373B6C"/>
    <w:rsid w:val="00373D91"/>
    <w:rsid w:val="00374164"/>
    <w:rsid w:val="003758B8"/>
    <w:rsid w:val="00375D26"/>
    <w:rsid w:val="00375ECB"/>
    <w:rsid w:val="00376A4E"/>
    <w:rsid w:val="00376E7C"/>
    <w:rsid w:val="00377019"/>
    <w:rsid w:val="0037723C"/>
    <w:rsid w:val="0037750E"/>
    <w:rsid w:val="00377768"/>
    <w:rsid w:val="00377C02"/>
    <w:rsid w:val="00380111"/>
    <w:rsid w:val="0038016A"/>
    <w:rsid w:val="0038139F"/>
    <w:rsid w:val="00381455"/>
    <w:rsid w:val="00381C31"/>
    <w:rsid w:val="003823B8"/>
    <w:rsid w:val="003823F9"/>
    <w:rsid w:val="0038253B"/>
    <w:rsid w:val="00382CE6"/>
    <w:rsid w:val="0038307B"/>
    <w:rsid w:val="003831F5"/>
    <w:rsid w:val="00383B4A"/>
    <w:rsid w:val="003841D5"/>
    <w:rsid w:val="0038423B"/>
    <w:rsid w:val="003848C9"/>
    <w:rsid w:val="00385051"/>
    <w:rsid w:val="00385194"/>
    <w:rsid w:val="00385291"/>
    <w:rsid w:val="00385C64"/>
    <w:rsid w:val="003862D2"/>
    <w:rsid w:val="00386820"/>
    <w:rsid w:val="00387791"/>
    <w:rsid w:val="00387851"/>
    <w:rsid w:val="0038790D"/>
    <w:rsid w:val="003909F8"/>
    <w:rsid w:val="00390BCB"/>
    <w:rsid w:val="00391314"/>
    <w:rsid w:val="003916BE"/>
    <w:rsid w:val="00392031"/>
    <w:rsid w:val="00392610"/>
    <w:rsid w:val="00392BBA"/>
    <w:rsid w:val="00392DBA"/>
    <w:rsid w:val="00393A8E"/>
    <w:rsid w:val="00393F7A"/>
    <w:rsid w:val="00394C1C"/>
    <w:rsid w:val="003954C2"/>
    <w:rsid w:val="0039581C"/>
    <w:rsid w:val="003959AD"/>
    <w:rsid w:val="00395C3D"/>
    <w:rsid w:val="0039610D"/>
    <w:rsid w:val="003963A9"/>
    <w:rsid w:val="00397153"/>
    <w:rsid w:val="003A01CA"/>
    <w:rsid w:val="003A0262"/>
    <w:rsid w:val="003A0308"/>
    <w:rsid w:val="003A09BF"/>
    <w:rsid w:val="003A0B50"/>
    <w:rsid w:val="003A18EA"/>
    <w:rsid w:val="003A1A69"/>
    <w:rsid w:val="003A2142"/>
    <w:rsid w:val="003A2746"/>
    <w:rsid w:val="003A3050"/>
    <w:rsid w:val="003A3149"/>
    <w:rsid w:val="003A32A6"/>
    <w:rsid w:val="003A35A8"/>
    <w:rsid w:val="003A4120"/>
    <w:rsid w:val="003A497D"/>
    <w:rsid w:val="003A5B9E"/>
    <w:rsid w:val="003A5FDD"/>
    <w:rsid w:val="003A6499"/>
    <w:rsid w:val="003A6AA7"/>
    <w:rsid w:val="003A6C4A"/>
    <w:rsid w:val="003A7920"/>
    <w:rsid w:val="003A7D04"/>
    <w:rsid w:val="003A7EDD"/>
    <w:rsid w:val="003B06ED"/>
    <w:rsid w:val="003B0909"/>
    <w:rsid w:val="003B16CD"/>
    <w:rsid w:val="003B16F5"/>
    <w:rsid w:val="003B1EC1"/>
    <w:rsid w:val="003B217D"/>
    <w:rsid w:val="003B3697"/>
    <w:rsid w:val="003B393B"/>
    <w:rsid w:val="003B3A4D"/>
    <w:rsid w:val="003B3A95"/>
    <w:rsid w:val="003B4170"/>
    <w:rsid w:val="003B4198"/>
    <w:rsid w:val="003B42FF"/>
    <w:rsid w:val="003B437E"/>
    <w:rsid w:val="003B46D6"/>
    <w:rsid w:val="003B52FA"/>
    <w:rsid w:val="003B5AF8"/>
    <w:rsid w:val="003B5BDD"/>
    <w:rsid w:val="003B6155"/>
    <w:rsid w:val="003B6207"/>
    <w:rsid w:val="003B6499"/>
    <w:rsid w:val="003B7262"/>
    <w:rsid w:val="003B7C6B"/>
    <w:rsid w:val="003C009F"/>
    <w:rsid w:val="003C0770"/>
    <w:rsid w:val="003C0B02"/>
    <w:rsid w:val="003C0E13"/>
    <w:rsid w:val="003C1277"/>
    <w:rsid w:val="003C1537"/>
    <w:rsid w:val="003C1A6F"/>
    <w:rsid w:val="003C2612"/>
    <w:rsid w:val="003C283F"/>
    <w:rsid w:val="003C28B4"/>
    <w:rsid w:val="003C2A46"/>
    <w:rsid w:val="003C2AED"/>
    <w:rsid w:val="003C2CD5"/>
    <w:rsid w:val="003C2FAD"/>
    <w:rsid w:val="003C3A6F"/>
    <w:rsid w:val="003C3F88"/>
    <w:rsid w:val="003C4239"/>
    <w:rsid w:val="003C44DA"/>
    <w:rsid w:val="003C4DE2"/>
    <w:rsid w:val="003C5705"/>
    <w:rsid w:val="003C58DC"/>
    <w:rsid w:val="003C5D14"/>
    <w:rsid w:val="003C647C"/>
    <w:rsid w:val="003C6E87"/>
    <w:rsid w:val="003C6F4D"/>
    <w:rsid w:val="003C7CA8"/>
    <w:rsid w:val="003D0F2B"/>
    <w:rsid w:val="003D12DB"/>
    <w:rsid w:val="003D13EC"/>
    <w:rsid w:val="003D1C2C"/>
    <w:rsid w:val="003D244E"/>
    <w:rsid w:val="003D3013"/>
    <w:rsid w:val="003D3738"/>
    <w:rsid w:val="003D3FA6"/>
    <w:rsid w:val="003D4BA3"/>
    <w:rsid w:val="003D55D0"/>
    <w:rsid w:val="003D58C3"/>
    <w:rsid w:val="003D5BA5"/>
    <w:rsid w:val="003D5BB8"/>
    <w:rsid w:val="003D64DC"/>
    <w:rsid w:val="003D6BB7"/>
    <w:rsid w:val="003D7392"/>
    <w:rsid w:val="003D7420"/>
    <w:rsid w:val="003D77E4"/>
    <w:rsid w:val="003E00AE"/>
    <w:rsid w:val="003E07A8"/>
    <w:rsid w:val="003E09F9"/>
    <w:rsid w:val="003E0DD9"/>
    <w:rsid w:val="003E1125"/>
    <w:rsid w:val="003E114D"/>
    <w:rsid w:val="003E129A"/>
    <w:rsid w:val="003E17BF"/>
    <w:rsid w:val="003E1D16"/>
    <w:rsid w:val="003E2528"/>
    <w:rsid w:val="003E2D38"/>
    <w:rsid w:val="003E2D68"/>
    <w:rsid w:val="003E3189"/>
    <w:rsid w:val="003E3B7A"/>
    <w:rsid w:val="003E42EB"/>
    <w:rsid w:val="003E4438"/>
    <w:rsid w:val="003E513A"/>
    <w:rsid w:val="003E52B1"/>
    <w:rsid w:val="003E54F3"/>
    <w:rsid w:val="003E6660"/>
    <w:rsid w:val="003E6E6C"/>
    <w:rsid w:val="003E72EB"/>
    <w:rsid w:val="003E7E8B"/>
    <w:rsid w:val="003F0C15"/>
    <w:rsid w:val="003F0F0B"/>
    <w:rsid w:val="003F113F"/>
    <w:rsid w:val="003F11DE"/>
    <w:rsid w:val="003F157D"/>
    <w:rsid w:val="003F17F4"/>
    <w:rsid w:val="003F1FBE"/>
    <w:rsid w:val="003F2084"/>
    <w:rsid w:val="003F27A3"/>
    <w:rsid w:val="003F3033"/>
    <w:rsid w:val="003F308F"/>
    <w:rsid w:val="003F32A5"/>
    <w:rsid w:val="003F39AD"/>
    <w:rsid w:val="003F411A"/>
    <w:rsid w:val="003F413F"/>
    <w:rsid w:val="003F461A"/>
    <w:rsid w:val="003F5C72"/>
    <w:rsid w:val="003F6A80"/>
    <w:rsid w:val="003F6DA9"/>
    <w:rsid w:val="003F6F34"/>
    <w:rsid w:val="003F70AE"/>
    <w:rsid w:val="003F7E84"/>
    <w:rsid w:val="00400E77"/>
    <w:rsid w:val="00401916"/>
    <w:rsid w:val="00401B81"/>
    <w:rsid w:val="00401D36"/>
    <w:rsid w:val="00402A45"/>
    <w:rsid w:val="00402A5F"/>
    <w:rsid w:val="00403436"/>
    <w:rsid w:val="00403BAB"/>
    <w:rsid w:val="00404006"/>
    <w:rsid w:val="004046B0"/>
    <w:rsid w:val="00404990"/>
    <w:rsid w:val="00404C73"/>
    <w:rsid w:val="00404EF0"/>
    <w:rsid w:val="0040577C"/>
    <w:rsid w:val="00405CFE"/>
    <w:rsid w:val="00405F8C"/>
    <w:rsid w:val="004061B7"/>
    <w:rsid w:val="00406A46"/>
    <w:rsid w:val="00406DAC"/>
    <w:rsid w:val="00406F06"/>
    <w:rsid w:val="00407815"/>
    <w:rsid w:val="0040796F"/>
    <w:rsid w:val="00410551"/>
    <w:rsid w:val="004105BF"/>
    <w:rsid w:val="004105F1"/>
    <w:rsid w:val="00410E49"/>
    <w:rsid w:val="00411190"/>
    <w:rsid w:val="004113CE"/>
    <w:rsid w:val="00411F14"/>
    <w:rsid w:val="0041224C"/>
    <w:rsid w:val="00412A54"/>
    <w:rsid w:val="00412CA4"/>
    <w:rsid w:val="00413088"/>
    <w:rsid w:val="00413972"/>
    <w:rsid w:val="00414B54"/>
    <w:rsid w:val="00415A8C"/>
    <w:rsid w:val="00415A8F"/>
    <w:rsid w:val="00415E2A"/>
    <w:rsid w:val="004161CE"/>
    <w:rsid w:val="00416DC2"/>
    <w:rsid w:val="004172EF"/>
    <w:rsid w:val="0041758E"/>
    <w:rsid w:val="00417B8C"/>
    <w:rsid w:val="00420481"/>
    <w:rsid w:val="004207CC"/>
    <w:rsid w:val="00420A81"/>
    <w:rsid w:val="0042100D"/>
    <w:rsid w:val="00421262"/>
    <w:rsid w:val="00421C53"/>
    <w:rsid w:val="00422A23"/>
    <w:rsid w:val="00422B0E"/>
    <w:rsid w:val="00422E9B"/>
    <w:rsid w:val="00423FF9"/>
    <w:rsid w:val="00424CD7"/>
    <w:rsid w:val="00425762"/>
    <w:rsid w:val="004258BA"/>
    <w:rsid w:val="00425D1E"/>
    <w:rsid w:val="00426101"/>
    <w:rsid w:val="00426163"/>
    <w:rsid w:val="004262E9"/>
    <w:rsid w:val="0042660C"/>
    <w:rsid w:val="0042682F"/>
    <w:rsid w:val="00426CCD"/>
    <w:rsid w:val="00427A43"/>
    <w:rsid w:val="00427C1F"/>
    <w:rsid w:val="00431397"/>
    <w:rsid w:val="0043142C"/>
    <w:rsid w:val="00431892"/>
    <w:rsid w:val="00432555"/>
    <w:rsid w:val="004325DE"/>
    <w:rsid w:val="004328A4"/>
    <w:rsid w:val="00432A3F"/>
    <w:rsid w:val="00432E9F"/>
    <w:rsid w:val="004330F5"/>
    <w:rsid w:val="0043320C"/>
    <w:rsid w:val="00433230"/>
    <w:rsid w:val="004338FC"/>
    <w:rsid w:val="00433904"/>
    <w:rsid w:val="00433A6F"/>
    <w:rsid w:val="00434064"/>
    <w:rsid w:val="0043464F"/>
    <w:rsid w:val="00434A3D"/>
    <w:rsid w:val="00434E4E"/>
    <w:rsid w:val="0043563D"/>
    <w:rsid w:val="0043576F"/>
    <w:rsid w:val="00435D09"/>
    <w:rsid w:val="00435D7A"/>
    <w:rsid w:val="004367F5"/>
    <w:rsid w:val="0043694C"/>
    <w:rsid w:val="00436E38"/>
    <w:rsid w:val="004373F7"/>
    <w:rsid w:val="00437998"/>
    <w:rsid w:val="00437AAC"/>
    <w:rsid w:val="00437AD7"/>
    <w:rsid w:val="00440458"/>
    <w:rsid w:val="004408D2"/>
    <w:rsid w:val="004409BF"/>
    <w:rsid w:val="00440B7E"/>
    <w:rsid w:val="004417A6"/>
    <w:rsid w:val="00441FB0"/>
    <w:rsid w:val="0044204B"/>
    <w:rsid w:val="00442090"/>
    <w:rsid w:val="004427AC"/>
    <w:rsid w:val="00442888"/>
    <w:rsid w:val="00443277"/>
    <w:rsid w:val="004441BA"/>
    <w:rsid w:val="004441E9"/>
    <w:rsid w:val="004451C0"/>
    <w:rsid w:val="004452FE"/>
    <w:rsid w:val="00445FA3"/>
    <w:rsid w:val="0044682B"/>
    <w:rsid w:val="0044693C"/>
    <w:rsid w:val="00446F29"/>
    <w:rsid w:val="0044794D"/>
    <w:rsid w:val="00447B53"/>
    <w:rsid w:val="00447DC9"/>
    <w:rsid w:val="00450233"/>
    <w:rsid w:val="00450521"/>
    <w:rsid w:val="00450C9E"/>
    <w:rsid w:val="0045152B"/>
    <w:rsid w:val="00451C31"/>
    <w:rsid w:val="00451DDF"/>
    <w:rsid w:val="00452321"/>
    <w:rsid w:val="0045285F"/>
    <w:rsid w:val="004548E6"/>
    <w:rsid w:val="0045570C"/>
    <w:rsid w:val="00455AED"/>
    <w:rsid w:val="00455BEA"/>
    <w:rsid w:val="0045601A"/>
    <w:rsid w:val="00456125"/>
    <w:rsid w:val="004566DB"/>
    <w:rsid w:val="00456CB4"/>
    <w:rsid w:val="004577B0"/>
    <w:rsid w:val="00460057"/>
    <w:rsid w:val="00460450"/>
    <w:rsid w:val="00460637"/>
    <w:rsid w:val="004618A0"/>
    <w:rsid w:val="004633BD"/>
    <w:rsid w:val="0046434E"/>
    <w:rsid w:val="00464720"/>
    <w:rsid w:val="00464ACE"/>
    <w:rsid w:val="0046525A"/>
    <w:rsid w:val="004654F0"/>
    <w:rsid w:val="00465689"/>
    <w:rsid w:val="004661B7"/>
    <w:rsid w:val="0046643E"/>
    <w:rsid w:val="00467887"/>
    <w:rsid w:val="00467ADF"/>
    <w:rsid w:val="00470051"/>
    <w:rsid w:val="004700A0"/>
    <w:rsid w:val="00470E4F"/>
    <w:rsid w:val="004717C9"/>
    <w:rsid w:val="00471851"/>
    <w:rsid w:val="00471DB3"/>
    <w:rsid w:val="0047210F"/>
    <w:rsid w:val="00472D4B"/>
    <w:rsid w:val="00472E5E"/>
    <w:rsid w:val="00473186"/>
    <w:rsid w:val="004731B2"/>
    <w:rsid w:val="00473905"/>
    <w:rsid w:val="00473DE9"/>
    <w:rsid w:val="00474352"/>
    <w:rsid w:val="00474563"/>
    <w:rsid w:val="0047479B"/>
    <w:rsid w:val="00474D60"/>
    <w:rsid w:val="00474D70"/>
    <w:rsid w:val="00474D91"/>
    <w:rsid w:val="00474E48"/>
    <w:rsid w:val="00476E3C"/>
    <w:rsid w:val="00477101"/>
    <w:rsid w:val="00477615"/>
    <w:rsid w:val="00477737"/>
    <w:rsid w:val="00477879"/>
    <w:rsid w:val="00477B94"/>
    <w:rsid w:val="00477F5E"/>
    <w:rsid w:val="00477FC8"/>
    <w:rsid w:val="004802D7"/>
    <w:rsid w:val="00480D4A"/>
    <w:rsid w:val="00480DFA"/>
    <w:rsid w:val="00481C1E"/>
    <w:rsid w:val="00481D41"/>
    <w:rsid w:val="004824F1"/>
    <w:rsid w:val="00482DAC"/>
    <w:rsid w:val="004830EE"/>
    <w:rsid w:val="004840CC"/>
    <w:rsid w:val="00484764"/>
    <w:rsid w:val="00484B4E"/>
    <w:rsid w:val="00484B84"/>
    <w:rsid w:val="00484EED"/>
    <w:rsid w:val="00485428"/>
    <w:rsid w:val="004855B4"/>
    <w:rsid w:val="004857C9"/>
    <w:rsid w:val="00485805"/>
    <w:rsid w:val="0048587F"/>
    <w:rsid w:val="00486818"/>
    <w:rsid w:val="00486C17"/>
    <w:rsid w:val="00487165"/>
    <w:rsid w:val="00487551"/>
    <w:rsid w:val="00490507"/>
    <w:rsid w:val="004914E3"/>
    <w:rsid w:val="004929FD"/>
    <w:rsid w:val="00492C70"/>
    <w:rsid w:val="00493511"/>
    <w:rsid w:val="0049378A"/>
    <w:rsid w:val="00493ACD"/>
    <w:rsid w:val="00493B37"/>
    <w:rsid w:val="00493B4C"/>
    <w:rsid w:val="00494309"/>
    <w:rsid w:val="0049592A"/>
    <w:rsid w:val="00495A39"/>
    <w:rsid w:val="004966E5"/>
    <w:rsid w:val="00496AE0"/>
    <w:rsid w:val="00496B19"/>
    <w:rsid w:val="00496B5B"/>
    <w:rsid w:val="00496B95"/>
    <w:rsid w:val="00496CE2"/>
    <w:rsid w:val="00496F02"/>
    <w:rsid w:val="00497197"/>
    <w:rsid w:val="00497582"/>
    <w:rsid w:val="004A0214"/>
    <w:rsid w:val="004A0D67"/>
    <w:rsid w:val="004A1CB5"/>
    <w:rsid w:val="004A1DDB"/>
    <w:rsid w:val="004A1E64"/>
    <w:rsid w:val="004A2018"/>
    <w:rsid w:val="004A210E"/>
    <w:rsid w:val="004A23EF"/>
    <w:rsid w:val="004A324F"/>
    <w:rsid w:val="004A344D"/>
    <w:rsid w:val="004A3C84"/>
    <w:rsid w:val="004A4984"/>
    <w:rsid w:val="004A503E"/>
    <w:rsid w:val="004A5574"/>
    <w:rsid w:val="004A5B72"/>
    <w:rsid w:val="004A79EE"/>
    <w:rsid w:val="004B0784"/>
    <w:rsid w:val="004B193D"/>
    <w:rsid w:val="004B1ECA"/>
    <w:rsid w:val="004B2283"/>
    <w:rsid w:val="004B2D2E"/>
    <w:rsid w:val="004B32F8"/>
    <w:rsid w:val="004B39B2"/>
    <w:rsid w:val="004B44C0"/>
    <w:rsid w:val="004B45F6"/>
    <w:rsid w:val="004B4640"/>
    <w:rsid w:val="004B48C0"/>
    <w:rsid w:val="004B4C1F"/>
    <w:rsid w:val="004B524A"/>
    <w:rsid w:val="004B5D5C"/>
    <w:rsid w:val="004B5E2B"/>
    <w:rsid w:val="004B6025"/>
    <w:rsid w:val="004B6BF2"/>
    <w:rsid w:val="004B6DCF"/>
    <w:rsid w:val="004B74AE"/>
    <w:rsid w:val="004B75E4"/>
    <w:rsid w:val="004B7B27"/>
    <w:rsid w:val="004C05B4"/>
    <w:rsid w:val="004C08C5"/>
    <w:rsid w:val="004C0FE4"/>
    <w:rsid w:val="004C1296"/>
    <w:rsid w:val="004C1314"/>
    <w:rsid w:val="004C15A6"/>
    <w:rsid w:val="004C20BC"/>
    <w:rsid w:val="004C2450"/>
    <w:rsid w:val="004C287D"/>
    <w:rsid w:val="004C30DB"/>
    <w:rsid w:val="004C31B3"/>
    <w:rsid w:val="004C3707"/>
    <w:rsid w:val="004C3AE3"/>
    <w:rsid w:val="004C401D"/>
    <w:rsid w:val="004C4B5B"/>
    <w:rsid w:val="004C4C95"/>
    <w:rsid w:val="004C59C8"/>
    <w:rsid w:val="004C5B64"/>
    <w:rsid w:val="004C5BEE"/>
    <w:rsid w:val="004C5C83"/>
    <w:rsid w:val="004C5D6A"/>
    <w:rsid w:val="004C6085"/>
    <w:rsid w:val="004C6AB5"/>
    <w:rsid w:val="004C6B50"/>
    <w:rsid w:val="004C7C02"/>
    <w:rsid w:val="004C7CAD"/>
    <w:rsid w:val="004D0541"/>
    <w:rsid w:val="004D062D"/>
    <w:rsid w:val="004D078C"/>
    <w:rsid w:val="004D234C"/>
    <w:rsid w:val="004D26FC"/>
    <w:rsid w:val="004D274D"/>
    <w:rsid w:val="004D2BDA"/>
    <w:rsid w:val="004D337A"/>
    <w:rsid w:val="004D3C49"/>
    <w:rsid w:val="004D3E39"/>
    <w:rsid w:val="004D44C2"/>
    <w:rsid w:val="004D472C"/>
    <w:rsid w:val="004D53D8"/>
    <w:rsid w:val="004D5736"/>
    <w:rsid w:val="004D57C1"/>
    <w:rsid w:val="004D5821"/>
    <w:rsid w:val="004D590D"/>
    <w:rsid w:val="004D5C10"/>
    <w:rsid w:val="004D5C18"/>
    <w:rsid w:val="004D5F16"/>
    <w:rsid w:val="004D667F"/>
    <w:rsid w:val="004D6BBA"/>
    <w:rsid w:val="004D6D22"/>
    <w:rsid w:val="004D7623"/>
    <w:rsid w:val="004D773A"/>
    <w:rsid w:val="004D773C"/>
    <w:rsid w:val="004E1618"/>
    <w:rsid w:val="004E1B1F"/>
    <w:rsid w:val="004E2055"/>
    <w:rsid w:val="004E2495"/>
    <w:rsid w:val="004E2A36"/>
    <w:rsid w:val="004E2B57"/>
    <w:rsid w:val="004E31F5"/>
    <w:rsid w:val="004E3B87"/>
    <w:rsid w:val="004E3C95"/>
    <w:rsid w:val="004E3ED8"/>
    <w:rsid w:val="004E3F9D"/>
    <w:rsid w:val="004E3FC1"/>
    <w:rsid w:val="004E40E7"/>
    <w:rsid w:val="004E40EA"/>
    <w:rsid w:val="004E413E"/>
    <w:rsid w:val="004E4662"/>
    <w:rsid w:val="004E5339"/>
    <w:rsid w:val="004E5504"/>
    <w:rsid w:val="004E5DD1"/>
    <w:rsid w:val="004E6472"/>
    <w:rsid w:val="004E64FC"/>
    <w:rsid w:val="004E6BC2"/>
    <w:rsid w:val="004E7260"/>
    <w:rsid w:val="004E73EB"/>
    <w:rsid w:val="004E7EDB"/>
    <w:rsid w:val="004E7EEF"/>
    <w:rsid w:val="004F15BD"/>
    <w:rsid w:val="004F163D"/>
    <w:rsid w:val="004F28B0"/>
    <w:rsid w:val="004F2CBF"/>
    <w:rsid w:val="004F3A9B"/>
    <w:rsid w:val="004F458F"/>
    <w:rsid w:val="004F4699"/>
    <w:rsid w:val="004F5817"/>
    <w:rsid w:val="004F6488"/>
    <w:rsid w:val="004F64DB"/>
    <w:rsid w:val="004F6AEF"/>
    <w:rsid w:val="004F7AD0"/>
    <w:rsid w:val="004F7DC8"/>
    <w:rsid w:val="0050048C"/>
    <w:rsid w:val="00500E80"/>
    <w:rsid w:val="00501F29"/>
    <w:rsid w:val="00502037"/>
    <w:rsid w:val="00502301"/>
    <w:rsid w:val="00502418"/>
    <w:rsid w:val="00502587"/>
    <w:rsid w:val="005028E6"/>
    <w:rsid w:val="005029B0"/>
    <w:rsid w:val="00503C8C"/>
    <w:rsid w:val="00503E77"/>
    <w:rsid w:val="00503F78"/>
    <w:rsid w:val="00504CAD"/>
    <w:rsid w:val="00504D8D"/>
    <w:rsid w:val="0050542A"/>
    <w:rsid w:val="00505D18"/>
    <w:rsid w:val="00506114"/>
    <w:rsid w:val="005066DB"/>
    <w:rsid w:val="00506C3C"/>
    <w:rsid w:val="00506D4C"/>
    <w:rsid w:val="00506EA1"/>
    <w:rsid w:val="00506ECF"/>
    <w:rsid w:val="00507736"/>
    <w:rsid w:val="00507C04"/>
    <w:rsid w:val="0051052C"/>
    <w:rsid w:val="005113BE"/>
    <w:rsid w:val="00511D60"/>
    <w:rsid w:val="00511EE7"/>
    <w:rsid w:val="005120D1"/>
    <w:rsid w:val="00512C79"/>
    <w:rsid w:val="00512D33"/>
    <w:rsid w:val="005131EC"/>
    <w:rsid w:val="00513923"/>
    <w:rsid w:val="0051397A"/>
    <w:rsid w:val="00514973"/>
    <w:rsid w:val="00514E0D"/>
    <w:rsid w:val="005156C6"/>
    <w:rsid w:val="0051589F"/>
    <w:rsid w:val="00515AAA"/>
    <w:rsid w:val="00515E9E"/>
    <w:rsid w:val="005160B5"/>
    <w:rsid w:val="00516537"/>
    <w:rsid w:val="00517509"/>
    <w:rsid w:val="0051756A"/>
    <w:rsid w:val="005178E0"/>
    <w:rsid w:val="0051790C"/>
    <w:rsid w:val="00517DEB"/>
    <w:rsid w:val="00517E51"/>
    <w:rsid w:val="00517EFB"/>
    <w:rsid w:val="00520464"/>
    <w:rsid w:val="00520F60"/>
    <w:rsid w:val="00521713"/>
    <w:rsid w:val="00522691"/>
    <w:rsid w:val="00522CC0"/>
    <w:rsid w:val="00522E98"/>
    <w:rsid w:val="00522FA1"/>
    <w:rsid w:val="005232C8"/>
    <w:rsid w:val="005235E3"/>
    <w:rsid w:val="005236F1"/>
    <w:rsid w:val="00523A81"/>
    <w:rsid w:val="0052467C"/>
    <w:rsid w:val="00524D65"/>
    <w:rsid w:val="00524EF4"/>
    <w:rsid w:val="00525081"/>
    <w:rsid w:val="005250A9"/>
    <w:rsid w:val="005251A1"/>
    <w:rsid w:val="0052550E"/>
    <w:rsid w:val="005256AC"/>
    <w:rsid w:val="00525E0E"/>
    <w:rsid w:val="005260B3"/>
    <w:rsid w:val="005260DE"/>
    <w:rsid w:val="0052622E"/>
    <w:rsid w:val="0052677F"/>
    <w:rsid w:val="00527D24"/>
    <w:rsid w:val="00530271"/>
    <w:rsid w:val="005302E4"/>
    <w:rsid w:val="005306FD"/>
    <w:rsid w:val="0053071E"/>
    <w:rsid w:val="005307FC"/>
    <w:rsid w:val="0053115B"/>
    <w:rsid w:val="00531259"/>
    <w:rsid w:val="00531418"/>
    <w:rsid w:val="0053146D"/>
    <w:rsid w:val="005314F4"/>
    <w:rsid w:val="005317D5"/>
    <w:rsid w:val="005322E7"/>
    <w:rsid w:val="00532481"/>
    <w:rsid w:val="005328AA"/>
    <w:rsid w:val="00532A17"/>
    <w:rsid w:val="00532C5C"/>
    <w:rsid w:val="00533CDF"/>
    <w:rsid w:val="00534804"/>
    <w:rsid w:val="005356F5"/>
    <w:rsid w:val="00535B2A"/>
    <w:rsid w:val="00535B5D"/>
    <w:rsid w:val="00535EE5"/>
    <w:rsid w:val="00535F01"/>
    <w:rsid w:val="005365EB"/>
    <w:rsid w:val="00536CAB"/>
    <w:rsid w:val="00537623"/>
    <w:rsid w:val="0053766A"/>
    <w:rsid w:val="005378C2"/>
    <w:rsid w:val="005378F1"/>
    <w:rsid w:val="00537A17"/>
    <w:rsid w:val="00537BBE"/>
    <w:rsid w:val="005400B2"/>
    <w:rsid w:val="0054070E"/>
    <w:rsid w:val="00540757"/>
    <w:rsid w:val="00540BCE"/>
    <w:rsid w:val="00540D5C"/>
    <w:rsid w:val="00541C81"/>
    <w:rsid w:val="00541FE9"/>
    <w:rsid w:val="005424E6"/>
    <w:rsid w:val="00542B19"/>
    <w:rsid w:val="00542BCC"/>
    <w:rsid w:val="00542C4E"/>
    <w:rsid w:val="00543609"/>
    <w:rsid w:val="00543831"/>
    <w:rsid w:val="005439EC"/>
    <w:rsid w:val="00543F23"/>
    <w:rsid w:val="00544798"/>
    <w:rsid w:val="00545363"/>
    <w:rsid w:val="00545531"/>
    <w:rsid w:val="0054579F"/>
    <w:rsid w:val="005457D7"/>
    <w:rsid w:val="00545A48"/>
    <w:rsid w:val="005467A6"/>
    <w:rsid w:val="00546873"/>
    <w:rsid w:val="00546CFA"/>
    <w:rsid w:val="00547380"/>
    <w:rsid w:val="0054748B"/>
    <w:rsid w:val="00547EF5"/>
    <w:rsid w:val="00547F1C"/>
    <w:rsid w:val="00550716"/>
    <w:rsid w:val="00550C93"/>
    <w:rsid w:val="00552137"/>
    <w:rsid w:val="00552517"/>
    <w:rsid w:val="0055293C"/>
    <w:rsid w:val="00553C4F"/>
    <w:rsid w:val="00553DBD"/>
    <w:rsid w:val="0055424B"/>
    <w:rsid w:val="0055517E"/>
    <w:rsid w:val="005557F7"/>
    <w:rsid w:val="00555C81"/>
    <w:rsid w:val="00555DAA"/>
    <w:rsid w:val="00556014"/>
    <w:rsid w:val="005562F4"/>
    <w:rsid w:val="00556811"/>
    <w:rsid w:val="00556DE4"/>
    <w:rsid w:val="00557356"/>
    <w:rsid w:val="00557698"/>
    <w:rsid w:val="005576FD"/>
    <w:rsid w:val="00557F8F"/>
    <w:rsid w:val="00561067"/>
    <w:rsid w:val="005612ED"/>
    <w:rsid w:val="005624B5"/>
    <w:rsid w:val="005627A9"/>
    <w:rsid w:val="00562AAB"/>
    <w:rsid w:val="00563AA6"/>
    <w:rsid w:val="00563CC0"/>
    <w:rsid w:val="00564180"/>
    <w:rsid w:val="0056419D"/>
    <w:rsid w:val="0056448D"/>
    <w:rsid w:val="00565488"/>
    <w:rsid w:val="00565496"/>
    <w:rsid w:val="00565688"/>
    <w:rsid w:val="00566053"/>
    <w:rsid w:val="0056705E"/>
    <w:rsid w:val="0056783C"/>
    <w:rsid w:val="00567B2B"/>
    <w:rsid w:val="005702F4"/>
    <w:rsid w:val="00570AE4"/>
    <w:rsid w:val="005714CF"/>
    <w:rsid w:val="005719FD"/>
    <w:rsid w:val="00571E76"/>
    <w:rsid w:val="00571FDB"/>
    <w:rsid w:val="005725E4"/>
    <w:rsid w:val="00572830"/>
    <w:rsid w:val="00572BE0"/>
    <w:rsid w:val="00572D1C"/>
    <w:rsid w:val="005734EF"/>
    <w:rsid w:val="005735AB"/>
    <w:rsid w:val="005739C9"/>
    <w:rsid w:val="00573F5A"/>
    <w:rsid w:val="00574499"/>
    <w:rsid w:val="005745A8"/>
    <w:rsid w:val="0057535E"/>
    <w:rsid w:val="005753C9"/>
    <w:rsid w:val="00575705"/>
    <w:rsid w:val="00576878"/>
    <w:rsid w:val="00576BA1"/>
    <w:rsid w:val="00576EEF"/>
    <w:rsid w:val="00577663"/>
    <w:rsid w:val="0057770B"/>
    <w:rsid w:val="00577A41"/>
    <w:rsid w:val="00577D4E"/>
    <w:rsid w:val="00580377"/>
    <w:rsid w:val="00581D22"/>
    <w:rsid w:val="00582046"/>
    <w:rsid w:val="00582C37"/>
    <w:rsid w:val="005833F4"/>
    <w:rsid w:val="00583C7B"/>
    <w:rsid w:val="00583D4E"/>
    <w:rsid w:val="005841BA"/>
    <w:rsid w:val="00584867"/>
    <w:rsid w:val="00584B0F"/>
    <w:rsid w:val="00585565"/>
    <w:rsid w:val="005857DB"/>
    <w:rsid w:val="00585C3C"/>
    <w:rsid w:val="00585ED1"/>
    <w:rsid w:val="00586768"/>
    <w:rsid w:val="005867AA"/>
    <w:rsid w:val="00586C8D"/>
    <w:rsid w:val="005870C6"/>
    <w:rsid w:val="0058786C"/>
    <w:rsid w:val="00587985"/>
    <w:rsid w:val="00587AC5"/>
    <w:rsid w:val="0059056C"/>
    <w:rsid w:val="005905F1"/>
    <w:rsid w:val="005906C9"/>
    <w:rsid w:val="00590C88"/>
    <w:rsid w:val="0059159A"/>
    <w:rsid w:val="005915F9"/>
    <w:rsid w:val="00591BF6"/>
    <w:rsid w:val="00592856"/>
    <w:rsid w:val="00592AB8"/>
    <w:rsid w:val="00592AD9"/>
    <w:rsid w:val="005938E8"/>
    <w:rsid w:val="005941DD"/>
    <w:rsid w:val="005943D1"/>
    <w:rsid w:val="00595109"/>
    <w:rsid w:val="00595458"/>
    <w:rsid w:val="0059589B"/>
    <w:rsid w:val="00595932"/>
    <w:rsid w:val="00595C49"/>
    <w:rsid w:val="00596548"/>
    <w:rsid w:val="00596909"/>
    <w:rsid w:val="00596A02"/>
    <w:rsid w:val="005970CA"/>
    <w:rsid w:val="005972FA"/>
    <w:rsid w:val="00597D2D"/>
    <w:rsid w:val="005A095D"/>
    <w:rsid w:val="005A097B"/>
    <w:rsid w:val="005A0C3A"/>
    <w:rsid w:val="005A0DF7"/>
    <w:rsid w:val="005A117E"/>
    <w:rsid w:val="005A266E"/>
    <w:rsid w:val="005A2747"/>
    <w:rsid w:val="005A2E35"/>
    <w:rsid w:val="005A2E84"/>
    <w:rsid w:val="005A3B27"/>
    <w:rsid w:val="005A4EDB"/>
    <w:rsid w:val="005A5A1C"/>
    <w:rsid w:val="005A5C16"/>
    <w:rsid w:val="005A5C37"/>
    <w:rsid w:val="005A5C7C"/>
    <w:rsid w:val="005A5DA0"/>
    <w:rsid w:val="005A5F92"/>
    <w:rsid w:val="005A5FA4"/>
    <w:rsid w:val="005A6050"/>
    <w:rsid w:val="005A62C4"/>
    <w:rsid w:val="005A65F5"/>
    <w:rsid w:val="005A71C1"/>
    <w:rsid w:val="005A7A37"/>
    <w:rsid w:val="005A7BAE"/>
    <w:rsid w:val="005A7E11"/>
    <w:rsid w:val="005B0069"/>
    <w:rsid w:val="005B0526"/>
    <w:rsid w:val="005B1196"/>
    <w:rsid w:val="005B12CD"/>
    <w:rsid w:val="005B164D"/>
    <w:rsid w:val="005B181C"/>
    <w:rsid w:val="005B1FBB"/>
    <w:rsid w:val="005B25C2"/>
    <w:rsid w:val="005B3256"/>
    <w:rsid w:val="005B3B9E"/>
    <w:rsid w:val="005B4A59"/>
    <w:rsid w:val="005B4DF9"/>
    <w:rsid w:val="005B510F"/>
    <w:rsid w:val="005B52FC"/>
    <w:rsid w:val="005B53F4"/>
    <w:rsid w:val="005B6EA6"/>
    <w:rsid w:val="005B6F75"/>
    <w:rsid w:val="005B7299"/>
    <w:rsid w:val="005B796F"/>
    <w:rsid w:val="005C0DE2"/>
    <w:rsid w:val="005C16B1"/>
    <w:rsid w:val="005C1AF1"/>
    <w:rsid w:val="005C2664"/>
    <w:rsid w:val="005C305F"/>
    <w:rsid w:val="005C3318"/>
    <w:rsid w:val="005C39A9"/>
    <w:rsid w:val="005C3F1A"/>
    <w:rsid w:val="005C4A9E"/>
    <w:rsid w:val="005C52DD"/>
    <w:rsid w:val="005C59F6"/>
    <w:rsid w:val="005C5B5D"/>
    <w:rsid w:val="005C5E2F"/>
    <w:rsid w:val="005C66EC"/>
    <w:rsid w:val="005C6E61"/>
    <w:rsid w:val="005C7182"/>
    <w:rsid w:val="005C762B"/>
    <w:rsid w:val="005C767A"/>
    <w:rsid w:val="005D0677"/>
    <w:rsid w:val="005D0E9F"/>
    <w:rsid w:val="005D1C44"/>
    <w:rsid w:val="005D1E37"/>
    <w:rsid w:val="005D220C"/>
    <w:rsid w:val="005D249B"/>
    <w:rsid w:val="005D27D4"/>
    <w:rsid w:val="005D2CC6"/>
    <w:rsid w:val="005D2E1E"/>
    <w:rsid w:val="005D361B"/>
    <w:rsid w:val="005D4096"/>
    <w:rsid w:val="005D4BE4"/>
    <w:rsid w:val="005D5210"/>
    <w:rsid w:val="005D54D0"/>
    <w:rsid w:val="005D5825"/>
    <w:rsid w:val="005D5860"/>
    <w:rsid w:val="005D5E10"/>
    <w:rsid w:val="005D60B5"/>
    <w:rsid w:val="005D6C3A"/>
    <w:rsid w:val="005D6F6F"/>
    <w:rsid w:val="005D7613"/>
    <w:rsid w:val="005D76E7"/>
    <w:rsid w:val="005D78A1"/>
    <w:rsid w:val="005D7F8D"/>
    <w:rsid w:val="005E03B3"/>
    <w:rsid w:val="005E050C"/>
    <w:rsid w:val="005E0C5E"/>
    <w:rsid w:val="005E0E47"/>
    <w:rsid w:val="005E10AF"/>
    <w:rsid w:val="005E111D"/>
    <w:rsid w:val="005E1223"/>
    <w:rsid w:val="005E142E"/>
    <w:rsid w:val="005E1E1C"/>
    <w:rsid w:val="005E3048"/>
    <w:rsid w:val="005E3246"/>
    <w:rsid w:val="005E334E"/>
    <w:rsid w:val="005E3405"/>
    <w:rsid w:val="005E3936"/>
    <w:rsid w:val="005E3FE7"/>
    <w:rsid w:val="005E40FA"/>
    <w:rsid w:val="005E4404"/>
    <w:rsid w:val="005E47FD"/>
    <w:rsid w:val="005E515E"/>
    <w:rsid w:val="005E6555"/>
    <w:rsid w:val="005E65BF"/>
    <w:rsid w:val="005E77CD"/>
    <w:rsid w:val="005F000C"/>
    <w:rsid w:val="005F00EE"/>
    <w:rsid w:val="005F0162"/>
    <w:rsid w:val="005F0F76"/>
    <w:rsid w:val="005F1072"/>
    <w:rsid w:val="005F160F"/>
    <w:rsid w:val="005F16C5"/>
    <w:rsid w:val="005F1817"/>
    <w:rsid w:val="005F1A6C"/>
    <w:rsid w:val="005F1AEA"/>
    <w:rsid w:val="005F1C7E"/>
    <w:rsid w:val="005F3408"/>
    <w:rsid w:val="005F34ED"/>
    <w:rsid w:val="005F3E79"/>
    <w:rsid w:val="005F4A0C"/>
    <w:rsid w:val="005F4D81"/>
    <w:rsid w:val="005F569F"/>
    <w:rsid w:val="005F5765"/>
    <w:rsid w:val="005F5800"/>
    <w:rsid w:val="005F6D93"/>
    <w:rsid w:val="005F708B"/>
    <w:rsid w:val="005F765D"/>
    <w:rsid w:val="005F767E"/>
    <w:rsid w:val="005F78F7"/>
    <w:rsid w:val="006001A1"/>
    <w:rsid w:val="00600C0B"/>
    <w:rsid w:val="00600E5C"/>
    <w:rsid w:val="00601006"/>
    <w:rsid w:val="0060138A"/>
    <w:rsid w:val="00601A0E"/>
    <w:rsid w:val="00601B3B"/>
    <w:rsid w:val="00601D21"/>
    <w:rsid w:val="00602319"/>
    <w:rsid w:val="00602352"/>
    <w:rsid w:val="00603203"/>
    <w:rsid w:val="00603A38"/>
    <w:rsid w:val="00603CD0"/>
    <w:rsid w:val="0060430B"/>
    <w:rsid w:val="006043EC"/>
    <w:rsid w:val="00604FC3"/>
    <w:rsid w:val="006054ED"/>
    <w:rsid w:val="0060557B"/>
    <w:rsid w:val="00606BFB"/>
    <w:rsid w:val="00606E07"/>
    <w:rsid w:val="00607036"/>
    <w:rsid w:val="00607766"/>
    <w:rsid w:val="006109E9"/>
    <w:rsid w:val="00610F2F"/>
    <w:rsid w:val="00611123"/>
    <w:rsid w:val="006111AE"/>
    <w:rsid w:val="00611558"/>
    <w:rsid w:val="0061248C"/>
    <w:rsid w:val="00612C32"/>
    <w:rsid w:val="006130C1"/>
    <w:rsid w:val="006131EB"/>
    <w:rsid w:val="00613809"/>
    <w:rsid w:val="00613A70"/>
    <w:rsid w:val="00613AA0"/>
    <w:rsid w:val="006145C8"/>
    <w:rsid w:val="00614773"/>
    <w:rsid w:val="00614A11"/>
    <w:rsid w:val="00614D00"/>
    <w:rsid w:val="00614ED6"/>
    <w:rsid w:val="00615008"/>
    <w:rsid w:val="00615156"/>
    <w:rsid w:val="0061592F"/>
    <w:rsid w:val="00615E62"/>
    <w:rsid w:val="00616C59"/>
    <w:rsid w:val="006173A4"/>
    <w:rsid w:val="00617502"/>
    <w:rsid w:val="0061782C"/>
    <w:rsid w:val="00617922"/>
    <w:rsid w:val="006179F7"/>
    <w:rsid w:val="00620514"/>
    <w:rsid w:val="0062056F"/>
    <w:rsid w:val="006208FA"/>
    <w:rsid w:val="00620B31"/>
    <w:rsid w:val="0062143A"/>
    <w:rsid w:val="00621E09"/>
    <w:rsid w:val="00622BC2"/>
    <w:rsid w:val="00623203"/>
    <w:rsid w:val="006233FF"/>
    <w:rsid w:val="00623A94"/>
    <w:rsid w:val="00623E79"/>
    <w:rsid w:val="00623E85"/>
    <w:rsid w:val="0062492D"/>
    <w:rsid w:val="00624E22"/>
    <w:rsid w:val="006251FC"/>
    <w:rsid w:val="00626349"/>
    <w:rsid w:val="006263D2"/>
    <w:rsid w:val="006266E8"/>
    <w:rsid w:val="00627F4E"/>
    <w:rsid w:val="0063083F"/>
    <w:rsid w:val="0063167A"/>
    <w:rsid w:val="00631A80"/>
    <w:rsid w:val="00631B9F"/>
    <w:rsid w:val="00632776"/>
    <w:rsid w:val="006337CB"/>
    <w:rsid w:val="00633A27"/>
    <w:rsid w:val="00633A55"/>
    <w:rsid w:val="00633F35"/>
    <w:rsid w:val="00634A8E"/>
    <w:rsid w:val="00634BA6"/>
    <w:rsid w:val="00634C6B"/>
    <w:rsid w:val="006366B1"/>
    <w:rsid w:val="00636EE2"/>
    <w:rsid w:val="006373C8"/>
    <w:rsid w:val="006376FF"/>
    <w:rsid w:val="00637E33"/>
    <w:rsid w:val="006402A9"/>
    <w:rsid w:val="006404AB"/>
    <w:rsid w:val="0064097E"/>
    <w:rsid w:val="00640A06"/>
    <w:rsid w:val="00640FD7"/>
    <w:rsid w:val="00641F98"/>
    <w:rsid w:val="00642582"/>
    <w:rsid w:val="00642A26"/>
    <w:rsid w:val="00642A28"/>
    <w:rsid w:val="00642D32"/>
    <w:rsid w:val="00643061"/>
    <w:rsid w:val="00644605"/>
    <w:rsid w:val="006448FF"/>
    <w:rsid w:val="0064496E"/>
    <w:rsid w:val="0064512A"/>
    <w:rsid w:val="00645780"/>
    <w:rsid w:val="00645F1A"/>
    <w:rsid w:val="0064602A"/>
    <w:rsid w:val="00646E83"/>
    <w:rsid w:val="00646EB9"/>
    <w:rsid w:val="00646FC9"/>
    <w:rsid w:val="00647387"/>
    <w:rsid w:val="0064762A"/>
    <w:rsid w:val="006504D3"/>
    <w:rsid w:val="006505AB"/>
    <w:rsid w:val="006507F7"/>
    <w:rsid w:val="00650FC5"/>
    <w:rsid w:val="006515F9"/>
    <w:rsid w:val="00651F2E"/>
    <w:rsid w:val="00651F99"/>
    <w:rsid w:val="00652308"/>
    <w:rsid w:val="00652874"/>
    <w:rsid w:val="00652EC4"/>
    <w:rsid w:val="00653611"/>
    <w:rsid w:val="00653847"/>
    <w:rsid w:val="00654110"/>
    <w:rsid w:val="006549A0"/>
    <w:rsid w:val="00655355"/>
    <w:rsid w:val="00655888"/>
    <w:rsid w:val="00655893"/>
    <w:rsid w:val="006562ED"/>
    <w:rsid w:val="00656395"/>
    <w:rsid w:val="0065659D"/>
    <w:rsid w:val="0065673D"/>
    <w:rsid w:val="00656DC2"/>
    <w:rsid w:val="00656F75"/>
    <w:rsid w:val="0065715B"/>
    <w:rsid w:val="00657A56"/>
    <w:rsid w:val="006604DD"/>
    <w:rsid w:val="006607F2"/>
    <w:rsid w:val="00660AF5"/>
    <w:rsid w:val="00660BD6"/>
    <w:rsid w:val="006614A0"/>
    <w:rsid w:val="00661722"/>
    <w:rsid w:val="00661FEA"/>
    <w:rsid w:val="0066209F"/>
    <w:rsid w:val="00662681"/>
    <w:rsid w:val="00662B03"/>
    <w:rsid w:val="00663559"/>
    <w:rsid w:val="00663C74"/>
    <w:rsid w:val="00663D7A"/>
    <w:rsid w:val="00663FD1"/>
    <w:rsid w:val="00664517"/>
    <w:rsid w:val="0066460A"/>
    <w:rsid w:val="00665243"/>
    <w:rsid w:val="00665A1F"/>
    <w:rsid w:val="00665A70"/>
    <w:rsid w:val="00665AED"/>
    <w:rsid w:val="006661AA"/>
    <w:rsid w:val="0066633B"/>
    <w:rsid w:val="006663FA"/>
    <w:rsid w:val="00666A10"/>
    <w:rsid w:val="00666DE1"/>
    <w:rsid w:val="00667381"/>
    <w:rsid w:val="006675B1"/>
    <w:rsid w:val="00667D8F"/>
    <w:rsid w:val="006709FC"/>
    <w:rsid w:val="00670CB2"/>
    <w:rsid w:val="00671C4B"/>
    <w:rsid w:val="006731C7"/>
    <w:rsid w:val="006734C7"/>
    <w:rsid w:val="00673AAB"/>
    <w:rsid w:val="00673CD1"/>
    <w:rsid w:val="00673E7F"/>
    <w:rsid w:val="00673EC1"/>
    <w:rsid w:val="006747B6"/>
    <w:rsid w:val="006757BD"/>
    <w:rsid w:val="00675B4C"/>
    <w:rsid w:val="0067606D"/>
    <w:rsid w:val="0067695C"/>
    <w:rsid w:val="0067789F"/>
    <w:rsid w:val="006779FC"/>
    <w:rsid w:val="00677F89"/>
    <w:rsid w:val="006816D7"/>
    <w:rsid w:val="00681DA2"/>
    <w:rsid w:val="00681FEF"/>
    <w:rsid w:val="00682002"/>
    <w:rsid w:val="006832B5"/>
    <w:rsid w:val="00684C2C"/>
    <w:rsid w:val="00684E15"/>
    <w:rsid w:val="00685975"/>
    <w:rsid w:val="00685F96"/>
    <w:rsid w:val="00686544"/>
    <w:rsid w:val="00686FEA"/>
    <w:rsid w:val="00687820"/>
    <w:rsid w:val="00687D64"/>
    <w:rsid w:val="006901D4"/>
    <w:rsid w:val="00690301"/>
    <w:rsid w:val="0069102F"/>
    <w:rsid w:val="00691521"/>
    <w:rsid w:val="00691AEB"/>
    <w:rsid w:val="00691B3F"/>
    <w:rsid w:val="00692A96"/>
    <w:rsid w:val="00692B5C"/>
    <w:rsid w:val="00692FF1"/>
    <w:rsid w:val="006936B9"/>
    <w:rsid w:val="00693887"/>
    <w:rsid w:val="00693DE6"/>
    <w:rsid w:val="0069407D"/>
    <w:rsid w:val="00694172"/>
    <w:rsid w:val="00694ED9"/>
    <w:rsid w:val="00695095"/>
    <w:rsid w:val="0069513E"/>
    <w:rsid w:val="00695307"/>
    <w:rsid w:val="00695725"/>
    <w:rsid w:val="00695A69"/>
    <w:rsid w:val="00695B26"/>
    <w:rsid w:val="00695BF7"/>
    <w:rsid w:val="00695E96"/>
    <w:rsid w:val="00696301"/>
    <w:rsid w:val="006964C4"/>
    <w:rsid w:val="006978EB"/>
    <w:rsid w:val="00697AF9"/>
    <w:rsid w:val="00697CD0"/>
    <w:rsid w:val="00697FAF"/>
    <w:rsid w:val="006A015C"/>
    <w:rsid w:val="006A1243"/>
    <w:rsid w:val="006A1973"/>
    <w:rsid w:val="006A1C24"/>
    <w:rsid w:val="006A1DE6"/>
    <w:rsid w:val="006A1E16"/>
    <w:rsid w:val="006A2063"/>
    <w:rsid w:val="006A29FD"/>
    <w:rsid w:val="006A2AEF"/>
    <w:rsid w:val="006A2FCB"/>
    <w:rsid w:val="006A3F91"/>
    <w:rsid w:val="006A437E"/>
    <w:rsid w:val="006A4806"/>
    <w:rsid w:val="006A48FB"/>
    <w:rsid w:val="006A55AD"/>
    <w:rsid w:val="006A607C"/>
    <w:rsid w:val="006A647B"/>
    <w:rsid w:val="006A65AC"/>
    <w:rsid w:val="006A6784"/>
    <w:rsid w:val="006A6D1C"/>
    <w:rsid w:val="006A6F31"/>
    <w:rsid w:val="006A7572"/>
    <w:rsid w:val="006A77B4"/>
    <w:rsid w:val="006A7856"/>
    <w:rsid w:val="006A79C9"/>
    <w:rsid w:val="006A79FD"/>
    <w:rsid w:val="006A7BAE"/>
    <w:rsid w:val="006B019B"/>
    <w:rsid w:val="006B0AE0"/>
    <w:rsid w:val="006B0CCB"/>
    <w:rsid w:val="006B0F4C"/>
    <w:rsid w:val="006B0F6C"/>
    <w:rsid w:val="006B119E"/>
    <w:rsid w:val="006B206B"/>
    <w:rsid w:val="006B24B8"/>
    <w:rsid w:val="006B252F"/>
    <w:rsid w:val="006B30A9"/>
    <w:rsid w:val="006B3935"/>
    <w:rsid w:val="006B3A8F"/>
    <w:rsid w:val="006B3E69"/>
    <w:rsid w:val="006B4565"/>
    <w:rsid w:val="006B5032"/>
    <w:rsid w:val="006B51F1"/>
    <w:rsid w:val="006B52F2"/>
    <w:rsid w:val="006B62D0"/>
    <w:rsid w:val="006B6974"/>
    <w:rsid w:val="006B6EB2"/>
    <w:rsid w:val="006B73AB"/>
    <w:rsid w:val="006B7534"/>
    <w:rsid w:val="006B7795"/>
    <w:rsid w:val="006C0612"/>
    <w:rsid w:val="006C0ABF"/>
    <w:rsid w:val="006C1030"/>
    <w:rsid w:val="006C2293"/>
    <w:rsid w:val="006C2965"/>
    <w:rsid w:val="006C2D65"/>
    <w:rsid w:val="006C3434"/>
    <w:rsid w:val="006C3631"/>
    <w:rsid w:val="006C387E"/>
    <w:rsid w:val="006C3A52"/>
    <w:rsid w:val="006C3CBD"/>
    <w:rsid w:val="006C3F03"/>
    <w:rsid w:val="006C4180"/>
    <w:rsid w:val="006C53A2"/>
    <w:rsid w:val="006C59E3"/>
    <w:rsid w:val="006C64AA"/>
    <w:rsid w:val="006C6CB0"/>
    <w:rsid w:val="006C6E29"/>
    <w:rsid w:val="006C710A"/>
    <w:rsid w:val="006C7206"/>
    <w:rsid w:val="006C730E"/>
    <w:rsid w:val="006C7534"/>
    <w:rsid w:val="006C7DCA"/>
    <w:rsid w:val="006D035B"/>
    <w:rsid w:val="006D03FF"/>
    <w:rsid w:val="006D053F"/>
    <w:rsid w:val="006D0BB7"/>
    <w:rsid w:val="006D117D"/>
    <w:rsid w:val="006D1527"/>
    <w:rsid w:val="006D17A9"/>
    <w:rsid w:val="006D187C"/>
    <w:rsid w:val="006D193B"/>
    <w:rsid w:val="006D1A4C"/>
    <w:rsid w:val="006D1CC3"/>
    <w:rsid w:val="006D31B7"/>
    <w:rsid w:val="006D3306"/>
    <w:rsid w:val="006D3444"/>
    <w:rsid w:val="006D38BC"/>
    <w:rsid w:val="006D38D9"/>
    <w:rsid w:val="006D4102"/>
    <w:rsid w:val="006D4AAD"/>
    <w:rsid w:val="006D5823"/>
    <w:rsid w:val="006D5B38"/>
    <w:rsid w:val="006D5B39"/>
    <w:rsid w:val="006D62DA"/>
    <w:rsid w:val="006D6F3E"/>
    <w:rsid w:val="006D754F"/>
    <w:rsid w:val="006D78BC"/>
    <w:rsid w:val="006D7FDA"/>
    <w:rsid w:val="006E0AD7"/>
    <w:rsid w:val="006E0CDD"/>
    <w:rsid w:val="006E1403"/>
    <w:rsid w:val="006E18A4"/>
    <w:rsid w:val="006E1C0C"/>
    <w:rsid w:val="006E2682"/>
    <w:rsid w:val="006E2A81"/>
    <w:rsid w:val="006E2B55"/>
    <w:rsid w:val="006E30E0"/>
    <w:rsid w:val="006E3203"/>
    <w:rsid w:val="006E3826"/>
    <w:rsid w:val="006E39B6"/>
    <w:rsid w:val="006E3F8D"/>
    <w:rsid w:val="006E4316"/>
    <w:rsid w:val="006E470E"/>
    <w:rsid w:val="006E4EE1"/>
    <w:rsid w:val="006E5010"/>
    <w:rsid w:val="006E5431"/>
    <w:rsid w:val="006E599E"/>
    <w:rsid w:val="006E5AEF"/>
    <w:rsid w:val="006E5C65"/>
    <w:rsid w:val="006E60FE"/>
    <w:rsid w:val="006E622A"/>
    <w:rsid w:val="006E671C"/>
    <w:rsid w:val="006E754B"/>
    <w:rsid w:val="006E7737"/>
    <w:rsid w:val="006F062F"/>
    <w:rsid w:val="006F09DB"/>
    <w:rsid w:val="006F0D25"/>
    <w:rsid w:val="006F1830"/>
    <w:rsid w:val="006F1B48"/>
    <w:rsid w:val="006F1C91"/>
    <w:rsid w:val="006F1F9D"/>
    <w:rsid w:val="006F249F"/>
    <w:rsid w:val="006F2B14"/>
    <w:rsid w:val="006F4035"/>
    <w:rsid w:val="006F4815"/>
    <w:rsid w:val="006F498A"/>
    <w:rsid w:val="006F4B21"/>
    <w:rsid w:val="006F4E02"/>
    <w:rsid w:val="006F53BA"/>
    <w:rsid w:val="006F5CA3"/>
    <w:rsid w:val="006F5ECE"/>
    <w:rsid w:val="006F610B"/>
    <w:rsid w:val="006F694B"/>
    <w:rsid w:val="006F7562"/>
    <w:rsid w:val="006F7579"/>
    <w:rsid w:val="006F770D"/>
    <w:rsid w:val="006F79BC"/>
    <w:rsid w:val="0070047B"/>
    <w:rsid w:val="00700580"/>
    <w:rsid w:val="00700C38"/>
    <w:rsid w:val="00700C62"/>
    <w:rsid w:val="0070123E"/>
    <w:rsid w:val="00701786"/>
    <w:rsid w:val="00701A97"/>
    <w:rsid w:val="00701E1B"/>
    <w:rsid w:val="00701E56"/>
    <w:rsid w:val="00702C2F"/>
    <w:rsid w:val="00703791"/>
    <w:rsid w:val="00703EF7"/>
    <w:rsid w:val="0070409D"/>
    <w:rsid w:val="00704572"/>
    <w:rsid w:val="00704617"/>
    <w:rsid w:val="007046D2"/>
    <w:rsid w:val="007046DA"/>
    <w:rsid w:val="00706BBA"/>
    <w:rsid w:val="007070CC"/>
    <w:rsid w:val="00707275"/>
    <w:rsid w:val="00707598"/>
    <w:rsid w:val="00707A15"/>
    <w:rsid w:val="00707B5B"/>
    <w:rsid w:val="00707DE3"/>
    <w:rsid w:val="00710210"/>
    <w:rsid w:val="00710923"/>
    <w:rsid w:val="0071092E"/>
    <w:rsid w:val="00710FC1"/>
    <w:rsid w:val="00711673"/>
    <w:rsid w:val="00711843"/>
    <w:rsid w:val="00711AF5"/>
    <w:rsid w:val="00711B0B"/>
    <w:rsid w:val="00711DC1"/>
    <w:rsid w:val="007120F9"/>
    <w:rsid w:val="00712AFA"/>
    <w:rsid w:val="007132BE"/>
    <w:rsid w:val="007135CF"/>
    <w:rsid w:val="00713AC0"/>
    <w:rsid w:val="00714273"/>
    <w:rsid w:val="007144E2"/>
    <w:rsid w:val="00714D27"/>
    <w:rsid w:val="00715F1D"/>
    <w:rsid w:val="00716B8C"/>
    <w:rsid w:val="007170C3"/>
    <w:rsid w:val="00720F68"/>
    <w:rsid w:val="00721871"/>
    <w:rsid w:val="00721A62"/>
    <w:rsid w:val="00721AE7"/>
    <w:rsid w:val="0072273C"/>
    <w:rsid w:val="00722B04"/>
    <w:rsid w:val="007232D0"/>
    <w:rsid w:val="00723D0C"/>
    <w:rsid w:val="00725B8C"/>
    <w:rsid w:val="00725E47"/>
    <w:rsid w:val="00726852"/>
    <w:rsid w:val="00727033"/>
    <w:rsid w:val="007270FF"/>
    <w:rsid w:val="007276A7"/>
    <w:rsid w:val="0072785E"/>
    <w:rsid w:val="00730306"/>
    <w:rsid w:val="007304B2"/>
    <w:rsid w:val="00730684"/>
    <w:rsid w:val="00730855"/>
    <w:rsid w:val="00730C0A"/>
    <w:rsid w:val="0073158D"/>
    <w:rsid w:val="007315B5"/>
    <w:rsid w:val="00731B37"/>
    <w:rsid w:val="00731BC5"/>
    <w:rsid w:val="007320AB"/>
    <w:rsid w:val="00733F1F"/>
    <w:rsid w:val="00734C11"/>
    <w:rsid w:val="00736221"/>
    <w:rsid w:val="0073683C"/>
    <w:rsid w:val="00736BBB"/>
    <w:rsid w:val="007374CD"/>
    <w:rsid w:val="0073789E"/>
    <w:rsid w:val="00737C1C"/>
    <w:rsid w:val="00737FA1"/>
    <w:rsid w:val="00740C77"/>
    <w:rsid w:val="00740DDF"/>
    <w:rsid w:val="007411F0"/>
    <w:rsid w:val="00741514"/>
    <w:rsid w:val="007418B2"/>
    <w:rsid w:val="007425A3"/>
    <w:rsid w:val="0074348E"/>
    <w:rsid w:val="0074351F"/>
    <w:rsid w:val="00743FB8"/>
    <w:rsid w:val="00744606"/>
    <w:rsid w:val="007446C1"/>
    <w:rsid w:val="0074557A"/>
    <w:rsid w:val="007460CC"/>
    <w:rsid w:val="0074631D"/>
    <w:rsid w:val="0074681A"/>
    <w:rsid w:val="00747021"/>
    <w:rsid w:val="007472B0"/>
    <w:rsid w:val="00747CDD"/>
    <w:rsid w:val="007507E1"/>
    <w:rsid w:val="0075106B"/>
    <w:rsid w:val="007510FB"/>
    <w:rsid w:val="00751702"/>
    <w:rsid w:val="00751BCB"/>
    <w:rsid w:val="00752F50"/>
    <w:rsid w:val="007530B1"/>
    <w:rsid w:val="0075325C"/>
    <w:rsid w:val="007533E9"/>
    <w:rsid w:val="00753C00"/>
    <w:rsid w:val="00753EB3"/>
    <w:rsid w:val="00755ACB"/>
    <w:rsid w:val="00755BED"/>
    <w:rsid w:val="00755DCA"/>
    <w:rsid w:val="0075602E"/>
    <w:rsid w:val="00756240"/>
    <w:rsid w:val="00757D0E"/>
    <w:rsid w:val="00760BCB"/>
    <w:rsid w:val="00761035"/>
    <w:rsid w:val="007611B2"/>
    <w:rsid w:val="0076154B"/>
    <w:rsid w:val="00761564"/>
    <w:rsid w:val="00761629"/>
    <w:rsid w:val="00761648"/>
    <w:rsid w:val="00761781"/>
    <w:rsid w:val="007623BF"/>
    <w:rsid w:val="00763A0B"/>
    <w:rsid w:val="007645EC"/>
    <w:rsid w:val="00764A3C"/>
    <w:rsid w:val="00764C65"/>
    <w:rsid w:val="00765674"/>
    <w:rsid w:val="00765E1E"/>
    <w:rsid w:val="00766763"/>
    <w:rsid w:val="0076685E"/>
    <w:rsid w:val="007676E9"/>
    <w:rsid w:val="00770402"/>
    <w:rsid w:val="00770702"/>
    <w:rsid w:val="007708E7"/>
    <w:rsid w:val="00770CB1"/>
    <w:rsid w:val="00771117"/>
    <w:rsid w:val="007715AC"/>
    <w:rsid w:val="00772009"/>
    <w:rsid w:val="007724D0"/>
    <w:rsid w:val="00772566"/>
    <w:rsid w:val="00772CFF"/>
    <w:rsid w:val="00773079"/>
    <w:rsid w:val="00773AC7"/>
    <w:rsid w:val="00774163"/>
    <w:rsid w:val="007747FC"/>
    <w:rsid w:val="00774AAC"/>
    <w:rsid w:val="007751F4"/>
    <w:rsid w:val="00775D47"/>
    <w:rsid w:val="00775E0B"/>
    <w:rsid w:val="00776A3C"/>
    <w:rsid w:val="00776D50"/>
    <w:rsid w:val="007778FA"/>
    <w:rsid w:val="007779D4"/>
    <w:rsid w:val="00777B65"/>
    <w:rsid w:val="00777F17"/>
    <w:rsid w:val="0078065D"/>
    <w:rsid w:val="0078125F"/>
    <w:rsid w:val="007816B5"/>
    <w:rsid w:val="00782688"/>
    <w:rsid w:val="00783046"/>
    <w:rsid w:val="00783483"/>
    <w:rsid w:val="0078462D"/>
    <w:rsid w:val="0078540C"/>
    <w:rsid w:val="00785665"/>
    <w:rsid w:val="00785E2D"/>
    <w:rsid w:val="0078608C"/>
    <w:rsid w:val="00786405"/>
    <w:rsid w:val="00786B5A"/>
    <w:rsid w:val="00786FD9"/>
    <w:rsid w:val="00787277"/>
    <w:rsid w:val="0079029E"/>
    <w:rsid w:val="007906E3"/>
    <w:rsid w:val="007907E3"/>
    <w:rsid w:val="00791351"/>
    <w:rsid w:val="007919C9"/>
    <w:rsid w:val="00791C17"/>
    <w:rsid w:val="00791E67"/>
    <w:rsid w:val="00792B15"/>
    <w:rsid w:val="00792C0B"/>
    <w:rsid w:val="0079315D"/>
    <w:rsid w:val="00793178"/>
    <w:rsid w:val="0079328E"/>
    <w:rsid w:val="00793C99"/>
    <w:rsid w:val="007940D2"/>
    <w:rsid w:val="00794570"/>
    <w:rsid w:val="00794BAF"/>
    <w:rsid w:val="00795465"/>
    <w:rsid w:val="00795A46"/>
    <w:rsid w:val="00795CE1"/>
    <w:rsid w:val="00796F88"/>
    <w:rsid w:val="007A0F05"/>
    <w:rsid w:val="007A16A2"/>
    <w:rsid w:val="007A16E2"/>
    <w:rsid w:val="007A206C"/>
    <w:rsid w:val="007A2197"/>
    <w:rsid w:val="007A2EEA"/>
    <w:rsid w:val="007A2FA9"/>
    <w:rsid w:val="007A3BF2"/>
    <w:rsid w:val="007A4334"/>
    <w:rsid w:val="007A4544"/>
    <w:rsid w:val="007A5105"/>
    <w:rsid w:val="007A53B3"/>
    <w:rsid w:val="007A5C56"/>
    <w:rsid w:val="007A61F5"/>
    <w:rsid w:val="007A6924"/>
    <w:rsid w:val="007A7255"/>
    <w:rsid w:val="007A79E5"/>
    <w:rsid w:val="007B039C"/>
    <w:rsid w:val="007B0716"/>
    <w:rsid w:val="007B0B3D"/>
    <w:rsid w:val="007B0D9C"/>
    <w:rsid w:val="007B1EC2"/>
    <w:rsid w:val="007B2149"/>
    <w:rsid w:val="007B2B8E"/>
    <w:rsid w:val="007B2F6F"/>
    <w:rsid w:val="007B3690"/>
    <w:rsid w:val="007B3895"/>
    <w:rsid w:val="007B3B09"/>
    <w:rsid w:val="007B47C9"/>
    <w:rsid w:val="007B5578"/>
    <w:rsid w:val="007B57C7"/>
    <w:rsid w:val="007B6139"/>
    <w:rsid w:val="007B666E"/>
    <w:rsid w:val="007B7D5D"/>
    <w:rsid w:val="007C01F3"/>
    <w:rsid w:val="007C024B"/>
    <w:rsid w:val="007C061D"/>
    <w:rsid w:val="007C0CE6"/>
    <w:rsid w:val="007C0FE4"/>
    <w:rsid w:val="007C10AC"/>
    <w:rsid w:val="007C1141"/>
    <w:rsid w:val="007C1184"/>
    <w:rsid w:val="007C1A55"/>
    <w:rsid w:val="007C1AF3"/>
    <w:rsid w:val="007C1F8F"/>
    <w:rsid w:val="007C27CA"/>
    <w:rsid w:val="007C288B"/>
    <w:rsid w:val="007C2E1A"/>
    <w:rsid w:val="007C3026"/>
    <w:rsid w:val="007C3433"/>
    <w:rsid w:val="007C3454"/>
    <w:rsid w:val="007C42C7"/>
    <w:rsid w:val="007C4412"/>
    <w:rsid w:val="007C458E"/>
    <w:rsid w:val="007C46C5"/>
    <w:rsid w:val="007C637B"/>
    <w:rsid w:val="007C69E6"/>
    <w:rsid w:val="007C6B01"/>
    <w:rsid w:val="007C6B45"/>
    <w:rsid w:val="007C720C"/>
    <w:rsid w:val="007C735C"/>
    <w:rsid w:val="007C7F8E"/>
    <w:rsid w:val="007D0187"/>
    <w:rsid w:val="007D0227"/>
    <w:rsid w:val="007D022D"/>
    <w:rsid w:val="007D0F7F"/>
    <w:rsid w:val="007D1503"/>
    <w:rsid w:val="007D16FC"/>
    <w:rsid w:val="007D234F"/>
    <w:rsid w:val="007D2395"/>
    <w:rsid w:val="007D249B"/>
    <w:rsid w:val="007D29E0"/>
    <w:rsid w:val="007D2ADD"/>
    <w:rsid w:val="007D2DB4"/>
    <w:rsid w:val="007D4008"/>
    <w:rsid w:val="007D4C8A"/>
    <w:rsid w:val="007D5145"/>
    <w:rsid w:val="007D5C35"/>
    <w:rsid w:val="007D5DBD"/>
    <w:rsid w:val="007D609D"/>
    <w:rsid w:val="007D7714"/>
    <w:rsid w:val="007D77D1"/>
    <w:rsid w:val="007D7DA2"/>
    <w:rsid w:val="007D7DBC"/>
    <w:rsid w:val="007E01F2"/>
    <w:rsid w:val="007E0D6B"/>
    <w:rsid w:val="007E24CB"/>
    <w:rsid w:val="007E2724"/>
    <w:rsid w:val="007E3589"/>
    <w:rsid w:val="007E3AE6"/>
    <w:rsid w:val="007E3E1E"/>
    <w:rsid w:val="007E4278"/>
    <w:rsid w:val="007E42F6"/>
    <w:rsid w:val="007E4B3B"/>
    <w:rsid w:val="007E53F6"/>
    <w:rsid w:val="007E62DB"/>
    <w:rsid w:val="007E66D4"/>
    <w:rsid w:val="007F0C9B"/>
    <w:rsid w:val="007F17E2"/>
    <w:rsid w:val="007F2032"/>
    <w:rsid w:val="007F22A8"/>
    <w:rsid w:val="007F267D"/>
    <w:rsid w:val="007F2AA2"/>
    <w:rsid w:val="007F2EDD"/>
    <w:rsid w:val="007F2EFB"/>
    <w:rsid w:val="007F40AC"/>
    <w:rsid w:val="007F42CF"/>
    <w:rsid w:val="007F4A34"/>
    <w:rsid w:val="007F4FDF"/>
    <w:rsid w:val="007F5804"/>
    <w:rsid w:val="007F76E4"/>
    <w:rsid w:val="007F79A7"/>
    <w:rsid w:val="007F7A8F"/>
    <w:rsid w:val="007F7B4F"/>
    <w:rsid w:val="007F7CF8"/>
    <w:rsid w:val="00800007"/>
    <w:rsid w:val="0080030F"/>
    <w:rsid w:val="00800E64"/>
    <w:rsid w:val="00802567"/>
    <w:rsid w:val="00802BC2"/>
    <w:rsid w:val="008035F6"/>
    <w:rsid w:val="00804E5F"/>
    <w:rsid w:val="00806141"/>
    <w:rsid w:val="008067C7"/>
    <w:rsid w:val="00807317"/>
    <w:rsid w:val="008075CD"/>
    <w:rsid w:val="008075EB"/>
    <w:rsid w:val="00807679"/>
    <w:rsid w:val="00807ED2"/>
    <w:rsid w:val="00810336"/>
    <w:rsid w:val="008117F3"/>
    <w:rsid w:val="00812B8B"/>
    <w:rsid w:val="008137A6"/>
    <w:rsid w:val="00813A93"/>
    <w:rsid w:val="00813AE8"/>
    <w:rsid w:val="00813E74"/>
    <w:rsid w:val="0081419B"/>
    <w:rsid w:val="00815637"/>
    <w:rsid w:val="00815BE0"/>
    <w:rsid w:val="00815E20"/>
    <w:rsid w:val="0081601A"/>
    <w:rsid w:val="00816250"/>
    <w:rsid w:val="00816B0C"/>
    <w:rsid w:val="00817921"/>
    <w:rsid w:val="008204DE"/>
    <w:rsid w:val="00820DBC"/>
    <w:rsid w:val="0082149C"/>
    <w:rsid w:val="008225C0"/>
    <w:rsid w:val="00822673"/>
    <w:rsid w:val="008228BE"/>
    <w:rsid w:val="008234F5"/>
    <w:rsid w:val="00823E53"/>
    <w:rsid w:val="00823F73"/>
    <w:rsid w:val="00824C82"/>
    <w:rsid w:val="00825894"/>
    <w:rsid w:val="008258CA"/>
    <w:rsid w:val="0082596C"/>
    <w:rsid w:val="00825B2C"/>
    <w:rsid w:val="00825E34"/>
    <w:rsid w:val="008261F4"/>
    <w:rsid w:val="00830793"/>
    <w:rsid w:val="00832267"/>
    <w:rsid w:val="0083295D"/>
    <w:rsid w:val="008346F7"/>
    <w:rsid w:val="00834855"/>
    <w:rsid w:val="00834AD2"/>
    <w:rsid w:val="0083559F"/>
    <w:rsid w:val="00835B00"/>
    <w:rsid w:val="00835E86"/>
    <w:rsid w:val="008361A2"/>
    <w:rsid w:val="00836512"/>
    <w:rsid w:val="00836850"/>
    <w:rsid w:val="00836DC1"/>
    <w:rsid w:val="008376A1"/>
    <w:rsid w:val="008376C8"/>
    <w:rsid w:val="00837957"/>
    <w:rsid w:val="008379CC"/>
    <w:rsid w:val="00837FB5"/>
    <w:rsid w:val="00840428"/>
    <w:rsid w:val="00841A07"/>
    <w:rsid w:val="00841C85"/>
    <w:rsid w:val="00841D53"/>
    <w:rsid w:val="0084233F"/>
    <w:rsid w:val="0084260F"/>
    <w:rsid w:val="0084293B"/>
    <w:rsid w:val="00842A8A"/>
    <w:rsid w:val="00842F21"/>
    <w:rsid w:val="00843B23"/>
    <w:rsid w:val="00843EE9"/>
    <w:rsid w:val="00844117"/>
    <w:rsid w:val="00844A56"/>
    <w:rsid w:val="00844D85"/>
    <w:rsid w:val="00844E90"/>
    <w:rsid w:val="00844F82"/>
    <w:rsid w:val="008450E4"/>
    <w:rsid w:val="0084546F"/>
    <w:rsid w:val="00845799"/>
    <w:rsid w:val="008457BE"/>
    <w:rsid w:val="008459DD"/>
    <w:rsid w:val="00845C5B"/>
    <w:rsid w:val="008461A2"/>
    <w:rsid w:val="00846F41"/>
    <w:rsid w:val="00847FC5"/>
    <w:rsid w:val="008501B1"/>
    <w:rsid w:val="00851070"/>
    <w:rsid w:val="0085171F"/>
    <w:rsid w:val="00851B0F"/>
    <w:rsid w:val="00851F49"/>
    <w:rsid w:val="00852AD7"/>
    <w:rsid w:val="00852BC6"/>
    <w:rsid w:val="00852F98"/>
    <w:rsid w:val="0085310D"/>
    <w:rsid w:val="00853344"/>
    <w:rsid w:val="00853573"/>
    <w:rsid w:val="00853A71"/>
    <w:rsid w:val="00853A9F"/>
    <w:rsid w:val="00853DBF"/>
    <w:rsid w:val="00853E32"/>
    <w:rsid w:val="00854216"/>
    <w:rsid w:val="00854D4A"/>
    <w:rsid w:val="00854EFA"/>
    <w:rsid w:val="00855041"/>
    <w:rsid w:val="00855108"/>
    <w:rsid w:val="00855222"/>
    <w:rsid w:val="00855B65"/>
    <w:rsid w:val="00857367"/>
    <w:rsid w:val="008574C9"/>
    <w:rsid w:val="00857691"/>
    <w:rsid w:val="00857B5B"/>
    <w:rsid w:val="00857BBD"/>
    <w:rsid w:val="0086037C"/>
    <w:rsid w:val="008606F1"/>
    <w:rsid w:val="008609AD"/>
    <w:rsid w:val="008630C0"/>
    <w:rsid w:val="008631A0"/>
    <w:rsid w:val="00863533"/>
    <w:rsid w:val="008636F2"/>
    <w:rsid w:val="00863E47"/>
    <w:rsid w:val="00864B38"/>
    <w:rsid w:val="008657FB"/>
    <w:rsid w:val="00866249"/>
    <w:rsid w:val="008662D8"/>
    <w:rsid w:val="00866500"/>
    <w:rsid w:val="00866527"/>
    <w:rsid w:val="00866562"/>
    <w:rsid w:val="008668DA"/>
    <w:rsid w:val="0087097E"/>
    <w:rsid w:val="008711C7"/>
    <w:rsid w:val="008716B6"/>
    <w:rsid w:val="00871879"/>
    <w:rsid w:val="00872937"/>
    <w:rsid w:val="0087369D"/>
    <w:rsid w:val="008740DC"/>
    <w:rsid w:val="0087426C"/>
    <w:rsid w:val="00874329"/>
    <w:rsid w:val="00874355"/>
    <w:rsid w:val="008743F9"/>
    <w:rsid w:val="0087464D"/>
    <w:rsid w:val="00874A23"/>
    <w:rsid w:val="00874B84"/>
    <w:rsid w:val="008750B5"/>
    <w:rsid w:val="0087536D"/>
    <w:rsid w:val="00875EA3"/>
    <w:rsid w:val="0087631B"/>
    <w:rsid w:val="00876566"/>
    <w:rsid w:val="00876910"/>
    <w:rsid w:val="00876FE7"/>
    <w:rsid w:val="008770DF"/>
    <w:rsid w:val="00877C9D"/>
    <w:rsid w:val="00877D9E"/>
    <w:rsid w:val="00881A40"/>
    <w:rsid w:val="00881B7D"/>
    <w:rsid w:val="00881FD7"/>
    <w:rsid w:val="0088270A"/>
    <w:rsid w:val="00882FED"/>
    <w:rsid w:val="008839E7"/>
    <w:rsid w:val="00883DA9"/>
    <w:rsid w:val="008841D0"/>
    <w:rsid w:val="00884539"/>
    <w:rsid w:val="00884FE0"/>
    <w:rsid w:val="00884FF7"/>
    <w:rsid w:val="008854EF"/>
    <w:rsid w:val="00885749"/>
    <w:rsid w:val="00885D81"/>
    <w:rsid w:val="00887166"/>
    <w:rsid w:val="00887767"/>
    <w:rsid w:val="00887A1E"/>
    <w:rsid w:val="00887FD0"/>
    <w:rsid w:val="00890175"/>
    <w:rsid w:val="008905E3"/>
    <w:rsid w:val="008910F0"/>
    <w:rsid w:val="00891267"/>
    <w:rsid w:val="008913ED"/>
    <w:rsid w:val="008915EB"/>
    <w:rsid w:val="008919AA"/>
    <w:rsid w:val="00891FB5"/>
    <w:rsid w:val="00892609"/>
    <w:rsid w:val="00893542"/>
    <w:rsid w:val="0089377A"/>
    <w:rsid w:val="00893A7B"/>
    <w:rsid w:val="00894781"/>
    <w:rsid w:val="00894AF6"/>
    <w:rsid w:val="0089502F"/>
    <w:rsid w:val="0089567F"/>
    <w:rsid w:val="0089574B"/>
    <w:rsid w:val="008963E9"/>
    <w:rsid w:val="0089669A"/>
    <w:rsid w:val="0089697E"/>
    <w:rsid w:val="0089747A"/>
    <w:rsid w:val="00897A35"/>
    <w:rsid w:val="00897CCB"/>
    <w:rsid w:val="008A0C52"/>
    <w:rsid w:val="008A0D0B"/>
    <w:rsid w:val="008A107D"/>
    <w:rsid w:val="008A150C"/>
    <w:rsid w:val="008A1CA7"/>
    <w:rsid w:val="008A24C7"/>
    <w:rsid w:val="008A4CA9"/>
    <w:rsid w:val="008A536C"/>
    <w:rsid w:val="008A58D7"/>
    <w:rsid w:val="008A5D0A"/>
    <w:rsid w:val="008A5EEE"/>
    <w:rsid w:val="008A618E"/>
    <w:rsid w:val="008A6478"/>
    <w:rsid w:val="008A6710"/>
    <w:rsid w:val="008A6A14"/>
    <w:rsid w:val="008A6F6D"/>
    <w:rsid w:val="008A7573"/>
    <w:rsid w:val="008A7B36"/>
    <w:rsid w:val="008B1407"/>
    <w:rsid w:val="008B2466"/>
    <w:rsid w:val="008B265A"/>
    <w:rsid w:val="008B2A74"/>
    <w:rsid w:val="008B2C7C"/>
    <w:rsid w:val="008B3B03"/>
    <w:rsid w:val="008B3FBB"/>
    <w:rsid w:val="008B4053"/>
    <w:rsid w:val="008B4CFB"/>
    <w:rsid w:val="008B5124"/>
    <w:rsid w:val="008B5189"/>
    <w:rsid w:val="008B584C"/>
    <w:rsid w:val="008B65A1"/>
    <w:rsid w:val="008B7164"/>
    <w:rsid w:val="008B75A1"/>
    <w:rsid w:val="008B7673"/>
    <w:rsid w:val="008B76CA"/>
    <w:rsid w:val="008C1017"/>
    <w:rsid w:val="008C151C"/>
    <w:rsid w:val="008C1662"/>
    <w:rsid w:val="008C1C18"/>
    <w:rsid w:val="008C1DA1"/>
    <w:rsid w:val="008C23E8"/>
    <w:rsid w:val="008C2BF4"/>
    <w:rsid w:val="008C3005"/>
    <w:rsid w:val="008C319F"/>
    <w:rsid w:val="008C31BE"/>
    <w:rsid w:val="008C334F"/>
    <w:rsid w:val="008C40E5"/>
    <w:rsid w:val="008C4589"/>
    <w:rsid w:val="008C4CA2"/>
    <w:rsid w:val="008C541F"/>
    <w:rsid w:val="008C6744"/>
    <w:rsid w:val="008C6E94"/>
    <w:rsid w:val="008C71F1"/>
    <w:rsid w:val="008C72D3"/>
    <w:rsid w:val="008C74CA"/>
    <w:rsid w:val="008C75CC"/>
    <w:rsid w:val="008C785E"/>
    <w:rsid w:val="008C7F9F"/>
    <w:rsid w:val="008D0171"/>
    <w:rsid w:val="008D04BA"/>
    <w:rsid w:val="008D0537"/>
    <w:rsid w:val="008D07EA"/>
    <w:rsid w:val="008D0F3B"/>
    <w:rsid w:val="008D27B0"/>
    <w:rsid w:val="008D2848"/>
    <w:rsid w:val="008D2C25"/>
    <w:rsid w:val="008D2D51"/>
    <w:rsid w:val="008D2E21"/>
    <w:rsid w:val="008D2FE8"/>
    <w:rsid w:val="008D3AAB"/>
    <w:rsid w:val="008D4146"/>
    <w:rsid w:val="008D43D1"/>
    <w:rsid w:val="008D49D2"/>
    <w:rsid w:val="008D62FE"/>
    <w:rsid w:val="008D6BDB"/>
    <w:rsid w:val="008D6CA7"/>
    <w:rsid w:val="008D6F34"/>
    <w:rsid w:val="008D768A"/>
    <w:rsid w:val="008D7992"/>
    <w:rsid w:val="008D7A50"/>
    <w:rsid w:val="008D7AA0"/>
    <w:rsid w:val="008E0478"/>
    <w:rsid w:val="008E0540"/>
    <w:rsid w:val="008E08C2"/>
    <w:rsid w:val="008E0A2C"/>
    <w:rsid w:val="008E0A58"/>
    <w:rsid w:val="008E0F94"/>
    <w:rsid w:val="008E145A"/>
    <w:rsid w:val="008E1DD4"/>
    <w:rsid w:val="008E2373"/>
    <w:rsid w:val="008E2B6B"/>
    <w:rsid w:val="008E3315"/>
    <w:rsid w:val="008E35F5"/>
    <w:rsid w:val="008E399A"/>
    <w:rsid w:val="008E3F0E"/>
    <w:rsid w:val="008E4167"/>
    <w:rsid w:val="008E48F4"/>
    <w:rsid w:val="008E5564"/>
    <w:rsid w:val="008E5618"/>
    <w:rsid w:val="008E5D3B"/>
    <w:rsid w:val="008E5F64"/>
    <w:rsid w:val="008E6145"/>
    <w:rsid w:val="008E7961"/>
    <w:rsid w:val="008E7E33"/>
    <w:rsid w:val="008F01C7"/>
    <w:rsid w:val="008F0A50"/>
    <w:rsid w:val="008F117D"/>
    <w:rsid w:val="008F168F"/>
    <w:rsid w:val="008F169F"/>
    <w:rsid w:val="008F16D5"/>
    <w:rsid w:val="008F1838"/>
    <w:rsid w:val="008F1CE9"/>
    <w:rsid w:val="008F254C"/>
    <w:rsid w:val="008F283D"/>
    <w:rsid w:val="008F2FE1"/>
    <w:rsid w:val="008F35A8"/>
    <w:rsid w:val="008F3D0F"/>
    <w:rsid w:val="008F45C7"/>
    <w:rsid w:val="008F46DD"/>
    <w:rsid w:val="008F4D62"/>
    <w:rsid w:val="008F4DEB"/>
    <w:rsid w:val="008F519D"/>
    <w:rsid w:val="008F55FD"/>
    <w:rsid w:val="008F5612"/>
    <w:rsid w:val="008F5786"/>
    <w:rsid w:val="008F5C9F"/>
    <w:rsid w:val="008F607F"/>
    <w:rsid w:val="008F6111"/>
    <w:rsid w:val="008F69FD"/>
    <w:rsid w:val="008F6FDA"/>
    <w:rsid w:val="008F7E06"/>
    <w:rsid w:val="008F7FE2"/>
    <w:rsid w:val="00900331"/>
    <w:rsid w:val="00900B8F"/>
    <w:rsid w:val="00900FDC"/>
    <w:rsid w:val="0090131C"/>
    <w:rsid w:val="00902F83"/>
    <w:rsid w:val="0090302A"/>
    <w:rsid w:val="009032E9"/>
    <w:rsid w:val="00903A8C"/>
    <w:rsid w:val="00903F7A"/>
    <w:rsid w:val="00903FD1"/>
    <w:rsid w:val="009045C3"/>
    <w:rsid w:val="0090470D"/>
    <w:rsid w:val="00904AB3"/>
    <w:rsid w:val="00904C6B"/>
    <w:rsid w:val="00905D33"/>
    <w:rsid w:val="00906390"/>
    <w:rsid w:val="0090657A"/>
    <w:rsid w:val="009067CA"/>
    <w:rsid w:val="009067E6"/>
    <w:rsid w:val="00906870"/>
    <w:rsid w:val="00906B9C"/>
    <w:rsid w:val="00907203"/>
    <w:rsid w:val="009127D3"/>
    <w:rsid w:val="00913307"/>
    <w:rsid w:val="00913E19"/>
    <w:rsid w:val="009143E4"/>
    <w:rsid w:val="00914456"/>
    <w:rsid w:val="009148AB"/>
    <w:rsid w:val="00914BA6"/>
    <w:rsid w:val="00914D8C"/>
    <w:rsid w:val="00915398"/>
    <w:rsid w:val="00915406"/>
    <w:rsid w:val="0091663B"/>
    <w:rsid w:val="009169D9"/>
    <w:rsid w:val="00916B02"/>
    <w:rsid w:val="00916D86"/>
    <w:rsid w:val="009176B4"/>
    <w:rsid w:val="00917A95"/>
    <w:rsid w:val="00917BD4"/>
    <w:rsid w:val="00917ED6"/>
    <w:rsid w:val="00920B29"/>
    <w:rsid w:val="00921E17"/>
    <w:rsid w:val="00922B86"/>
    <w:rsid w:val="00923452"/>
    <w:rsid w:val="009237A4"/>
    <w:rsid w:val="00923C5C"/>
    <w:rsid w:val="0092493F"/>
    <w:rsid w:val="00924CD4"/>
    <w:rsid w:val="00924D6A"/>
    <w:rsid w:val="009252D5"/>
    <w:rsid w:val="00925396"/>
    <w:rsid w:val="00926295"/>
    <w:rsid w:val="00926858"/>
    <w:rsid w:val="00926D2F"/>
    <w:rsid w:val="00926EDF"/>
    <w:rsid w:val="00926F02"/>
    <w:rsid w:val="0092720D"/>
    <w:rsid w:val="00927D9B"/>
    <w:rsid w:val="0093002B"/>
    <w:rsid w:val="0093050A"/>
    <w:rsid w:val="009311A7"/>
    <w:rsid w:val="0093169C"/>
    <w:rsid w:val="00932111"/>
    <w:rsid w:val="009321A4"/>
    <w:rsid w:val="00932345"/>
    <w:rsid w:val="00932FBD"/>
    <w:rsid w:val="009331C2"/>
    <w:rsid w:val="00933C81"/>
    <w:rsid w:val="00933D0B"/>
    <w:rsid w:val="00933EA4"/>
    <w:rsid w:val="00934642"/>
    <w:rsid w:val="00935D9C"/>
    <w:rsid w:val="00936090"/>
    <w:rsid w:val="009362D6"/>
    <w:rsid w:val="00936CFC"/>
    <w:rsid w:val="00936EF1"/>
    <w:rsid w:val="0093727B"/>
    <w:rsid w:val="00937351"/>
    <w:rsid w:val="009379A2"/>
    <w:rsid w:val="00937C4B"/>
    <w:rsid w:val="00937C53"/>
    <w:rsid w:val="00940C0C"/>
    <w:rsid w:val="00940C17"/>
    <w:rsid w:val="00940D60"/>
    <w:rsid w:val="0094125B"/>
    <w:rsid w:val="009417E6"/>
    <w:rsid w:val="00942711"/>
    <w:rsid w:val="009427C5"/>
    <w:rsid w:val="009427EA"/>
    <w:rsid w:val="00942AA1"/>
    <w:rsid w:val="009430D0"/>
    <w:rsid w:val="009430E1"/>
    <w:rsid w:val="0094310D"/>
    <w:rsid w:val="00943267"/>
    <w:rsid w:val="00943356"/>
    <w:rsid w:val="00943E1C"/>
    <w:rsid w:val="0094528F"/>
    <w:rsid w:val="0094561A"/>
    <w:rsid w:val="0094656B"/>
    <w:rsid w:val="00946743"/>
    <w:rsid w:val="00947108"/>
    <w:rsid w:val="009473FE"/>
    <w:rsid w:val="00947625"/>
    <w:rsid w:val="009502EF"/>
    <w:rsid w:val="00950C7B"/>
    <w:rsid w:val="00950F8A"/>
    <w:rsid w:val="00951618"/>
    <w:rsid w:val="0095266F"/>
    <w:rsid w:val="009528CB"/>
    <w:rsid w:val="00952982"/>
    <w:rsid w:val="009529FC"/>
    <w:rsid w:val="009531ED"/>
    <w:rsid w:val="00954638"/>
    <w:rsid w:val="00954772"/>
    <w:rsid w:val="00954CD2"/>
    <w:rsid w:val="00954D83"/>
    <w:rsid w:val="00954E0C"/>
    <w:rsid w:val="009558DC"/>
    <w:rsid w:val="00955C6E"/>
    <w:rsid w:val="009575AD"/>
    <w:rsid w:val="0096023C"/>
    <w:rsid w:val="00961153"/>
    <w:rsid w:val="00961524"/>
    <w:rsid w:val="00961ECD"/>
    <w:rsid w:val="00961F7F"/>
    <w:rsid w:val="009626E7"/>
    <w:rsid w:val="00962EBB"/>
    <w:rsid w:val="00963C98"/>
    <w:rsid w:val="00963FBD"/>
    <w:rsid w:val="00964CD2"/>
    <w:rsid w:val="00964FA3"/>
    <w:rsid w:val="00965166"/>
    <w:rsid w:val="009657F4"/>
    <w:rsid w:val="00965EB7"/>
    <w:rsid w:val="0096627C"/>
    <w:rsid w:val="009669AB"/>
    <w:rsid w:val="00966D54"/>
    <w:rsid w:val="0096704C"/>
    <w:rsid w:val="0096797E"/>
    <w:rsid w:val="00970469"/>
    <w:rsid w:val="00970EB5"/>
    <w:rsid w:val="00971220"/>
    <w:rsid w:val="00971A10"/>
    <w:rsid w:val="00971F73"/>
    <w:rsid w:val="009720BF"/>
    <w:rsid w:val="00972C2E"/>
    <w:rsid w:val="00973719"/>
    <w:rsid w:val="00973D9C"/>
    <w:rsid w:val="009742FA"/>
    <w:rsid w:val="00974603"/>
    <w:rsid w:val="00974B6C"/>
    <w:rsid w:val="00974BB6"/>
    <w:rsid w:val="00974E2B"/>
    <w:rsid w:val="00975263"/>
    <w:rsid w:val="00976320"/>
    <w:rsid w:val="0097641B"/>
    <w:rsid w:val="00976D97"/>
    <w:rsid w:val="00976FB8"/>
    <w:rsid w:val="00977060"/>
    <w:rsid w:val="00977430"/>
    <w:rsid w:val="00977E2E"/>
    <w:rsid w:val="00977FD7"/>
    <w:rsid w:val="00980F24"/>
    <w:rsid w:val="00981B6F"/>
    <w:rsid w:val="00981DBC"/>
    <w:rsid w:val="00982648"/>
    <w:rsid w:val="0098336F"/>
    <w:rsid w:val="00983842"/>
    <w:rsid w:val="009838F0"/>
    <w:rsid w:val="0098402E"/>
    <w:rsid w:val="0098415D"/>
    <w:rsid w:val="0098581D"/>
    <w:rsid w:val="009858EF"/>
    <w:rsid w:val="00985B5C"/>
    <w:rsid w:val="00985C9E"/>
    <w:rsid w:val="0098660F"/>
    <w:rsid w:val="00986CF6"/>
    <w:rsid w:val="00987579"/>
    <w:rsid w:val="0098757B"/>
    <w:rsid w:val="00987616"/>
    <w:rsid w:val="009878B5"/>
    <w:rsid w:val="00987C16"/>
    <w:rsid w:val="00990686"/>
    <w:rsid w:val="009906D0"/>
    <w:rsid w:val="00990EC2"/>
    <w:rsid w:val="00991003"/>
    <w:rsid w:val="009914F0"/>
    <w:rsid w:val="009917FE"/>
    <w:rsid w:val="00991CD9"/>
    <w:rsid w:val="00992A81"/>
    <w:rsid w:val="00992AF5"/>
    <w:rsid w:val="00992CB8"/>
    <w:rsid w:val="00993181"/>
    <w:rsid w:val="0099345E"/>
    <w:rsid w:val="00993677"/>
    <w:rsid w:val="00993B7A"/>
    <w:rsid w:val="00994085"/>
    <w:rsid w:val="009944B1"/>
    <w:rsid w:val="00994A38"/>
    <w:rsid w:val="00995AD2"/>
    <w:rsid w:val="0099605C"/>
    <w:rsid w:val="00996DA0"/>
    <w:rsid w:val="0099709F"/>
    <w:rsid w:val="0099742E"/>
    <w:rsid w:val="0099770D"/>
    <w:rsid w:val="00997C74"/>
    <w:rsid w:val="00997CA8"/>
    <w:rsid w:val="00997D02"/>
    <w:rsid w:val="009A01E0"/>
    <w:rsid w:val="009A02AE"/>
    <w:rsid w:val="009A03F0"/>
    <w:rsid w:val="009A0598"/>
    <w:rsid w:val="009A0828"/>
    <w:rsid w:val="009A08AF"/>
    <w:rsid w:val="009A0D13"/>
    <w:rsid w:val="009A1E43"/>
    <w:rsid w:val="009A344E"/>
    <w:rsid w:val="009A380C"/>
    <w:rsid w:val="009A3B7E"/>
    <w:rsid w:val="009A4723"/>
    <w:rsid w:val="009A47C7"/>
    <w:rsid w:val="009A4E3B"/>
    <w:rsid w:val="009A4ECB"/>
    <w:rsid w:val="009A5391"/>
    <w:rsid w:val="009A5BA4"/>
    <w:rsid w:val="009A6AD8"/>
    <w:rsid w:val="009A6F75"/>
    <w:rsid w:val="009A7E85"/>
    <w:rsid w:val="009A7F40"/>
    <w:rsid w:val="009B0D54"/>
    <w:rsid w:val="009B1245"/>
    <w:rsid w:val="009B1883"/>
    <w:rsid w:val="009B1BB0"/>
    <w:rsid w:val="009B1D5F"/>
    <w:rsid w:val="009B2B80"/>
    <w:rsid w:val="009B2E47"/>
    <w:rsid w:val="009B34D6"/>
    <w:rsid w:val="009B3877"/>
    <w:rsid w:val="009B3DCF"/>
    <w:rsid w:val="009B433B"/>
    <w:rsid w:val="009B437E"/>
    <w:rsid w:val="009B4C7F"/>
    <w:rsid w:val="009B543C"/>
    <w:rsid w:val="009B641F"/>
    <w:rsid w:val="009B6421"/>
    <w:rsid w:val="009B69A4"/>
    <w:rsid w:val="009B6DE5"/>
    <w:rsid w:val="009B72A3"/>
    <w:rsid w:val="009C03BF"/>
    <w:rsid w:val="009C0639"/>
    <w:rsid w:val="009C273E"/>
    <w:rsid w:val="009C3DFF"/>
    <w:rsid w:val="009C3EE2"/>
    <w:rsid w:val="009C4813"/>
    <w:rsid w:val="009C51CF"/>
    <w:rsid w:val="009C5249"/>
    <w:rsid w:val="009C54AC"/>
    <w:rsid w:val="009C5D88"/>
    <w:rsid w:val="009C5E6F"/>
    <w:rsid w:val="009C63A6"/>
    <w:rsid w:val="009C6405"/>
    <w:rsid w:val="009C6F99"/>
    <w:rsid w:val="009C7154"/>
    <w:rsid w:val="009C7421"/>
    <w:rsid w:val="009C7EA2"/>
    <w:rsid w:val="009D05F8"/>
    <w:rsid w:val="009D09FC"/>
    <w:rsid w:val="009D0AAA"/>
    <w:rsid w:val="009D0AE2"/>
    <w:rsid w:val="009D0C81"/>
    <w:rsid w:val="009D13F4"/>
    <w:rsid w:val="009D1697"/>
    <w:rsid w:val="009D20A9"/>
    <w:rsid w:val="009D2670"/>
    <w:rsid w:val="009D2C46"/>
    <w:rsid w:val="009D3189"/>
    <w:rsid w:val="009D415F"/>
    <w:rsid w:val="009D4A0B"/>
    <w:rsid w:val="009D4D41"/>
    <w:rsid w:val="009D5001"/>
    <w:rsid w:val="009D5C9B"/>
    <w:rsid w:val="009D62A6"/>
    <w:rsid w:val="009D6D10"/>
    <w:rsid w:val="009E01A2"/>
    <w:rsid w:val="009E0248"/>
    <w:rsid w:val="009E02D0"/>
    <w:rsid w:val="009E0C7F"/>
    <w:rsid w:val="009E0D66"/>
    <w:rsid w:val="009E115E"/>
    <w:rsid w:val="009E272B"/>
    <w:rsid w:val="009E2736"/>
    <w:rsid w:val="009E2B86"/>
    <w:rsid w:val="009E2C87"/>
    <w:rsid w:val="009E3F55"/>
    <w:rsid w:val="009E420E"/>
    <w:rsid w:val="009E4499"/>
    <w:rsid w:val="009E4654"/>
    <w:rsid w:val="009E47DB"/>
    <w:rsid w:val="009E56E8"/>
    <w:rsid w:val="009E68BA"/>
    <w:rsid w:val="009E69A9"/>
    <w:rsid w:val="009E7098"/>
    <w:rsid w:val="009E7160"/>
    <w:rsid w:val="009E7E12"/>
    <w:rsid w:val="009F05CD"/>
    <w:rsid w:val="009F065C"/>
    <w:rsid w:val="009F16E8"/>
    <w:rsid w:val="009F1B3A"/>
    <w:rsid w:val="009F1FE4"/>
    <w:rsid w:val="009F2606"/>
    <w:rsid w:val="009F3013"/>
    <w:rsid w:val="009F31EC"/>
    <w:rsid w:val="009F38C3"/>
    <w:rsid w:val="009F3C61"/>
    <w:rsid w:val="009F3E10"/>
    <w:rsid w:val="009F414D"/>
    <w:rsid w:val="009F5646"/>
    <w:rsid w:val="009F58DA"/>
    <w:rsid w:val="009F5BEF"/>
    <w:rsid w:val="009F649F"/>
    <w:rsid w:val="009F6632"/>
    <w:rsid w:val="009F6F09"/>
    <w:rsid w:val="009F76B0"/>
    <w:rsid w:val="009F7775"/>
    <w:rsid w:val="00A002E8"/>
    <w:rsid w:val="00A0049D"/>
    <w:rsid w:val="00A005BB"/>
    <w:rsid w:val="00A00ADD"/>
    <w:rsid w:val="00A0152D"/>
    <w:rsid w:val="00A0241C"/>
    <w:rsid w:val="00A02591"/>
    <w:rsid w:val="00A02ED3"/>
    <w:rsid w:val="00A02F1D"/>
    <w:rsid w:val="00A032C4"/>
    <w:rsid w:val="00A03487"/>
    <w:rsid w:val="00A036BA"/>
    <w:rsid w:val="00A03822"/>
    <w:rsid w:val="00A03C26"/>
    <w:rsid w:val="00A03E75"/>
    <w:rsid w:val="00A0449C"/>
    <w:rsid w:val="00A04A07"/>
    <w:rsid w:val="00A04A48"/>
    <w:rsid w:val="00A0507E"/>
    <w:rsid w:val="00A050E2"/>
    <w:rsid w:val="00A05281"/>
    <w:rsid w:val="00A05374"/>
    <w:rsid w:val="00A056E9"/>
    <w:rsid w:val="00A05842"/>
    <w:rsid w:val="00A062AB"/>
    <w:rsid w:val="00A06565"/>
    <w:rsid w:val="00A067DC"/>
    <w:rsid w:val="00A07269"/>
    <w:rsid w:val="00A07865"/>
    <w:rsid w:val="00A07CC1"/>
    <w:rsid w:val="00A10B7A"/>
    <w:rsid w:val="00A10BA6"/>
    <w:rsid w:val="00A11652"/>
    <w:rsid w:val="00A11739"/>
    <w:rsid w:val="00A1191B"/>
    <w:rsid w:val="00A125B3"/>
    <w:rsid w:val="00A12B35"/>
    <w:rsid w:val="00A13502"/>
    <w:rsid w:val="00A1367E"/>
    <w:rsid w:val="00A13A78"/>
    <w:rsid w:val="00A1438B"/>
    <w:rsid w:val="00A14BB2"/>
    <w:rsid w:val="00A14CB4"/>
    <w:rsid w:val="00A14EB1"/>
    <w:rsid w:val="00A15336"/>
    <w:rsid w:val="00A15D0F"/>
    <w:rsid w:val="00A16959"/>
    <w:rsid w:val="00A16A03"/>
    <w:rsid w:val="00A16DA1"/>
    <w:rsid w:val="00A16F7F"/>
    <w:rsid w:val="00A17523"/>
    <w:rsid w:val="00A17707"/>
    <w:rsid w:val="00A17C55"/>
    <w:rsid w:val="00A20B38"/>
    <w:rsid w:val="00A20B71"/>
    <w:rsid w:val="00A2176F"/>
    <w:rsid w:val="00A218BE"/>
    <w:rsid w:val="00A22266"/>
    <w:rsid w:val="00A22333"/>
    <w:rsid w:val="00A228CF"/>
    <w:rsid w:val="00A23C7D"/>
    <w:rsid w:val="00A240A1"/>
    <w:rsid w:val="00A250A3"/>
    <w:rsid w:val="00A2572D"/>
    <w:rsid w:val="00A258CB"/>
    <w:rsid w:val="00A264A2"/>
    <w:rsid w:val="00A264E2"/>
    <w:rsid w:val="00A26586"/>
    <w:rsid w:val="00A269FF"/>
    <w:rsid w:val="00A27046"/>
    <w:rsid w:val="00A27CB6"/>
    <w:rsid w:val="00A3052B"/>
    <w:rsid w:val="00A315C9"/>
    <w:rsid w:val="00A31712"/>
    <w:rsid w:val="00A319B9"/>
    <w:rsid w:val="00A31BA3"/>
    <w:rsid w:val="00A32C36"/>
    <w:rsid w:val="00A32CE3"/>
    <w:rsid w:val="00A32F8A"/>
    <w:rsid w:val="00A339AF"/>
    <w:rsid w:val="00A33F00"/>
    <w:rsid w:val="00A34723"/>
    <w:rsid w:val="00A34BB2"/>
    <w:rsid w:val="00A34EB2"/>
    <w:rsid w:val="00A35084"/>
    <w:rsid w:val="00A352E7"/>
    <w:rsid w:val="00A35DFD"/>
    <w:rsid w:val="00A35E1A"/>
    <w:rsid w:val="00A36381"/>
    <w:rsid w:val="00A366E8"/>
    <w:rsid w:val="00A37038"/>
    <w:rsid w:val="00A373F5"/>
    <w:rsid w:val="00A379A4"/>
    <w:rsid w:val="00A37A29"/>
    <w:rsid w:val="00A37C8D"/>
    <w:rsid w:val="00A37DA6"/>
    <w:rsid w:val="00A37DE9"/>
    <w:rsid w:val="00A37F1C"/>
    <w:rsid w:val="00A404A3"/>
    <w:rsid w:val="00A41374"/>
    <w:rsid w:val="00A413C1"/>
    <w:rsid w:val="00A41B0A"/>
    <w:rsid w:val="00A41C61"/>
    <w:rsid w:val="00A420C2"/>
    <w:rsid w:val="00A42802"/>
    <w:rsid w:val="00A43113"/>
    <w:rsid w:val="00A43136"/>
    <w:rsid w:val="00A43B28"/>
    <w:rsid w:val="00A43D2D"/>
    <w:rsid w:val="00A44194"/>
    <w:rsid w:val="00A44369"/>
    <w:rsid w:val="00A44B61"/>
    <w:rsid w:val="00A45920"/>
    <w:rsid w:val="00A45AB1"/>
    <w:rsid w:val="00A47055"/>
    <w:rsid w:val="00A4725E"/>
    <w:rsid w:val="00A47828"/>
    <w:rsid w:val="00A50A2F"/>
    <w:rsid w:val="00A50CDC"/>
    <w:rsid w:val="00A50ED2"/>
    <w:rsid w:val="00A51200"/>
    <w:rsid w:val="00A51482"/>
    <w:rsid w:val="00A5194C"/>
    <w:rsid w:val="00A51F18"/>
    <w:rsid w:val="00A520A3"/>
    <w:rsid w:val="00A52151"/>
    <w:rsid w:val="00A521F1"/>
    <w:rsid w:val="00A53209"/>
    <w:rsid w:val="00A532CC"/>
    <w:rsid w:val="00A53707"/>
    <w:rsid w:val="00A53B5A"/>
    <w:rsid w:val="00A53C40"/>
    <w:rsid w:val="00A53C46"/>
    <w:rsid w:val="00A53FBA"/>
    <w:rsid w:val="00A542B9"/>
    <w:rsid w:val="00A549E5"/>
    <w:rsid w:val="00A557A6"/>
    <w:rsid w:val="00A56747"/>
    <w:rsid w:val="00A57882"/>
    <w:rsid w:val="00A57B24"/>
    <w:rsid w:val="00A601F1"/>
    <w:rsid w:val="00A607AC"/>
    <w:rsid w:val="00A61340"/>
    <w:rsid w:val="00A61D16"/>
    <w:rsid w:val="00A61E8A"/>
    <w:rsid w:val="00A6296E"/>
    <w:rsid w:val="00A62E1A"/>
    <w:rsid w:val="00A63E31"/>
    <w:rsid w:val="00A6451A"/>
    <w:rsid w:val="00A645C5"/>
    <w:rsid w:val="00A6463A"/>
    <w:rsid w:val="00A64D82"/>
    <w:rsid w:val="00A64E90"/>
    <w:rsid w:val="00A65AD8"/>
    <w:rsid w:val="00A67405"/>
    <w:rsid w:val="00A67A78"/>
    <w:rsid w:val="00A67B31"/>
    <w:rsid w:val="00A67BD9"/>
    <w:rsid w:val="00A67D41"/>
    <w:rsid w:val="00A67FF0"/>
    <w:rsid w:val="00A70505"/>
    <w:rsid w:val="00A7096F"/>
    <w:rsid w:val="00A70992"/>
    <w:rsid w:val="00A71C19"/>
    <w:rsid w:val="00A71C91"/>
    <w:rsid w:val="00A7230E"/>
    <w:rsid w:val="00A726B7"/>
    <w:rsid w:val="00A72D10"/>
    <w:rsid w:val="00A72F8A"/>
    <w:rsid w:val="00A73212"/>
    <w:rsid w:val="00A73305"/>
    <w:rsid w:val="00A7439B"/>
    <w:rsid w:val="00A74F22"/>
    <w:rsid w:val="00A75719"/>
    <w:rsid w:val="00A75F57"/>
    <w:rsid w:val="00A7600C"/>
    <w:rsid w:val="00A7625F"/>
    <w:rsid w:val="00A7665B"/>
    <w:rsid w:val="00A766DD"/>
    <w:rsid w:val="00A77A05"/>
    <w:rsid w:val="00A80666"/>
    <w:rsid w:val="00A8074A"/>
    <w:rsid w:val="00A80DB9"/>
    <w:rsid w:val="00A81602"/>
    <w:rsid w:val="00A819C2"/>
    <w:rsid w:val="00A82449"/>
    <w:rsid w:val="00A82CA6"/>
    <w:rsid w:val="00A82D4A"/>
    <w:rsid w:val="00A82FA8"/>
    <w:rsid w:val="00A83774"/>
    <w:rsid w:val="00A85465"/>
    <w:rsid w:val="00A85EA6"/>
    <w:rsid w:val="00A85EB1"/>
    <w:rsid w:val="00A861CC"/>
    <w:rsid w:val="00A868D3"/>
    <w:rsid w:val="00A86CA9"/>
    <w:rsid w:val="00A874BB"/>
    <w:rsid w:val="00A87571"/>
    <w:rsid w:val="00A875B4"/>
    <w:rsid w:val="00A8789E"/>
    <w:rsid w:val="00A903F8"/>
    <w:rsid w:val="00A9044F"/>
    <w:rsid w:val="00A90F16"/>
    <w:rsid w:val="00A91FBA"/>
    <w:rsid w:val="00A920F5"/>
    <w:rsid w:val="00A928B4"/>
    <w:rsid w:val="00A93BAD"/>
    <w:rsid w:val="00A945F0"/>
    <w:rsid w:val="00A94F93"/>
    <w:rsid w:val="00A9508E"/>
    <w:rsid w:val="00A9514B"/>
    <w:rsid w:val="00A955D7"/>
    <w:rsid w:val="00A95CBC"/>
    <w:rsid w:val="00A95F6A"/>
    <w:rsid w:val="00A9693B"/>
    <w:rsid w:val="00A97124"/>
    <w:rsid w:val="00A976C8"/>
    <w:rsid w:val="00A97C44"/>
    <w:rsid w:val="00A97E07"/>
    <w:rsid w:val="00AA004B"/>
    <w:rsid w:val="00AA06BF"/>
    <w:rsid w:val="00AA08E4"/>
    <w:rsid w:val="00AA096D"/>
    <w:rsid w:val="00AA0AF9"/>
    <w:rsid w:val="00AA0CCE"/>
    <w:rsid w:val="00AA0DCE"/>
    <w:rsid w:val="00AA19D6"/>
    <w:rsid w:val="00AA1B10"/>
    <w:rsid w:val="00AA1CE3"/>
    <w:rsid w:val="00AA21D4"/>
    <w:rsid w:val="00AA2EE0"/>
    <w:rsid w:val="00AA2F5D"/>
    <w:rsid w:val="00AA2F63"/>
    <w:rsid w:val="00AA32D1"/>
    <w:rsid w:val="00AA42D6"/>
    <w:rsid w:val="00AA4384"/>
    <w:rsid w:val="00AA4398"/>
    <w:rsid w:val="00AA53E3"/>
    <w:rsid w:val="00AA54E3"/>
    <w:rsid w:val="00AA6426"/>
    <w:rsid w:val="00AA6631"/>
    <w:rsid w:val="00AA6A10"/>
    <w:rsid w:val="00AA70BF"/>
    <w:rsid w:val="00AA7412"/>
    <w:rsid w:val="00AA7D27"/>
    <w:rsid w:val="00AB0136"/>
    <w:rsid w:val="00AB049B"/>
    <w:rsid w:val="00AB089A"/>
    <w:rsid w:val="00AB0E26"/>
    <w:rsid w:val="00AB1794"/>
    <w:rsid w:val="00AB2474"/>
    <w:rsid w:val="00AB2FF4"/>
    <w:rsid w:val="00AB36D4"/>
    <w:rsid w:val="00AB3BB0"/>
    <w:rsid w:val="00AB4509"/>
    <w:rsid w:val="00AB4743"/>
    <w:rsid w:val="00AB47C4"/>
    <w:rsid w:val="00AB4D51"/>
    <w:rsid w:val="00AB57A4"/>
    <w:rsid w:val="00AB61E4"/>
    <w:rsid w:val="00AB67F3"/>
    <w:rsid w:val="00AB6D00"/>
    <w:rsid w:val="00AB6E5B"/>
    <w:rsid w:val="00AB7554"/>
    <w:rsid w:val="00AB7648"/>
    <w:rsid w:val="00AC012A"/>
    <w:rsid w:val="00AC09CA"/>
    <w:rsid w:val="00AC0D64"/>
    <w:rsid w:val="00AC13DA"/>
    <w:rsid w:val="00AC20F6"/>
    <w:rsid w:val="00AC4D40"/>
    <w:rsid w:val="00AC4FBB"/>
    <w:rsid w:val="00AC4FD0"/>
    <w:rsid w:val="00AC546E"/>
    <w:rsid w:val="00AC5D2F"/>
    <w:rsid w:val="00AC6053"/>
    <w:rsid w:val="00AC6211"/>
    <w:rsid w:val="00AC623D"/>
    <w:rsid w:val="00AC66B6"/>
    <w:rsid w:val="00AC6E20"/>
    <w:rsid w:val="00AC71AD"/>
    <w:rsid w:val="00AC7797"/>
    <w:rsid w:val="00AC78A5"/>
    <w:rsid w:val="00AD0BE7"/>
    <w:rsid w:val="00AD0D38"/>
    <w:rsid w:val="00AD115B"/>
    <w:rsid w:val="00AD1325"/>
    <w:rsid w:val="00AD1AD3"/>
    <w:rsid w:val="00AD1DDC"/>
    <w:rsid w:val="00AD25D4"/>
    <w:rsid w:val="00AD2858"/>
    <w:rsid w:val="00AD2D3A"/>
    <w:rsid w:val="00AD32C1"/>
    <w:rsid w:val="00AD3341"/>
    <w:rsid w:val="00AD39B7"/>
    <w:rsid w:val="00AD3CAE"/>
    <w:rsid w:val="00AD45E6"/>
    <w:rsid w:val="00AD571B"/>
    <w:rsid w:val="00AD5D2D"/>
    <w:rsid w:val="00AD6044"/>
    <w:rsid w:val="00AD6D99"/>
    <w:rsid w:val="00AD7162"/>
    <w:rsid w:val="00AD745A"/>
    <w:rsid w:val="00AD7495"/>
    <w:rsid w:val="00AD7DF3"/>
    <w:rsid w:val="00AD7FD4"/>
    <w:rsid w:val="00AE0C64"/>
    <w:rsid w:val="00AE0D2A"/>
    <w:rsid w:val="00AE1012"/>
    <w:rsid w:val="00AE1017"/>
    <w:rsid w:val="00AE1951"/>
    <w:rsid w:val="00AE1B07"/>
    <w:rsid w:val="00AE214C"/>
    <w:rsid w:val="00AE2341"/>
    <w:rsid w:val="00AE3633"/>
    <w:rsid w:val="00AE3670"/>
    <w:rsid w:val="00AE367A"/>
    <w:rsid w:val="00AE3985"/>
    <w:rsid w:val="00AE3B90"/>
    <w:rsid w:val="00AE3B9B"/>
    <w:rsid w:val="00AE3E97"/>
    <w:rsid w:val="00AE4166"/>
    <w:rsid w:val="00AE4239"/>
    <w:rsid w:val="00AE4B7C"/>
    <w:rsid w:val="00AE4C0D"/>
    <w:rsid w:val="00AE4F49"/>
    <w:rsid w:val="00AE4FE4"/>
    <w:rsid w:val="00AE55D6"/>
    <w:rsid w:val="00AE6629"/>
    <w:rsid w:val="00AE6667"/>
    <w:rsid w:val="00AE6C1A"/>
    <w:rsid w:val="00AE6C38"/>
    <w:rsid w:val="00AE6EB3"/>
    <w:rsid w:val="00AE7189"/>
    <w:rsid w:val="00AE737E"/>
    <w:rsid w:val="00AE75EC"/>
    <w:rsid w:val="00AE7DDE"/>
    <w:rsid w:val="00AE7EAA"/>
    <w:rsid w:val="00AF024D"/>
    <w:rsid w:val="00AF1A44"/>
    <w:rsid w:val="00AF1AB7"/>
    <w:rsid w:val="00AF2E9C"/>
    <w:rsid w:val="00AF427B"/>
    <w:rsid w:val="00AF44FE"/>
    <w:rsid w:val="00AF4A26"/>
    <w:rsid w:val="00AF4EC9"/>
    <w:rsid w:val="00AF4FA5"/>
    <w:rsid w:val="00AF5029"/>
    <w:rsid w:val="00AF59F8"/>
    <w:rsid w:val="00AF5DDB"/>
    <w:rsid w:val="00AF7163"/>
    <w:rsid w:val="00AF7173"/>
    <w:rsid w:val="00AF742F"/>
    <w:rsid w:val="00AF77CB"/>
    <w:rsid w:val="00AF7865"/>
    <w:rsid w:val="00B001A5"/>
    <w:rsid w:val="00B0037B"/>
    <w:rsid w:val="00B00C36"/>
    <w:rsid w:val="00B00D61"/>
    <w:rsid w:val="00B0259B"/>
    <w:rsid w:val="00B027B6"/>
    <w:rsid w:val="00B0284F"/>
    <w:rsid w:val="00B0364C"/>
    <w:rsid w:val="00B03C8D"/>
    <w:rsid w:val="00B03E87"/>
    <w:rsid w:val="00B042A6"/>
    <w:rsid w:val="00B0442E"/>
    <w:rsid w:val="00B04A5C"/>
    <w:rsid w:val="00B04B66"/>
    <w:rsid w:val="00B04C08"/>
    <w:rsid w:val="00B05A05"/>
    <w:rsid w:val="00B06404"/>
    <w:rsid w:val="00B066B7"/>
    <w:rsid w:val="00B06D72"/>
    <w:rsid w:val="00B07D4A"/>
    <w:rsid w:val="00B07E3B"/>
    <w:rsid w:val="00B10094"/>
    <w:rsid w:val="00B10CA5"/>
    <w:rsid w:val="00B1123B"/>
    <w:rsid w:val="00B1138E"/>
    <w:rsid w:val="00B11A9B"/>
    <w:rsid w:val="00B11D20"/>
    <w:rsid w:val="00B11F65"/>
    <w:rsid w:val="00B1214F"/>
    <w:rsid w:val="00B13624"/>
    <w:rsid w:val="00B144DB"/>
    <w:rsid w:val="00B14706"/>
    <w:rsid w:val="00B152CF"/>
    <w:rsid w:val="00B15725"/>
    <w:rsid w:val="00B15A36"/>
    <w:rsid w:val="00B15CF5"/>
    <w:rsid w:val="00B15D4A"/>
    <w:rsid w:val="00B15DAD"/>
    <w:rsid w:val="00B15FB7"/>
    <w:rsid w:val="00B16416"/>
    <w:rsid w:val="00B16A56"/>
    <w:rsid w:val="00B17EA9"/>
    <w:rsid w:val="00B2041B"/>
    <w:rsid w:val="00B20EAE"/>
    <w:rsid w:val="00B2167A"/>
    <w:rsid w:val="00B21C5E"/>
    <w:rsid w:val="00B2248A"/>
    <w:rsid w:val="00B24749"/>
    <w:rsid w:val="00B271E8"/>
    <w:rsid w:val="00B27A69"/>
    <w:rsid w:val="00B27D69"/>
    <w:rsid w:val="00B302E5"/>
    <w:rsid w:val="00B30F5E"/>
    <w:rsid w:val="00B313C5"/>
    <w:rsid w:val="00B3240C"/>
    <w:rsid w:val="00B332D8"/>
    <w:rsid w:val="00B334BC"/>
    <w:rsid w:val="00B3368A"/>
    <w:rsid w:val="00B33934"/>
    <w:rsid w:val="00B33DAC"/>
    <w:rsid w:val="00B34250"/>
    <w:rsid w:val="00B34ACA"/>
    <w:rsid w:val="00B35E81"/>
    <w:rsid w:val="00B3621A"/>
    <w:rsid w:val="00B3662E"/>
    <w:rsid w:val="00B36CE6"/>
    <w:rsid w:val="00B36EDB"/>
    <w:rsid w:val="00B371E2"/>
    <w:rsid w:val="00B3793D"/>
    <w:rsid w:val="00B37C00"/>
    <w:rsid w:val="00B40175"/>
    <w:rsid w:val="00B4106B"/>
    <w:rsid w:val="00B41112"/>
    <w:rsid w:val="00B4259C"/>
    <w:rsid w:val="00B427DD"/>
    <w:rsid w:val="00B42ACE"/>
    <w:rsid w:val="00B43234"/>
    <w:rsid w:val="00B435D4"/>
    <w:rsid w:val="00B43983"/>
    <w:rsid w:val="00B43C53"/>
    <w:rsid w:val="00B4401B"/>
    <w:rsid w:val="00B44141"/>
    <w:rsid w:val="00B45191"/>
    <w:rsid w:val="00B45C8D"/>
    <w:rsid w:val="00B45E3A"/>
    <w:rsid w:val="00B46750"/>
    <w:rsid w:val="00B46A05"/>
    <w:rsid w:val="00B46C18"/>
    <w:rsid w:val="00B46D35"/>
    <w:rsid w:val="00B46EDD"/>
    <w:rsid w:val="00B476BA"/>
    <w:rsid w:val="00B47798"/>
    <w:rsid w:val="00B50063"/>
    <w:rsid w:val="00B5010A"/>
    <w:rsid w:val="00B503BC"/>
    <w:rsid w:val="00B504F7"/>
    <w:rsid w:val="00B50F55"/>
    <w:rsid w:val="00B514BD"/>
    <w:rsid w:val="00B51CDE"/>
    <w:rsid w:val="00B52B40"/>
    <w:rsid w:val="00B52FCF"/>
    <w:rsid w:val="00B5322B"/>
    <w:rsid w:val="00B53A18"/>
    <w:rsid w:val="00B5487E"/>
    <w:rsid w:val="00B54B55"/>
    <w:rsid w:val="00B54D4F"/>
    <w:rsid w:val="00B550F7"/>
    <w:rsid w:val="00B55261"/>
    <w:rsid w:val="00B552B3"/>
    <w:rsid w:val="00B55B59"/>
    <w:rsid w:val="00B57014"/>
    <w:rsid w:val="00B578BB"/>
    <w:rsid w:val="00B57B07"/>
    <w:rsid w:val="00B57C02"/>
    <w:rsid w:val="00B57CA5"/>
    <w:rsid w:val="00B601DC"/>
    <w:rsid w:val="00B608F3"/>
    <w:rsid w:val="00B61767"/>
    <w:rsid w:val="00B61BA7"/>
    <w:rsid w:val="00B62366"/>
    <w:rsid w:val="00B62AB7"/>
    <w:rsid w:val="00B62D22"/>
    <w:rsid w:val="00B633CD"/>
    <w:rsid w:val="00B636DC"/>
    <w:rsid w:val="00B63EE3"/>
    <w:rsid w:val="00B6400A"/>
    <w:rsid w:val="00B643E6"/>
    <w:rsid w:val="00B64886"/>
    <w:rsid w:val="00B64B68"/>
    <w:rsid w:val="00B64BC5"/>
    <w:rsid w:val="00B65D8A"/>
    <w:rsid w:val="00B665DA"/>
    <w:rsid w:val="00B66EDF"/>
    <w:rsid w:val="00B66FCD"/>
    <w:rsid w:val="00B6707B"/>
    <w:rsid w:val="00B674B3"/>
    <w:rsid w:val="00B677AF"/>
    <w:rsid w:val="00B67F06"/>
    <w:rsid w:val="00B70BEA"/>
    <w:rsid w:val="00B715FB"/>
    <w:rsid w:val="00B71726"/>
    <w:rsid w:val="00B7222A"/>
    <w:rsid w:val="00B72D03"/>
    <w:rsid w:val="00B72D5C"/>
    <w:rsid w:val="00B734C2"/>
    <w:rsid w:val="00B737CB"/>
    <w:rsid w:val="00B73DC8"/>
    <w:rsid w:val="00B73EA0"/>
    <w:rsid w:val="00B74802"/>
    <w:rsid w:val="00B74E71"/>
    <w:rsid w:val="00B75990"/>
    <w:rsid w:val="00B76530"/>
    <w:rsid w:val="00B76559"/>
    <w:rsid w:val="00B7682C"/>
    <w:rsid w:val="00B771C2"/>
    <w:rsid w:val="00B804FE"/>
    <w:rsid w:val="00B805FD"/>
    <w:rsid w:val="00B809AC"/>
    <w:rsid w:val="00B80B29"/>
    <w:rsid w:val="00B81378"/>
    <w:rsid w:val="00B8173A"/>
    <w:rsid w:val="00B8198E"/>
    <w:rsid w:val="00B81B75"/>
    <w:rsid w:val="00B82038"/>
    <w:rsid w:val="00B83095"/>
    <w:rsid w:val="00B8367F"/>
    <w:rsid w:val="00B83B77"/>
    <w:rsid w:val="00B83C7D"/>
    <w:rsid w:val="00B85442"/>
    <w:rsid w:val="00B85B98"/>
    <w:rsid w:val="00B85D6C"/>
    <w:rsid w:val="00B85EAF"/>
    <w:rsid w:val="00B86355"/>
    <w:rsid w:val="00B86A0C"/>
    <w:rsid w:val="00B86F5F"/>
    <w:rsid w:val="00B870B3"/>
    <w:rsid w:val="00B87347"/>
    <w:rsid w:val="00B87CA1"/>
    <w:rsid w:val="00B87CD1"/>
    <w:rsid w:val="00B902D4"/>
    <w:rsid w:val="00B90610"/>
    <w:rsid w:val="00B91122"/>
    <w:rsid w:val="00B9124D"/>
    <w:rsid w:val="00B91481"/>
    <w:rsid w:val="00B914CB"/>
    <w:rsid w:val="00B91619"/>
    <w:rsid w:val="00B92561"/>
    <w:rsid w:val="00B92F3B"/>
    <w:rsid w:val="00B93509"/>
    <w:rsid w:val="00B9416F"/>
    <w:rsid w:val="00B9441D"/>
    <w:rsid w:val="00B946F5"/>
    <w:rsid w:val="00B948B1"/>
    <w:rsid w:val="00B95422"/>
    <w:rsid w:val="00B95839"/>
    <w:rsid w:val="00B963F4"/>
    <w:rsid w:val="00B9765B"/>
    <w:rsid w:val="00BA04A3"/>
    <w:rsid w:val="00BA0D4A"/>
    <w:rsid w:val="00BA1009"/>
    <w:rsid w:val="00BA18AD"/>
    <w:rsid w:val="00BA1AD1"/>
    <w:rsid w:val="00BA1EFB"/>
    <w:rsid w:val="00BA2AED"/>
    <w:rsid w:val="00BA36E4"/>
    <w:rsid w:val="00BA489B"/>
    <w:rsid w:val="00BA4A39"/>
    <w:rsid w:val="00BA527F"/>
    <w:rsid w:val="00BA5835"/>
    <w:rsid w:val="00BA58DD"/>
    <w:rsid w:val="00BA58F7"/>
    <w:rsid w:val="00BA5929"/>
    <w:rsid w:val="00BA5A22"/>
    <w:rsid w:val="00BA5AB4"/>
    <w:rsid w:val="00BA6141"/>
    <w:rsid w:val="00BA6169"/>
    <w:rsid w:val="00BA687D"/>
    <w:rsid w:val="00BB000E"/>
    <w:rsid w:val="00BB005C"/>
    <w:rsid w:val="00BB00EA"/>
    <w:rsid w:val="00BB017D"/>
    <w:rsid w:val="00BB0FCA"/>
    <w:rsid w:val="00BB118B"/>
    <w:rsid w:val="00BB17EF"/>
    <w:rsid w:val="00BB1A7C"/>
    <w:rsid w:val="00BB1C86"/>
    <w:rsid w:val="00BB24A7"/>
    <w:rsid w:val="00BB2922"/>
    <w:rsid w:val="00BB2978"/>
    <w:rsid w:val="00BB2B37"/>
    <w:rsid w:val="00BB2F30"/>
    <w:rsid w:val="00BB3C32"/>
    <w:rsid w:val="00BB3D3A"/>
    <w:rsid w:val="00BB4166"/>
    <w:rsid w:val="00BB4821"/>
    <w:rsid w:val="00BB48AB"/>
    <w:rsid w:val="00BB5E13"/>
    <w:rsid w:val="00BB61BC"/>
    <w:rsid w:val="00BB632F"/>
    <w:rsid w:val="00BB63FA"/>
    <w:rsid w:val="00BB69B0"/>
    <w:rsid w:val="00BB70A3"/>
    <w:rsid w:val="00BB7271"/>
    <w:rsid w:val="00BB74A3"/>
    <w:rsid w:val="00BB7551"/>
    <w:rsid w:val="00BB779D"/>
    <w:rsid w:val="00BB7831"/>
    <w:rsid w:val="00BC0628"/>
    <w:rsid w:val="00BC0D5C"/>
    <w:rsid w:val="00BC1821"/>
    <w:rsid w:val="00BC1A1F"/>
    <w:rsid w:val="00BC1B97"/>
    <w:rsid w:val="00BC1CF7"/>
    <w:rsid w:val="00BC2490"/>
    <w:rsid w:val="00BC2D7E"/>
    <w:rsid w:val="00BC38FC"/>
    <w:rsid w:val="00BC3F5D"/>
    <w:rsid w:val="00BC40EE"/>
    <w:rsid w:val="00BC438B"/>
    <w:rsid w:val="00BC49C8"/>
    <w:rsid w:val="00BC508C"/>
    <w:rsid w:val="00BC509D"/>
    <w:rsid w:val="00BC6543"/>
    <w:rsid w:val="00BC6F4B"/>
    <w:rsid w:val="00BC72FC"/>
    <w:rsid w:val="00BC7596"/>
    <w:rsid w:val="00BC7621"/>
    <w:rsid w:val="00BC7C22"/>
    <w:rsid w:val="00BD0B9D"/>
    <w:rsid w:val="00BD0C80"/>
    <w:rsid w:val="00BD19F2"/>
    <w:rsid w:val="00BD1F1C"/>
    <w:rsid w:val="00BD213F"/>
    <w:rsid w:val="00BD22A7"/>
    <w:rsid w:val="00BD25F3"/>
    <w:rsid w:val="00BD28E1"/>
    <w:rsid w:val="00BD2FD4"/>
    <w:rsid w:val="00BD3BB8"/>
    <w:rsid w:val="00BD3C45"/>
    <w:rsid w:val="00BD4210"/>
    <w:rsid w:val="00BD42C2"/>
    <w:rsid w:val="00BD441D"/>
    <w:rsid w:val="00BD4EB1"/>
    <w:rsid w:val="00BD599A"/>
    <w:rsid w:val="00BD5D8A"/>
    <w:rsid w:val="00BD665B"/>
    <w:rsid w:val="00BD6931"/>
    <w:rsid w:val="00BD702E"/>
    <w:rsid w:val="00BD70FB"/>
    <w:rsid w:val="00BD79D6"/>
    <w:rsid w:val="00BD7B40"/>
    <w:rsid w:val="00BE051F"/>
    <w:rsid w:val="00BE1AE1"/>
    <w:rsid w:val="00BE1BF7"/>
    <w:rsid w:val="00BE1DC4"/>
    <w:rsid w:val="00BE1E1D"/>
    <w:rsid w:val="00BE2FC4"/>
    <w:rsid w:val="00BE39C0"/>
    <w:rsid w:val="00BE4462"/>
    <w:rsid w:val="00BE4C25"/>
    <w:rsid w:val="00BE4E89"/>
    <w:rsid w:val="00BE539A"/>
    <w:rsid w:val="00BE546E"/>
    <w:rsid w:val="00BE548E"/>
    <w:rsid w:val="00BE553C"/>
    <w:rsid w:val="00BE586D"/>
    <w:rsid w:val="00BE5912"/>
    <w:rsid w:val="00BE5ABC"/>
    <w:rsid w:val="00BE5D52"/>
    <w:rsid w:val="00BE6217"/>
    <w:rsid w:val="00BE69BC"/>
    <w:rsid w:val="00BE6D97"/>
    <w:rsid w:val="00BE71D2"/>
    <w:rsid w:val="00BF00E8"/>
    <w:rsid w:val="00BF04A0"/>
    <w:rsid w:val="00BF102C"/>
    <w:rsid w:val="00BF26B9"/>
    <w:rsid w:val="00BF29F0"/>
    <w:rsid w:val="00BF2C0A"/>
    <w:rsid w:val="00BF2F2D"/>
    <w:rsid w:val="00BF3283"/>
    <w:rsid w:val="00BF4761"/>
    <w:rsid w:val="00BF4B5D"/>
    <w:rsid w:val="00BF5349"/>
    <w:rsid w:val="00BF5760"/>
    <w:rsid w:val="00BF5817"/>
    <w:rsid w:val="00BF59F4"/>
    <w:rsid w:val="00BF5D9D"/>
    <w:rsid w:val="00BF63B2"/>
    <w:rsid w:val="00BF6BA6"/>
    <w:rsid w:val="00BF6EC0"/>
    <w:rsid w:val="00BF6FB2"/>
    <w:rsid w:val="00BF790B"/>
    <w:rsid w:val="00BF7950"/>
    <w:rsid w:val="00BF7C15"/>
    <w:rsid w:val="00BF7C5B"/>
    <w:rsid w:val="00BF7D58"/>
    <w:rsid w:val="00C00E17"/>
    <w:rsid w:val="00C00F00"/>
    <w:rsid w:val="00C00F03"/>
    <w:rsid w:val="00C01057"/>
    <w:rsid w:val="00C0182A"/>
    <w:rsid w:val="00C020B5"/>
    <w:rsid w:val="00C03180"/>
    <w:rsid w:val="00C03D3D"/>
    <w:rsid w:val="00C0424E"/>
    <w:rsid w:val="00C04266"/>
    <w:rsid w:val="00C05D89"/>
    <w:rsid w:val="00C06F1F"/>
    <w:rsid w:val="00C07255"/>
    <w:rsid w:val="00C07743"/>
    <w:rsid w:val="00C10173"/>
    <w:rsid w:val="00C104AA"/>
    <w:rsid w:val="00C10AEA"/>
    <w:rsid w:val="00C11714"/>
    <w:rsid w:val="00C11806"/>
    <w:rsid w:val="00C11AD7"/>
    <w:rsid w:val="00C13339"/>
    <w:rsid w:val="00C139AB"/>
    <w:rsid w:val="00C14243"/>
    <w:rsid w:val="00C14ECD"/>
    <w:rsid w:val="00C150F8"/>
    <w:rsid w:val="00C15E27"/>
    <w:rsid w:val="00C164B9"/>
    <w:rsid w:val="00C16B0D"/>
    <w:rsid w:val="00C16F28"/>
    <w:rsid w:val="00C17261"/>
    <w:rsid w:val="00C1787F"/>
    <w:rsid w:val="00C20152"/>
    <w:rsid w:val="00C209F6"/>
    <w:rsid w:val="00C212E0"/>
    <w:rsid w:val="00C2143F"/>
    <w:rsid w:val="00C219B5"/>
    <w:rsid w:val="00C21F1B"/>
    <w:rsid w:val="00C223DD"/>
    <w:rsid w:val="00C22B52"/>
    <w:rsid w:val="00C22CA7"/>
    <w:rsid w:val="00C233F7"/>
    <w:rsid w:val="00C24287"/>
    <w:rsid w:val="00C24A28"/>
    <w:rsid w:val="00C25EBF"/>
    <w:rsid w:val="00C25F15"/>
    <w:rsid w:val="00C26013"/>
    <w:rsid w:val="00C2670E"/>
    <w:rsid w:val="00C26F77"/>
    <w:rsid w:val="00C27209"/>
    <w:rsid w:val="00C306A0"/>
    <w:rsid w:val="00C30EC7"/>
    <w:rsid w:val="00C30FB4"/>
    <w:rsid w:val="00C310AB"/>
    <w:rsid w:val="00C31170"/>
    <w:rsid w:val="00C31268"/>
    <w:rsid w:val="00C3174C"/>
    <w:rsid w:val="00C31A19"/>
    <w:rsid w:val="00C320CD"/>
    <w:rsid w:val="00C32824"/>
    <w:rsid w:val="00C32F36"/>
    <w:rsid w:val="00C33C54"/>
    <w:rsid w:val="00C33DC9"/>
    <w:rsid w:val="00C343B3"/>
    <w:rsid w:val="00C34B62"/>
    <w:rsid w:val="00C34B7F"/>
    <w:rsid w:val="00C34DB6"/>
    <w:rsid w:val="00C3517E"/>
    <w:rsid w:val="00C35E0E"/>
    <w:rsid w:val="00C361F4"/>
    <w:rsid w:val="00C36626"/>
    <w:rsid w:val="00C37D62"/>
    <w:rsid w:val="00C37E1F"/>
    <w:rsid w:val="00C40180"/>
    <w:rsid w:val="00C40294"/>
    <w:rsid w:val="00C403FD"/>
    <w:rsid w:val="00C405A1"/>
    <w:rsid w:val="00C405FE"/>
    <w:rsid w:val="00C40BA5"/>
    <w:rsid w:val="00C40C5B"/>
    <w:rsid w:val="00C40E5E"/>
    <w:rsid w:val="00C4179E"/>
    <w:rsid w:val="00C425BE"/>
    <w:rsid w:val="00C42C41"/>
    <w:rsid w:val="00C42C49"/>
    <w:rsid w:val="00C4382D"/>
    <w:rsid w:val="00C43CAE"/>
    <w:rsid w:val="00C43FC1"/>
    <w:rsid w:val="00C4400E"/>
    <w:rsid w:val="00C445BB"/>
    <w:rsid w:val="00C447A0"/>
    <w:rsid w:val="00C447CF"/>
    <w:rsid w:val="00C44C76"/>
    <w:rsid w:val="00C4575D"/>
    <w:rsid w:val="00C45D98"/>
    <w:rsid w:val="00C45F02"/>
    <w:rsid w:val="00C4740A"/>
    <w:rsid w:val="00C47C31"/>
    <w:rsid w:val="00C47CBB"/>
    <w:rsid w:val="00C47D73"/>
    <w:rsid w:val="00C50949"/>
    <w:rsid w:val="00C50E2E"/>
    <w:rsid w:val="00C510BD"/>
    <w:rsid w:val="00C51233"/>
    <w:rsid w:val="00C5127A"/>
    <w:rsid w:val="00C5187E"/>
    <w:rsid w:val="00C518DC"/>
    <w:rsid w:val="00C519B8"/>
    <w:rsid w:val="00C519D6"/>
    <w:rsid w:val="00C51B96"/>
    <w:rsid w:val="00C51E21"/>
    <w:rsid w:val="00C52255"/>
    <w:rsid w:val="00C52276"/>
    <w:rsid w:val="00C52A80"/>
    <w:rsid w:val="00C52FDE"/>
    <w:rsid w:val="00C53482"/>
    <w:rsid w:val="00C5485D"/>
    <w:rsid w:val="00C54D95"/>
    <w:rsid w:val="00C55214"/>
    <w:rsid w:val="00C557C5"/>
    <w:rsid w:val="00C5640F"/>
    <w:rsid w:val="00C5673B"/>
    <w:rsid w:val="00C56931"/>
    <w:rsid w:val="00C56C50"/>
    <w:rsid w:val="00C56DB6"/>
    <w:rsid w:val="00C57E13"/>
    <w:rsid w:val="00C57F7D"/>
    <w:rsid w:val="00C61391"/>
    <w:rsid w:val="00C62047"/>
    <w:rsid w:val="00C62B9F"/>
    <w:rsid w:val="00C62C62"/>
    <w:rsid w:val="00C630E3"/>
    <w:rsid w:val="00C63C62"/>
    <w:rsid w:val="00C6419B"/>
    <w:rsid w:val="00C64653"/>
    <w:rsid w:val="00C65889"/>
    <w:rsid w:val="00C65AD5"/>
    <w:rsid w:val="00C6600D"/>
    <w:rsid w:val="00C662B1"/>
    <w:rsid w:val="00C666F3"/>
    <w:rsid w:val="00C668F1"/>
    <w:rsid w:val="00C67349"/>
    <w:rsid w:val="00C67390"/>
    <w:rsid w:val="00C676E9"/>
    <w:rsid w:val="00C70703"/>
    <w:rsid w:val="00C7070D"/>
    <w:rsid w:val="00C70838"/>
    <w:rsid w:val="00C70A13"/>
    <w:rsid w:val="00C711FE"/>
    <w:rsid w:val="00C718B4"/>
    <w:rsid w:val="00C721C1"/>
    <w:rsid w:val="00C72EE8"/>
    <w:rsid w:val="00C72F79"/>
    <w:rsid w:val="00C733AB"/>
    <w:rsid w:val="00C738D0"/>
    <w:rsid w:val="00C73922"/>
    <w:rsid w:val="00C741D5"/>
    <w:rsid w:val="00C74389"/>
    <w:rsid w:val="00C7489C"/>
    <w:rsid w:val="00C74D6A"/>
    <w:rsid w:val="00C7510D"/>
    <w:rsid w:val="00C752E6"/>
    <w:rsid w:val="00C7594A"/>
    <w:rsid w:val="00C75E5E"/>
    <w:rsid w:val="00C75F18"/>
    <w:rsid w:val="00C76F04"/>
    <w:rsid w:val="00C76F55"/>
    <w:rsid w:val="00C7720D"/>
    <w:rsid w:val="00C77584"/>
    <w:rsid w:val="00C7774E"/>
    <w:rsid w:val="00C77BF0"/>
    <w:rsid w:val="00C77F66"/>
    <w:rsid w:val="00C802E1"/>
    <w:rsid w:val="00C807CC"/>
    <w:rsid w:val="00C80A93"/>
    <w:rsid w:val="00C80C77"/>
    <w:rsid w:val="00C80F16"/>
    <w:rsid w:val="00C819DD"/>
    <w:rsid w:val="00C82484"/>
    <w:rsid w:val="00C825C7"/>
    <w:rsid w:val="00C8264F"/>
    <w:rsid w:val="00C8324C"/>
    <w:rsid w:val="00C83663"/>
    <w:rsid w:val="00C83B2D"/>
    <w:rsid w:val="00C849D3"/>
    <w:rsid w:val="00C84BC1"/>
    <w:rsid w:val="00C84C2A"/>
    <w:rsid w:val="00C85B3A"/>
    <w:rsid w:val="00C860EE"/>
    <w:rsid w:val="00C86DBE"/>
    <w:rsid w:val="00C87E23"/>
    <w:rsid w:val="00C90D2B"/>
    <w:rsid w:val="00C912BF"/>
    <w:rsid w:val="00C917DA"/>
    <w:rsid w:val="00C91EC7"/>
    <w:rsid w:val="00C923BC"/>
    <w:rsid w:val="00C926D6"/>
    <w:rsid w:val="00C930FC"/>
    <w:rsid w:val="00C942D6"/>
    <w:rsid w:val="00C94DF2"/>
    <w:rsid w:val="00C9565D"/>
    <w:rsid w:val="00C95798"/>
    <w:rsid w:val="00C95CFE"/>
    <w:rsid w:val="00C95F4C"/>
    <w:rsid w:val="00C96142"/>
    <w:rsid w:val="00C9625C"/>
    <w:rsid w:val="00C96DD4"/>
    <w:rsid w:val="00C96EFE"/>
    <w:rsid w:val="00C972B3"/>
    <w:rsid w:val="00C97351"/>
    <w:rsid w:val="00C97506"/>
    <w:rsid w:val="00C97F6B"/>
    <w:rsid w:val="00CA02E2"/>
    <w:rsid w:val="00CA05D5"/>
    <w:rsid w:val="00CA05F5"/>
    <w:rsid w:val="00CA07D4"/>
    <w:rsid w:val="00CA0973"/>
    <w:rsid w:val="00CA11A5"/>
    <w:rsid w:val="00CA1419"/>
    <w:rsid w:val="00CA1F33"/>
    <w:rsid w:val="00CA1FBF"/>
    <w:rsid w:val="00CA20BC"/>
    <w:rsid w:val="00CA297F"/>
    <w:rsid w:val="00CA2A9D"/>
    <w:rsid w:val="00CA2EED"/>
    <w:rsid w:val="00CA30F5"/>
    <w:rsid w:val="00CA362D"/>
    <w:rsid w:val="00CA39FF"/>
    <w:rsid w:val="00CA54B6"/>
    <w:rsid w:val="00CA5C55"/>
    <w:rsid w:val="00CA6087"/>
    <w:rsid w:val="00CA60F6"/>
    <w:rsid w:val="00CA6DA1"/>
    <w:rsid w:val="00CA7458"/>
    <w:rsid w:val="00CB00AF"/>
    <w:rsid w:val="00CB02DB"/>
    <w:rsid w:val="00CB059D"/>
    <w:rsid w:val="00CB1267"/>
    <w:rsid w:val="00CB14FD"/>
    <w:rsid w:val="00CB1739"/>
    <w:rsid w:val="00CB2025"/>
    <w:rsid w:val="00CB3088"/>
    <w:rsid w:val="00CB357C"/>
    <w:rsid w:val="00CB3F51"/>
    <w:rsid w:val="00CB4753"/>
    <w:rsid w:val="00CB4BE9"/>
    <w:rsid w:val="00CB544C"/>
    <w:rsid w:val="00CB57C1"/>
    <w:rsid w:val="00CB6333"/>
    <w:rsid w:val="00CB6852"/>
    <w:rsid w:val="00CB6A08"/>
    <w:rsid w:val="00CB6FE9"/>
    <w:rsid w:val="00CB7170"/>
    <w:rsid w:val="00CC0398"/>
    <w:rsid w:val="00CC064E"/>
    <w:rsid w:val="00CC06AC"/>
    <w:rsid w:val="00CC07B4"/>
    <w:rsid w:val="00CC1250"/>
    <w:rsid w:val="00CC135F"/>
    <w:rsid w:val="00CC1410"/>
    <w:rsid w:val="00CC1550"/>
    <w:rsid w:val="00CC21FC"/>
    <w:rsid w:val="00CC2D33"/>
    <w:rsid w:val="00CC3807"/>
    <w:rsid w:val="00CC380D"/>
    <w:rsid w:val="00CC3DDF"/>
    <w:rsid w:val="00CC428E"/>
    <w:rsid w:val="00CC436A"/>
    <w:rsid w:val="00CC4B6F"/>
    <w:rsid w:val="00CC4F36"/>
    <w:rsid w:val="00CC4FC0"/>
    <w:rsid w:val="00CC5504"/>
    <w:rsid w:val="00CC573C"/>
    <w:rsid w:val="00CC5EBF"/>
    <w:rsid w:val="00CC613A"/>
    <w:rsid w:val="00CC6776"/>
    <w:rsid w:val="00CC68BA"/>
    <w:rsid w:val="00CC6B3B"/>
    <w:rsid w:val="00CC6CC8"/>
    <w:rsid w:val="00CC7346"/>
    <w:rsid w:val="00CC7E31"/>
    <w:rsid w:val="00CC7E70"/>
    <w:rsid w:val="00CD0018"/>
    <w:rsid w:val="00CD0078"/>
    <w:rsid w:val="00CD02B2"/>
    <w:rsid w:val="00CD10B8"/>
    <w:rsid w:val="00CD164E"/>
    <w:rsid w:val="00CD1857"/>
    <w:rsid w:val="00CD1C83"/>
    <w:rsid w:val="00CD2949"/>
    <w:rsid w:val="00CD2FF7"/>
    <w:rsid w:val="00CD30DF"/>
    <w:rsid w:val="00CD3677"/>
    <w:rsid w:val="00CD36FC"/>
    <w:rsid w:val="00CD425D"/>
    <w:rsid w:val="00CD4474"/>
    <w:rsid w:val="00CD4610"/>
    <w:rsid w:val="00CD4978"/>
    <w:rsid w:val="00CD673C"/>
    <w:rsid w:val="00CD7CED"/>
    <w:rsid w:val="00CE0236"/>
    <w:rsid w:val="00CE0D9B"/>
    <w:rsid w:val="00CE11AF"/>
    <w:rsid w:val="00CE1ABB"/>
    <w:rsid w:val="00CE1D21"/>
    <w:rsid w:val="00CE2BE4"/>
    <w:rsid w:val="00CE3703"/>
    <w:rsid w:val="00CE3970"/>
    <w:rsid w:val="00CE3D23"/>
    <w:rsid w:val="00CE3D2D"/>
    <w:rsid w:val="00CE48BF"/>
    <w:rsid w:val="00CE4BA7"/>
    <w:rsid w:val="00CE4C5E"/>
    <w:rsid w:val="00CE51DF"/>
    <w:rsid w:val="00CE5ACE"/>
    <w:rsid w:val="00CE5CE0"/>
    <w:rsid w:val="00CE6052"/>
    <w:rsid w:val="00CE6884"/>
    <w:rsid w:val="00CE689C"/>
    <w:rsid w:val="00CE6FCA"/>
    <w:rsid w:val="00CE774D"/>
    <w:rsid w:val="00CE7833"/>
    <w:rsid w:val="00CE7937"/>
    <w:rsid w:val="00CE7F9E"/>
    <w:rsid w:val="00CF07BF"/>
    <w:rsid w:val="00CF1717"/>
    <w:rsid w:val="00CF1845"/>
    <w:rsid w:val="00CF1AB0"/>
    <w:rsid w:val="00CF1FA8"/>
    <w:rsid w:val="00CF23AF"/>
    <w:rsid w:val="00CF2B58"/>
    <w:rsid w:val="00CF2F40"/>
    <w:rsid w:val="00CF383D"/>
    <w:rsid w:val="00CF3BEE"/>
    <w:rsid w:val="00CF413D"/>
    <w:rsid w:val="00CF5550"/>
    <w:rsid w:val="00CF56A4"/>
    <w:rsid w:val="00CF5A85"/>
    <w:rsid w:val="00CF5F6D"/>
    <w:rsid w:val="00CF602B"/>
    <w:rsid w:val="00CF64DA"/>
    <w:rsid w:val="00CF6A57"/>
    <w:rsid w:val="00CF6A7F"/>
    <w:rsid w:val="00CF6BE8"/>
    <w:rsid w:val="00CF6D76"/>
    <w:rsid w:val="00CF7F3F"/>
    <w:rsid w:val="00D00088"/>
    <w:rsid w:val="00D00FBC"/>
    <w:rsid w:val="00D01B27"/>
    <w:rsid w:val="00D01FD5"/>
    <w:rsid w:val="00D0215C"/>
    <w:rsid w:val="00D0221A"/>
    <w:rsid w:val="00D0235D"/>
    <w:rsid w:val="00D02394"/>
    <w:rsid w:val="00D0251E"/>
    <w:rsid w:val="00D02E78"/>
    <w:rsid w:val="00D03476"/>
    <w:rsid w:val="00D04D42"/>
    <w:rsid w:val="00D057FA"/>
    <w:rsid w:val="00D058AD"/>
    <w:rsid w:val="00D05F6B"/>
    <w:rsid w:val="00D06022"/>
    <w:rsid w:val="00D065C8"/>
    <w:rsid w:val="00D06E98"/>
    <w:rsid w:val="00D071AD"/>
    <w:rsid w:val="00D0782B"/>
    <w:rsid w:val="00D1025A"/>
    <w:rsid w:val="00D105DB"/>
    <w:rsid w:val="00D10608"/>
    <w:rsid w:val="00D10932"/>
    <w:rsid w:val="00D10A85"/>
    <w:rsid w:val="00D1171B"/>
    <w:rsid w:val="00D11974"/>
    <w:rsid w:val="00D11AA6"/>
    <w:rsid w:val="00D11B64"/>
    <w:rsid w:val="00D11E9F"/>
    <w:rsid w:val="00D123EE"/>
    <w:rsid w:val="00D12F7F"/>
    <w:rsid w:val="00D12F8D"/>
    <w:rsid w:val="00D12FBE"/>
    <w:rsid w:val="00D1317A"/>
    <w:rsid w:val="00D132CF"/>
    <w:rsid w:val="00D13C48"/>
    <w:rsid w:val="00D1410A"/>
    <w:rsid w:val="00D14724"/>
    <w:rsid w:val="00D14859"/>
    <w:rsid w:val="00D150C4"/>
    <w:rsid w:val="00D150D6"/>
    <w:rsid w:val="00D1551C"/>
    <w:rsid w:val="00D1585D"/>
    <w:rsid w:val="00D15881"/>
    <w:rsid w:val="00D15EDB"/>
    <w:rsid w:val="00D16B78"/>
    <w:rsid w:val="00D17795"/>
    <w:rsid w:val="00D17B1F"/>
    <w:rsid w:val="00D2016F"/>
    <w:rsid w:val="00D20501"/>
    <w:rsid w:val="00D208C1"/>
    <w:rsid w:val="00D20A9A"/>
    <w:rsid w:val="00D20C37"/>
    <w:rsid w:val="00D21274"/>
    <w:rsid w:val="00D21C06"/>
    <w:rsid w:val="00D21E83"/>
    <w:rsid w:val="00D21F46"/>
    <w:rsid w:val="00D220CF"/>
    <w:rsid w:val="00D22923"/>
    <w:rsid w:val="00D229A4"/>
    <w:rsid w:val="00D2300B"/>
    <w:rsid w:val="00D239D5"/>
    <w:rsid w:val="00D24132"/>
    <w:rsid w:val="00D241A7"/>
    <w:rsid w:val="00D24332"/>
    <w:rsid w:val="00D2444D"/>
    <w:rsid w:val="00D249ED"/>
    <w:rsid w:val="00D24A39"/>
    <w:rsid w:val="00D253AA"/>
    <w:rsid w:val="00D254B9"/>
    <w:rsid w:val="00D25589"/>
    <w:rsid w:val="00D255EF"/>
    <w:rsid w:val="00D25979"/>
    <w:rsid w:val="00D25B05"/>
    <w:rsid w:val="00D269A9"/>
    <w:rsid w:val="00D26DE6"/>
    <w:rsid w:val="00D2730E"/>
    <w:rsid w:val="00D30347"/>
    <w:rsid w:val="00D30C50"/>
    <w:rsid w:val="00D3152F"/>
    <w:rsid w:val="00D31A6B"/>
    <w:rsid w:val="00D31C3E"/>
    <w:rsid w:val="00D31E88"/>
    <w:rsid w:val="00D324B1"/>
    <w:rsid w:val="00D327B9"/>
    <w:rsid w:val="00D329B3"/>
    <w:rsid w:val="00D32F46"/>
    <w:rsid w:val="00D32FC4"/>
    <w:rsid w:val="00D32FDC"/>
    <w:rsid w:val="00D33078"/>
    <w:rsid w:val="00D331BC"/>
    <w:rsid w:val="00D331FA"/>
    <w:rsid w:val="00D33319"/>
    <w:rsid w:val="00D33570"/>
    <w:rsid w:val="00D33FF7"/>
    <w:rsid w:val="00D34481"/>
    <w:rsid w:val="00D34D98"/>
    <w:rsid w:val="00D3549D"/>
    <w:rsid w:val="00D35BD5"/>
    <w:rsid w:val="00D36390"/>
    <w:rsid w:val="00D36611"/>
    <w:rsid w:val="00D368E5"/>
    <w:rsid w:val="00D36FB4"/>
    <w:rsid w:val="00D37432"/>
    <w:rsid w:val="00D37536"/>
    <w:rsid w:val="00D37C80"/>
    <w:rsid w:val="00D40334"/>
    <w:rsid w:val="00D416C0"/>
    <w:rsid w:val="00D42CEA"/>
    <w:rsid w:val="00D435A4"/>
    <w:rsid w:val="00D43801"/>
    <w:rsid w:val="00D43E05"/>
    <w:rsid w:val="00D43F6D"/>
    <w:rsid w:val="00D44152"/>
    <w:rsid w:val="00D441BA"/>
    <w:rsid w:val="00D45C61"/>
    <w:rsid w:val="00D45D0B"/>
    <w:rsid w:val="00D46196"/>
    <w:rsid w:val="00D4680F"/>
    <w:rsid w:val="00D46FA7"/>
    <w:rsid w:val="00D47E0C"/>
    <w:rsid w:val="00D50E95"/>
    <w:rsid w:val="00D5104F"/>
    <w:rsid w:val="00D51220"/>
    <w:rsid w:val="00D51244"/>
    <w:rsid w:val="00D514D6"/>
    <w:rsid w:val="00D5218F"/>
    <w:rsid w:val="00D52863"/>
    <w:rsid w:val="00D52CBF"/>
    <w:rsid w:val="00D53208"/>
    <w:rsid w:val="00D53462"/>
    <w:rsid w:val="00D54FA2"/>
    <w:rsid w:val="00D55500"/>
    <w:rsid w:val="00D5691D"/>
    <w:rsid w:val="00D56BD7"/>
    <w:rsid w:val="00D56F66"/>
    <w:rsid w:val="00D572FC"/>
    <w:rsid w:val="00D60894"/>
    <w:rsid w:val="00D61323"/>
    <w:rsid w:val="00D616E5"/>
    <w:rsid w:val="00D62168"/>
    <w:rsid w:val="00D6256D"/>
    <w:rsid w:val="00D6264B"/>
    <w:rsid w:val="00D62D60"/>
    <w:rsid w:val="00D630D4"/>
    <w:rsid w:val="00D638F7"/>
    <w:rsid w:val="00D63EE1"/>
    <w:rsid w:val="00D64987"/>
    <w:rsid w:val="00D64EFE"/>
    <w:rsid w:val="00D65E1C"/>
    <w:rsid w:val="00D65EC0"/>
    <w:rsid w:val="00D66014"/>
    <w:rsid w:val="00D665B2"/>
    <w:rsid w:val="00D6677E"/>
    <w:rsid w:val="00D674AF"/>
    <w:rsid w:val="00D67BF0"/>
    <w:rsid w:val="00D67F2E"/>
    <w:rsid w:val="00D70677"/>
    <w:rsid w:val="00D70764"/>
    <w:rsid w:val="00D70C3C"/>
    <w:rsid w:val="00D711A4"/>
    <w:rsid w:val="00D711D0"/>
    <w:rsid w:val="00D71C8C"/>
    <w:rsid w:val="00D7291A"/>
    <w:rsid w:val="00D72C60"/>
    <w:rsid w:val="00D739F5"/>
    <w:rsid w:val="00D743EA"/>
    <w:rsid w:val="00D74A8C"/>
    <w:rsid w:val="00D74AFA"/>
    <w:rsid w:val="00D751FB"/>
    <w:rsid w:val="00D75F8E"/>
    <w:rsid w:val="00D771AE"/>
    <w:rsid w:val="00D77201"/>
    <w:rsid w:val="00D773D2"/>
    <w:rsid w:val="00D7797A"/>
    <w:rsid w:val="00D77CDF"/>
    <w:rsid w:val="00D80172"/>
    <w:rsid w:val="00D81EB7"/>
    <w:rsid w:val="00D81F05"/>
    <w:rsid w:val="00D834BE"/>
    <w:rsid w:val="00D8470F"/>
    <w:rsid w:val="00D848CE"/>
    <w:rsid w:val="00D84943"/>
    <w:rsid w:val="00D84EB1"/>
    <w:rsid w:val="00D84FB2"/>
    <w:rsid w:val="00D85125"/>
    <w:rsid w:val="00D8582A"/>
    <w:rsid w:val="00D85A14"/>
    <w:rsid w:val="00D85A48"/>
    <w:rsid w:val="00D86150"/>
    <w:rsid w:val="00D86F2D"/>
    <w:rsid w:val="00D87075"/>
    <w:rsid w:val="00D87750"/>
    <w:rsid w:val="00D9047F"/>
    <w:rsid w:val="00D904A1"/>
    <w:rsid w:val="00D90DFD"/>
    <w:rsid w:val="00D92389"/>
    <w:rsid w:val="00D92908"/>
    <w:rsid w:val="00D92C7B"/>
    <w:rsid w:val="00D92E7F"/>
    <w:rsid w:val="00D930F1"/>
    <w:rsid w:val="00D9331D"/>
    <w:rsid w:val="00D933C6"/>
    <w:rsid w:val="00D9378B"/>
    <w:rsid w:val="00D93C4F"/>
    <w:rsid w:val="00D93CFF"/>
    <w:rsid w:val="00D93F88"/>
    <w:rsid w:val="00D940E8"/>
    <w:rsid w:val="00D940F7"/>
    <w:rsid w:val="00D95561"/>
    <w:rsid w:val="00D96224"/>
    <w:rsid w:val="00D965C7"/>
    <w:rsid w:val="00D9706A"/>
    <w:rsid w:val="00D972E0"/>
    <w:rsid w:val="00D97425"/>
    <w:rsid w:val="00D9785B"/>
    <w:rsid w:val="00D979DC"/>
    <w:rsid w:val="00DA00AE"/>
    <w:rsid w:val="00DA0F01"/>
    <w:rsid w:val="00DA1068"/>
    <w:rsid w:val="00DA11E2"/>
    <w:rsid w:val="00DA180C"/>
    <w:rsid w:val="00DA1F59"/>
    <w:rsid w:val="00DA2055"/>
    <w:rsid w:val="00DA2544"/>
    <w:rsid w:val="00DA2664"/>
    <w:rsid w:val="00DA298B"/>
    <w:rsid w:val="00DA2B0A"/>
    <w:rsid w:val="00DA2BB2"/>
    <w:rsid w:val="00DA3679"/>
    <w:rsid w:val="00DA36FE"/>
    <w:rsid w:val="00DA3893"/>
    <w:rsid w:val="00DA3909"/>
    <w:rsid w:val="00DA39EE"/>
    <w:rsid w:val="00DA3B4E"/>
    <w:rsid w:val="00DA3E1E"/>
    <w:rsid w:val="00DA3F50"/>
    <w:rsid w:val="00DA4557"/>
    <w:rsid w:val="00DA492C"/>
    <w:rsid w:val="00DA4D9E"/>
    <w:rsid w:val="00DA5FA2"/>
    <w:rsid w:val="00DA6604"/>
    <w:rsid w:val="00DA6F74"/>
    <w:rsid w:val="00DA7207"/>
    <w:rsid w:val="00DA721E"/>
    <w:rsid w:val="00DA7C6B"/>
    <w:rsid w:val="00DA7EE7"/>
    <w:rsid w:val="00DB0F53"/>
    <w:rsid w:val="00DB0FDD"/>
    <w:rsid w:val="00DB1538"/>
    <w:rsid w:val="00DB16A2"/>
    <w:rsid w:val="00DB18D8"/>
    <w:rsid w:val="00DB19E4"/>
    <w:rsid w:val="00DB1C5D"/>
    <w:rsid w:val="00DB2300"/>
    <w:rsid w:val="00DB2321"/>
    <w:rsid w:val="00DB2819"/>
    <w:rsid w:val="00DB39E5"/>
    <w:rsid w:val="00DB3E78"/>
    <w:rsid w:val="00DB48D4"/>
    <w:rsid w:val="00DB49EF"/>
    <w:rsid w:val="00DB52CA"/>
    <w:rsid w:val="00DB546D"/>
    <w:rsid w:val="00DB5597"/>
    <w:rsid w:val="00DB5CE1"/>
    <w:rsid w:val="00DB5E80"/>
    <w:rsid w:val="00DB686F"/>
    <w:rsid w:val="00DB7487"/>
    <w:rsid w:val="00DB74BA"/>
    <w:rsid w:val="00DB773E"/>
    <w:rsid w:val="00DB7D9B"/>
    <w:rsid w:val="00DC0144"/>
    <w:rsid w:val="00DC0B86"/>
    <w:rsid w:val="00DC0D1E"/>
    <w:rsid w:val="00DC1313"/>
    <w:rsid w:val="00DC2AD2"/>
    <w:rsid w:val="00DC2B63"/>
    <w:rsid w:val="00DC2BD6"/>
    <w:rsid w:val="00DC2CB8"/>
    <w:rsid w:val="00DC367D"/>
    <w:rsid w:val="00DC478F"/>
    <w:rsid w:val="00DC50D8"/>
    <w:rsid w:val="00DC542A"/>
    <w:rsid w:val="00DC5A1E"/>
    <w:rsid w:val="00DC668F"/>
    <w:rsid w:val="00DC6D01"/>
    <w:rsid w:val="00DC7CA6"/>
    <w:rsid w:val="00DC7F48"/>
    <w:rsid w:val="00DD094C"/>
    <w:rsid w:val="00DD1176"/>
    <w:rsid w:val="00DD1D67"/>
    <w:rsid w:val="00DD1D83"/>
    <w:rsid w:val="00DD21CA"/>
    <w:rsid w:val="00DD285E"/>
    <w:rsid w:val="00DD29B9"/>
    <w:rsid w:val="00DD29C4"/>
    <w:rsid w:val="00DD2A84"/>
    <w:rsid w:val="00DD2CD8"/>
    <w:rsid w:val="00DD37DF"/>
    <w:rsid w:val="00DD3C69"/>
    <w:rsid w:val="00DD3CEE"/>
    <w:rsid w:val="00DD40C5"/>
    <w:rsid w:val="00DD4486"/>
    <w:rsid w:val="00DD4495"/>
    <w:rsid w:val="00DD44B6"/>
    <w:rsid w:val="00DD47C6"/>
    <w:rsid w:val="00DD49BD"/>
    <w:rsid w:val="00DD5152"/>
    <w:rsid w:val="00DD5AF6"/>
    <w:rsid w:val="00DD66C2"/>
    <w:rsid w:val="00DD66D5"/>
    <w:rsid w:val="00DD6D88"/>
    <w:rsid w:val="00DD74FA"/>
    <w:rsid w:val="00DD79D9"/>
    <w:rsid w:val="00DD7B79"/>
    <w:rsid w:val="00DE02F6"/>
    <w:rsid w:val="00DE10DF"/>
    <w:rsid w:val="00DE138C"/>
    <w:rsid w:val="00DE165A"/>
    <w:rsid w:val="00DE16B9"/>
    <w:rsid w:val="00DE2697"/>
    <w:rsid w:val="00DE28B7"/>
    <w:rsid w:val="00DE3A68"/>
    <w:rsid w:val="00DE3B34"/>
    <w:rsid w:val="00DE4005"/>
    <w:rsid w:val="00DE4022"/>
    <w:rsid w:val="00DE407D"/>
    <w:rsid w:val="00DE428F"/>
    <w:rsid w:val="00DE444E"/>
    <w:rsid w:val="00DE5D44"/>
    <w:rsid w:val="00DE753B"/>
    <w:rsid w:val="00DE7A95"/>
    <w:rsid w:val="00DF09C9"/>
    <w:rsid w:val="00DF0BBA"/>
    <w:rsid w:val="00DF0C7B"/>
    <w:rsid w:val="00DF0DF0"/>
    <w:rsid w:val="00DF1EAB"/>
    <w:rsid w:val="00DF22C4"/>
    <w:rsid w:val="00DF254E"/>
    <w:rsid w:val="00DF340A"/>
    <w:rsid w:val="00DF362A"/>
    <w:rsid w:val="00DF3CCF"/>
    <w:rsid w:val="00DF3D1A"/>
    <w:rsid w:val="00DF42EE"/>
    <w:rsid w:val="00DF4447"/>
    <w:rsid w:val="00DF47DF"/>
    <w:rsid w:val="00DF5A53"/>
    <w:rsid w:val="00DF5C01"/>
    <w:rsid w:val="00DF5D0B"/>
    <w:rsid w:val="00DF6219"/>
    <w:rsid w:val="00DF6DCE"/>
    <w:rsid w:val="00DF75D5"/>
    <w:rsid w:val="00E00521"/>
    <w:rsid w:val="00E00649"/>
    <w:rsid w:val="00E00EDF"/>
    <w:rsid w:val="00E01357"/>
    <w:rsid w:val="00E022AC"/>
    <w:rsid w:val="00E0274B"/>
    <w:rsid w:val="00E031BC"/>
    <w:rsid w:val="00E032DD"/>
    <w:rsid w:val="00E03368"/>
    <w:rsid w:val="00E03A23"/>
    <w:rsid w:val="00E04FB1"/>
    <w:rsid w:val="00E051A5"/>
    <w:rsid w:val="00E054AD"/>
    <w:rsid w:val="00E06213"/>
    <w:rsid w:val="00E066D2"/>
    <w:rsid w:val="00E0757C"/>
    <w:rsid w:val="00E07598"/>
    <w:rsid w:val="00E07801"/>
    <w:rsid w:val="00E101BD"/>
    <w:rsid w:val="00E1068F"/>
    <w:rsid w:val="00E10CE5"/>
    <w:rsid w:val="00E113DC"/>
    <w:rsid w:val="00E1164F"/>
    <w:rsid w:val="00E117E0"/>
    <w:rsid w:val="00E11DC7"/>
    <w:rsid w:val="00E1260A"/>
    <w:rsid w:val="00E12BD8"/>
    <w:rsid w:val="00E12D7E"/>
    <w:rsid w:val="00E13352"/>
    <w:rsid w:val="00E133C1"/>
    <w:rsid w:val="00E13BA3"/>
    <w:rsid w:val="00E14BD0"/>
    <w:rsid w:val="00E16001"/>
    <w:rsid w:val="00E17A13"/>
    <w:rsid w:val="00E20629"/>
    <w:rsid w:val="00E20D71"/>
    <w:rsid w:val="00E2147F"/>
    <w:rsid w:val="00E21C9E"/>
    <w:rsid w:val="00E2229F"/>
    <w:rsid w:val="00E22C8B"/>
    <w:rsid w:val="00E22E45"/>
    <w:rsid w:val="00E2344E"/>
    <w:rsid w:val="00E23969"/>
    <w:rsid w:val="00E243C2"/>
    <w:rsid w:val="00E24A0B"/>
    <w:rsid w:val="00E24D5A"/>
    <w:rsid w:val="00E25072"/>
    <w:rsid w:val="00E2543D"/>
    <w:rsid w:val="00E2595E"/>
    <w:rsid w:val="00E25BA3"/>
    <w:rsid w:val="00E26388"/>
    <w:rsid w:val="00E266FB"/>
    <w:rsid w:val="00E26707"/>
    <w:rsid w:val="00E271BD"/>
    <w:rsid w:val="00E27338"/>
    <w:rsid w:val="00E2774E"/>
    <w:rsid w:val="00E27B6A"/>
    <w:rsid w:val="00E306FF"/>
    <w:rsid w:val="00E3109E"/>
    <w:rsid w:val="00E316BE"/>
    <w:rsid w:val="00E32081"/>
    <w:rsid w:val="00E322AE"/>
    <w:rsid w:val="00E3272A"/>
    <w:rsid w:val="00E32928"/>
    <w:rsid w:val="00E32D32"/>
    <w:rsid w:val="00E33B77"/>
    <w:rsid w:val="00E34781"/>
    <w:rsid w:val="00E349CE"/>
    <w:rsid w:val="00E34CE3"/>
    <w:rsid w:val="00E356BE"/>
    <w:rsid w:val="00E35962"/>
    <w:rsid w:val="00E35CD7"/>
    <w:rsid w:val="00E361A0"/>
    <w:rsid w:val="00E366AE"/>
    <w:rsid w:val="00E374B1"/>
    <w:rsid w:val="00E376FC"/>
    <w:rsid w:val="00E379A6"/>
    <w:rsid w:val="00E40086"/>
    <w:rsid w:val="00E4195F"/>
    <w:rsid w:val="00E41B45"/>
    <w:rsid w:val="00E42B3E"/>
    <w:rsid w:val="00E430C5"/>
    <w:rsid w:val="00E4488D"/>
    <w:rsid w:val="00E44B5F"/>
    <w:rsid w:val="00E4501A"/>
    <w:rsid w:val="00E45B1E"/>
    <w:rsid w:val="00E45CD7"/>
    <w:rsid w:val="00E463F7"/>
    <w:rsid w:val="00E46D62"/>
    <w:rsid w:val="00E47060"/>
    <w:rsid w:val="00E47687"/>
    <w:rsid w:val="00E47F80"/>
    <w:rsid w:val="00E502B6"/>
    <w:rsid w:val="00E50530"/>
    <w:rsid w:val="00E5083B"/>
    <w:rsid w:val="00E50C3A"/>
    <w:rsid w:val="00E50EA6"/>
    <w:rsid w:val="00E512B8"/>
    <w:rsid w:val="00E5159A"/>
    <w:rsid w:val="00E51699"/>
    <w:rsid w:val="00E5215F"/>
    <w:rsid w:val="00E52B18"/>
    <w:rsid w:val="00E539BA"/>
    <w:rsid w:val="00E54CA5"/>
    <w:rsid w:val="00E54EC9"/>
    <w:rsid w:val="00E54F40"/>
    <w:rsid w:val="00E54F77"/>
    <w:rsid w:val="00E557AB"/>
    <w:rsid w:val="00E55D68"/>
    <w:rsid w:val="00E55EE7"/>
    <w:rsid w:val="00E57B7E"/>
    <w:rsid w:val="00E57C4E"/>
    <w:rsid w:val="00E57CAC"/>
    <w:rsid w:val="00E57DE8"/>
    <w:rsid w:val="00E6021F"/>
    <w:rsid w:val="00E61A8F"/>
    <w:rsid w:val="00E63585"/>
    <w:rsid w:val="00E651E7"/>
    <w:rsid w:val="00E654E8"/>
    <w:rsid w:val="00E6551B"/>
    <w:rsid w:val="00E65968"/>
    <w:rsid w:val="00E65D63"/>
    <w:rsid w:val="00E66113"/>
    <w:rsid w:val="00E6623A"/>
    <w:rsid w:val="00E66CED"/>
    <w:rsid w:val="00E67170"/>
    <w:rsid w:val="00E67A45"/>
    <w:rsid w:val="00E67B77"/>
    <w:rsid w:val="00E67C2B"/>
    <w:rsid w:val="00E703CF"/>
    <w:rsid w:val="00E70403"/>
    <w:rsid w:val="00E70F9C"/>
    <w:rsid w:val="00E71052"/>
    <w:rsid w:val="00E7108F"/>
    <w:rsid w:val="00E71230"/>
    <w:rsid w:val="00E717D6"/>
    <w:rsid w:val="00E71A2C"/>
    <w:rsid w:val="00E71D9A"/>
    <w:rsid w:val="00E71E65"/>
    <w:rsid w:val="00E724AA"/>
    <w:rsid w:val="00E7268C"/>
    <w:rsid w:val="00E72A30"/>
    <w:rsid w:val="00E7307E"/>
    <w:rsid w:val="00E74B78"/>
    <w:rsid w:val="00E75043"/>
    <w:rsid w:val="00E754E9"/>
    <w:rsid w:val="00E75A05"/>
    <w:rsid w:val="00E75F63"/>
    <w:rsid w:val="00E76BE5"/>
    <w:rsid w:val="00E76EA2"/>
    <w:rsid w:val="00E7766D"/>
    <w:rsid w:val="00E7770D"/>
    <w:rsid w:val="00E7773A"/>
    <w:rsid w:val="00E77BCE"/>
    <w:rsid w:val="00E81006"/>
    <w:rsid w:val="00E81289"/>
    <w:rsid w:val="00E8148E"/>
    <w:rsid w:val="00E81559"/>
    <w:rsid w:val="00E817DB"/>
    <w:rsid w:val="00E81873"/>
    <w:rsid w:val="00E81C54"/>
    <w:rsid w:val="00E81E82"/>
    <w:rsid w:val="00E8207F"/>
    <w:rsid w:val="00E823A1"/>
    <w:rsid w:val="00E82401"/>
    <w:rsid w:val="00E825C3"/>
    <w:rsid w:val="00E83912"/>
    <w:rsid w:val="00E83FAF"/>
    <w:rsid w:val="00E845B5"/>
    <w:rsid w:val="00E845EB"/>
    <w:rsid w:val="00E845F6"/>
    <w:rsid w:val="00E84B8F"/>
    <w:rsid w:val="00E84E14"/>
    <w:rsid w:val="00E8533B"/>
    <w:rsid w:val="00E8575C"/>
    <w:rsid w:val="00E862C8"/>
    <w:rsid w:val="00E868B0"/>
    <w:rsid w:val="00E86C02"/>
    <w:rsid w:val="00E87A24"/>
    <w:rsid w:val="00E87A43"/>
    <w:rsid w:val="00E905C1"/>
    <w:rsid w:val="00E90EBF"/>
    <w:rsid w:val="00E91401"/>
    <w:rsid w:val="00E914D6"/>
    <w:rsid w:val="00E91519"/>
    <w:rsid w:val="00E92300"/>
    <w:rsid w:val="00E923AF"/>
    <w:rsid w:val="00E93216"/>
    <w:rsid w:val="00E9352B"/>
    <w:rsid w:val="00E93BD9"/>
    <w:rsid w:val="00E93CA7"/>
    <w:rsid w:val="00E93FCF"/>
    <w:rsid w:val="00E94197"/>
    <w:rsid w:val="00E95833"/>
    <w:rsid w:val="00E95BA4"/>
    <w:rsid w:val="00E95BF6"/>
    <w:rsid w:val="00E95E2C"/>
    <w:rsid w:val="00E96E65"/>
    <w:rsid w:val="00E97638"/>
    <w:rsid w:val="00E9797F"/>
    <w:rsid w:val="00EA02DF"/>
    <w:rsid w:val="00EA058D"/>
    <w:rsid w:val="00EA1531"/>
    <w:rsid w:val="00EA23C5"/>
    <w:rsid w:val="00EA4989"/>
    <w:rsid w:val="00EA57B2"/>
    <w:rsid w:val="00EA59C8"/>
    <w:rsid w:val="00EA5B64"/>
    <w:rsid w:val="00EA5D0A"/>
    <w:rsid w:val="00EA5E20"/>
    <w:rsid w:val="00EA5EDA"/>
    <w:rsid w:val="00EA5FDA"/>
    <w:rsid w:val="00EA6713"/>
    <w:rsid w:val="00EA76B9"/>
    <w:rsid w:val="00EA7723"/>
    <w:rsid w:val="00EA7EC2"/>
    <w:rsid w:val="00EB04BB"/>
    <w:rsid w:val="00EB1668"/>
    <w:rsid w:val="00EB232F"/>
    <w:rsid w:val="00EB24A7"/>
    <w:rsid w:val="00EB27D3"/>
    <w:rsid w:val="00EB2A66"/>
    <w:rsid w:val="00EB2B35"/>
    <w:rsid w:val="00EB36C4"/>
    <w:rsid w:val="00EB412F"/>
    <w:rsid w:val="00EB4769"/>
    <w:rsid w:val="00EB5424"/>
    <w:rsid w:val="00EB597B"/>
    <w:rsid w:val="00EB5B4D"/>
    <w:rsid w:val="00EB5C4C"/>
    <w:rsid w:val="00EB5CF6"/>
    <w:rsid w:val="00EB6398"/>
    <w:rsid w:val="00EB6820"/>
    <w:rsid w:val="00EC110A"/>
    <w:rsid w:val="00EC17B0"/>
    <w:rsid w:val="00EC1B66"/>
    <w:rsid w:val="00EC1CA1"/>
    <w:rsid w:val="00EC1E7F"/>
    <w:rsid w:val="00EC1F5A"/>
    <w:rsid w:val="00EC258F"/>
    <w:rsid w:val="00EC2AA9"/>
    <w:rsid w:val="00EC36BA"/>
    <w:rsid w:val="00EC46D7"/>
    <w:rsid w:val="00EC4824"/>
    <w:rsid w:val="00EC4D94"/>
    <w:rsid w:val="00EC4F5B"/>
    <w:rsid w:val="00EC532A"/>
    <w:rsid w:val="00EC544E"/>
    <w:rsid w:val="00EC5689"/>
    <w:rsid w:val="00EC5BEA"/>
    <w:rsid w:val="00EC6242"/>
    <w:rsid w:val="00EC6BF9"/>
    <w:rsid w:val="00EC6DB0"/>
    <w:rsid w:val="00EC6EAC"/>
    <w:rsid w:val="00EC7B43"/>
    <w:rsid w:val="00EC7E87"/>
    <w:rsid w:val="00ED00EC"/>
    <w:rsid w:val="00ED0579"/>
    <w:rsid w:val="00ED0AC2"/>
    <w:rsid w:val="00ED0FBF"/>
    <w:rsid w:val="00ED12AE"/>
    <w:rsid w:val="00ED12B9"/>
    <w:rsid w:val="00ED12E1"/>
    <w:rsid w:val="00ED16E0"/>
    <w:rsid w:val="00ED2279"/>
    <w:rsid w:val="00ED22AC"/>
    <w:rsid w:val="00ED2399"/>
    <w:rsid w:val="00ED26C6"/>
    <w:rsid w:val="00ED310C"/>
    <w:rsid w:val="00ED3789"/>
    <w:rsid w:val="00ED52C5"/>
    <w:rsid w:val="00ED538C"/>
    <w:rsid w:val="00ED57BB"/>
    <w:rsid w:val="00ED5C6C"/>
    <w:rsid w:val="00ED5CEE"/>
    <w:rsid w:val="00ED60BF"/>
    <w:rsid w:val="00ED6824"/>
    <w:rsid w:val="00ED68B1"/>
    <w:rsid w:val="00ED6EA6"/>
    <w:rsid w:val="00ED6EED"/>
    <w:rsid w:val="00EE05D5"/>
    <w:rsid w:val="00EE0F5A"/>
    <w:rsid w:val="00EE13C5"/>
    <w:rsid w:val="00EE1477"/>
    <w:rsid w:val="00EE271B"/>
    <w:rsid w:val="00EE2857"/>
    <w:rsid w:val="00EE2CF0"/>
    <w:rsid w:val="00EE2EC9"/>
    <w:rsid w:val="00EE39F1"/>
    <w:rsid w:val="00EE4195"/>
    <w:rsid w:val="00EE460F"/>
    <w:rsid w:val="00EE4876"/>
    <w:rsid w:val="00EE4CC8"/>
    <w:rsid w:val="00EE68C7"/>
    <w:rsid w:val="00EE6F08"/>
    <w:rsid w:val="00EE76A8"/>
    <w:rsid w:val="00EE7A43"/>
    <w:rsid w:val="00EF0513"/>
    <w:rsid w:val="00EF0894"/>
    <w:rsid w:val="00EF1337"/>
    <w:rsid w:val="00EF1826"/>
    <w:rsid w:val="00EF1B84"/>
    <w:rsid w:val="00EF2435"/>
    <w:rsid w:val="00EF29B8"/>
    <w:rsid w:val="00EF29B9"/>
    <w:rsid w:val="00EF29CA"/>
    <w:rsid w:val="00EF3569"/>
    <w:rsid w:val="00EF3CD9"/>
    <w:rsid w:val="00EF42C7"/>
    <w:rsid w:val="00EF4774"/>
    <w:rsid w:val="00EF5875"/>
    <w:rsid w:val="00EF5A2B"/>
    <w:rsid w:val="00EF5A55"/>
    <w:rsid w:val="00EF6348"/>
    <w:rsid w:val="00EF6406"/>
    <w:rsid w:val="00EF692B"/>
    <w:rsid w:val="00EF6B19"/>
    <w:rsid w:val="00EF767C"/>
    <w:rsid w:val="00EF775A"/>
    <w:rsid w:val="00EF7B91"/>
    <w:rsid w:val="00EF7F40"/>
    <w:rsid w:val="00F000B9"/>
    <w:rsid w:val="00F0096D"/>
    <w:rsid w:val="00F01115"/>
    <w:rsid w:val="00F014D9"/>
    <w:rsid w:val="00F01AB3"/>
    <w:rsid w:val="00F01CB0"/>
    <w:rsid w:val="00F01D81"/>
    <w:rsid w:val="00F01F51"/>
    <w:rsid w:val="00F0273E"/>
    <w:rsid w:val="00F02833"/>
    <w:rsid w:val="00F02AB9"/>
    <w:rsid w:val="00F0349C"/>
    <w:rsid w:val="00F03599"/>
    <w:rsid w:val="00F03665"/>
    <w:rsid w:val="00F040A5"/>
    <w:rsid w:val="00F042BE"/>
    <w:rsid w:val="00F0461C"/>
    <w:rsid w:val="00F04F1C"/>
    <w:rsid w:val="00F050B1"/>
    <w:rsid w:val="00F058B9"/>
    <w:rsid w:val="00F05941"/>
    <w:rsid w:val="00F0598A"/>
    <w:rsid w:val="00F062B0"/>
    <w:rsid w:val="00F075A6"/>
    <w:rsid w:val="00F075BB"/>
    <w:rsid w:val="00F07B00"/>
    <w:rsid w:val="00F10112"/>
    <w:rsid w:val="00F104D0"/>
    <w:rsid w:val="00F10CFD"/>
    <w:rsid w:val="00F10D01"/>
    <w:rsid w:val="00F10E25"/>
    <w:rsid w:val="00F11025"/>
    <w:rsid w:val="00F110CF"/>
    <w:rsid w:val="00F11875"/>
    <w:rsid w:val="00F11C73"/>
    <w:rsid w:val="00F11D45"/>
    <w:rsid w:val="00F11F53"/>
    <w:rsid w:val="00F12414"/>
    <w:rsid w:val="00F12C42"/>
    <w:rsid w:val="00F12EC2"/>
    <w:rsid w:val="00F132EF"/>
    <w:rsid w:val="00F139E3"/>
    <w:rsid w:val="00F13F42"/>
    <w:rsid w:val="00F14137"/>
    <w:rsid w:val="00F141CB"/>
    <w:rsid w:val="00F14D73"/>
    <w:rsid w:val="00F158B8"/>
    <w:rsid w:val="00F15CDA"/>
    <w:rsid w:val="00F1615C"/>
    <w:rsid w:val="00F16703"/>
    <w:rsid w:val="00F1683A"/>
    <w:rsid w:val="00F16ACC"/>
    <w:rsid w:val="00F1703E"/>
    <w:rsid w:val="00F1717B"/>
    <w:rsid w:val="00F17CF2"/>
    <w:rsid w:val="00F201E6"/>
    <w:rsid w:val="00F20656"/>
    <w:rsid w:val="00F21125"/>
    <w:rsid w:val="00F219B8"/>
    <w:rsid w:val="00F21D3A"/>
    <w:rsid w:val="00F22A6E"/>
    <w:rsid w:val="00F22FC8"/>
    <w:rsid w:val="00F23024"/>
    <w:rsid w:val="00F23FE7"/>
    <w:rsid w:val="00F24536"/>
    <w:rsid w:val="00F25055"/>
    <w:rsid w:val="00F25AD6"/>
    <w:rsid w:val="00F25B38"/>
    <w:rsid w:val="00F25CBA"/>
    <w:rsid w:val="00F25F21"/>
    <w:rsid w:val="00F26522"/>
    <w:rsid w:val="00F265CB"/>
    <w:rsid w:val="00F269DE"/>
    <w:rsid w:val="00F26B87"/>
    <w:rsid w:val="00F2700D"/>
    <w:rsid w:val="00F278AD"/>
    <w:rsid w:val="00F279F2"/>
    <w:rsid w:val="00F27D82"/>
    <w:rsid w:val="00F3029D"/>
    <w:rsid w:val="00F303E5"/>
    <w:rsid w:val="00F3137A"/>
    <w:rsid w:val="00F321FA"/>
    <w:rsid w:val="00F32519"/>
    <w:rsid w:val="00F3302B"/>
    <w:rsid w:val="00F3333F"/>
    <w:rsid w:val="00F33858"/>
    <w:rsid w:val="00F33CE2"/>
    <w:rsid w:val="00F341AF"/>
    <w:rsid w:val="00F34CAD"/>
    <w:rsid w:val="00F3505F"/>
    <w:rsid w:val="00F353EE"/>
    <w:rsid w:val="00F3559B"/>
    <w:rsid w:val="00F3645D"/>
    <w:rsid w:val="00F36A9F"/>
    <w:rsid w:val="00F36CF5"/>
    <w:rsid w:val="00F37068"/>
    <w:rsid w:val="00F37A80"/>
    <w:rsid w:val="00F404E8"/>
    <w:rsid w:val="00F40DAE"/>
    <w:rsid w:val="00F412A1"/>
    <w:rsid w:val="00F422B8"/>
    <w:rsid w:val="00F427C9"/>
    <w:rsid w:val="00F42B3F"/>
    <w:rsid w:val="00F43200"/>
    <w:rsid w:val="00F43C73"/>
    <w:rsid w:val="00F440B6"/>
    <w:rsid w:val="00F443D9"/>
    <w:rsid w:val="00F450E1"/>
    <w:rsid w:val="00F4547D"/>
    <w:rsid w:val="00F45584"/>
    <w:rsid w:val="00F45F3F"/>
    <w:rsid w:val="00F46A5F"/>
    <w:rsid w:val="00F46A84"/>
    <w:rsid w:val="00F46B52"/>
    <w:rsid w:val="00F47A02"/>
    <w:rsid w:val="00F47E6B"/>
    <w:rsid w:val="00F5039D"/>
    <w:rsid w:val="00F515A2"/>
    <w:rsid w:val="00F51638"/>
    <w:rsid w:val="00F517DE"/>
    <w:rsid w:val="00F51FA8"/>
    <w:rsid w:val="00F5221B"/>
    <w:rsid w:val="00F52292"/>
    <w:rsid w:val="00F5271A"/>
    <w:rsid w:val="00F52AF8"/>
    <w:rsid w:val="00F533ED"/>
    <w:rsid w:val="00F54CE2"/>
    <w:rsid w:val="00F55399"/>
    <w:rsid w:val="00F5563F"/>
    <w:rsid w:val="00F55953"/>
    <w:rsid w:val="00F55BCA"/>
    <w:rsid w:val="00F55DAB"/>
    <w:rsid w:val="00F55F69"/>
    <w:rsid w:val="00F56301"/>
    <w:rsid w:val="00F568C7"/>
    <w:rsid w:val="00F56CDC"/>
    <w:rsid w:val="00F577D0"/>
    <w:rsid w:val="00F603A9"/>
    <w:rsid w:val="00F604C3"/>
    <w:rsid w:val="00F608CB"/>
    <w:rsid w:val="00F617F7"/>
    <w:rsid w:val="00F618BC"/>
    <w:rsid w:val="00F625B5"/>
    <w:rsid w:val="00F62ACC"/>
    <w:rsid w:val="00F63CC2"/>
    <w:rsid w:val="00F6488C"/>
    <w:rsid w:val="00F649C2"/>
    <w:rsid w:val="00F64A0B"/>
    <w:rsid w:val="00F65E77"/>
    <w:rsid w:val="00F661D5"/>
    <w:rsid w:val="00F665CB"/>
    <w:rsid w:val="00F666C8"/>
    <w:rsid w:val="00F67010"/>
    <w:rsid w:val="00F67A13"/>
    <w:rsid w:val="00F67DF9"/>
    <w:rsid w:val="00F70BAB"/>
    <w:rsid w:val="00F71A6D"/>
    <w:rsid w:val="00F71ECA"/>
    <w:rsid w:val="00F7218A"/>
    <w:rsid w:val="00F726F3"/>
    <w:rsid w:val="00F72A5B"/>
    <w:rsid w:val="00F72FE4"/>
    <w:rsid w:val="00F73470"/>
    <w:rsid w:val="00F74585"/>
    <w:rsid w:val="00F74DE3"/>
    <w:rsid w:val="00F74EB9"/>
    <w:rsid w:val="00F752D3"/>
    <w:rsid w:val="00F756A0"/>
    <w:rsid w:val="00F756FE"/>
    <w:rsid w:val="00F75E9B"/>
    <w:rsid w:val="00F7607A"/>
    <w:rsid w:val="00F77441"/>
    <w:rsid w:val="00F812C6"/>
    <w:rsid w:val="00F817EB"/>
    <w:rsid w:val="00F8220D"/>
    <w:rsid w:val="00F82723"/>
    <w:rsid w:val="00F83107"/>
    <w:rsid w:val="00F832AB"/>
    <w:rsid w:val="00F83945"/>
    <w:rsid w:val="00F83F16"/>
    <w:rsid w:val="00F84155"/>
    <w:rsid w:val="00F8471F"/>
    <w:rsid w:val="00F84A4C"/>
    <w:rsid w:val="00F84AEC"/>
    <w:rsid w:val="00F84B53"/>
    <w:rsid w:val="00F84B56"/>
    <w:rsid w:val="00F8523A"/>
    <w:rsid w:val="00F852F9"/>
    <w:rsid w:val="00F858FF"/>
    <w:rsid w:val="00F85F5D"/>
    <w:rsid w:val="00F86058"/>
    <w:rsid w:val="00F866FE"/>
    <w:rsid w:val="00F8749A"/>
    <w:rsid w:val="00F90908"/>
    <w:rsid w:val="00F90F83"/>
    <w:rsid w:val="00F90FF8"/>
    <w:rsid w:val="00F913A8"/>
    <w:rsid w:val="00F913F4"/>
    <w:rsid w:val="00F91EF2"/>
    <w:rsid w:val="00F92000"/>
    <w:rsid w:val="00F923A9"/>
    <w:rsid w:val="00F92CDA"/>
    <w:rsid w:val="00F93DF9"/>
    <w:rsid w:val="00F93F4C"/>
    <w:rsid w:val="00F9402D"/>
    <w:rsid w:val="00F94AD2"/>
    <w:rsid w:val="00F94CB2"/>
    <w:rsid w:val="00F94EBA"/>
    <w:rsid w:val="00F95B26"/>
    <w:rsid w:val="00F95CCE"/>
    <w:rsid w:val="00F95E9F"/>
    <w:rsid w:val="00F95F7C"/>
    <w:rsid w:val="00F96331"/>
    <w:rsid w:val="00F96B0D"/>
    <w:rsid w:val="00F96BEE"/>
    <w:rsid w:val="00F96F0F"/>
    <w:rsid w:val="00F977B6"/>
    <w:rsid w:val="00F97894"/>
    <w:rsid w:val="00F979C2"/>
    <w:rsid w:val="00FA04F4"/>
    <w:rsid w:val="00FA0B6A"/>
    <w:rsid w:val="00FA0CC5"/>
    <w:rsid w:val="00FA126B"/>
    <w:rsid w:val="00FA2CF7"/>
    <w:rsid w:val="00FA32E3"/>
    <w:rsid w:val="00FA355A"/>
    <w:rsid w:val="00FA4928"/>
    <w:rsid w:val="00FA4D8D"/>
    <w:rsid w:val="00FA5493"/>
    <w:rsid w:val="00FA5971"/>
    <w:rsid w:val="00FA5A15"/>
    <w:rsid w:val="00FA6A9C"/>
    <w:rsid w:val="00FA7114"/>
    <w:rsid w:val="00FA7F36"/>
    <w:rsid w:val="00FB0B71"/>
    <w:rsid w:val="00FB0D28"/>
    <w:rsid w:val="00FB166B"/>
    <w:rsid w:val="00FB1904"/>
    <w:rsid w:val="00FB3021"/>
    <w:rsid w:val="00FB36E6"/>
    <w:rsid w:val="00FB393D"/>
    <w:rsid w:val="00FB3AAB"/>
    <w:rsid w:val="00FB4D64"/>
    <w:rsid w:val="00FB5FD7"/>
    <w:rsid w:val="00FB67B1"/>
    <w:rsid w:val="00FB70F4"/>
    <w:rsid w:val="00FB74D2"/>
    <w:rsid w:val="00FB793A"/>
    <w:rsid w:val="00FB7A19"/>
    <w:rsid w:val="00FB7B02"/>
    <w:rsid w:val="00FC0BB3"/>
    <w:rsid w:val="00FC12D0"/>
    <w:rsid w:val="00FC1729"/>
    <w:rsid w:val="00FC1BD6"/>
    <w:rsid w:val="00FC2756"/>
    <w:rsid w:val="00FC2AB4"/>
    <w:rsid w:val="00FC3232"/>
    <w:rsid w:val="00FC365F"/>
    <w:rsid w:val="00FC4486"/>
    <w:rsid w:val="00FC49D2"/>
    <w:rsid w:val="00FC49F2"/>
    <w:rsid w:val="00FC4B4C"/>
    <w:rsid w:val="00FC50BA"/>
    <w:rsid w:val="00FC536B"/>
    <w:rsid w:val="00FC59B1"/>
    <w:rsid w:val="00FC59B4"/>
    <w:rsid w:val="00FC5BD9"/>
    <w:rsid w:val="00FC706D"/>
    <w:rsid w:val="00FC7A5F"/>
    <w:rsid w:val="00FD0F86"/>
    <w:rsid w:val="00FD17E6"/>
    <w:rsid w:val="00FD20AA"/>
    <w:rsid w:val="00FD2190"/>
    <w:rsid w:val="00FD2B80"/>
    <w:rsid w:val="00FD2D24"/>
    <w:rsid w:val="00FD3033"/>
    <w:rsid w:val="00FD369A"/>
    <w:rsid w:val="00FD39B2"/>
    <w:rsid w:val="00FD3C04"/>
    <w:rsid w:val="00FD446D"/>
    <w:rsid w:val="00FD4889"/>
    <w:rsid w:val="00FD5D36"/>
    <w:rsid w:val="00FD6895"/>
    <w:rsid w:val="00FD6CB5"/>
    <w:rsid w:val="00FD7426"/>
    <w:rsid w:val="00FD79D1"/>
    <w:rsid w:val="00FE0261"/>
    <w:rsid w:val="00FE02AB"/>
    <w:rsid w:val="00FE2D57"/>
    <w:rsid w:val="00FE3A65"/>
    <w:rsid w:val="00FE3D1E"/>
    <w:rsid w:val="00FE3E9A"/>
    <w:rsid w:val="00FE40E7"/>
    <w:rsid w:val="00FE4292"/>
    <w:rsid w:val="00FE4B9E"/>
    <w:rsid w:val="00FE4DCF"/>
    <w:rsid w:val="00FE4E43"/>
    <w:rsid w:val="00FE52DB"/>
    <w:rsid w:val="00FE58A1"/>
    <w:rsid w:val="00FE5A4F"/>
    <w:rsid w:val="00FE5DA3"/>
    <w:rsid w:val="00FE7055"/>
    <w:rsid w:val="00FE7293"/>
    <w:rsid w:val="00FE72BA"/>
    <w:rsid w:val="00FE7453"/>
    <w:rsid w:val="00FE75F9"/>
    <w:rsid w:val="00FE796B"/>
    <w:rsid w:val="00FF0301"/>
    <w:rsid w:val="00FF03FD"/>
    <w:rsid w:val="00FF13A2"/>
    <w:rsid w:val="00FF14BF"/>
    <w:rsid w:val="00FF183C"/>
    <w:rsid w:val="00FF19CE"/>
    <w:rsid w:val="00FF2191"/>
    <w:rsid w:val="00FF21DA"/>
    <w:rsid w:val="00FF2314"/>
    <w:rsid w:val="00FF2682"/>
    <w:rsid w:val="00FF342F"/>
    <w:rsid w:val="00FF3B43"/>
    <w:rsid w:val="00FF3EC5"/>
    <w:rsid w:val="00FF46A4"/>
    <w:rsid w:val="00FF4757"/>
    <w:rsid w:val="00FF4E3A"/>
    <w:rsid w:val="00FF5254"/>
    <w:rsid w:val="00FF5831"/>
    <w:rsid w:val="00FF60FD"/>
    <w:rsid w:val="00FF61BE"/>
    <w:rsid w:val="00FF648D"/>
    <w:rsid w:val="00FF67EE"/>
    <w:rsid w:val="00FF6EC7"/>
    <w:rsid w:val="00FF7185"/>
    <w:rsid w:val="00FF73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41A6902"/>
  <w15:docId w15:val="{9DA14CBD-BAE6-4C3F-AC71-E1E4DCAAB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C04"/>
    <w:pPr>
      <w:spacing w:after="240" w:line="360" w:lineRule="auto"/>
    </w:pPr>
    <w:rPr>
      <w:rFonts w:ascii="Arial" w:hAnsi="Arial"/>
      <w:sz w:val="24"/>
      <w:szCs w:val="22"/>
    </w:rPr>
  </w:style>
  <w:style w:type="paragraph" w:styleId="Heading1">
    <w:name w:val="heading 1"/>
    <w:basedOn w:val="Normal"/>
    <w:next w:val="Normal"/>
    <w:link w:val="Heading1Char"/>
    <w:autoRedefine/>
    <w:uiPriority w:val="9"/>
    <w:qFormat/>
    <w:rsid w:val="00D55500"/>
    <w:pPr>
      <w:keepNext/>
      <w:spacing w:before="240" w:after="60" w:line="480" w:lineRule="auto"/>
      <w:jc w:val="both"/>
      <w:outlineLvl w:val="0"/>
    </w:pPr>
    <w:rPr>
      <w:rFonts w:ascii="Times New Roman" w:eastAsia="Cambria" w:hAnsi="Times New Roman"/>
      <w:b/>
      <w:bCs/>
      <w:color w:val="000000" w:themeColor="text1"/>
      <w:kern w:val="32"/>
      <w:szCs w:val="24"/>
      <w:lang w:eastAsia="ja-JP"/>
    </w:rPr>
  </w:style>
  <w:style w:type="paragraph" w:styleId="Heading2">
    <w:name w:val="heading 2"/>
    <w:basedOn w:val="Normal"/>
    <w:next w:val="Normal"/>
    <w:link w:val="Heading2Char"/>
    <w:autoRedefine/>
    <w:uiPriority w:val="9"/>
    <w:qFormat/>
    <w:rsid w:val="00364EC8"/>
    <w:pPr>
      <w:keepNext/>
      <w:spacing w:before="240" w:after="60"/>
      <w:outlineLvl w:val="1"/>
    </w:pPr>
    <w:rPr>
      <w:rFonts w:ascii="Times New Roman" w:hAnsi="Times New Roman"/>
      <w:b/>
      <w:color w:val="000000" w:themeColor="text1"/>
      <w:szCs w:val="24"/>
    </w:rPr>
  </w:style>
  <w:style w:type="paragraph" w:styleId="Heading3">
    <w:name w:val="heading 3"/>
    <w:basedOn w:val="Heading1"/>
    <w:next w:val="Normal"/>
    <w:link w:val="Heading3Char"/>
    <w:autoRedefine/>
    <w:uiPriority w:val="9"/>
    <w:qFormat/>
    <w:rsid w:val="00DF5C01"/>
    <w:pPr>
      <w:outlineLvl w:val="2"/>
    </w:pPr>
    <w:rPr>
      <w:lang w:val="en-US"/>
    </w:rPr>
  </w:style>
  <w:style w:type="paragraph" w:styleId="Heading4">
    <w:name w:val="heading 4"/>
    <w:basedOn w:val="Heading2"/>
    <w:next w:val="Normal"/>
    <w:link w:val="Heading4Char"/>
    <w:uiPriority w:val="9"/>
    <w:unhideWhenUsed/>
    <w:qFormat/>
    <w:rsid w:val="00364EC8"/>
    <w:pPr>
      <w:outlineLvl w:val="3"/>
    </w:pPr>
  </w:style>
  <w:style w:type="paragraph" w:styleId="Heading5">
    <w:name w:val="heading 5"/>
    <w:basedOn w:val="Normal"/>
    <w:next w:val="Normal"/>
    <w:link w:val="Heading5Char"/>
    <w:autoRedefine/>
    <w:uiPriority w:val="9"/>
    <w:qFormat/>
    <w:rsid w:val="00E91519"/>
    <w:pPr>
      <w:spacing w:before="240" w:after="60"/>
      <w:outlineLvl w:val="4"/>
    </w:pPr>
    <w:rPr>
      <w:b/>
      <w:bCs/>
      <w:i/>
      <w:iCs/>
      <w:szCs w:val="26"/>
    </w:rPr>
  </w:style>
  <w:style w:type="paragraph" w:styleId="Heading6">
    <w:name w:val="heading 6"/>
    <w:basedOn w:val="Normal"/>
    <w:next w:val="Normal"/>
    <w:link w:val="Heading6Char"/>
    <w:uiPriority w:val="9"/>
    <w:unhideWhenUsed/>
    <w:qFormat/>
    <w:rsid w:val="004D5736"/>
    <w:pPr>
      <w:keepNext/>
      <w:keepLines/>
      <w:spacing w:before="40" w:after="0" w:line="240" w:lineRule="auto"/>
      <w:ind w:left="1152" w:hanging="1152"/>
      <w:outlineLvl w:val="5"/>
    </w:pPr>
    <w:rPr>
      <w:rFonts w:asciiTheme="majorHAnsi" w:eastAsiaTheme="majorEastAsia" w:hAnsiTheme="majorHAnsi" w:cstheme="majorBidi"/>
      <w:color w:val="1F4D78" w:themeColor="accent1" w:themeShade="7F"/>
      <w:sz w:val="22"/>
      <w:lang w:eastAsia="ja-JP"/>
    </w:rPr>
  </w:style>
  <w:style w:type="paragraph" w:styleId="Heading7">
    <w:name w:val="heading 7"/>
    <w:basedOn w:val="Normal"/>
    <w:next w:val="Normal"/>
    <w:link w:val="Heading7Char"/>
    <w:uiPriority w:val="9"/>
    <w:unhideWhenUsed/>
    <w:qFormat/>
    <w:rsid w:val="004D5736"/>
    <w:pPr>
      <w:keepNext/>
      <w:keepLines/>
      <w:spacing w:before="40" w:after="0" w:line="240" w:lineRule="auto"/>
      <w:ind w:left="1296" w:hanging="1296"/>
      <w:outlineLvl w:val="6"/>
    </w:pPr>
    <w:rPr>
      <w:rFonts w:asciiTheme="majorHAnsi" w:eastAsiaTheme="majorEastAsia" w:hAnsiTheme="majorHAnsi" w:cstheme="majorBidi"/>
      <w:i/>
      <w:iCs/>
      <w:color w:val="1F4D78" w:themeColor="accent1" w:themeShade="7F"/>
      <w:sz w:val="22"/>
      <w:lang w:eastAsia="ja-JP"/>
    </w:rPr>
  </w:style>
  <w:style w:type="paragraph" w:styleId="Heading8">
    <w:name w:val="heading 8"/>
    <w:basedOn w:val="Normal"/>
    <w:next w:val="Normal"/>
    <w:link w:val="Heading8Char"/>
    <w:uiPriority w:val="9"/>
    <w:unhideWhenUsed/>
    <w:qFormat/>
    <w:rsid w:val="004D573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D5736"/>
    <w:pPr>
      <w:keepNext/>
      <w:keepLines/>
      <w:spacing w:before="40" w:after="0" w:line="240" w:lineRule="auto"/>
      <w:ind w:left="1584" w:hanging="1584"/>
      <w:outlineLvl w:val="8"/>
    </w:pPr>
    <w:rPr>
      <w:rFonts w:asciiTheme="majorHAnsi" w:eastAsiaTheme="majorEastAsia" w:hAnsiTheme="majorHAnsi" w:cstheme="majorBidi"/>
      <w:i/>
      <w:iCs/>
      <w:color w:val="272727" w:themeColor="text1" w:themeTint="D8"/>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10"/>
    <w:qFormat/>
    <w:rsid w:val="005725E4"/>
    <w:pPr>
      <w:jc w:val="center"/>
    </w:pPr>
    <w:rPr>
      <w:b/>
      <w:sz w:val="32"/>
      <w:szCs w:val="32"/>
    </w:rPr>
  </w:style>
  <w:style w:type="character" w:customStyle="1" w:styleId="TitleChar">
    <w:name w:val="Title Char"/>
    <w:basedOn w:val="DefaultParagraphFont"/>
    <w:link w:val="Title"/>
    <w:uiPriority w:val="10"/>
    <w:rsid w:val="005725E4"/>
    <w:rPr>
      <w:rFonts w:ascii="Arial" w:hAnsi="Arial"/>
      <w:b/>
      <w:sz w:val="32"/>
      <w:szCs w:val="32"/>
    </w:rPr>
  </w:style>
  <w:style w:type="paragraph" w:styleId="Subtitle">
    <w:name w:val="Subtitle"/>
    <w:basedOn w:val="Normal"/>
    <w:next w:val="Normal"/>
    <w:link w:val="SubtitleChar"/>
    <w:autoRedefine/>
    <w:uiPriority w:val="11"/>
    <w:qFormat/>
    <w:rsid w:val="007C0CE6"/>
    <w:pPr>
      <w:numPr>
        <w:ilvl w:val="1"/>
      </w:numPr>
      <w:spacing w:after="160"/>
    </w:pPr>
    <w:rPr>
      <w:rFonts w:eastAsiaTheme="minorEastAsia" w:cstheme="minorBidi"/>
      <w:color w:val="1F4E79" w:themeColor="accent1" w:themeShade="80"/>
      <w:spacing w:val="15"/>
      <w:sz w:val="25"/>
    </w:rPr>
  </w:style>
  <w:style w:type="character" w:customStyle="1" w:styleId="SubtitleChar">
    <w:name w:val="Subtitle Char"/>
    <w:basedOn w:val="DefaultParagraphFont"/>
    <w:link w:val="Subtitle"/>
    <w:uiPriority w:val="11"/>
    <w:rsid w:val="007C0CE6"/>
    <w:rPr>
      <w:rFonts w:ascii="Arial" w:eastAsiaTheme="minorEastAsia" w:hAnsi="Arial" w:cstheme="minorBidi"/>
      <w:color w:val="1F4E79" w:themeColor="accent1" w:themeShade="80"/>
      <w:spacing w:val="15"/>
      <w:sz w:val="25"/>
      <w:szCs w:val="22"/>
    </w:rPr>
  </w:style>
  <w:style w:type="character" w:styleId="SubtleEmphasis">
    <w:name w:val="Subtle Emphasis"/>
    <w:basedOn w:val="DefaultParagraphFont"/>
    <w:uiPriority w:val="19"/>
    <w:qFormat/>
    <w:rsid w:val="00071EA0"/>
    <w:rPr>
      <w:rFonts w:ascii="Arial Rounded MT Bold" w:hAnsi="Arial Rounded MT Bold"/>
      <w:i w:val="0"/>
      <w:iCs/>
      <w:color w:val="1F4E79" w:themeColor="accent1" w:themeShade="80"/>
      <w:sz w:val="25"/>
    </w:rPr>
  </w:style>
  <w:style w:type="paragraph" w:styleId="BalloonText">
    <w:name w:val="Balloon Text"/>
    <w:basedOn w:val="Normal"/>
    <w:link w:val="BalloonTextChar"/>
    <w:uiPriority w:val="99"/>
    <w:semiHidden/>
    <w:unhideWhenUsed/>
    <w:rsid w:val="0091330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3307"/>
    <w:rPr>
      <w:rFonts w:ascii="Segoe UI" w:hAnsi="Segoe UI" w:cs="Segoe UI"/>
      <w:sz w:val="18"/>
      <w:szCs w:val="18"/>
    </w:rPr>
  </w:style>
  <w:style w:type="paragraph" w:styleId="Header">
    <w:name w:val="header"/>
    <w:basedOn w:val="Normal"/>
    <w:link w:val="HeaderChar"/>
    <w:uiPriority w:val="99"/>
    <w:unhideWhenUsed/>
    <w:rsid w:val="00286FC5"/>
    <w:pPr>
      <w:tabs>
        <w:tab w:val="center" w:pos="4320"/>
        <w:tab w:val="right" w:pos="8640"/>
      </w:tabs>
    </w:pPr>
  </w:style>
  <w:style w:type="character" w:customStyle="1" w:styleId="HeaderChar">
    <w:name w:val="Header Char"/>
    <w:basedOn w:val="DefaultParagraphFont"/>
    <w:link w:val="Header"/>
    <w:uiPriority w:val="99"/>
    <w:rsid w:val="00286FC5"/>
    <w:rPr>
      <w:rFonts w:ascii="Arial" w:hAnsi="Arial"/>
      <w:sz w:val="22"/>
      <w:szCs w:val="22"/>
    </w:rPr>
  </w:style>
  <w:style w:type="paragraph" w:styleId="Footer">
    <w:name w:val="footer"/>
    <w:basedOn w:val="Normal"/>
    <w:link w:val="FooterChar"/>
    <w:uiPriority w:val="99"/>
    <w:unhideWhenUsed/>
    <w:rsid w:val="00286FC5"/>
    <w:pPr>
      <w:tabs>
        <w:tab w:val="center" w:pos="4320"/>
        <w:tab w:val="right" w:pos="8640"/>
      </w:tabs>
    </w:pPr>
  </w:style>
  <w:style w:type="character" w:customStyle="1" w:styleId="FooterChar">
    <w:name w:val="Footer Char"/>
    <w:basedOn w:val="DefaultParagraphFont"/>
    <w:link w:val="Footer"/>
    <w:uiPriority w:val="99"/>
    <w:rsid w:val="00286FC5"/>
    <w:rPr>
      <w:rFonts w:ascii="Arial" w:hAnsi="Arial"/>
      <w:sz w:val="22"/>
      <w:szCs w:val="22"/>
    </w:rPr>
  </w:style>
  <w:style w:type="paragraph" w:styleId="Caption">
    <w:name w:val="caption"/>
    <w:basedOn w:val="Normal"/>
    <w:next w:val="Normal"/>
    <w:uiPriority w:val="35"/>
    <w:unhideWhenUsed/>
    <w:qFormat/>
    <w:rsid w:val="004325DE"/>
    <w:pPr>
      <w:spacing w:after="200" w:line="240" w:lineRule="auto"/>
      <w:jc w:val="center"/>
    </w:pPr>
    <w:rPr>
      <w:iCs/>
      <w:sz w:val="18"/>
      <w:szCs w:val="18"/>
    </w:rPr>
  </w:style>
  <w:style w:type="paragraph" w:styleId="ListParagraph">
    <w:name w:val="List Paragraph"/>
    <w:basedOn w:val="Normal"/>
    <w:uiPriority w:val="34"/>
    <w:qFormat/>
    <w:rsid w:val="0053766A"/>
    <w:pPr>
      <w:ind w:left="720"/>
      <w:contextualSpacing/>
    </w:pPr>
  </w:style>
  <w:style w:type="paragraph" w:styleId="FootnoteText">
    <w:name w:val="footnote text"/>
    <w:basedOn w:val="Normal"/>
    <w:link w:val="FootnoteTextChar"/>
    <w:uiPriority w:val="99"/>
    <w:unhideWhenUsed/>
    <w:rsid w:val="00F32519"/>
    <w:pPr>
      <w:spacing w:after="0" w:line="240" w:lineRule="auto"/>
    </w:pPr>
    <w:rPr>
      <w:sz w:val="20"/>
      <w:szCs w:val="20"/>
    </w:rPr>
  </w:style>
  <w:style w:type="character" w:customStyle="1" w:styleId="FootnoteTextChar">
    <w:name w:val="Footnote Text Char"/>
    <w:basedOn w:val="DefaultParagraphFont"/>
    <w:link w:val="FootnoteText"/>
    <w:uiPriority w:val="99"/>
    <w:rsid w:val="00F32519"/>
    <w:rPr>
      <w:rFonts w:ascii="Arial" w:hAnsi="Arial"/>
    </w:rPr>
  </w:style>
  <w:style w:type="character" w:styleId="FootnoteReference">
    <w:name w:val="footnote reference"/>
    <w:basedOn w:val="DefaultParagraphFont"/>
    <w:uiPriority w:val="99"/>
    <w:unhideWhenUsed/>
    <w:rsid w:val="00F32519"/>
    <w:rPr>
      <w:vertAlign w:val="superscript"/>
    </w:rPr>
  </w:style>
  <w:style w:type="character" w:styleId="Hyperlink">
    <w:name w:val="Hyperlink"/>
    <w:basedOn w:val="DefaultParagraphFont"/>
    <w:uiPriority w:val="99"/>
    <w:unhideWhenUsed/>
    <w:rsid w:val="0045570C"/>
    <w:rPr>
      <w:color w:val="0563C1" w:themeColor="hyperlink"/>
      <w:u w:val="single"/>
    </w:rPr>
  </w:style>
  <w:style w:type="paragraph" w:styleId="PlainText">
    <w:name w:val="Plain Text"/>
    <w:basedOn w:val="Normal"/>
    <w:link w:val="PlainTextChar"/>
    <w:uiPriority w:val="99"/>
    <w:semiHidden/>
    <w:unhideWhenUsed/>
    <w:rsid w:val="008F01C7"/>
    <w:pPr>
      <w:spacing w:after="0" w:line="240" w:lineRule="auto"/>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8F01C7"/>
    <w:rPr>
      <w:rFonts w:ascii="Calibri" w:eastAsiaTheme="minorHAnsi" w:hAnsi="Calibri" w:cstheme="minorBidi"/>
      <w:sz w:val="22"/>
      <w:szCs w:val="21"/>
      <w:lang w:eastAsia="en-US"/>
    </w:rPr>
  </w:style>
  <w:style w:type="paragraph" w:styleId="Quote">
    <w:name w:val="Quote"/>
    <w:basedOn w:val="Normal"/>
    <w:next w:val="Normal"/>
    <w:link w:val="QuoteChar"/>
    <w:uiPriority w:val="29"/>
    <w:qFormat/>
    <w:rsid w:val="003B1EC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B1EC1"/>
    <w:rPr>
      <w:rFonts w:ascii="Arial" w:hAnsi="Arial"/>
      <w:i/>
      <w:iCs/>
      <w:color w:val="404040" w:themeColor="text1" w:themeTint="BF"/>
      <w:sz w:val="24"/>
      <w:szCs w:val="22"/>
    </w:rPr>
  </w:style>
  <w:style w:type="paragraph" w:styleId="NormalWeb">
    <w:name w:val="Normal (Web)"/>
    <w:basedOn w:val="Normal"/>
    <w:uiPriority w:val="99"/>
    <w:semiHidden/>
    <w:unhideWhenUsed/>
    <w:rsid w:val="00772CFF"/>
    <w:pPr>
      <w:spacing w:before="100" w:beforeAutospacing="1" w:after="100" w:afterAutospacing="1" w:line="240" w:lineRule="auto"/>
    </w:pPr>
    <w:rPr>
      <w:rFonts w:ascii="Times" w:hAnsi="Times"/>
      <w:sz w:val="20"/>
      <w:szCs w:val="20"/>
      <w:lang w:eastAsia="en-US"/>
    </w:rPr>
  </w:style>
  <w:style w:type="character" w:styleId="Emphasis">
    <w:name w:val="Emphasis"/>
    <w:basedOn w:val="DefaultParagraphFont"/>
    <w:uiPriority w:val="20"/>
    <w:qFormat/>
    <w:rsid w:val="00772CFF"/>
    <w:rPr>
      <w:i/>
      <w:iCs/>
    </w:rPr>
  </w:style>
  <w:style w:type="paragraph" w:styleId="TOCHeading">
    <w:name w:val="TOC Heading"/>
    <w:basedOn w:val="Heading1"/>
    <w:next w:val="Normal"/>
    <w:uiPriority w:val="39"/>
    <w:unhideWhenUsed/>
    <w:qFormat/>
    <w:rsid w:val="00772CFF"/>
    <w:pPr>
      <w:keepLines/>
      <w:spacing w:after="0" w:line="259" w:lineRule="auto"/>
      <w:outlineLvl w:val="9"/>
    </w:pPr>
    <w:rPr>
      <w:rFonts w:asciiTheme="majorHAnsi" w:eastAsiaTheme="majorEastAsia" w:hAnsiTheme="majorHAnsi" w:cstheme="majorBidi"/>
      <w:b w:val="0"/>
      <w:bCs w:val="0"/>
      <w:color w:val="2E74B5" w:themeColor="accent1" w:themeShade="BF"/>
      <w:kern w:val="0"/>
      <w:sz w:val="32"/>
      <w:lang w:val="en-US" w:eastAsia="en-US"/>
    </w:rPr>
  </w:style>
  <w:style w:type="paragraph" w:styleId="TOC1">
    <w:name w:val="toc 1"/>
    <w:basedOn w:val="Normal"/>
    <w:next w:val="Normal"/>
    <w:autoRedefine/>
    <w:uiPriority w:val="39"/>
    <w:unhideWhenUsed/>
    <w:rsid w:val="00772CFF"/>
    <w:pPr>
      <w:spacing w:before="120" w:after="0"/>
    </w:pPr>
    <w:rPr>
      <w:rFonts w:asciiTheme="minorHAnsi" w:hAnsiTheme="minorHAnsi"/>
      <w:b/>
      <w:szCs w:val="24"/>
    </w:rPr>
  </w:style>
  <w:style w:type="character" w:customStyle="1" w:styleId="occurrence">
    <w:name w:val="occurrence"/>
    <w:basedOn w:val="DefaultParagraphFont"/>
    <w:rsid w:val="00772CFF"/>
  </w:style>
  <w:style w:type="paragraph" w:customStyle="1" w:styleId="Heading41">
    <w:name w:val="Heading 41"/>
    <w:basedOn w:val="Normal"/>
    <w:next w:val="Normal"/>
    <w:uiPriority w:val="9"/>
    <w:unhideWhenUsed/>
    <w:qFormat/>
    <w:rsid w:val="006E622A"/>
    <w:pPr>
      <w:keepNext/>
      <w:keepLines/>
      <w:spacing w:before="40" w:after="0" w:line="240" w:lineRule="auto"/>
      <w:outlineLvl w:val="3"/>
    </w:pPr>
    <w:rPr>
      <w:rFonts w:ascii="Calibri" w:eastAsia="MS Gothic" w:hAnsi="Calibri"/>
      <w:i/>
      <w:iCs/>
      <w:color w:val="365F91"/>
      <w:sz w:val="22"/>
      <w:lang w:eastAsia="ja-JP"/>
    </w:rPr>
  </w:style>
  <w:style w:type="numbering" w:customStyle="1" w:styleId="NoList1">
    <w:name w:val="No List1"/>
    <w:next w:val="NoList"/>
    <w:uiPriority w:val="99"/>
    <w:semiHidden/>
    <w:unhideWhenUsed/>
    <w:rsid w:val="006E622A"/>
  </w:style>
  <w:style w:type="paragraph" w:customStyle="1" w:styleId="NoSpacing1">
    <w:name w:val="No Spacing1"/>
    <w:next w:val="NoSpacing"/>
    <w:uiPriority w:val="1"/>
    <w:qFormat/>
    <w:rsid w:val="006E622A"/>
    <w:rPr>
      <w:rFonts w:eastAsia="Cambria"/>
      <w:sz w:val="22"/>
      <w:szCs w:val="22"/>
      <w:lang w:eastAsia="ja-JP"/>
    </w:rPr>
  </w:style>
  <w:style w:type="character" w:customStyle="1" w:styleId="Heading1Char">
    <w:name w:val="Heading 1 Char"/>
    <w:basedOn w:val="DefaultParagraphFont"/>
    <w:link w:val="Heading1"/>
    <w:uiPriority w:val="9"/>
    <w:rsid w:val="00D55500"/>
    <w:rPr>
      <w:rFonts w:eastAsia="Cambria"/>
      <w:b/>
      <w:bCs/>
      <w:color w:val="000000" w:themeColor="text1"/>
      <w:kern w:val="32"/>
      <w:sz w:val="24"/>
      <w:szCs w:val="24"/>
      <w:lang w:eastAsia="ja-JP"/>
    </w:rPr>
  </w:style>
  <w:style w:type="character" w:customStyle="1" w:styleId="Heading2Char">
    <w:name w:val="Heading 2 Char"/>
    <w:basedOn w:val="DefaultParagraphFont"/>
    <w:link w:val="Heading2"/>
    <w:uiPriority w:val="9"/>
    <w:rsid w:val="00364EC8"/>
    <w:rPr>
      <w:b/>
      <w:color w:val="000000" w:themeColor="text1"/>
      <w:sz w:val="24"/>
      <w:szCs w:val="24"/>
    </w:rPr>
  </w:style>
  <w:style w:type="character" w:customStyle="1" w:styleId="Heading3Char">
    <w:name w:val="Heading 3 Char"/>
    <w:basedOn w:val="DefaultParagraphFont"/>
    <w:link w:val="Heading3"/>
    <w:uiPriority w:val="9"/>
    <w:rsid w:val="00DF5C01"/>
    <w:rPr>
      <w:rFonts w:eastAsia="Cambria"/>
      <w:b/>
      <w:bCs/>
      <w:color w:val="000000" w:themeColor="text1"/>
      <w:kern w:val="32"/>
      <w:sz w:val="24"/>
      <w:szCs w:val="24"/>
      <w:lang w:val="en-US" w:eastAsia="ja-JP"/>
    </w:rPr>
  </w:style>
  <w:style w:type="character" w:customStyle="1" w:styleId="Heading4Char">
    <w:name w:val="Heading 4 Char"/>
    <w:basedOn w:val="DefaultParagraphFont"/>
    <w:link w:val="Heading4"/>
    <w:uiPriority w:val="9"/>
    <w:rsid w:val="00364EC8"/>
    <w:rPr>
      <w:b/>
      <w:color w:val="000000" w:themeColor="text1"/>
      <w:sz w:val="24"/>
      <w:szCs w:val="24"/>
    </w:rPr>
  </w:style>
  <w:style w:type="paragraph" w:customStyle="1" w:styleId="IntenseQuote1">
    <w:name w:val="Intense Quote1"/>
    <w:basedOn w:val="Normal"/>
    <w:next w:val="Normal"/>
    <w:uiPriority w:val="30"/>
    <w:qFormat/>
    <w:rsid w:val="006E622A"/>
    <w:pPr>
      <w:pBdr>
        <w:top w:val="single" w:sz="4" w:space="10" w:color="4F81BD"/>
        <w:bottom w:val="single" w:sz="4" w:space="10" w:color="4F81BD"/>
      </w:pBdr>
      <w:spacing w:before="360" w:after="360" w:line="240" w:lineRule="auto"/>
      <w:ind w:left="864" w:right="864"/>
      <w:jc w:val="center"/>
    </w:pPr>
    <w:rPr>
      <w:rFonts w:ascii="Times New Roman" w:eastAsia="Cambria" w:hAnsi="Times New Roman"/>
      <w:i/>
      <w:iCs/>
      <w:color w:val="4F81BD"/>
      <w:sz w:val="22"/>
      <w:lang w:eastAsia="ja-JP"/>
    </w:rPr>
  </w:style>
  <w:style w:type="character" w:customStyle="1" w:styleId="IntenseQuoteChar">
    <w:name w:val="Intense Quote Char"/>
    <w:basedOn w:val="DefaultParagraphFont"/>
    <w:link w:val="IntenseQuote"/>
    <w:uiPriority w:val="30"/>
    <w:rsid w:val="006E622A"/>
    <w:rPr>
      <w:rFonts w:eastAsia="Cambria"/>
      <w:i/>
      <w:iCs/>
      <w:color w:val="4F81BD"/>
      <w:sz w:val="22"/>
      <w:szCs w:val="22"/>
      <w:lang w:val="en-GB"/>
    </w:rPr>
  </w:style>
  <w:style w:type="paragraph" w:styleId="NoSpacing">
    <w:name w:val="No Spacing"/>
    <w:uiPriority w:val="1"/>
    <w:qFormat/>
    <w:rsid w:val="006E622A"/>
    <w:rPr>
      <w:rFonts w:ascii="Arial" w:hAnsi="Arial"/>
      <w:sz w:val="24"/>
      <w:szCs w:val="22"/>
    </w:rPr>
  </w:style>
  <w:style w:type="character" w:customStyle="1" w:styleId="Heading4Char1">
    <w:name w:val="Heading 4 Char1"/>
    <w:basedOn w:val="DefaultParagraphFont"/>
    <w:uiPriority w:val="9"/>
    <w:semiHidden/>
    <w:rsid w:val="006E622A"/>
    <w:rPr>
      <w:rFonts w:asciiTheme="majorHAnsi" w:eastAsiaTheme="majorEastAsia" w:hAnsiTheme="majorHAnsi" w:cstheme="majorBidi"/>
      <w:i/>
      <w:iCs/>
      <w:color w:val="2E74B5" w:themeColor="accent1" w:themeShade="BF"/>
      <w:sz w:val="24"/>
      <w:szCs w:val="22"/>
    </w:rPr>
  </w:style>
  <w:style w:type="paragraph" w:styleId="IntenseQuote">
    <w:name w:val="Intense Quote"/>
    <w:basedOn w:val="Normal"/>
    <w:next w:val="Normal"/>
    <w:link w:val="IntenseQuoteChar"/>
    <w:uiPriority w:val="30"/>
    <w:qFormat/>
    <w:rsid w:val="006E622A"/>
    <w:pPr>
      <w:pBdr>
        <w:top w:val="single" w:sz="4" w:space="10" w:color="5B9BD5" w:themeColor="accent1"/>
        <w:bottom w:val="single" w:sz="4" w:space="10" w:color="5B9BD5" w:themeColor="accent1"/>
      </w:pBdr>
      <w:spacing w:before="360" w:after="360"/>
      <w:ind w:left="864" w:right="864"/>
      <w:jc w:val="center"/>
    </w:pPr>
    <w:rPr>
      <w:rFonts w:ascii="Times New Roman" w:eastAsia="Cambria" w:hAnsi="Times New Roman"/>
      <w:i/>
      <w:iCs/>
      <w:color w:val="4F81BD"/>
      <w:sz w:val="22"/>
    </w:rPr>
  </w:style>
  <w:style w:type="character" w:customStyle="1" w:styleId="IntenseQuoteChar1">
    <w:name w:val="Intense Quote Char1"/>
    <w:basedOn w:val="DefaultParagraphFont"/>
    <w:uiPriority w:val="30"/>
    <w:rsid w:val="006E622A"/>
    <w:rPr>
      <w:rFonts w:ascii="Arial" w:hAnsi="Arial"/>
      <w:i/>
      <w:iCs/>
      <w:color w:val="5B9BD5" w:themeColor="accent1"/>
      <w:sz w:val="24"/>
      <w:szCs w:val="22"/>
    </w:rPr>
  </w:style>
  <w:style w:type="character" w:customStyle="1" w:styleId="Heading8Char">
    <w:name w:val="Heading 8 Char"/>
    <w:basedOn w:val="DefaultParagraphFont"/>
    <w:link w:val="Heading8"/>
    <w:uiPriority w:val="9"/>
    <w:rsid w:val="004D5736"/>
    <w:rPr>
      <w:rFonts w:asciiTheme="majorHAnsi" w:eastAsiaTheme="majorEastAsia" w:hAnsiTheme="majorHAnsi" w:cstheme="majorBidi"/>
      <w:color w:val="272727" w:themeColor="text1" w:themeTint="D8"/>
      <w:sz w:val="21"/>
      <w:szCs w:val="21"/>
    </w:rPr>
  </w:style>
  <w:style w:type="character" w:customStyle="1" w:styleId="Heading6Char">
    <w:name w:val="Heading 6 Char"/>
    <w:basedOn w:val="DefaultParagraphFont"/>
    <w:link w:val="Heading6"/>
    <w:uiPriority w:val="9"/>
    <w:rsid w:val="004D5736"/>
    <w:rPr>
      <w:rFonts w:asciiTheme="majorHAnsi" w:eastAsiaTheme="majorEastAsia" w:hAnsiTheme="majorHAnsi" w:cstheme="majorBidi"/>
      <w:color w:val="1F4D78" w:themeColor="accent1" w:themeShade="7F"/>
      <w:sz w:val="22"/>
      <w:szCs w:val="22"/>
      <w:lang w:eastAsia="ja-JP"/>
    </w:rPr>
  </w:style>
  <w:style w:type="character" w:customStyle="1" w:styleId="Heading7Char">
    <w:name w:val="Heading 7 Char"/>
    <w:basedOn w:val="DefaultParagraphFont"/>
    <w:link w:val="Heading7"/>
    <w:uiPriority w:val="9"/>
    <w:rsid w:val="004D5736"/>
    <w:rPr>
      <w:rFonts w:asciiTheme="majorHAnsi" w:eastAsiaTheme="majorEastAsia" w:hAnsiTheme="majorHAnsi" w:cstheme="majorBidi"/>
      <w:i/>
      <w:iCs/>
      <w:color w:val="1F4D78" w:themeColor="accent1" w:themeShade="7F"/>
      <w:sz w:val="22"/>
      <w:szCs w:val="22"/>
      <w:lang w:eastAsia="ja-JP"/>
    </w:rPr>
  </w:style>
  <w:style w:type="character" w:customStyle="1" w:styleId="Heading9Char">
    <w:name w:val="Heading 9 Char"/>
    <w:basedOn w:val="DefaultParagraphFont"/>
    <w:link w:val="Heading9"/>
    <w:uiPriority w:val="9"/>
    <w:semiHidden/>
    <w:rsid w:val="004D5736"/>
    <w:rPr>
      <w:rFonts w:asciiTheme="majorHAnsi" w:eastAsiaTheme="majorEastAsia" w:hAnsiTheme="majorHAnsi" w:cstheme="majorBidi"/>
      <w:i/>
      <w:iCs/>
      <w:color w:val="272727" w:themeColor="text1" w:themeTint="D8"/>
      <w:sz w:val="21"/>
      <w:szCs w:val="21"/>
      <w:lang w:eastAsia="ja-JP"/>
    </w:rPr>
  </w:style>
  <w:style w:type="paragraph" w:styleId="EndnoteText">
    <w:name w:val="endnote text"/>
    <w:basedOn w:val="Normal"/>
    <w:link w:val="EndnoteTextChar"/>
    <w:uiPriority w:val="99"/>
    <w:unhideWhenUsed/>
    <w:rsid w:val="004D5736"/>
    <w:pPr>
      <w:spacing w:after="0" w:line="240" w:lineRule="auto"/>
    </w:pPr>
    <w:rPr>
      <w:rFonts w:ascii="Times New Roman" w:eastAsiaTheme="minorHAnsi" w:hAnsi="Times New Roman"/>
      <w:szCs w:val="24"/>
      <w:lang w:eastAsia="ja-JP"/>
    </w:rPr>
  </w:style>
  <w:style w:type="character" w:customStyle="1" w:styleId="EndnoteTextChar">
    <w:name w:val="Endnote Text Char"/>
    <w:basedOn w:val="DefaultParagraphFont"/>
    <w:link w:val="EndnoteText"/>
    <w:uiPriority w:val="99"/>
    <w:rsid w:val="004D5736"/>
    <w:rPr>
      <w:rFonts w:eastAsiaTheme="minorHAnsi"/>
      <w:sz w:val="24"/>
      <w:szCs w:val="24"/>
      <w:lang w:eastAsia="ja-JP"/>
    </w:rPr>
  </w:style>
  <w:style w:type="character" w:styleId="EndnoteReference">
    <w:name w:val="endnote reference"/>
    <w:basedOn w:val="DefaultParagraphFont"/>
    <w:uiPriority w:val="99"/>
    <w:unhideWhenUsed/>
    <w:rsid w:val="004D5736"/>
    <w:rPr>
      <w:vertAlign w:val="superscript"/>
    </w:rPr>
  </w:style>
  <w:style w:type="character" w:styleId="CommentReference">
    <w:name w:val="annotation reference"/>
    <w:basedOn w:val="DefaultParagraphFont"/>
    <w:uiPriority w:val="99"/>
    <w:semiHidden/>
    <w:unhideWhenUsed/>
    <w:rsid w:val="004D5736"/>
    <w:rPr>
      <w:sz w:val="16"/>
      <w:szCs w:val="16"/>
    </w:rPr>
  </w:style>
  <w:style w:type="paragraph" w:styleId="CommentText">
    <w:name w:val="annotation text"/>
    <w:basedOn w:val="Normal"/>
    <w:link w:val="CommentTextChar"/>
    <w:uiPriority w:val="99"/>
    <w:semiHidden/>
    <w:unhideWhenUsed/>
    <w:rsid w:val="004D5736"/>
    <w:pPr>
      <w:spacing w:after="0" w:line="240" w:lineRule="auto"/>
    </w:pPr>
    <w:rPr>
      <w:rFonts w:ascii="Times New Roman" w:eastAsiaTheme="minorHAnsi" w:hAnsi="Times New Roman"/>
      <w:sz w:val="20"/>
      <w:szCs w:val="20"/>
      <w:lang w:eastAsia="ja-JP"/>
    </w:rPr>
  </w:style>
  <w:style w:type="character" w:customStyle="1" w:styleId="CommentTextChar">
    <w:name w:val="Comment Text Char"/>
    <w:basedOn w:val="DefaultParagraphFont"/>
    <w:link w:val="CommentText"/>
    <w:uiPriority w:val="99"/>
    <w:semiHidden/>
    <w:rsid w:val="004D5736"/>
    <w:rPr>
      <w:rFonts w:eastAsiaTheme="minorHAnsi"/>
      <w:lang w:eastAsia="ja-JP"/>
    </w:rPr>
  </w:style>
  <w:style w:type="paragraph" w:styleId="CommentSubject">
    <w:name w:val="annotation subject"/>
    <w:basedOn w:val="CommentText"/>
    <w:next w:val="CommentText"/>
    <w:link w:val="CommentSubjectChar"/>
    <w:uiPriority w:val="99"/>
    <w:semiHidden/>
    <w:unhideWhenUsed/>
    <w:rsid w:val="004D5736"/>
    <w:rPr>
      <w:b/>
      <w:bCs/>
    </w:rPr>
  </w:style>
  <w:style w:type="character" w:customStyle="1" w:styleId="CommentSubjectChar">
    <w:name w:val="Comment Subject Char"/>
    <w:basedOn w:val="CommentTextChar"/>
    <w:link w:val="CommentSubject"/>
    <w:uiPriority w:val="99"/>
    <w:semiHidden/>
    <w:rsid w:val="004D5736"/>
    <w:rPr>
      <w:rFonts w:eastAsiaTheme="minorHAnsi"/>
      <w:b/>
      <w:bCs/>
      <w:lang w:eastAsia="ja-JP"/>
    </w:rPr>
  </w:style>
  <w:style w:type="character" w:customStyle="1" w:styleId="Heading5Char">
    <w:name w:val="Heading 5 Char"/>
    <w:basedOn w:val="DefaultParagraphFont"/>
    <w:link w:val="Heading5"/>
    <w:uiPriority w:val="9"/>
    <w:rsid w:val="004D5736"/>
    <w:rPr>
      <w:rFonts w:ascii="Arial" w:hAnsi="Arial"/>
      <w:b/>
      <w:bCs/>
      <w:i/>
      <w:iCs/>
      <w:sz w:val="24"/>
      <w:szCs w:val="26"/>
    </w:rPr>
  </w:style>
  <w:style w:type="paragraph" w:styleId="TOC2">
    <w:name w:val="toc 2"/>
    <w:basedOn w:val="Normal"/>
    <w:next w:val="Normal"/>
    <w:autoRedefine/>
    <w:uiPriority w:val="39"/>
    <w:unhideWhenUsed/>
    <w:rsid w:val="004D5736"/>
    <w:pPr>
      <w:spacing w:after="0"/>
      <w:ind w:left="240"/>
    </w:pPr>
    <w:rPr>
      <w:rFonts w:asciiTheme="minorHAnsi" w:hAnsiTheme="minorHAnsi"/>
      <w:b/>
      <w:sz w:val="22"/>
    </w:rPr>
  </w:style>
  <w:style w:type="paragraph" w:styleId="TOC3">
    <w:name w:val="toc 3"/>
    <w:basedOn w:val="Normal"/>
    <w:next w:val="Normal"/>
    <w:autoRedefine/>
    <w:uiPriority w:val="39"/>
    <w:unhideWhenUsed/>
    <w:rsid w:val="004D5736"/>
    <w:pPr>
      <w:spacing w:after="0"/>
      <w:ind w:left="480"/>
    </w:pPr>
    <w:rPr>
      <w:rFonts w:asciiTheme="minorHAnsi" w:hAnsiTheme="minorHAnsi"/>
      <w:sz w:val="22"/>
    </w:rPr>
  </w:style>
  <w:style w:type="paragraph" w:styleId="DocumentMap">
    <w:name w:val="Document Map"/>
    <w:basedOn w:val="Normal"/>
    <w:link w:val="DocumentMapChar"/>
    <w:uiPriority w:val="99"/>
    <w:semiHidden/>
    <w:unhideWhenUsed/>
    <w:rsid w:val="003A35A8"/>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3A35A8"/>
    <w:rPr>
      <w:rFonts w:ascii="Lucida Grande" w:hAnsi="Lucida Grande" w:cs="Lucida Grande"/>
      <w:sz w:val="24"/>
      <w:szCs w:val="24"/>
    </w:rPr>
  </w:style>
  <w:style w:type="character" w:styleId="Strong">
    <w:name w:val="Strong"/>
    <w:basedOn w:val="DefaultParagraphFont"/>
    <w:uiPriority w:val="22"/>
    <w:qFormat/>
    <w:rsid w:val="00837957"/>
    <w:rPr>
      <w:b/>
      <w:bCs/>
    </w:rPr>
  </w:style>
  <w:style w:type="character" w:styleId="IntenseEmphasis">
    <w:name w:val="Intense Emphasis"/>
    <w:basedOn w:val="DefaultParagraphFont"/>
    <w:uiPriority w:val="21"/>
    <w:qFormat/>
    <w:rsid w:val="004C4B5B"/>
    <w:rPr>
      <w:i/>
      <w:iCs/>
      <w:color w:val="5B9BD5" w:themeColor="accent1"/>
    </w:rPr>
  </w:style>
  <w:style w:type="paragraph" w:styleId="TOC4">
    <w:name w:val="toc 4"/>
    <w:basedOn w:val="Normal"/>
    <w:next w:val="Normal"/>
    <w:autoRedefine/>
    <w:uiPriority w:val="39"/>
    <w:semiHidden/>
    <w:unhideWhenUsed/>
    <w:rsid w:val="00CC6776"/>
    <w:pPr>
      <w:spacing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CC6776"/>
    <w:pPr>
      <w:spacing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CC6776"/>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CC6776"/>
    <w:pPr>
      <w:spacing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CC6776"/>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CC6776"/>
    <w:pPr>
      <w:spacing w:after="0"/>
      <w:ind w:left="1920"/>
    </w:pPr>
    <w:rPr>
      <w:rFonts w:asciiTheme="minorHAnsi" w:hAnsiTheme="minorHAnsi"/>
      <w:sz w:val="20"/>
      <w:szCs w:val="20"/>
    </w:rPr>
  </w:style>
  <w:style w:type="character" w:styleId="UnresolvedMention">
    <w:name w:val="Unresolved Mention"/>
    <w:basedOn w:val="DefaultParagraphFont"/>
    <w:uiPriority w:val="99"/>
    <w:semiHidden/>
    <w:unhideWhenUsed/>
    <w:rsid w:val="00EE2EC9"/>
    <w:rPr>
      <w:color w:val="605E5C"/>
      <w:shd w:val="clear" w:color="auto" w:fill="E1DFDD"/>
    </w:rPr>
  </w:style>
  <w:style w:type="character" w:styleId="SubtleReference">
    <w:name w:val="Subtle Reference"/>
    <w:basedOn w:val="DefaultParagraphFont"/>
    <w:uiPriority w:val="31"/>
    <w:qFormat/>
    <w:rsid w:val="00111F78"/>
    <w:rPr>
      <w:smallCaps/>
      <w:color w:val="5A5A5A" w:themeColor="text1" w:themeTint="A5"/>
    </w:rPr>
  </w:style>
  <w:style w:type="character" w:styleId="IntenseReference">
    <w:name w:val="Intense Reference"/>
    <w:basedOn w:val="DefaultParagraphFont"/>
    <w:uiPriority w:val="32"/>
    <w:qFormat/>
    <w:rsid w:val="00111F78"/>
    <w:rPr>
      <w:b/>
      <w:bCs/>
      <w:smallCaps/>
      <w:color w:val="5B9BD5" w:themeColor="accent1"/>
      <w:spacing w:val="5"/>
    </w:rPr>
  </w:style>
  <w:style w:type="character" w:styleId="BookTitle">
    <w:name w:val="Book Title"/>
    <w:basedOn w:val="DefaultParagraphFont"/>
    <w:uiPriority w:val="33"/>
    <w:qFormat/>
    <w:rsid w:val="00111F78"/>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3036626">
      <w:bodyDiv w:val="1"/>
      <w:marLeft w:val="0"/>
      <w:marRight w:val="0"/>
      <w:marTop w:val="0"/>
      <w:marBottom w:val="0"/>
      <w:divBdr>
        <w:top w:val="none" w:sz="0" w:space="0" w:color="auto"/>
        <w:left w:val="none" w:sz="0" w:space="0" w:color="auto"/>
        <w:bottom w:val="none" w:sz="0" w:space="0" w:color="auto"/>
        <w:right w:val="none" w:sz="0" w:space="0" w:color="auto"/>
      </w:divBdr>
    </w:div>
    <w:div w:id="788669268">
      <w:bodyDiv w:val="1"/>
      <w:marLeft w:val="0"/>
      <w:marRight w:val="0"/>
      <w:marTop w:val="0"/>
      <w:marBottom w:val="0"/>
      <w:divBdr>
        <w:top w:val="none" w:sz="0" w:space="0" w:color="auto"/>
        <w:left w:val="none" w:sz="0" w:space="0" w:color="auto"/>
        <w:bottom w:val="none" w:sz="0" w:space="0" w:color="auto"/>
        <w:right w:val="none" w:sz="0" w:space="0" w:color="auto"/>
      </w:divBdr>
    </w:div>
    <w:div w:id="792602068">
      <w:bodyDiv w:val="1"/>
      <w:marLeft w:val="0"/>
      <w:marRight w:val="0"/>
      <w:marTop w:val="0"/>
      <w:marBottom w:val="0"/>
      <w:divBdr>
        <w:top w:val="none" w:sz="0" w:space="0" w:color="auto"/>
        <w:left w:val="none" w:sz="0" w:space="0" w:color="auto"/>
        <w:bottom w:val="none" w:sz="0" w:space="0" w:color="auto"/>
        <w:right w:val="none" w:sz="0" w:space="0" w:color="auto"/>
      </w:divBdr>
    </w:div>
    <w:div w:id="934171833">
      <w:bodyDiv w:val="1"/>
      <w:marLeft w:val="0"/>
      <w:marRight w:val="0"/>
      <w:marTop w:val="0"/>
      <w:marBottom w:val="0"/>
      <w:divBdr>
        <w:top w:val="none" w:sz="0" w:space="0" w:color="auto"/>
        <w:left w:val="none" w:sz="0" w:space="0" w:color="auto"/>
        <w:bottom w:val="none" w:sz="0" w:space="0" w:color="auto"/>
        <w:right w:val="none" w:sz="0" w:space="0" w:color="auto"/>
      </w:divBdr>
    </w:div>
    <w:div w:id="1468011704">
      <w:bodyDiv w:val="1"/>
      <w:marLeft w:val="0"/>
      <w:marRight w:val="0"/>
      <w:marTop w:val="0"/>
      <w:marBottom w:val="0"/>
      <w:divBdr>
        <w:top w:val="none" w:sz="0" w:space="0" w:color="auto"/>
        <w:left w:val="none" w:sz="0" w:space="0" w:color="auto"/>
        <w:bottom w:val="none" w:sz="0" w:space="0" w:color="auto"/>
        <w:right w:val="none" w:sz="0" w:space="0" w:color="auto"/>
      </w:divBdr>
    </w:div>
    <w:div w:id="1981303165">
      <w:bodyDiv w:val="1"/>
      <w:marLeft w:val="0"/>
      <w:marRight w:val="0"/>
      <w:marTop w:val="0"/>
      <w:marBottom w:val="0"/>
      <w:divBdr>
        <w:top w:val="none" w:sz="0" w:space="0" w:color="auto"/>
        <w:left w:val="none" w:sz="0" w:space="0" w:color="auto"/>
        <w:bottom w:val="none" w:sz="0" w:space="0" w:color="auto"/>
        <w:right w:val="none" w:sz="0" w:space="0" w:color="auto"/>
      </w:divBdr>
    </w:div>
    <w:div w:id="2125692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justiceinconflict.org/2019/01/18some-quick-reflections-on-the-gbagbo-acquittal-at-the-icc/" TargetMode="Externa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lubangatrial.org/2012/08/20/lubanga-judgment-the%20prosecutions-investigation-and-use-of-intermediaries/." TargetMode="External"/><Relationship Id="rId2" Type="http://schemas.openxmlformats.org/officeDocument/2006/relationships/customXml" Target="../customXml/item2.xml"/><Relationship Id="rId16" Type="http://schemas.openxmlformats.org/officeDocument/2006/relationships/hyperlink" Target="https://www.law.berkeley.edu/wp-content/uploads/2015/04/The-Victims-Court-November-2015.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opiniojuris.org/2014/03/08/another-terrible-day-otp" TargetMode="External"/><Relationship Id="rId10" Type="http://schemas.openxmlformats.org/officeDocument/2006/relationships/endnotes" Target="endnotes.xml"/><Relationship Id="rId19" Type="http://schemas.openxmlformats.org/officeDocument/2006/relationships/hyperlink" Target="https://www.un.org/en/ga/search/view_doc.asp?symbol=S/2004/57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ustomer-insight.co.uk/article/874"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6" Type="http://schemas.openxmlformats.org/officeDocument/2006/relationships/hyperlink" Target="https://www.ictj.org/sites/default/files/ICTJ-Briefing-DRC-Katanga-2014.PDF" TargetMode="External"/><Relationship Id="rId21" Type="http://schemas.openxmlformats.org/officeDocument/2006/relationships/hyperlink" Target="https://www.ijmonitor.org/germain-katanga-and-mathieu-ngudjolo-chui-background/" TargetMode="External"/><Relationship Id="rId42" Type="http://schemas.openxmlformats.org/officeDocument/2006/relationships/hyperlink" Target="https://dovjacobs.com/2014/03/20/guest-post-the-iccs-end-days-not-so-fast/" TargetMode="External"/><Relationship Id="rId47" Type="http://schemas.openxmlformats.org/officeDocument/2006/relationships/hyperlink" Target="https://www.impunitywatch.nl/docs/DiscussionPaper_Victim_Participation_in_Transitional_Justice_2014_eng.pdf" TargetMode="External"/><Relationship Id="rId63" Type="http://schemas.openxmlformats.org/officeDocument/2006/relationships/hyperlink" Target="https://pdfs.semanticscholar.org/25ad/43cab27eb1c3434d817c5cb9f1fae55b3650.pdf?_ga=2.107538955.826057802.1583880709-1350360667.1583880709" TargetMode="External"/><Relationship Id="rId68" Type="http://schemas.openxmlformats.org/officeDocument/2006/relationships/hyperlink" Target="http://www.lubanga" TargetMode="External"/><Relationship Id="rId16" Type="http://schemas.openxmlformats.org/officeDocument/2006/relationships/hyperlink" Target="https://www.ejiltalk.org/acquittals-by-the-international-criminal-court/" TargetMode="External"/><Relationship Id="rId11" Type="http://schemas.openxmlformats.org/officeDocument/2006/relationships/hyperlink" Target="https://www.asil.org/insights/volume/3/issue/10/results-rome-conference-international-criminal-court" TargetMode="External"/><Relationship Id="rId32" Type="http://schemas.openxmlformats.org/officeDocument/2006/relationships/hyperlink" Target="http://www.icc-cpi.int/pressrelease_details&amp;=en.html" TargetMode="External"/><Relationship Id="rId37" Type="http://schemas.openxmlformats.org/officeDocument/2006/relationships/hyperlink" Target="http://opiniojuris.org/2014/03/08/another-terrible-day-otp/" TargetMode="External"/><Relationship Id="rId53" Type="http://schemas.openxmlformats.org/officeDocument/2006/relationships/hyperlink" Target="https://www.impunitywatch.nl/docs/DiscussionPaper_Victim_Participation_in_Transitional_Justice_2014_eng.pdf" TargetMode="External"/><Relationship Id="rId58" Type="http://schemas.openxmlformats.org/officeDocument/2006/relationships/hyperlink" Target="http://www.brill.nl/default.aspx?partid=210&amp;pid=28759" TargetMode="External"/><Relationship Id="rId74" Type="http://schemas.openxmlformats.org/officeDocument/2006/relationships/hyperlink" Target="http://www.worldcoalition.org/Towards-the-abolition-of%20-the%20-death-penaalty-in-DRC-advances-to-be-confirmed.html%20" TargetMode="External"/><Relationship Id="rId79" Type="http://schemas.openxmlformats.org/officeDocument/2006/relationships/hyperlink" Target="https://www.aljazeera.com/videos/2020/03/16/dr-congo-warlord-thomas-lubanga-released-from-prison/" TargetMode="External"/><Relationship Id="rId5" Type="http://schemas.openxmlformats.org/officeDocument/2006/relationships/hyperlink" Target="https://www.icc-cpi.int/CourtRecord/CR2016_07244.PDF" TargetMode="External"/><Relationship Id="rId61" Type="http://schemas.openxmlformats.org/officeDocument/2006/relationships/hyperlink" Target="https://scholarship.law.umn.edu/cgi/viewcontent.cgi?article=3348&amp;context=mlr" TargetMode="External"/><Relationship Id="rId82" Type="http://schemas.openxmlformats.org/officeDocument/2006/relationships/hyperlink" Target="https://justicehub.org/article/expert-rehabilitation-of-those-convicted-by-international-criminal-tribunals-is-woefully-inadequate/" TargetMode="External"/><Relationship Id="rId19" Type="http://schemas.openxmlformats.org/officeDocument/2006/relationships/hyperlink" Target="https://www.ictj.org/sites/default/files/ICTJ-DRC-Lubanga-Trial-2009-English.pdf" TargetMode="External"/><Relationship Id="rId14" Type="http://schemas.openxmlformats.org/officeDocument/2006/relationships/hyperlink" Target="https://www.icc-cpi.int/about/otp" TargetMode="External"/><Relationship Id="rId22" Type="http://schemas.openxmlformats.org/officeDocument/2006/relationships/hyperlink" Target="https://www.icc-cpi.int/iccdocs/pids/publications/KatangaEng.pdf" TargetMode="External"/><Relationship Id="rId27" Type="http://schemas.openxmlformats.org/officeDocument/2006/relationships/hyperlink" Target="http://opiniojuris.org/2014/03/08/another-terrible-day-otp/" TargetMode="External"/><Relationship Id="rId30" Type="http://schemas.openxmlformats.org/officeDocument/2006/relationships/hyperlink" Target="http://opiniojuris.org/2012/03/18/lubanga-decision-roundtable-lubanga-sexual-violence-and-the-legal-re-characterization-of-facts/" TargetMode="External"/><Relationship Id="rId35" Type="http://schemas.openxmlformats.org/officeDocument/2006/relationships/hyperlink" Target="http://www.iccwomen.org/documents/Prosecutor%20_Letter_August_2006_Redacted.pdf" TargetMode="External"/><Relationship Id="rId43" Type="http://schemas.openxmlformats.org/officeDocument/2006/relationships/hyperlink" Target="https://www.ncjrs.gov/pdffiles1/nij/grants/202983.pdf" TargetMode="External"/><Relationship Id="rId48" Type="http://schemas.openxmlformats.org/officeDocument/2006/relationships/hyperlink" Target="http://www.iccwomen.org/documents/Prosecutor_Letter_August_2006_Redacted.pdf;Women" TargetMode="External"/><Relationship Id="rId56" Type="http://schemas.openxmlformats.org/officeDocument/2006/relationships/hyperlink" Target="https://www.impunitywatch.nl/docs/DiscussionPaper_Victim_Participation_in_Transitional_Justice_2014_eng.pdf" TargetMode="External"/><Relationship Id="rId64" Type="http://schemas.openxmlformats.org/officeDocument/2006/relationships/hyperlink" Target="http://www.antoniocasella.eu/restorative/Marshall_1999-b.pdfLast" TargetMode="External"/><Relationship Id="rId69" Type="http://schemas.openxmlformats.org/officeDocument/2006/relationships/hyperlink" Target="http://hummedia.manchester.ac.uk/schools/law/main/research/MSLR_Vol2_4(Goh).pdf%3elast" TargetMode="External"/><Relationship Id="rId77" Type="http://schemas.openxmlformats.org/officeDocument/2006/relationships/hyperlink" Target="https://justicehub.org/article/expert-rehabilitation-of-those-convicted-by-international-criminal-tribunals-is-woefully-inadequate/" TargetMode="External"/><Relationship Id="rId8" Type="http://schemas.openxmlformats.org/officeDocument/2006/relationships/hyperlink" Target="https://www.fichl.org/fileadmin/fichl/documents/FICHL_13_Web.pdf" TargetMode="External"/><Relationship Id="rId51" Type="http://schemas.openxmlformats.org/officeDocument/2006/relationships/hyperlink" Target="https://www.law.berkely.edu/wp-content/upload/2015/04/The-Victims-Court-Novemebr%20-2015,pdf" TargetMode="External"/><Relationship Id="rId72" Type="http://schemas.openxmlformats.org/officeDocument/2006/relationships/hyperlink" Target="https://emotionresearcher.com/emotion-and-criminal-punishment-in-principle-and-in-practice/" TargetMode="External"/><Relationship Id="rId80" Type="http://schemas.openxmlformats.org/officeDocument/2006/relationships/hyperlink" Target="https://www.aljazeera.com/videos/2020/03/16/dr-congo-warlord-thomas-lubanga-released-from-prison/" TargetMode="External"/><Relationship Id="rId3" Type="http://schemas.openxmlformats.org/officeDocument/2006/relationships/hyperlink" Target="http://www.vrwg.org/ACCESS/ENG-22Sehmi.pdf" TargetMode="External"/><Relationship Id="rId12" Type="http://schemas.openxmlformats.org/officeDocument/2006/relationships/hyperlink" Target="https://www.asil.org/insights/volume/3/issue/10/results-rome-conference-international-criminal-court" TargetMode="External"/><Relationship Id="rId17" Type="http://schemas.openxmlformats.org/officeDocument/2006/relationships/hyperlink" Target="http://forums.ssrc.org/african-futures/2012/03/16/african-futures-icc-missed-opportunities/%20" TargetMode="External"/><Relationship Id="rId25" Type="http://schemas.openxmlformats.org/officeDocument/2006/relationships/hyperlink" Target="https://www.ijmonitor.org/germain-katanga-and-mathieu-ngudjolo-chui-background/" TargetMode="External"/><Relationship Id="rId33" Type="http://schemas.openxmlformats.org/officeDocument/2006/relationships/hyperlink" Target="http://www.iccwomen.org/documents/Prosecutor%20_Letter_August_2006_Redacted.pdf" TargetMode="External"/><Relationship Id="rId38" Type="http://schemas.openxmlformats.org/officeDocument/2006/relationships/hyperlink" Target="https://dovjacobs.com/2014/03/10/the-icc-katanga-judgment-a-commentary-part-1-investigation-interpretation-and-the-crimes/" TargetMode="External"/><Relationship Id="rId46" Type="http://schemas.openxmlformats.org/officeDocument/2006/relationships/hyperlink" Target="https://www.law.berkeley.edu/wp-content/uploads/2015/04/VP_report_2015_final_full2.pdf" TargetMode="External"/><Relationship Id="rId59" Type="http://schemas.openxmlformats.org/officeDocument/2006/relationships/hyperlink" Target="http://plato.stanford.edu/entries/justice-retributive/" TargetMode="External"/><Relationship Id="rId67" Type="http://schemas.openxmlformats.org/officeDocument/2006/relationships/hyperlink" Target="https://www.unicef.org/tdad/littlebookrjpakaf.pdf" TargetMode="External"/><Relationship Id="rId20" Type="http://schemas.openxmlformats.org/officeDocument/2006/relationships/hyperlink" Target="http://iccnow.org/?mod=drctimelinekatanga&amp;idudctp=109&amp;order=titledesc" TargetMode="External"/><Relationship Id="rId41" Type="http://schemas.openxmlformats.org/officeDocument/2006/relationships/hyperlink" Target="https://dovjacobs.com/2014/03/10/the-icc-katanga-judgment-a-commentary-part-1-investigation-interpretation-and-the-crimes/" TargetMode="External"/><Relationship Id="rId54" Type="http://schemas.openxmlformats.org/officeDocument/2006/relationships/hyperlink" Target="https://www.impunitywatch.nl/docs/DiscussionPaper_Victim_Participation_in_Transitional_Justice_2014_eng.pdf" TargetMode="External"/><Relationship Id="rId62" Type="http://schemas.openxmlformats.org/officeDocument/2006/relationships/hyperlink" Target="https://www.ncjrs.gov/App/Publications/abstract.aspx?ID=10857" TargetMode="External"/><Relationship Id="rId70" Type="http://schemas.openxmlformats.org/officeDocument/2006/relationships/hyperlink" Target="https://www.icc-cpi.int/Pages/item.aspx?name=pr1174" TargetMode="External"/><Relationship Id="rId75" Type="http://schemas.openxmlformats.org/officeDocument/2006/relationships/hyperlink" Target="https://journals.sagepub.com/doi/pdf/10.1350/jcla.2007.71.5.427" TargetMode="External"/><Relationship Id="rId1" Type="http://schemas.openxmlformats.org/officeDocument/2006/relationships/hyperlink" Target="https://digitalcommons.law.yale.edu/fss_papers/532/" TargetMode="External"/><Relationship Id="rId6" Type="http://schemas.openxmlformats.org/officeDocument/2006/relationships/hyperlink" Target="https://www.justiceinitiative.org/publications/trial-dominic-ongwen-international-criminal-court" TargetMode="External"/><Relationship Id="rId15" Type="http://schemas.openxmlformats.org/officeDocument/2006/relationships/hyperlink" Target="https://www.hrw.org/new/2005/06/01/meaning-interests-justice-article-53-rome-statute" TargetMode="External"/><Relationship Id="rId23" Type="http://schemas.openxmlformats.org/officeDocument/2006/relationships/hyperlink" Target="https://www.ijmonitor.org/germain-katanga-and-mathieu-ngudjolo-chui-background/" TargetMode="External"/><Relationship Id="rId28" Type="http://schemas.openxmlformats.org/officeDocument/2006/relationships/hyperlink" Target="https://dovjacobs.com/2014/03/10/the-icc-katanga-judgment-a-commentary-part-1-investigation-interpretation-and-the-crimes/" TargetMode="External"/><Relationship Id="rId36" Type="http://schemas.openxmlformats.org/officeDocument/2006/relationships/hyperlink" Target="http://opiniojuris.org/2012/03/18/lubanga-decision%20-roundtable-lubanga-sexual-violence-and-thelegal-recharacteristaion-of%20-facts/" TargetMode="External"/><Relationship Id="rId49" Type="http://schemas.openxmlformats.org/officeDocument/2006/relationships/hyperlink" Target="https://www.hrw.org/report/2017/08/29/who-will-stand-us/victims-legal-representation-icc-ongwen-case-and-beyond" TargetMode="External"/><Relationship Id="rId57" Type="http://schemas.openxmlformats.org/officeDocument/2006/relationships/hyperlink" Target="https://ictj.org/sites/default/files/ICTJ-Global-Reparations-Participation-2009-English.pdf" TargetMode="External"/><Relationship Id="rId10" Type="http://schemas.openxmlformats.org/officeDocument/2006/relationships/hyperlink" Target="https://www.independent.co.uk/news/people/stanford-rape-case-read-the-impact-statement-of-brock-turners-victim-a7222371.html" TargetMode="External"/><Relationship Id="rId31" Type="http://schemas.openxmlformats.org/officeDocument/2006/relationships/hyperlink" Target="http://forums.ssrc.org/african-futures/2012/03/16/african-futures-icc-missed-opportunities/%20" TargetMode="External"/><Relationship Id="rId44" Type="http://schemas.openxmlformats.org/officeDocument/2006/relationships/hyperlink" Target="https://www.cps.gov.uk/sites/default/files/documents/legal_gidance/joint-agency-guide-victim-personal-statement_0.pdf" TargetMode="External"/><Relationship Id="rId52" Type="http://schemas.openxmlformats.org/officeDocument/2006/relationships/hyperlink" Target="http://www.iccwomen.org/documents/Prosecutro_Letter_August_2006_Redacted.pdf" TargetMode="External"/><Relationship Id="rId60" Type="http://schemas.openxmlformats.org/officeDocument/2006/relationships/hyperlink" Target="https://www.jstor.org/stable/2216023?seq=1" TargetMode="External"/><Relationship Id="rId65" Type="http://schemas.openxmlformats.org/officeDocument/2006/relationships/hyperlink" Target="https://journals.sagepub.com/doi/pdf/10.1350/jcla.2007.71.5.427" TargetMode="External"/><Relationship Id="rId73" Type="http://schemas.openxmlformats.org/officeDocument/2006/relationships/hyperlink" Target="https://emotionresearcher.com/emotion-and-criminal-punishment-in-principle-and-in-practice/" TargetMode="External"/><Relationship Id="rId78" Type="http://schemas.openxmlformats.org/officeDocument/2006/relationships/hyperlink" Target="https://www.theafricareport.com/24712/drc-former-warlord-thomas-lubanga-freed-after-serving-14-year-sentence/" TargetMode="External"/><Relationship Id="rId81" Type="http://schemas.openxmlformats.org/officeDocument/2006/relationships/hyperlink" Target="http://www.worldcoalition.org/Towards-the-abolition-of%20-the%20-death-penaalty-in-DRC-advances-to-be-confirmed.html%3e%20" TargetMode="External"/><Relationship Id="rId4" Type="http://schemas.openxmlformats.org/officeDocument/2006/relationships/hyperlink" Target="https://justiceinconflict.org/2013/11/22/victim-participation-at-the-icc-whats-the-deal/" TargetMode="External"/><Relationship Id="rId9" Type="http://schemas.openxmlformats.org/officeDocument/2006/relationships/hyperlink" Target="https://www.ejiltalk.org/acquittals-by-the-international-criminal-court/" TargetMode="External"/><Relationship Id="rId13" Type="http://schemas.openxmlformats.org/officeDocument/2006/relationships/hyperlink" Target="http://web.amnesty.org/library/pdf/IOR400011997ENGLISH/$File/Ior4000197.pdf." TargetMode="External"/><Relationship Id="rId18" Type="http://schemas.openxmlformats.org/officeDocument/2006/relationships/hyperlink" Target="http://forums.ssrc.org/african-futures/2012/03/16/african-futures-icc-missed-opportunities/%20" TargetMode="External"/><Relationship Id="rId39" Type="http://schemas.openxmlformats.org/officeDocument/2006/relationships/hyperlink" Target="https://ww.icty.org/x/file/About/Reports%20and520Publications/manual_developed_practices/ADC_ICTY_developed_practices_en.pdf" TargetMode="External"/><Relationship Id="rId34" Type="http://schemas.openxmlformats.org/officeDocument/2006/relationships/hyperlink" Target="http://www.icc-cpi.int/library/asp/LMO_20040906_eN.PDF(stating" TargetMode="External"/><Relationship Id="rId50" Type="http://schemas.openxmlformats.org/officeDocument/2006/relationships/hyperlink" Target="http://digitalcommons.wcl.american.edu/hrbrief/vol21/iss1/4" TargetMode="External"/><Relationship Id="rId55" Type="http://schemas.openxmlformats.org/officeDocument/2006/relationships/hyperlink" Target="https://scholarlycommons.law.northwestern.edu/njihr/vol6/iss3/4" TargetMode="External"/><Relationship Id="rId76" Type="http://schemas.openxmlformats.org/officeDocument/2006/relationships/hyperlink" Target="https://assets.publishing.service.gov.uk/government/uploads/system/uploads/attachment_data/file/312426/pre-sentence-restorative-justice.pdf" TargetMode="External"/><Relationship Id="rId7" Type="http://schemas.openxmlformats.org/officeDocument/2006/relationships/hyperlink" Target="http://www.haaretz.com/news/diplomacy-defense%20/.premium-1.654516" TargetMode="External"/><Relationship Id="rId71" Type="http://schemas.openxmlformats.org/officeDocument/2006/relationships/hyperlink" Target="https://www.icc-cpi.int/EN_Menus/icc/situations%20and%20cases/situations/situation%20icc%200104/related%20cases/icc%200104%200107/court%20records/chambers/appeals%20chamber/pages/3615.aspx" TargetMode="External"/><Relationship Id="rId2" Type="http://schemas.openxmlformats.org/officeDocument/2006/relationships/hyperlink" Target="https://www.ictj.org/our-work/transitional-justice-issues/criminal-justice" TargetMode="External"/><Relationship Id="rId29" Type="http://schemas.openxmlformats.org/officeDocument/2006/relationships/hyperlink" Target="https://www.icc-cpi.int/NR/rdonlyres/DF5E9E76-F99C-410A-85F4-01C4A2CE300C/0/ICCBD010207ENG.pdf%3elast" TargetMode="External"/><Relationship Id="rId24" Type="http://schemas.openxmlformats.org/officeDocument/2006/relationships/hyperlink" Target="https://www.ijmonitor.org/germain-katanga-and-mathieu-ngudjolo-chui-background/" TargetMode="External"/><Relationship Id="rId40" Type="http://schemas.openxmlformats.org/officeDocument/2006/relationships/hyperlink" Target="https://www.ejiltalk.org/acquittals-by-the-international-criminal-court/" TargetMode="External"/><Relationship Id="rId45" Type="http://schemas.openxmlformats.org/officeDocument/2006/relationships/hyperlink" Target="https://pureadmin.qub.ac.uk/ws/portalfiles/portal/137289940/Moffett_NILQ_Final_Special_Edition.pdf%3elast" TargetMode="External"/><Relationship Id="rId66" Type="http://schemas.openxmlformats.org/officeDocument/2006/relationships/hyperlink" Target="https://journals.sagepub.com/doi/pdf/10.1350/jcla.2007.71.5.427"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422FBC5C19EE4FB6D89AA43F0E6A2A"/>
        <w:category>
          <w:name w:val="General"/>
          <w:gallery w:val="placeholder"/>
        </w:category>
        <w:types>
          <w:type w:val="bbPlcHdr"/>
        </w:types>
        <w:behaviors>
          <w:behavior w:val="content"/>
        </w:behaviors>
        <w:guid w:val="{0A52C2D6-B75F-524D-81BE-5D57B7F90695}"/>
      </w:docPartPr>
      <w:docPartBody>
        <w:p w:rsidR="00276C44" w:rsidRDefault="00276C44" w:rsidP="00276C44">
          <w:pPr>
            <w:pStyle w:val="3B422FBC5C19EE4FB6D89AA43F0E6A2A"/>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Rounded MT Bold">
    <w:panose1 w:val="020F070403050403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6C44"/>
    <w:rsid w:val="00015F87"/>
    <w:rsid w:val="0007115A"/>
    <w:rsid w:val="001721FB"/>
    <w:rsid w:val="001853B2"/>
    <w:rsid w:val="001907B2"/>
    <w:rsid w:val="001A7A55"/>
    <w:rsid w:val="001B6167"/>
    <w:rsid w:val="001D3CA9"/>
    <w:rsid w:val="00224B3F"/>
    <w:rsid w:val="002351CC"/>
    <w:rsid w:val="00276C44"/>
    <w:rsid w:val="002C5E6D"/>
    <w:rsid w:val="00347EC5"/>
    <w:rsid w:val="0039409C"/>
    <w:rsid w:val="003B6DEB"/>
    <w:rsid w:val="00412896"/>
    <w:rsid w:val="004E7A44"/>
    <w:rsid w:val="004F6421"/>
    <w:rsid w:val="005647EE"/>
    <w:rsid w:val="006C7452"/>
    <w:rsid w:val="007E7701"/>
    <w:rsid w:val="00801F5F"/>
    <w:rsid w:val="008B6EB3"/>
    <w:rsid w:val="00936EF7"/>
    <w:rsid w:val="009A66C0"/>
    <w:rsid w:val="009D3252"/>
    <w:rsid w:val="009F6EA7"/>
    <w:rsid w:val="00A35BF2"/>
    <w:rsid w:val="00B25E4C"/>
    <w:rsid w:val="00BD4788"/>
    <w:rsid w:val="00C05BC4"/>
    <w:rsid w:val="00C17468"/>
    <w:rsid w:val="00C3077F"/>
    <w:rsid w:val="00C36552"/>
    <w:rsid w:val="00C41EC4"/>
    <w:rsid w:val="00D00DD4"/>
    <w:rsid w:val="00D07BF6"/>
    <w:rsid w:val="00D478AF"/>
    <w:rsid w:val="00D912A2"/>
    <w:rsid w:val="00DC1BDD"/>
    <w:rsid w:val="00E05DB3"/>
    <w:rsid w:val="00E76EBA"/>
    <w:rsid w:val="00E82A20"/>
    <w:rsid w:val="00F57DB8"/>
    <w:rsid w:val="00FB51C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422FBC5C19EE4FB6D89AA43F0E6A2A">
    <w:name w:val="3B422FBC5C19EE4FB6D89AA43F0E6A2A"/>
    <w:rsid w:val="00276C4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67FEAA2858314BBD453429065E7B3F" ma:contentTypeVersion="13" ma:contentTypeDescription="Create a new document." ma:contentTypeScope="" ma:versionID="97dc5f48828fa67da9749564b4b98d49">
  <xsd:schema xmlns:xsd="http://www.w3.org/2001/XMLSchema" xmlns:xs="http://www.w3.org/2001/XMLSchema" xmlns:p="http://schemas.microsoft.com/office/2006/metadata/properties" xmlns:ns3="03797939-ec8e-4f98-a2fd-b2420464d6d3" xmlns:ns4="bbe8c2e6-2977-4eb5-9cfb-b153b7edd965" targetNamespace="http://schemas.microsoft.com/office/2006/metadata/properties" ma:root="true" ma:fieldsID="bcb1af4381c035f6cf256995ae89dbd7" ns3:_="" ns4:_="">
    <xsd:import namespace="03797939-ec8e-4f98-a2fd-b2420464d6d3"/>
    <xsd:import namespace="bbe8c2e6-2977-4eb5-9cfb-b153b7edd96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97939-ec8e-4f98-a2fd-b2420464d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e8c2e6-2977-4eb5-9cfb-b153b7edd96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1A67D5-5FD5-466E-BE72-B909495FAA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797939-ec8e-4f98-a2fd-b2420464d6d3"/>
    <ds:schemaRef ds:uri="bbe8c2e6-2977-4eb5-9cfb-b153b7edd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706EE7-733D-AC45-A4F2-E62770215683}">
  <ds:schemaRefs>
    <ds:schemaRef ds:uri="http://schemas.openxmlformats.org/officeDocument/2006/bibliography"/>
  </ds:schemaRefs>
</ds:datastoreItem>
</file>

<file path=customXml/itemProps3.xml><?xml version="1.0" encoding="utf-8"?>
<ds:datastoreItem xmlns:ds="http://schemas.openxmlformats.org/officeDocument/2006/customXml" ds:itemID="{1536FA40-B984-44BC-B4DB-E89EC75E1A8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82145C-F8BA-4FD6-AB2A-559DE78069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448</Pages>
  <Words>88050</Words>
  <Characters>501889</Characters>
  <Application>Microsoft Office Word</Application>
  <DocSecurity>0</DocSecurity>
  <Lines>4182</Lines>
  <Paragraphs>1177</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588762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Oyewole, Oriola (Postgraduate Researcher)</dc:creator>
  <cp:keywords/>
  <dc:description/>
  <cp:lastModifiedBy>Blanshard, Lisa</cp:lastModifiedBy>
  <cp:revision>7</cp:revision>
  <cp:lastPrinted>2015-02-26T14:03:00Z</cp:lastPrinted>
  <dcterms:created xsi:type="dcterms:W3CDTF">2021-02-04T20:26:00Z</dcterms:created>
  <dcterms:modified xsi:type="dcterms:W3CDTF">2021-08-03T15:41:00Z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0x010100E667FEAA2858314BBD453429065E7B3F</vt:lpwstr>
  </property>
</Properties>
</file>